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CE686" w14:textId="77777777" w:rsidR="00FE129E" w:rsidRDefault="00FE129E" w:rsidP="00FE129E">
      <w:pPr>
        <w:spacing w:after="0" w:line="480" w:lineRule="auto"/>
        <w:jc w:val="center"/>
        <w:rPr>
          <w:rFonts w:ascii="Times New Roman" w:hAnsi="Times New Roman" w:cs="Times New Roman"/>
          <w:b/>
          <w:sz w:val="32"/>
          <w:szCs w:val="32"/>
        </w:rPr>
      </w:pPr>
      <w:r w:rsidRPr="00FE129E">
        <w:rPr>
          <w:rFonts w:ascii="Times New Roman" w:hAnsi="Times New Roman" w:cs="Times New Roman"/>
          <w:b/>
          <w:sz w:val="32"/>
          <w:szCs w:val="32"/>
        </w:rPr>
        <w:t>Human Capital Efficiency and Equity Funds’ Performance during the C</w:t>
      </w:r>
      <w:r>
        <w:rPr>
          <w:rFonts w:ascii="Times New Roman" w:hAnsi="Times New Roman" w:cs="Times New Roman"/>
          <w:b/>
          <w:sz w:val="32"/>
          <w:szCs w:val="32"/>
        </w:rPr>
        <w:t>OVID</w:t>
      </w:r>
      <w:r w:rsidRPr="00FE129E">
        <w:rPr>
          <w:rFonts w:ascii="Times New Roman" w:hAnsi="Times New Roman" w:cs="Times New Roman"/>
          <w:b/>
          <w:sz w:val="32"/>
          <w:szCs w:val="32"/>
        </w:rPr>
        <w:t>-19</w:t>
      </w:r>
      <w:r>
        <w:rPr>
          <w:rFonts w:ascii="Times New Roman" w:hAnsi="Times New Roman" w:cs="Times New Roman"/>
          <w:b/>
          <w:sz w:val="32"/>
          <w:szCs w:val="32"/>
        </w:rPr>
        <w:t xml:space="preserve"> pandemic.</w:t>
      </w:r>
    </w:p>
    <w:p w14:paraId="22F48643" w14:textId="77777777" w:rsidR="00FE129E" w:rsidRDefault="00FE129E" w:rsidP="00FE129E">
      <w:pPr>
        <w:spacing w:after="0" w:line="480" w:lineRule="auto"/>
        <w:jc w:val="center"/>
        <w:rPr>
          <w:rFonts w:ascii="Times New Roman" w:hAnsi="Times New Roman" w:cs="Times New Roman"/>
          <w:b/>
          <w:sz w:val="32"/>
          <w:szCs w:val="32"/>
        </w:rPr>
      </w:pPr>
    </w:p>
    <w:p w14:paraId="19CF7B41" w14:textId="7E8BB31B" w:rsidR="00FE129E" w:rsidRPr="00D30352" w:rsidRDefault="00FE129E" w:rsidP="00FE129E">
      <w:pPr>
        <w:spacing w:after="0" w:line="480" w:lineRule="auto"/>
        <w:jc w:val="center"/>
        <w:rPr>
          <w:rFonts w:ascii="Times New Roman" w:hAnsi="Times New Roman" w:cs="Times New Roman"/>
          <w:b/>
          <w:bCs/>
          <w:sz w:val="32"/>
          <w:szCs w:val="32"/>
        </w:rPr>
      </w:pPr>
      <w:r w:rsidRPr="00D30352">
        <w:rPr>
          <w:rFonts w:ascii="Times New Roman" w:hAnsi="Times New Roman" w:cs="Times New Roman"/>
          <w:b/>
          <w:bCs/>
          <w:sz w:val="32"/>
          <w:szCs w:val="32"/>
        </w:rPr>
        <w:t>Larisa Yarovaya</w:t>
      </w:r>
      <w:r w:rsidR="00E94AEA">
        <w:rPr>
          <w:rStyle w:val="FootnoteReference"/>
          <w:rFonts w:ascii="Times New Roman" w:hAnsi="Times New Roman" w:cs="Times New Roman"/>
          <w:b/>
          <w:bCs/>
          <w:sz w:val="32"/>
          <w:szCs w:val="32"/>
        </w:rPr>
        <w:footnoteReference w:customMarkFollows="1" w:id="1"/>
        <w:t>*</w:t>
      </w:r>
      <w:r w:rsidRPr="00D30352">
        <w:rPr>
          <w:rFonts w:ascii="Times New Roman" w:hAnsi="Times New Roman" w:cs="Times New Roman"/>
          <w:b/>
          <w:bCs/>
          <w:sz w:val="32"/>
          <w:szCs w:val="32"/>
        </w:rPr>
        <w:t>,</w:t>
      </w:r>
    </w:p>
    <w:p w14:paraId="47B827F5" w14:textId="77777777" w:rsidR="00FE129E" w:rsidRPr="00FE129E" w:rsidRDefault="00FE129E" w:rsidP="00FE129E">
      <w:pPr>
        <w:spacing w:after="0" w:line="480" w:lineRule="auto"/>
        <w:jc w:val="center"/>
        <w:rPr>
          <w:rFonts w:ascii="Times New Roman" w:hAnsi="Times New Roman" w:cs="Times New Roman"/>
          <w:bCs/>
          <w:sz w:val="32"/>
          <w:szCs w:val="32"/>
        </w:rPr>
      </w:pPr>
      <w:r w:rsidRPr="00FE129E">
        <w:rPr>
          <w:rFonts w:ascii="Times New Roman" w:hAnsi="Times New Roman" w:cs="Times New Roman"/>
          <w:bCs/>
          <w:sz w:val="32"/>
          <w:szCs w:val="32"/>
        </w:rPr>
        <w:t>Southampton Business School, University of Southampton, UK</w:t>
      </w:r>
    </w:p>
    <w:p w14:paraId="7EE1B672" w14:textId="77777777" w:rsidR="00FE129E" w:rsidRPr="00844321" w:rsidRDefault="00FE129E" w:rsidP="00FE129E">
      <w:pPr>
        <w:spacing w:after="0" w:line="480" w:lineRule="auto"/>
        <w:jc w:val="center"/>
        <w:rPr>
          <w:rFonts w:ascii="Times New Roman" w:hAnsi="Times New Roman" w:cs="Times New Roman"/>
          <w:bCs/>
          <w:sz w:val="32"/>
          <w:szCs w:val="32"/>
        </w:rPr>
      </w:pPr>
      <w:r w:rsidRPr="00844321">
        <w:rPr>
          <w:rFonts w:ascii="Times New Roman" w:hAnsi="Times New Roman" w:cs="Times New Roman"/>
          <w:bCs/>
          <w:sz w:val="32"/>
          <w:szCs w:val="32"/>
        </w:rPr>
        <w:t>l.yarovaya@soton.ac.uk</w:t>
      </w:r>
    </w:p>
    <w:p w14:paraId="34212874" w14:textId="2C0FA758" w:rsidR="00FE129E" w:rsidRPr="00D30352" w:rsidRDefault="00CF4F06" w:rsidP="00FE129E">
      <w:pPr>
        <w:spacing w:after="0" w:line="480" w:lineRule="auto"/>
        <w:jc w:val="center"/>
        <w:rPr>
          <w:rFonts w:ascii="Times New Roman" w:hAnsi="Times New Roman" w:cs="Times New Roman"/>
          <w:b/>
          <w:bCs/>
          <w:sz w:val="32"/>
          <w:szCs w:val="32"/>
        </w:rPr>
      </w:pPr>
      <w:r w:rsidRPr="00CF4F06">
        <w:rPr>
          <w:rFonts w:ascii="Times New Roman" w:hAnsi="Times New Roman" w:cs="Times New Roman"/>
          <w:bCs/>
          <w:sz w:val="32"/>
          <w:szCs w:val="32"/>
        </w:rPr>
        <w:t xml:space="preserve"> </w:t>
      </w:r>
      <w:proofErr w:type="spellStart"/>
      <w:r w:rsidRPr="00D30352">
        <w:rPr>
          <w:rFonts w:ascii="Times New Roman" w:hAnsi="Times New Roman" w:cs="Times New Roman"/>
          <w:b/>
          <w:bCs/>
          <w:sz w:val="32"/>
          <w:szCs w:val="32"/>
        </w:rPr>
        <w:t>Nawazish</w:t>
      </w:r>
      <w:proofErr w:type="spellEnd"/>
      <w:r w:rsidRPr="00D30352">
        <w:rPr>
          <w:rFonts w:ascii="Times New Roman" w:hAnsi="Times New Roman" w:cs="Times New Roman"/>
          <w:b/>
          <w:bCs/>
          <w:sz w:val="32"/>
          <w:szCs w:val="32"/>
        </w:rPr>
        <w:t xml:space="preserve"> Mirza</w:t>
      </w:r>
    </w:p>
    <w:p w14:paraId="6F93A18C" w14:textId="5AA8B3AB" w:rsidR="00CF4F06" w:rsidRPr="00CF4F06" w:rsidRDefault="00CF4F06" w:rsidP="00FE129E">
      <w:pPr>
        <w:spacing w:after="0" w:line="480" w:lineRule="auto"/>
        <w:jc w:val="center"/>
        <w:rPr>
          <w:rFonts w:ascii="Times New Roman" w:hAnsi="Times New Roman" w:cs="Times New Roman"/>
          <w:bCs/>
          <w:sz w:val="32"/>
          <w:szCs w:val="32"/>
        </w:rPr>
      </w:pPr>
      <w:r w:rsidRPr="00CF4F06">
        <w:rPr>
          <w:rFonts w:ascii="Times New Roman" w:hAnsi="Times New Roman" w:cs="Times New Roman"/>
          <w:bCs/>
          <w:sz w:val="32"/>
          <w:szCs w:val="32"/>
        </w:rPr>
        <w:t xml:space="preserve">La Rochelle Business School – </w:t>
      </w:r>
      <w:proofErr w:type="spellStart"/>
      <w:r w:rsidRPr="00CF4F06">
        <w:rPr>
          <w:rFonts w:ascii="Times New Roman" w:hAnsi="Times New Roman" w:cs="Times New Roman"/>
          <w:bCs/>
          <w:sz w:val="32"/>
          <w:szCs w:val="32"/>
        </w:rPr>
        <w:t>Excelia</w:t>
      </w:r>
      <w:proofErr w:type="spellEnd"/>
      <w:r w:rsidRPr="00CF4F06">
        <w:rPr>
          <w:rFonts w:ascii="Times New Roman" w:hAnsi="Times New Roman" w:cs="Times New Roman"/>
          <w:bCs/>
          <w:sz w:val="32"/>
          <w:szCs w:val="32"/>
        </w:rPr>
        <w:t xml:space="preserve"> Group</w:t>
      </w:r>
      <w:r w:rsidR="00D30352">
        <w:rPr>
          <w:rFonts w:ascii="Times New Roman" w:hAnsi="Times New Roman" w:cs="Times New Roman"/>
          <w:bCs/>
          <w:sz w:val="32"/>
          <w:szCs w:val="32"/>
        </w:rPr>
        <w:t>, France</w:t>
      </w:r>
    </w:p>
    <w:p w14:paraId="43CD3868" w14:textId="0D261A04" w:rsidR="00CF4F06" w:rsidRPr="00CF4F06" w:rsidRDefault="00CF4F06" w:rsidP="00FE129E">
      <w:pPr>
        <w:spacing w:after="0" w:line="480" w:lineRule="auto"/>
        <w:jc w:val="center"/>
        <w:rPr>
          <w:rFonts w:ascii="Times New Roman" w:hAnsi="Times New Roman" w:cs="Times New Roman"/>
          <w:bCs/>
          <w:sz w:val="32"/>
          <w:szCs w:val="32"/>
          <w:lang w:val="fr-FR"/>
        </w:rPr>
      </w:pPr>
      <w:r w:rsidRPr="00CF4F06">
        <w:rPr>
          <w:rFonts w:ascii="Times New Roman" w:hAnsi="Times New Roman" w:cs="Times New Roman"/>
          <w:bCs/>
          <w:sz w:val="32"/>
          <w:szCs w:val="32"/>
          <w:lang w:val="fr-FR"/>
        </w:rPr>
        <w:t>elahimn@excelia-group.co</w:t>
      </w:r>
      <w:r w:rsidR="00D30352">
        <w:rPr>
          <w:rFonts w:ascii="Times New Roman" w:hAnsi="Times New Roman" w:cs="Times New Roman"/>
          <w:bCs/>
          <w:sz w:val="32"/>
          <w:szCs w:val="32"/>
          <w:lang w:val="fr-FR"/>
        </w:rPr>
        <w:t>m</w:t>
      </w:r>
    </w:p>
    <w:p w14:paraId="73B29548" w14:textId="57C5B1C8" w:rsidR="00CF4F06" w:rsidRPr="00844321" w:rsidRDefault="00FE129E" w:rsidP="00FE129E">
      <w:pPr>
        <w:spacing w:after="0" w:line="480" w:lineRule="auto"/>
        <w:jc w:val="center"/>
        <w:rPr>
          <w:rFonts w:ascii="Times New Roman" w:hAnsi="Times New Roman" w:cs="Times New Roman"/>
          <w:b/>
          <w:bCs/>
          <w:sz w:val="32"/>
          <w:szCs w:val="32"/>
          <w:lang w:val="fr-FR"/>
        </w:rPr>
      </w:pPr>
      <w:r w:rsidRPr="00844321">
        <w:rPr>
          <w:rFonts w:ascii="Times New Roman" w:hAnsi="Times New Roman" w:cs="Times New Roman"/>
          <w:b/>
          <w:bCs/>
          <w:sz w:val="32"/>
          <w:szCs w:val="32"/>
          <w:lang w:val="fr-FR"/>
        </w:rPr>
        <w:t xml:space="preserve">Jamila </w:t>
      </w:r>
      <w:proofErr w:type="spellStart"/>
      <w:r w:rsidRPr="00844321">
        <w:rPr>
          <w:rFonts w:ascii="Times New Roman" w:hAnsi="Times New Roman" w:cs="Times New Roman"/>
          <w:b/>
          <w:bCs/>
          <w:sz w:val="32"/>
          <w:szCs w:val="32"/>
          <w:lang w:val="fr-FR"/>
        </w:rPr>
        <w:t>A</w:t>
      </w:r>
      <w:r w:rsidR="00CF4F06" w:rsidRPr="00844321">
        <w:rPr>
          <w:rFonts w:ascii="Times New Roman" w:hAnsi="Times New Roman" w:cs="Times New Roman"/>
          <w:b/>
          <w:bCs/>
          <w:sz w:val="32"/>
          <w:szCs w:val="32"/>
          <w:lang w:val="fr-FR"/>
        </w:rPr>
        <w:t>baidi</w:t>
      </w:r>
      <w:proofErr w:type="spellEnd"/>
    </w:p>
    <w:p w14:paraId="41FE59F7" w14:textId="77777777" w:rsidR="00D30352" w:rsidRPr="00CF4F06" w:rsidRDefault="00D30352" w:rsidP="00D30352">
      <w:pPr>
        <w:spacing w:after="0" w:line="480" w:lineRule="auto"/>
        <w:jc w:val="center"/>
        <w:rPr>
          <w:rFonts w:ascii="Times New Roman" w:hAnsi="Times New Roman" w:cs="Times New Roman"/>
          <w:bCs/>
          <w:sz w:val="32"/>
          <w:szCs w:val="32"/>
        </w:rPr>
      </w:pPr>
      <w:r w:rsidRPr="00CF4F06">
        <w:rPr>
          <w:rFonts w:ascii="Times New Roman" w:hAnsi="Times New Roman" w:cs="Times New Roman"/>
          <w:bCs/>
          <w:sz w:val="32"/>
          <w:szCs w:val="32"/>
        </w:rPr>
        <w:t xml:space="preserve">La Rochelle Business School – </w:t>
      </w:r>
      <w:proofErr w:type="spellStart"/>
      <w:r w:rsidRPr="00CF4F06">
        <w:rPr>
          <w:rFonts w:ascii="Times New Roman" w:hAnsi="Times New Roman" w:cs="Times New Roman"/>
          <w:bCs/>
          <w:sz w:val="32"/>
          <w:szCs w:val="32"/>
        </w:rPr>
        <w:t>Excelia</w:t>
      </w:r>
      <w:proofErr w:type="spellEnd"/>
      <w:r w:rsidRPr="00CF4F06">
        <w:rPr>
          <w:rFonts w:ascii="Times New Roman" w:hAnsi="Times New Roman" w:cs="Times New Roman"/>
          <w:bCs/>
          <w:sz w:val="32"/>
          <w:szCs w:val="32"/>
        </w:rPr>
        <w:t xml:space="preserve"> Group</w:t>
      </w:r>
      <w:r>
        <w:rPr>
          <w:rFonts w:ascii="Times New Roman" w:hAnsi="Times New Roman" w:cs="Times New Roman"/>
          <w:bCs/>
          <w:sz w:val="32"/>
          <w:szCs w:val="32"/>
        </w:rPr>
        <w:t>, France</w:t>
      </w:r>
    </w:p>
    <w:p w14:paraId="2DD3973C" w14:textId="7AAE55FF" w:rsidR="00CF4F06" w:rsidRPr="00D30352" w:rsidRDefault="00D30352" w:rsidP="00FE129E">
      <w:pPr>
        <w:spacing w:after="0" w:line="480" w:lineRule="auto"/>
        <w:jc w:val="center"/>
        <w:rPr>
          <w:rFonts w:ascii="Times New Roman" w:hAnsi="Times New Roman" w:cs="Times New Roman"/>
          <w:bCs/>
          <w:sz w:val="32"/>
          <w:szCs w:val="32"/>
        </w:rPr>
      </w:pPr>
      <w:r w:rsidRPr="00D30352">
        <w:rPr>
          <w:rFonts w:ascii="Times New Roman" w:hAnsi="Times New Roman" w:cs="Times New Roman"/>
          <w:bCs/>
          <w:sz w:val="32"/>
          <w:szCs w:val="32"/>
        </w:rPr>
        <w:t>abaidij@excelia-group.com</w:t>
      </w:r>
    </w:p>
    <w:p w14:paraId="30EDD7F6" w14:textId="157ED0A7" w:rsidR="00FE129E" w:rsidRPr="00D30352" w:rsidRDefault="00FE129E" w:rsidP="00FE129E">
      <w:pPr>
        <w:spacing w:after="0" w:line="480" w:lineRule="auto"/>
        <w:jc w:val="center"/>
        <w:rPr>
          <w:rFonts w:ascii="Times New Roman" w:hAnsi="Times New Roman" w:cs="Times New Roman"/>
          <w:b/>
          <w:bCs/>
          <w:sz w:val="32"/>
          <w:szCs w:val="32"/>
        </w:rPr>
      </w:pPr>
      <w:r w:rsidRPr="00D30352">
        <w:rPr>
          <w:rFonts w:ascii="Times New Roman" w:hAnsi="Times New Roman" w:cs="Times New Roman"/>
          <w:b/>
          <w:bCs/>
          <w:sz w:val="32"/>
          <w:szCs w:val="32"/>
        </w:rPr>
        <w:t xml:space="preserve">Amir </w:t>
      </w:r>
      <w:proofErr w:type="spellStart"/>
      <w:r w:rsidRPr="00D30352">
        <w:rPr>
          <w:rFonts w:ascii="Times New Roman" w:hAnsi="Times New Roman" w:cs="Times New Roman"/>
          <w:b/>
          <w:bCs/>
          <w:sz w:val="32"/>
          <w:szCs w:val="32"/>
        </w:rPr>
        <w:t>H</w:t>
      </w:r>
      <w:r w:rsidR="00D30352">
        <w:rPr>
          <w:rFonts w:ascii="Times New Roman" w:hAnsi="Times New Roman" w:cs="Times New Roman"/>
          <w:b/>
          <w:bCs/>
          <w:sz w:val="32"/>
          <w:szCs w:val="32"/>
        </w:rPr>
        <w:t>asnaoui</w:t>
      </w:r>
      <w:proofErr w:type="spellEnd"/>
    </w:p>
    <w:p w14:paraId="27D02186" w14:textId="77777777" w:rsidR="00D30352" w:rsidRPr="00CF4F06" w:rsidRDefault="00D30352" w:rsidP="00D30352">
      <w:pPr>
        <w:spacing w:after="0" w:line="480" w:lineRule="auto"/>
        <w:jc w:val="center"/>
        <w:rPr>
          <w:rFonts w:ascii="Times New Roman" w:hAnsi="Times New Roman" w:cs="Times New Roman"/>
          <w:bCs/>
          <w:sz w:val="32"/>
          <w:szCs w:val="32"/>
        </w:rPr>
      </w:pPr>
      <w:r w:rsidRPr="00CF4F06">
        <w:rPr>
          <w:rFonts w:ascii="Times New Roman" w:hAnsi="Times New Roman" w:cs="Times New Roman"/>
          <w:bCs/>
          <w:sz w:val="32"/>
          <w:szCs w:val="32"/>
        </w:rPr>
        <w:t xml:space="preserve">La Rochelle Business School – </w:t>
      </w:r>
      <w:proofErr w:type="spellStart"/>
      <w:r w:rsidRPr="00CF4F06">
        <w:rPr>
          <w:rFonts w:ascii="Times New Roman" w:hAnsi="Times New Roman" w:cs="Times New Roman"/>
          <w:bCs/>
          <w:sz w:val="32"/>
          <w:szCs w:val="32"/>
        </w:rPr>
        <w:t>Excelia</w:t>
      </w:r>
      <w:proofErr w:type="spellEnd"/>
      <w:r w:rsidRPr="00CF4F06">
        <w:rPr>
          <w:rFonts w:ascii="Times New Roman" w:hAnsi="Times New Roman" w:cs="Times New Roman"/>
          <w:bCs/>
          <w:sz w:val="32"/>
          <w:szCs w:val="32"/>
        </w:rPr>
        <w:t xml:space="preserve"> Group</w:t>
      </w:r>
      <w:r>
        <w:rPr>
          <w:rFonts w:ascii="Times New Roman" w:hAnsi="Times New Roman" w:cs="Times New Roman"/>
          <w:bCs/>
          <w:sz w:val="32"/>
          <w:szCs w:val="32"/>
        </w:rPr>
        <w:t>, France</w:t>
      </w:r>
    </w:p>
    <w:p w14:paraId="502EA080" w14:textId="64567AFF" w:rsidR="00D30352" w:rsidRPr="00FE129E" w:rsidRDefault="00D30352" w:rsidP="00FE129E">
      <w:pPr>
        <w:spacing w:after="0" w:line="480" w:lineRule="auto"/>
        <w:jc w:val="center"/>
        <w:rPr>
          <w:rFonts w:ascii="Times New Roman" w:hAnsi="Times New Roman" w:cs="Times New Roman"/>
          <w:bCs/>
          <w:sz w:val="32"/>
          <w:szCs w:val="32"/>
        </w:rPr>
      </w:pPr>
      <w:r w:rsidRPr="00D30352">
        <w:rPr>
          <w:rFonts w:ascii="Times New Roman" w:hAnsi="Times New Roman" w:cs="Times New Roman"/>
          <w:bCs/>
          <w:sz w:val="32"/>
          <w:szCs w:val="32"/>
        </w:rPr>
        <w:t>hasnaouia@excelia-group.com</w:t>
      </w:r>
    </w:p>
    <w:p w14:paraId="2F82D368" w14:textId="77777777" w:rsidR="00FE129E" w:rsidRDefault="00FE129E" w:rsidP="008F79FD">
      <w:pPr>
        <w:spacing w:after="0" w:line="480" w:lineRule="auto"/>
        <w:jc w:val="both"/>
        <w:rPr>
          <w:rFonts w:ascii="Times New Roman" w:hAnsi="Times New Roman" w:cs="Times New Roman"/>
          <w:b/>
          <w:sz w:val="24"/>
          <w:szCs w:val="24"/>
        </w:rPr>
      </w:pPr>
    </w:p>
    <w:p w14:paraId="6EF08AF3" w14:textId="77777777" w:rsidR="00FE129E" w:rsidRDefault="00FE129E" w:rsidP="008F79FD">
      <w:pPr>
        <w:spacing w:after="0" w:line="480" w:lineRule="auto"/>
        <w:jc w:val="both"/>
        <w:rPr>
          <w:rFonts w:ascii="Times New Roman" w:hAnsi="Times New Roman" w:cs="Times New Roman"/>
          <w:b/>
          <w:sz w:val="24"/>
          <w:szCs w:val="24"/>
        </w:rPr>
      </w:pPr>
    </w:p>
    <w:p w14:paraId="1D0F75EE" w14:textId="65091659" w:rsidR="00FE129E" w:rsidRDefault="00FE129E" w:rsidP="008F79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14:paraId="28AB494C" w14:textId="77777777" w:rsidR="00AD0269" w:rsidRDefault="00AD0269" w:rsidP="008F79FD">
      <w:pPr>
        <w:spacing w:after="0" w:line="480" w:lineRule="auto"/>
        <w:jc w:val="both"/>
        <w:rPr>
          <w:rFonts w:ascii="Times New Roman" w:hAnsi="Times New Roman" w:cs="Times New Roman"/>
          <w:b/>
          <w:sz w:val="24"/>
          <w:szCs w:val="24"/>
        </w:rPr>
      </w:pPr>
    </w:p>
    <w:p w14:paraId="166E98E7" w14:textId="0A868919" w:rsidR="00FE129E" w:rsidRPr="00110421" w:rsidRDefault="00110421" w:rsidP="008F79F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paper investigates</w:t>
      </w:r>
      <w:r w:rsidRPr="00110421">
        <w:rPr>
          <w:rFonts w:ascii="Times New Roman" w:hAnsi="Times New Roman" w:cs="Times New Roman"/>
          <w:bCs/>
          <w:sz w:val="24"/>
          <w:szCs w:val="24"/>
        </w:rPr>
        <w:t xml:space="preserve"> the impact of human capital efficiency (HCE) on </w:t>
      </w:r>
      <w:r>
        <w:rPr>
          <w:rFonts w:ascii="Times New Roman" w:hAnsi="Times New Roman" w:cs="Times New Roman"/>
          <w:bCs/>
          <w:sz w:val="24"/>
          <w:szCs w:val="24"/>
        </w:rPr>
        <w:t xml:space="preserve">equity </w:t>
      </w:r>
      <w:r w:rsidRPr="00110421">
        <w:rPr>
          <w:rFonts w:ascii="Times New Roman" w:hAnsi="Times New Roman" w:cs="Times New Roman"/>
          <w:bCs/>
          <w:sz w:val="24"/>
          <w:szCs w:val="24"/>
        </w:rPr>
        <w:t xml:space="preserve">funds’ performance during </w:t>
      </w:r>
      <w:r>
        <w:rPr>
          <w:rFonts w:ascii="Times New Roman" w:hAnsi="Times New Roman" w:cs="Times New Roman"/>
          <w:bCs/>
          <w:sz w:val="24"/>
          <w:szCs w:val="24"/>
        </w:rPr>
        <w:t>three stages of the COVID-19 pandemic</w:t>
      </w:r>
      <w:r w:rsidR="00C843E1">
        <w:rPr>
          <w:rFonts w:ascii="Times New Roman" w:hAnsi="Times New Roman" w:cs="Times New Roman"/>
          <w:bCs/>
          <w:sz w:val="24"/>
          <w:szCs w:val="24"/>
        </w:rPr>
        <w:t>.</w:t>
      </w:r>
      <w:r>
        <w:rPr>
          <w:rFonts w:ascii="Times New Roman" w:hAnsi="Times New Roman" w:cs="Times New Roman"/>
          <w:bCs/>
          <w:sz w:val="24"/>
          <w:szCs w:val="24"/>
        </w:rPr>
        <w:t xml:space="preserve"> We </w:t>
      </w:r>
      <w:r w:rsidR="00C843E1">
        <w:rPr>
          <w:rFonts w:ascii="Times New Roman" w:hAnsi="Times New Roman" w:cs="Times New Roman"/>
          <w:bCs/>
          <w:sz w:val="24"/>
          <w:szCs w:val="24"/>
        </w:rPr>
        <w:t>collected data for</w:t>
      </w:r>
      <w:r>
        <w:rPr>
          <w:rFonts w:ascii="Times New Roman" w:hAnsi="Times New Roman" w:cs="Times New Roman"/>
          <w:bCs/>
          <w:sz w:val="24"/>
          <w:szCs w:val="24"/>
        </w:rPr>
        <w:t xml:space="preserve"> 799 open-ended equity funds </w:t>
      </w:r>
      <w:r w:rsidR="00BF2C52">
        <w:rPr>
          <w:rFonts w:ascii="Times New Roman" w:hAnsi="Times New Roman" w:cs="Times New Roman"/>
          <w:bCs/>
          <w:sz w:val="24"/>
          <w:szCs w:val="24"/>
        </w:rPr>
        <w:t xml:space="preserve">across five EU countries </w:t>
      </w:r>
      <w:r w:rsidRPr="00110421">
        <w:rPr>
          <w:rFonts w:ascii="Times New Roman" w:hAnsi="Times New Roman" w:cs="Times New Roman"/>
          <w:bCs/>
          <w:sz w:val="24"/>
          <w:szCs w:val="24"/>
        </w:rPr>
        <w:t>and rank</w:t>
      </w:r>
      <w:r w:rsidR="00C843E1">
        <w:rPr>
          <w:rFonts w:ascii="Times New Roman" w:hAnsi="Times New Roman" w:cs="Times New Roman"/>
          <w:bCs/>
          <w:sz w:val="24"/>
          <w:szCs w:val="24"/>
        </w:rPr>
        <w:t>ed</w:t>
      </w:r>
      <w:r w:rsidRPr="00110421">
        <w:rPr>
          <w:rFonts w:ascii="Times New Roman" w:hAnsi="Times New Roman" w:cs="Times New Roman"/>
          <w:bCs/>
          <w:sz w:val="24"/>
          <w:szCs w:val="24"/>
        </w:rPr>
        <w:t xml:space="preserve"> them in five categories</w:t>
      </w:r>
      <w:r w:rsidR="00C843E1">
        <w:rPr>
          <w:rFonts w:ascii="Times New Roman" w:hAnsi="Times New Roman" w:cs="Times New Roman"/>
          <w:bCs/>
          <w:sz w:val="24"/>
          <w:szCs w:val="24"/>
        </w:rPr>
        <w:t xml:space="preserve"> of </w:t>
      </w:r>
      <w:r w:rsidR="00BF2C52">
        <w:rPr>
          <w:rFonts w:ascii="Times New Roman" w:hAnsi="Times New Roman" w:cs="Times New Roman"/>
          <w:bCs/>
          <w:sz w:val="24"/>
          <w:szCs w:val="24"/>
        </w:rPr>
        <w:t>HCE and</w:t>
      </w:r>
      <w:r w:rsidR="00C843E1">
        <w:rPr>
          <w:rFonts w:ascii="Times New Roman" w:hAnsi="Times New Roman" w:cs="Times New Roman"/>
          <w:bCs/>
          <w:sz w:val="24"/>
          <w:szCs w:val="24"/>
        </w:rPr>
        <w:t xml:space="preserve"> c</w:t>
      </w:r>
      <w:r w:rsidRPr="00110421">
        <w:rPr>
          <w:rFonts w:ascii="Times New Roman" w:hAnsi="Times New Roman" w:cs="Times New Roman"/>
          <w:bCs/>
          <w:sz w:val="24"/>
          <w:szCs w:val="24"/>
        </w:rPr>
        <w:t>ompar</w:t>
      </w:r>
      <w:r w:rsidR="00C843E1">
        <w:rPr>
          <w:rFonts w:ascii="Times New Roman" w:hAnsi="Times New Roman" w:cs="Times New Roman"/>
          <w:bCs/>
          <w:sz w:val="24"/>
          <w:szCs w:val="24"/>
        </w:rPr>
        <w:t>e</w:t>
      </w:r>
      <w:r w:rsidRPr="00110421">
        <w:rPr>
          <w:rFonts w:ascii="Times New Roman" w:hAnsi="Times New Roman" w:cs="Times New Roman"/>
          <w:bCs/>
          <w:sz w:val="24"/>
          <w:szCs w:val="24"/>
        </w:rPr>
        <w:t xml:space="preserve"> </w:t>
      </w:r>
      <w:r w:rsidR="00C843E1">
        <w:rPr>
          <w:rFonts w:ascii="Times New Roman" w:hAnsi="Times New Roman" w:cs="Times New Roman"/>
          <w:bCs/>
          <w:sz w:val="24"/>
          <w:szCs w:val="24"/>
        </w:rPr>
        <w:t>thei</w:t>
      </w:r>
      <w:r w:rsidR="00C843E1" w:rsidRPr="00C843E1">
        <w:rPr>
          <w:rFonts w:ascii="Times New Roman" w:hAnsi="Times New Roman" w:cs="Times New Roman"/>
          <w:bCs/>
          <w:sz w:val="24"/>
          <w:szCs w:val="24"/>
        </w:rPr>
        <w:t>r risk</w:t>
      </w:r>
      <w:r w:rsidR="00BF2C52">
        <w:rPr>
          <w:rFonts w:ascii="Times New Roman" w:hAnsi="Times New Roman" w:cs="Times New Roman"/>
          <w:bCs/>
          <w:sz w:val="24"/>
          <w:szCs w:val="24"/>
        </w:rPr>
        <w:t>-</w:t>
      </w:r>
      <w:r w:rsidR="00C843E1" w:rsidRPr="00C843E1">
        <w:rPr>
          <w:rFonts w:ascii="Times New Roman" w:hAnsi="Times New Roman" w:cs="Times New Roman"/>
          <w:bCs/>
          <w:sz w:val="24"/>
          <w:szCs w:val="24"/>
        </w:rPr>
        <w:t xml:space="preserve">adjusted </w:t>
      </w:r>
      <w:r w:rsidRPr="00110421">
        <w:rPr>
          <w:rFonts w:ascii="Times New Roman" w:hAnsi="Times New Roman" w:cs="Times New Roman"/>
          <w:bCs/>
          <w:sz w:val="24"/>
          <w:szCs w:val="24"/>
        </w:rPr>
        <w:t>performance across these categories</w:t>
      </w:r>
      <w:r w:rsidR="00C843E1">
        <w:rPr>
          <w:rFonts w:ascii="Times New Roman" w:hAnsi="Times New Roman" w:cs="Times New Roman"/>
          <w:bCs/>
          <w:sz w:val="24"/>
          <w:szCs w:val="24"/>
        </w:rPr>
        <w:t xml:space="preserve">. The </w:t>
      </w:r>
      <w:r w:rsidRPr="00110421">
        <w:rPr>
          <w:rFonts w:ascii="Times New Roman" w:hAnsi="Times New Roman" w:cs="Times New Roman"/>
          <w:bCs/>
          <w:sz w:val="24"/>
          <w:szCs w:val="24"/>
        </w:rPr>
        <w:t xml:space="preserve">results suggest that during the COVID-19 outbreak, the equity funds that were ranked higher in </w:t>
      </w:r>
      <w:r w:rsidR="00BF2C52">
        <w:rPr>
          <w:rFonts w:ascii="Times New Roman" w:hAnsi="Times New Roman" w:cs="Times New Roman"/>
          <w:bCs/>
          <w:sz w:val="24"/>
          <w:szCs w:val="24"/>
        </w:rPr>
        <w:t>HCE</w:t>
      </w:r>
      <w:r w:rsidRPr="00110421">
        <w:rPr>
          <w:rFonts w:ascii="Times New Roman" w:hAnsi="Times New Roman" w:cs="Times New Roman"/>
          <w:bCs/>
          <w:sz w:val="24"/>
          <w:szCs w:val="24"/>
        </w:rPr>
        <w:t xml:space="preserve"> outperformed their counterparts.</w:t>
      </w:r>
      <w:r w:rsidR="00C843E1">
        <w:rPr>
          <w:rFonts w:ascii="Times New Roman" w:hAnsi="Times New Roman" w:cs="Times New Roman"/>
          <w:bCs/>
          <w:sz w:val="24"/>
          <w:szCs w:val="24"/>
        </w:rPr>
        <w:t xml:space="preserve"> We suggest</w:t>
      </w:r>
      <w:r w:rsidR="00BF2C52">
        <w:rPr>
          <w:rFonts w:ascii="Times New Roman" w:hAnsi="Times New Roman" w:cs="Times New Roman"/>
          <w:bCs/>
          <w:sz w:val="24"/>
          <w:szCs w:val="24"/>
        </w:rPr>
        <w:t xml:space="preserve"> that</w:t>
      </w:r>
      <w:r w:rsidR="00C843E1">
        <w:rPr>
          <w:rFonts w:ascii="Times New Roman" w:hAnsi="Times New Roman" w:cs="Times New Roman"/>
          <w:bCs/>
          <w:sz w:val="24"/>
          <w:szCs w:val="24"/>
        </w:rPr>
        <w:t xml:space="preserve"> fund managers should invest in human capital to improve </w:t>
      </w:r>
      <w:r w:rsidR="00BF2C52">
        <w:rPr>
          <w:rFonts w:ascii="Times New Roman" w:hAnsi="Times New Roman" w:cs="Times New Roman"/>
          <w:bCs/>
          <w:sz w:val="24"/>
          <w:szCs w:val="24"/>
        </w:rPr>
        <w:t>funds’</w:t>
      </w:r>
      <w:r w:rsidR="00C843E1">
        <w:rPr>
          <w:rFonts w:ascii="Times New Roman" w:hAnsi="Times New Roman" w:cs="Times New Roman"/>
          <w:bCs/>
          <w:sz w:val="24"/>
          <w:szCs w:val="24"/>
        </w:rPr>
        <w:t xml:space="preserve"> coping ability and resilience </w:t>
      </w:r>
      <w:r w:rsidR="00BF2C52" w:rsidRPr="00BF2C52">
        <w:rPr>
          <w:rFonts w:ascii="Times New Roman" w:hAnsi="Times New Roman" w:cs="Times New Roman"/>
          <w:bCs/>
          <w:sz w:val="24"/>
          <w:szCs w:val="24"/>
        </w:rPr>
        <w:t>during</w:t>
      </w:r>
      <w:r w:rsidR="00BF2C52">
        <w:rPr>
          <w:rFonts w:ascii="Times New Roman" w:hAnsi="Times New Roman" w:cs="Times New Roman"/>
          <w:bCs/>
          <w:sz w:val="24"/>
          <w:szCs w:val="24"/>
        </w:rPr>
        <w:t xml:space="preserve"> </w:t>
      </w:r>
      <w:r w:rsidR="00BF2C52" w:rsidRPr="00BF2C52">
        <w:rPr>
          <w:rFonts w:ascii="Times New Roman" w:hAnsi="Times New Roman" w:cs="Times New Roman"/>
          <w:bCs/>
          <w:sz w:val="24"/>
          <w:szCs w:val="24"/>
        </w:rPr>
        <w:t>period</w:t>
      </w:r>
      <w:r w:rsidR="00BF2C52">
        <w:rPr>
          <w:rFonts w:ascii="Times New Roman" w:hAnsi="Times New Roman" w:cs="Times New Roman"/>
          <w:bCs/>
          <w:sz w:val="24"/>
          <w:szCs w:val="24"/>
        </w:rPr>
        <w:t>s</w:t>
      </w:r>
      <w:r w:rsidR="00BF2C52" w:rsidRPr="00BF2C52">
        <w:rPr>
          <w:rFonts w:ascii="Times New Roman" w:hAnsi="Times New Roman" w:cs="Times New Roman"/>
          <w:bCs/>
          <w:sz w:val="24"/>
          <w:szCs w:val="24"/>
        </w:rPr>
        <w:t xml:space="preserve"> of extreme stress</w:t>
      </w:r>
      <w:r w:rsidR="00BF2C52">
        <w:rPr>
          <w:rFonts w:ascii="Times New Roman" w:hAnsi="Times New Roman" w:cs="Times New Roman"/>
          <w:bCs/>
          <w:sz w:val="24"/>
          <w:szCs w:val="24"/>
        </w:rPr>
        <w:t>.</w:t>
      </w:r>
    </w:p>
    <w:p w14:paraId="2BECA232" w14:textId="77777777" w:rsidR="00FE129E" w:rsidRDefault="00FE129E" w:rsidP="008F79FD">
      <w:pPr>
        <w:spacing w:after="0" w:line="480" w:lineRule="auto"/>
        <w:jc w:val="both"/>
        <w:rPr>
          <w:rFonts w:ascii="Times New Roman" w:hAnsi="Times New Roman" w:cs="Times New Roman"/>
          <w:b/>
          <w:sz w:val="24"/>
          <w:szCs w:val="24"/>
        </w:rPr>
      </w:pPr>
    </w:p>
    <w:p w14:paraId="601BD58A" w14:textId="5DE27B1A" w:rsidR="00FE129E" w:rsidRPr="00BF2C52" w:rsidRDefault="00FE129E" w:rsidP="008F79FD">
      <w:pPr>
        <w:spacing w:after="0" w:line="480" w:lineRule="auto"/>
        <w:jc w:val="both"/>
        <w:rPr>
          <w:rFonts w:ascii="Times New Roman" w:hAnsi="Times New Roman" w:cs="Times New Roman"/>
          <w:bCs/>
          <w:i/>
          <w:iCs/>
          <w:sz w:val="24"/>
          <w:szCs w:val="24"/>
        </w:rPr>
      </w:pPr>
      <w:r>
        <w:rPr>
          <w:rFonts w:ascii="Times New Roman" w:hAnsi="Times New Roman" w:cs="Times New Roman"/>
          <w:b/>
          <w:sz w:val="24"/>
          <w:szCs w:val="24"/>
        </w:rPr>
        <w:t>Keywords:</w:t>
      </w:r>
      <w:r w:rsidR="00BF2C52">
        <w:rPr>
          <w:rFonts w:ascii="Times New Roman" w:hAnsi="Times New Roman" w:cs="Times New Roman"/>
          <w:b/>
          <w:sz w:val="24"/>
          <w:szCs w:val="24"/>
        </w:rPr>
        <w:t xml:space="preserve"> </w:t>
      </w:r>
      <w:r w:rsidR="00BF2C52" w:rsidRPr="00BF2C52">
        <w:rPr>
          <w:rFonts w:ascii="Times New Roman" w:hAnsi="Times New Roman" w:cs="Times New Roman"/>
          <w:bCs/>
          <w:i/>
          <w:iCs/>
          <w:sz w:val="24"/>
          <w:szCs w:val="24"/>
        </w:rPr>
        <w:t xml:space="preserve">COVID-19, mutual funds, human capital efficiency, risk-adjusted performance. </w:t>
      </w:r>
    </w:p>
    <w:p w14:paraId="26DBF63C" w14:textId="77777777" w:rsidR="00FE129E" w:rsidRPr="00BF2C52" w:rsidRDefault="00FE129E" w:rsidP="008F79FD">
      <w:pPr>
        <w:spacing w:after="0" w:line="480" w:lineRule="auto"/>
        <w:jc w:val="both"/>
        <w:rPr>
          <w:rFonts w:ascii="Times New Roman" w:hAnsi="Times New Roman" w:cs="Times New Roman"/>
          <w:bCs/>
          <w:i/>
          <w:iCs/>
          <w:sz w:val="24"/>
          <w:szCs w:val="24"/>
        </w:rPr>
      </w:pPr>
    </w:p>
    <w:p w14:paraId="5F82333D" w14:textId="77777777" w:rsidR="00FE129E" w:rsidRDefault="00FE129E" w:rsidP="008F79FD">
      <w:pPr>
        <w:spacing w:after="0" w:line="480" w:lineRule="auto"/>
        <w:jc w:val="both"/>
        <w:rPr>
          <w:rFonts w:ascii="Times New Roman" w:hAnsi="Times New Roman" w:cs="Times New Roman"/>
          <w:b/>
          <w:sz w:val="24"/>
          <w:szCs w:val="24"/>
        </w:rPr>
      </w:pPr>
    </w:p>
    <w:p w14:paraId="20F48407" w14:textId="77777777" w:rsidR="00FE129E" w:rsidRDefault="00FE129E" w:rsidP="008F79FD">
      <w:pPr>
        <w:spacing w:after="0" w:line="480" w:lineRule="auto"/>
        <w:jc w:val="both"/>
        <w:rPr>
          <w:rFonts w:ascii="Times New Roman" w:hAnsi="Times New Roman" w:cs="Times New Roman"/>
          <w:b/>
          <w:sz w:val="24"/>
          <w:szCs w:val="24"/>
        </w:rPr>
      </w:pPr>
    </w:p>
    <w:p w14:paraId="2A35B05F" w14:textId="15B1AEDD" w:rsidR="00FE129E" w:rsidRDefault="00FE129E" w:rsidP="008F79FD">
      <w:pPr>
        <w:spacing w:after="0" w:line="480" w:lineRule="auto"/>
        <w:jc w:val="both"/>
        <w:rPr>
          <w:rFonts w:ascii="Times New Roman" w:hAnsi="Times New Roman" w:cs="Times New Roman"/>
          <w:b/>
          <w:sz w:val="24"/>
          <w:szCs w:val="24"/>
        </w:rPr>
      </w:pPr>
    </w:p>
    <w:p w14:paraId="5C8E0BCE" w14:textId="5067CE87" w:rsidR="00B767BD" w:rsidRDefault="00B767BD" w:rsidP="008F79FD">
      <w:pPr>
        <w:spacing w:after="0" w:line="480" w:lineRule="auto"/>
        <w:jc w:val="both"/>
        <w:rPr>
          <w:rFonts w:ascii="Times New Roman" w:hAnsi="Times New Roman" w:cs="Times New Roman"/>
          <w:b/>
          <w:sz w:val="24"/>
          <w:szCs w:val="24"/>
        </w:rPr>
      </w:pPr>
    </w:p>
    <w:p w14:paraId="396AF213" w14:textId="56D5A55B" w:rsidR="00B767BD" w:rsidRDefault="00B767BD" w:rsidP="008F79FD">
      <w:pPr>
        <w:spacing w:after="0" w:line="480" w:lineRule="auto"/>
        <w:jc w:val="both"/>
        <w:rPr>
          <w:rFonts w:ascii="Times New Roman" w:hAnsi="Times New Roman" w:cs="Times New Roman"/>
          <w:b/>
          <w:sz w:val="24"/>
          <w:szCs w:val="24"/>
        </w:rPr>
      </w:pPr>
    </w:p>
    <w:p w14:paraId="68BC02FA" w14:textId="77777777" w:rsidR="00FE129E" w:rsidRDefault="00FE129E" w:rsidP="008F79FD">
      <w:pPr>
        <w:spacing w:after="0" w:line="480" w:lineRule="auto"/>
        <w:jc w:val="both"/>
        <w:rPr>
          <w:rFonts w:ascii="Times New Roman" w:hAnsi="Times New Roman" w:cs="Times New Roman"/>
          <w:b/>
          <w:sz w:val="24"/>
          <w:szCs w:val="24"/>
        </w:rPr>
      </w:pPr>
    </w:p>
    <w:p w14:paraId="0FCB2231" w14:textId="4E27B0D7" w:rsidR="00FE129E" w:rsidRDefault="00FE129E" w:rsidP="008F79FD">
      <w:pPr>
        <w:spacing w:after="0" w:line="480" w:lineRule="auto"/>
        <w:jc w:val="both"/>
        <w:rPr>
          <w:rFonts w:ascii="Times New Roman" w:hAnsi="Times New Roman" w:cs="Times New Roman"/>
          <w:b/>
          <w:sz w:val="24"/>
          <w:szCs w:val="24"/>
        </w:rPr>
      </w:pPr>
    </w:p>
    <w:p w14:paraId="63B805D7" w14:textId="25C4EBDD" w:rsidR="00AD0269" w:rsidRDefault="00AD0269" w:rsidP="008F79FD">
      <w:pPr>
        <w:spacing w:after="0" w:line="480" w:lineRule="auto"/>
        <w:jc w:val="both"/>
        <w:rPr>
          <w:rFonts w:ascii="Times New Roman" w:hAnsi="Times New Roman" w:cs="Times New Roman"/>
          <w:b/>
          <w:sz w:val="24"/>
          <w:szCs w:val="24"/>
        </w:rPr>
      </w:pPr>
    </w:p>
    <w:p w14:paraId="0E994033" w14:textId="28409FDF" w:rsidR="00AD0269" w:rsidRDefault="00AD0269" w:rsidP="008F79FD">
      <w:pPr>
        <w:spacing w:after="0" w:line="480" w:lineRule="auto"/>
        <w:jc w:val="both"/>
        <w:rPr>
          <w:rFonts w:ascii="Times New Roman" w:hAnsi="Times New Roman" w:cs="Times New Roman"/>
          <w:b/>
          <w:sz w:val="24"/>
          <w:szCs w:val="24"/>
        </w:rPr>
      </w:pPr>
    </w:p>
    <w:p w14:paraId="52420275" w14:textId="4965112E" w:rsidR="00AD0269" w:rsidRDefault="00AD0269" w:rsidP="008F79FD">
      <w:pPr>
        <w:spacing w:after="0" w:line="480" w:lineRule="auto"/>
        <w:jc w:val="both"/>
        <w:rPr>
          <w:rFonts w:ascii="Times New Roman" w:hAnsi="Times New Roman" w:cs="Times New Roman"/>
          <w:b/>
          <w:sz w:val="24"/>
          <w:szCs w:val="24"/>
        </w:rPr>
      </w:pPr>
    </w:p>
    <w:p w14:paraId="4550E0E9" w14:textId="4AD12442" w:rsidR="00AD0269" w:rsidRDefault="00AD0269" w:rsidP="008F79FD">
      <w:pPr>
        <w:spacing w:after="0" w:line="480" w:lineRule="auto"/>
        <w:jc w:val="both"/>
        <w:rPr>
          <w:rFonts w:ascii="Times New Roman" w:hAnsi="Times New Roman" w:cs="Times New Roman"/>
          <w:b/>
          <w:sz w:val="24"/>
          <w:szCs w:val="24"/>
        </w:rPr>
      </w:pPr>
    </w:p>
    <w:p w14:paraId="5468DB1B" w14:textId="77777777" w:rsidR="00AD0269" w:rsidRDefault="00AD0269" w:rsidP="008F79FD">
      <w:pPr>
        <w:spacing w:after="0" w:line="480" w:lineRule="auto"/>
        <w:jc w:val="both"/>
        <w:rPr>
          <w:rFonts w:ascii="Times New Roman" w:hAnsi="Times New Roman" w:cs="Times New Roman"/>
          <w:b/>
          <w:sz w:val="24"/>
          <w:szCs w:val="24"/>
        </w:rPr>
      </w:pPr>
    </w:p>
    <w:p w14:paraId="5BBB3D1C" w14:textId="39243F34" w:rsidR="00D66A92" w:rsidRPr="00D66A92" w:rsidRDefault="003D1BF7" w:rsidP="00D66A92">
      <w:pPr>
        <w:pStyle w:val="ListParagraph"/>
        <w:numPr>
          <w:ilvl w:val="0"/>
          <w:numId w:val="1"/>
        </w:numPr>
        <w:spacing w:after="0" w:line="480" w:lineRule="auto"/>
        <w:jc w:val="both"/>
        <w:rPr>
          <w:rFonts w:ascii="Times New Roman" w:hAnsi="Times New Roman" w:cs="Times New Roman"/>
          <w:b/>
          <w:sz w:val="24"/>
          <w:szCs w:val="24"/>
        </w:rPr>
      </w:pPr>
      <w:r w:rsidRPr="00D66A92">
        <w:rPr>
          <w:rFonts w:ascii="Times New Roman" w:hAnsi="Times New Roman" w:cs="Times New Roman"/>
          <w:b/>
          <w:sz w:val="24"/>
          <w:szCs w:val="24"/>
        </w:rPr>
        <w:lastRenderedPageBreak/>
        <w:t>Introduction</w:t>
      </w:r>
    </w:p>
    <w:p w14:paraId="2FD22414" w14:textId="101114B2" w:rsidR="00D13EAA" w:rsidRPr="00D13EAA" w:rsidRDefault="00597CA1" w:rsidP="00D66A92">
      <w:pPr>
        <w:spacing w:after="0" w:line="480" w:lineRule="auto"/>
        <w:ind w:firstLine="720"/>
        <w:jc w:val="both"/>
        <w:rPr>
          <w:rFonts w:ascii="Times New Roman" w:hAnsi="Times New Roman" w:cs="Times New Roman"/>
          <w:color w:val="FF0000"/>
          <w:sz w:val="24"/>
          <w:szCs w:val="24"/>
        </w:rPr>
      </w:pPr>
      <w:r w:rsidRPr="00D66A92">
        <w:rPr>
          <w:rFonts w:ascii="Times New Roman" w:hAnsi="Times New Roman" w:cs="Times New Roman"/>
          <w:sz w:val="24"/>
          <w:szCs w:val="24"/>
        </w:rPr>
        <w:t>In a rational</w:t>
      </w:r>
      <w:r w:rsidR="00C64637">
        <w:rPr>
          <w:rFonts w:ascii="Times New Roman" w:hAnsi="Times New Roman" w:cs="Times New Roman"/>
          <w:sz w:val="24"/>
          <w:szCs w:val="24"/>
        </w:rPr>
        <w:t xml:space="preserve"> setting, the funds with better</w:t>
      </w:r>
      <w:r w:rsidR="00B11EB5">
        <w:rPr>
          <w:rFonts w:ascii="Times New Roman" w:hAnsi="Times New Roman" w:cs="Times New Roman"/>
          <w:sz w:val="24"/>
          <w:szCs w:val="24"/>
        </w:rPr>
        <w:t>-</w:t>
      </w:r>
      <w:r w:rsidRPr="00D66A92">
        <w:rPr>
          <w:rFonts w:ascii="Times New Roman" w:hAnsi="Times New Roman" w:cs="Times New Roman"/>
          <w:sz w:val="24"/>
          <w:szCs w:val="24"/>
        </w:rPr>
        <w:t xml:space="preserve">skilled managers should outperform their counterparts. </w:t>
      </w:r>
      <w:r w:rsidR="007F4DF3" w:rsidRPr="00D13EAA">
        <w:rPr>
          <w:rFonts w:ascii="Times New Roman" w:hAnsi="Times New Roman" w:cs="Times New Roman"/>
          <w:color w:val="FF0000"/>
          <w:sz w:val="24"/>
          <w:szCs w:val="24"/>
        </w:rPr>
        <w:t xml:space="preserve">There </w:t>
      </w:r>
      <w:r w:rsidR="008566F9">
        <w:rPr>
          <w:rFonts w:ascii="Times New Roman" w:hAnsi="Times New Roman" w:cs="Times New Roman"/>
          <w:color w:val="FF0000"/>
          <w:sz w:val="24"/>
          <w:szCs w:val="24"/>
        </w:rPr>
        <w:t>is</w:t>
      </w:r>
      <w:r w:rsidR="007F4DF3" w:rsidRPr="00D13EAA">
        <w:rPr>
          <w:rFonts w:ascii="Times New Roman" w:hAnsi="Times New Roman" w:cs="Times New Roman"/>
          <w:color w:val="FF0000"/>
          <w:sz w:val="24"/>
          <w:szCs w:val="24"/>
        </w:rPr>
        <w:t xml:space="preserve"> a plethora of studies that focus on mutual </w:t>
      </w:r>
      <w:proofErr w:type="spellStart"/>
      <w:r w:rsidR="007F4DF3" w:rsidRPr="00D13EAA">
        <w:rPr>
          <w:rFonts w:ascii="Times New Roman" w:hAnsi="Times New Roman" w:cs="Times New Roman"/>
          <w:color w:val="FF0000"/>
          <w:sz w:val="24"/>
          <w:szCs w:val="24"/>
        </w:rPr>
        <w:t>funds</w:t>
      </w:r>
      <w:proofErr w:type="spellEnd"/>
      <w:r w:rsidR="007F4DF3" w:rsidRPr="00D13EAA">
        <w:rPr>
          <w:rFonts w:ascii="Times New Roman" w:hAnsi="Times New Roman" w:cs="Times New Roman"/>
          <w:color w:val="FF0000"/>
          <w:sz w:val="24"/>
          <w:szCs w:val="24"/>
        </w:rPr>
        <w:t xml:space="preserve"> performance and possible determinants of persistence. </w:t>
      </w:r>
      <w:r w:rsidR="007F4DF3" w:rsidRPr="00D13EAA">
        <w:rPr>
          <w:rFonts w:ascii="Times New Roman" w:hAnsi="Times New Roman" w:cs="Times New Roman"/>
          <w:color w:val="FF0000"/>
          <w:sz w:val="24"/>
          <w:szCs w:val="24"/>
          <w:lang w:val="fr-FR"/>
        </w:rPr>
        <w:fldChar w:fldCharType="begin" w:fldLock="1"/>
      </w:r>
      <w:r w:rsidR="00D13EAA">
        <w:rPr>
          <w:rFonts w:ascii="Times New Roman" w:hAnsi="Times New Roman" w:cs="Times New Roman"/>
          <w:color w:val="FF0000"/>
          <w:sz w:val="24"/>
          <w:szCs w:val="24"/>
          <w:lang w:val="fr-FR"/>
        </w:rPr>
        <w:instrText>ADDIN CSL_CITATION {"citationItems":[{"id":"ITEM-1","itemData":{"DOI":"10.1016/j.iref.2018.02.003","ISSN":"10590560","abstract":"We propose a novel performance attribution model for equity fund portfolios. The model analyses investment decisions based on portfolio holdings and measures the value added from different sources of performance such as past return strategies, security selection, market timing and passive timing. The model was tested for a sample of mutual funds. Empirical results show that security selection is the main contributor to fund performance regardless of the sample period considered or the asset pricing model used. The evidence of timing ability is mixed with low significance. Nevertheless there are noticeable differences between the timing ability of the best and worst performing funds, especially in crisis periods. Analysing the relationship between mutual fund performance (and its different components) and fund characteristics, we find that top funds are significantly smaller and more concentrated than other funds. Finally, we also examine the persistence in the performance and in its components finding evidence of positive persistence in past return strategies and picking skills although this persistence is not shown in the overall performance.","author":[{"dropping-particle":"","family":"Andreu","given":"Laura","non-dropping-particle":"","parse-names":false,"suffix":""},{"dropping-particle":"","family":"Matallín-Sáez","given":"Juan Carlos","non-dropping-particle":"","parse-names":false,"suffix":""},{"dropping-particle":"","family":"Sarto","given":"José Luis","non-dropping-particle":"","parse-names":false,"suffix":""}],"container-title":"International Review of Economics and Finance","id":"ITEM-1","issued":{"date-parts":[["2018","9","1"]]},"page":"353-370","publisher":"Elsevier Inc.","title":"Mutual fund performance attribution and market timing using portfolio holdings","type":"article-journal","volume":"57"},"uris":["http://www.mendeley.com/documents/?uuid=b27e924d-78a5-3f4e-a102-5a3f256fa551"]}],"mendeley":{"formattedCitation":"(Andreu et al., 2018)","manualFormatting":"Andreu et al., (2018)","plainTextFormattedCitation":"(Andreu et al., 2018)","previouslyFormattedCitation":"(Andreu et al., 2018)"},"properties":{"noteIndex":0},"schema":"https://github.com/citation-style-language/schema/raw/master/csl-citation.json"}</w:instrText>
      </w:r>
      <w:r w:rsidR="007F4DF3" w:rsidRPr="00D13EAA">
        <w:rPr>
          <w:rFonts w:ascii="Times New Roman" w:hAnsi="Times New Roman" w:cs="Times New Roman"/>
          <w:color w:val="FF0000"/>
          <w:sz w:val="24"/>
          <w:szCs w:val="24"/>
          <w:lang w:val="fr-FR"/>
        </w:rPr>
        <w:fldChar w:fldCharType="separate"/>
      </w:r>
      <w:r w:rsidR="007F4DF3" w:rsidRPr="00D13EAA">
        <w:rPr>
          <w:rFonts w:ascii="Times New Roman" w:hAnsi="Times New Roman" w:cs="Times New Roman"/>
          <w:noProof/>
          <w:color w:val="FF0000"/>
          <w:sz w:val="24"/>
          <w:szCs w:val="24"/>
        </w:rPr>
        <w:t xml:space="preserve">Andreu et al. </w:t>
      </w:r>
      <w:r w:rsidR="00D13EAA">
        <w:rPr>
          <w:rFonts w:ascii="Times New Roman" w:hAnsi="Times New Roman" w:cs="Times New Roman"/>
          <w:noProof/>
          <w:color w:val="FF0000"/>
          <w:sz w:val="24"/>
          <w:szCs w:val="24"/>
        </w:rPr>
        <w:t>(</w:t>
      </w:r>
      <w:r w:rsidR="007F4DF3" w:rsidRPr="00D13EAA">
        <w:rPr>
          <w:rFonts w:ascii="Times New Roman" w:hAnsi="Times New Roman" w:cs="Times New Roman"/>
          <w:noProof/>
          <w:color w:val="FF0000"/>
          <w:sz w:val="24"/>
          <w:szCs w:val="24"/>
        </w:rPr>
        <w:t>2018)</w:t>
      </w:r>
      <w:r w:rsidR="007F4DF3" w:rsidRPr="00D13EAA">
        <w:rPr>
          <w:rFonts w:ascii="Times New Roman" w:hAnsi="Times New Roman" w:cs="Times New Roman"/>
          <w:color w:val="FF0000"/>
          <w:sz w:val="24"/>
          <w:szCs w:val="24"/>
          <w:lang w:val="fr-FR"/>
        </w:rPr>
        <w:fldChar w:fldCharType="end"/>
      </w:r>
      <w:r w:rsidR="007F4DF3" w:rsidRPr="00D13EAA">
        <w:rPr>
          <w:rFonts w:ascii="Times New Roman" w:hAnsi="Times New Roman" w:cs="Times New Roman"/>
          <w:color w:val="FF0000"/>
          <w:sz w:val="24"/>
          <w:szCs w:val="24"/>
        </w:rPr>
        <w:t xml:space="preserve"> attributed the market timing ability of mutual funds’ managers to the fund's size.  </w:t>
      </w:r>
      <w:r w:rsidR="007F4DF3" w:rsidRPr="00D13EAA">
        <w:rPr>
          <w:rFonts w:ascii="Times New Roman" w:hAnsi="Times New Roman" w:cs="Times New Roman"/>
          <w:color w:val="FF0000"/>
          <w:sz w:val="24"/>
          <w:szCs w:val="24"/>
        </w:rPr>
        <w:fldChar w:fldCharType="begin" w:fldLock="1"/>
      </w:r>
      <w:r w:rsidR="00D13EAA">
        <w:rPr>
          <w:rFonts w:ascii="Times New Roman" w:hAnsi="Times New Roman" w:cs="Times New Roman"/>
          <w:color w:val="FF0000"/>
          <w:sz w:val="24"/>
          <w:szCs w:val="24"/>
        </w:rPr>
        <w:instrText>ADDIN CSL_CITATION {"citationItems":[{"id":"ITEM-1","itemData":{"DOI":"10.1016/j.iref.2014.05.006","ISSN":"10590560","abstract":"This paper investigates whether profit-seeking and values-driven investor decisions have an impact on the timing ability of socially responsible mutual fund managers. Surprisingly, we find evidence of successful market timing skill for positively screened mutual fund managers who fulfill the objectives of profit-seeking investors, demonstrating the importance of controlling for the clientele effect. This result may indicate a successful, forward-looking management style in this type of fund. Furthermore, we present certain evidence of the \"smart money\" phenomenon among profit-seeking investors who pursue the persistent component of returns and thus cause a downward bias in market timing skill. © 2014 Elsevier Inc.","author":[{"dropping-particle":"","family":"Muñoz","given":"Fernando","non-dropping-particle":"","parse-names":false,"suffix":""},{"dropping-particle":"","family":"Vargas","given":"María","non-dropping-particle":"","parse-names":false,"suffix":""},{"dropping-particle":"","family":"Vicente","given":"Ruth","non-dropping-particle":"","parse-names":false,"suffix":""}],"container-title":"International Review of Economics and Finance","id":"ITEM-1","issued":{"date-parts":[["2014","9","1"]]},"page":"257-269","publisher":"Elsevier Inc.","title":"Fund flow bias in market timing skill. Evidence of the clientele effect","type":"article-journal","volume":"33"},"uris":["http://www.mendeley.com/documents/?uuid=a5ecd077-e4dd-39a4-8620-85bd439dcd17"]}],"mendeley":{"formattedCitation":"(Muñoz et al., 2014)","manualFormatting":"Muñoz et al., (2014)","plainTextFormattedCitation":"(Muñoz et al., 2014)","previouslyFormattedCitation":"(Muñoz et al., 2014)"},"properties":{"noteIndex":0},"schema":"https://github.com/citation-style-language/schema/raw/master/csl-citation.json"}</w:instrText>
      </w:r>
      <w:r w:rsidR="007F4DF3" w:rsidRPr="00D13EAA">
        <w:rPr>
          <w:rFonts w:ascii="Times New Roman" w:hAnsi="Times New Roman" w:cs="Times New Roman"/>
          <w:color w:val="FF0000"/>
          <w:sz w:val="24"/>
          <w:szCs w:val="24"/>
        </w:rPr>
        <w:fldChar w:fldCharType="separate"/>
      </w:r>
      <w:r w:rsidR="007F4DF3" w:rsidRPr="00D13EAA">
        <w:rPr>
          <w:rFonts w:ascii="Times New Roman" w:hAnsi="Times New Roman" w:cs="Times New Roman"/>
          <w:noProof/>
          <w:color w:val="FF0000"/>
          <w:sz w:val="24"/>
          <w:szCs w:val="24"/>
        </w:rPr>
        <w:t xml:space="preserve">Muñoz et al. </w:t>
      </w:r>
      <w:r w:rsidR="00D13EAA">
        <w:rPr>
          <w:rFonts w:ascii="Times New Roman" w:hAnsi="Times New Roman" w:cs="Times New Roman"/>
          <w:noProof/>
          <w:color w:val="FF0000"/>
          <w:sz w:val="24"/>
          <w:szCs w:val="24"/>
        </w:rPr>
        <w:t>(</w:t>
      </w:r>
      <w:r w:rsidR="007F4DF3" w:rsidRPr="00D13EAA">
        <w:rPr>
          <w:rFonts w:ascii="Times New Roman" w:hAnsi="Times New Roman" w:cs="Times New Roman"/>
          <w:noProof/>
          <w:color w:val="FF0000"/>
          <w:sz w:val="24"/>
          <w:szCs w:val="24"/>
        </w:rPr>
        <w:t>2014)</w:t>
      </w:r>
      <w:r w:rsidR="007F4DF3" w:rsidRPr="00D13EAA">
        <w:rPr>
          <w:rFonts w:ascii="Times New Roman" w:hAnsi="Times New Roman" w:cs="Times New Roman"/>
          <w:color w:val="FF0000"/>
          <w:sz w:val="24"/>
          <w:szCs w:val="24"/>
        </w:rPr>
        <w:fldChar w:fldCharType="end"/>
      </w:r>
      <w:r w:rsidR="007F4DF3" w:rsidRPr="00D13EAA">
        <w:rPr>
          <w:rFonts w:ascii="Times New Roman" w:hAnsi="Times New Roman" w:cs="Times New Roman"/>
          <w:color w:val="FF0000"/>
          <w:sz w:val="24"/>
          <w:szCs w:val="24"/>
        </w:rPr>
        <w:t xml:space="preserve"> documented the role of the clientele effect towards funds’ performance and suggested that funds</w:t>
      </w:r>
      <w:r w:rsidR="00054A13" w:rsidRPr="00D13EAA">
        <w:rPr>
          <w:rFonts w:ascii="Times New Roman" w:hAnsi="Times New Roman" w:cs="Times New Roman"/>
          <w:color w:val="FF0000"/>
          <w:sz w:val="24"/>
          <w:szCs w:val="24"/>
        </w:rPr>
        <w:t>’</w:t>
      </w:r>
      <w:r w:rsidR="007F4DF3" w:rsidRPr="00D13EAA">
        <w:rPr>
          <w:rFonts w:ascii="Times New Roman" w:hAnsi="Times New Roman" w:cs="Times New Roman"/>
          <w:color w:val="FF0000"/>
          <w:sz w:val="24"/>
          <w:szCs w:val="24"/>
        </w:rPr>
        <w:t xml:space="preserve"> management is influenced by profit-seeking and value-driven investors.</w:t>
      </w:r>
      <w:r w:rsidR="00054A13" w:rsidRPr="00D13EAA">
        <w:rPr>
          <w:rFonts w:ascii="Times New Roman" w:hAnsi="Times New Roman" w:cs="Times New Roman"/>
          <w:color w:val="FF0000"/>
          <w:sz w:val="24"/>
          <w:szCs w:val="24"/>
        </w:rPr>
        <w:t xml:space="preserve"> </w:t>
      </w:r>
      <w:r w:rsidR="00054A13" w:rsidRPr="00D13EAA">
        <w:rPr>
          <w:rFonts w:ascii="Times New Roman" w:hAnsi="Times New Roman" w:cs="Times New Roman"/>
          <w:color w:val="FF0000"/>
          <w:sz w:val="24"/>
          <w:szCs w:val="24"/>
        </w:rPr>
        <w:fldChar w:fldCharType="begin" w:fldLock="1"/>
      </w:r>
      <w:r w:rsidR="00D13EAA">
        <w:rPr>
          <w:rFonts w:ascii="Times New Roman" w:hAnsi="Times New Roman" w:cs="Times New Roman"/>
          <w:color w:val="FF0000"/>
          <w:sz w:val="24"/>
          <w:szCs w:val="24"/>
        </w:rPr>
        <w:instrText>ADDIN CSL_CITATION {"citationItems":[{"id":"ITEM-1","itemData":{"DOI":"10.1016/j.iref.2019.03.009","ISSN":"10590560","abstract":"This paper investigates the performance consequences of the risk shifting behavior shown by domestic equity mutual funds through the analysis of monthly portfolio holdings. The objective of this paper is to assess the implications of risk shifting for mutual fund investors. Specifically, we study the performance consequences of different mechanisms of risk shifting, such as the change in the composition between equity and cash holdings and the change of the systematic or idiosyncratic risk within the equity positions. We find that funds that increase their risk level obtain significantly better performance than funds with stable or reduced risk levels. This finding is robust when controlling for fund characteristics such as past performance and fund size. Additionally, we examine whether the performance consequences of risk shifting depends on fund manager characteristics and find that manager gender, education and level of specialization are revealed as important variables to differentiate the performance consequences of risk shifting.","author":[{"dropping-particle":"","family":"Andreu","given":"Laura","non-dropping-particle":"","parse-names":false,"suffix":""},{"dropping-particle":"","family":"Sarto","given":"José Luis","non-dropping-particle":"","parse-names":false,"suffix":""},{"dropping-particle":"","family":"Serrano","given":"Miguel","non-dropping-particle":"","parse-names":false,"suffix":""}],"container-title":"International Review of Economics and Finance","id":"ITEM-1","issued":{"date-parts":[["2019","7","1"]]},"page":"131-152","publisher":"Elsevier Inc.","title":"Risk shifting consequences depending on manager characteristics","type":"article-journal","volume":"62"},"uris":["http://www.mendeley.com/documents/?uuid=af22102d-c0e1-38ba-afb4-674974e5c1f4"]}],"mendeley":{"formattedCitation":"(Andreu et al., 2019)","manualFormatting":"Andreu et al., (2019)","plainTextFormattedCitation":"(Andreu et al., 2019)","previouslyFormattedCitation":"(Andreu et al., 2019)"},"properties":{"noteIndex":0},"schema":"https://github.com/citation-style-language/schema/raw/master/csl-citation.json"}</w:instrText>
      </w:r>
      <w:r w:rsidR="00054A13" w:rsidRPr="00D13EAA">
        <w:rPr>
          <w:rFonts w:ascii="Times New Roman" w:hAnsi="Times New Roman" w:cs="Times New Roman"/>
          <w:color w:val="FF0000"/>
          <w:sz w:val="24"/>
          <w:szCs w:val="24"/>
        </w:rPr>
        <w:fldChar w:fldCharType="separate"/>
      </w:r>
      <w:r w:rsidR="00054A13" w:rsidRPr="00D13EAA">
        <w:rPr>
          <w:rFonts w:ascii="Times New Roman" w:hAnsi="Times New Roman" w:cs="Times New Roman"/>
          <w:noProof/>
          <w:color w:val="FF0000"/>
          <w:sz w:val="24"/>
          <w:szCs w:val="24"/>
        </w:rPr>
        <w:t xml:space="preserve">Andreu et al., </w:t>
      </w:r>
      <w:r w:rsidR="00D13EAA">
        <w:rPr>
          <w:rFonts w:ascii="Times New Roman" w:hAnsi="Times New Roman" w:cs="Times New Roman"/>
          <w:noProof/>
          <w:color w:val="FF0000"/>
          <w:sz w:val="24"/>
          <w:szCs w:val="24"/>
        </w:rPr>
        <w:t>(</w:t>
      </w:r>
      <w:r w:rsidR="00054A13" w:rsidRPr="00D13EAA">
        <w:rPr>
          <w:rFonts w:ascii="Times New Roman" w:hAnsi="Times New Roman" w:cs="Times New Roman"/>
          <w:noProof/>
          <w:color w:val="FF0000"/>
          <w:sz w:val="24"/>
          <w:szCs w:val="24"/>
        </w:rPr>
        <w:t>2019)</w:t>
      </w:r>
      <w:r w:rsidR="00054A13" w:rsidRPr="00D13EAA">
        <w:rPr>
          <w:rFonts w:ascii="Times New Roman" w:hAnsi="Times New Roman" w:cs="Times New Roman"/>
          <w:color w:val="FF0000"/>
          <w:sz w:val="24"/>
          <w:szCs w:val="24"/>
        </w:rPr>
        <w:fldChar w:fldCharType="end"/>
      </w:r>
      <w:r w:rsidR="00054A13" w:rsidRPr="00D13EAA">
        <w:rPr>
          <w:rFonts w:ascii="Times New Roman" w:hAnsi="Times New Roman" w:cs="Times New Roman"/>
          <w:color w:val="FF0000"/>
          <w:sz w:val="24"/>
          <w:szCs w:val="24"/>
        </w:rPr>
        <w:t xml:space="preserve"> focused on risk-seeking of mutual funds and highlighted that managers’ demographics contribute towards risk profile and consequently impact the financial performance. </w:t>
      </w:r>
      <w:r w:rsidR="00C26EEC" w:rsidRPr="00D13EAA">
        <w:rPr>
          <w:rFonts w:ascii="Times New Roman" w:hAnsi="Times New Roman" w:cs="Times New Roman"/>
          <w:color w:val="FF0000"/>
          <w:sz w:val="24"/>
          <w:szCs w:val="24"/>
        </w:rPr>
        <w:fldChar w:fldCharType="begin" w:fldLock="1"/>
      </w:r>
      <w:r w:rsidR="00D13EAA">
        <w:rPr>
          <w:rFonts w:ascii="Times New Roman" w:hAnsi="Times New Roman" w:cs="Times New Roman"/>
          <w:color w:val="FF0000"/>
          <w:sz w:val="24"/>
          <w:szCs w:val="24"/>
        </w:rPr>
        <w:instrText>ADDIN CSL_CITATION {"citationItems":[{"id":"ITEM-1","itemData":{"DOI":"10.1016/j.iref.2016.12.012","ISSN":"10590560","abstract":"This paper uses monthly data in a Markov-switching cross-sectional absolute deviation (CSAD) model to reveal the existence of dynamic herding behavior by US equity fund managers in the stock market. We observe positive herding effects in different types of funds during recessionary periods, whereas we find evidence of negative herding behavior in most types of funds during expansionary periods. Our results for asymmetric herding indicate that US fund managers exhibit stronger positive herding behavior when the market is decreasing, when the fund size is smaller and when the fund's period of establishment is shorter during a recessionary period. Conversely, a negative herding effect is stronger when the market is rising, when the fund is larger, and when the fund's period of establishment is longer during an expansionary period. The herding behavior of US fund managers is primarily informational during an expansionary period, but significant information-value herding only exists in the following six months.","author":[{"dropping-particle":"","family":"Fang","given":"Hao","non-dropping-particle":"","parse-names":false,"suffix":""},{"dropping-particle":"","family":"Shen","given":"Chung Hua","non-dropping-particle":"","parse-names":false,"suffix":""},{"dropping-particle":"","family":"Lee","given":"Yen Hsien","non-dropping-particle":"","parse-names":false,"suffix":""}],"container-title":"International Review of Economics and Finance","id":"ITEM-1","issued":{"date-parts":[["2017","5","1"]]},"page":"353-369","publisher":"Elsevier Inc.","title":"The dynamic and asymmetric herding behavior of US equity fund managers in the stock market","type":"article-journal","volume":"49"},"uris":["http://www.mendeley.com/documents/?uuid=57b1b194-aa79-3829-95b2-1f3175e4ccfe"]}],"mendeley":{"formattedCitation":"(Fang et al., 2017)","manualFormatting":"Fang et al., (2017)","plainTextFormattedCitation":"(Fang et al., 2017)","previouslyFormattedCitation":"(Fang et al., 2017)"},"properties":{"noteIndex":0},"schema":"https://github.com/citation-style-language/schema/raw/master/csl-citation.json"}</w:instrText>
      </w:r>
      <w:r w:rsidR="00C26EEC" w:rsidRPr="00D13EAA">
        <w:rPr>
          <w:rFonts w:ascii="Times New Roman" w:hAnsi="Times New Roman" w:cs="Times New Roman"/>
          <w:color w:val="FF0000"/>
          <w:sz w:val="24"/>
          <w:szCs w:val="24"/>
        </w:rPr>
        <w:fldChar w:fldCharType="separate"/>
      </w:r>
      <w:r w:rsidR="00C26EEC" w:rsidRPr="00D13EAA">
        <w:rPr>
          <w:rFonts w:ascii="Times New Roman" w:hAnsi="Times New Roman" w:cs="Times New Roman"/>
          <w:noProof/>
          <w:color w:val="FF0000"/>
          <w:sz w:val="24"/>
          <w:szCs w:val="24"/>
        </w:rPr>
        <w:t xml:space="preserve">Fang et al., </w:t>
      </w:r>
      <w:r w:rsidR="00D13EAA">
        <w:rPr>
          <w:rFonts w:ascii="Times New Roman" w:hAnsi="Times New Roman" w:cs="Times New Roman"/>
          <w:noProof/>
          <w:color w:val="FF0000"/>
          <w:sz w:val="24"/>
          <w:szCs w:val="24"/>
        </w:rPr>
        <w:t>(</w:t>
      </w:r>
      <w:r w:rsidR="00C26EEC" w:rsidRPr="00D13EAA">
        <w:rPr>
          <w:rFonts w:ascii="Times New Roman" w:hAnsi="Times New Roman" w:cs="Times New Roman"/>
          <w:noProof/>
          <w:color w:val="FF0000"/>
          <w:sz w:val="24"/>
          <w:szCs w:val="24"/>
        </w:rPr>
        <w:t>2017)</w:t>
      </w:r>
      <w:r w:rsidR="00C26EEC" w:rsidRPr="00D13EAA">
        <w:rPr>
          <w:rFonts w:ascii="Times New Roman" w:hAnsi="Times New Roman" w:cs="Times New Roman"/>
          <w:color w:val="FF0000"/>
          <w:sz w:val="24"/>
          <w:szCs w:val="24"/>
        </w:rPr>
        <w:fldChar w:fldCharType="end"/>
      </w:r>
      <w:r w:rsidR="00C26EEC" w:rsidRPr="00D13EAA">
        <w:rPr>
          <w:rFonts w:ascii="Times New Roman" w:hAnsi="Times New Roman" w:cs="Times New Roman"/>
          <w:color w:val="FF0000"/>
          <w:sz w:val="24"/>
          <w:szCs w:val="24"/>
        </w:rPr>
        <w:t xml:space="preserve"> believed that </w:t>
      </w:r>
      <w:r w:rsidR="00786F5B" w:rsidRPr="00D13EAA">
        <w:rPr>
          <w:rFonts w:ascii="Times New Roman" w:hAnsi="Times New Roman" w:cs="Times New Roman"/>
          <w:color w:val="FF0000"/>
          <w:sz w:val="24"/>
          <w:szCs w:val="24"/>
        </w:rPr>
        <w:t xml:space="preserve">during recessionary periods, fund managers' skills are effected by herding behavior. </w:t>
      </w:r>
      <w:r w:rsidR="009D556A" w:rsidRPr="00D13EAA">
        <w:rPr>
          <w:rFonts w:ascii="Times New Roman" w:hAnsi="Times New Roman" w:cs="Times New Roman"/>
          <w:color w:val="FF0000"/>
          <w:sz w:val="24"/>
          <w:szCs w:val="24"/>
        </w:rPr>
        <w:fldChar w:fldCharType="begin" w:fldLock="1"/>
      </w:r>
      <w:r w:rsidR="00D13EAA">
        <w:rPr>
          <w:rFonts w:ascii="Times New Roman" w:hAnsi="Times New Roman" w:cs="Times New Roman"/>
          <w:color w:val="FF0000"/>
          <w:sz w:val="24"/>
          <w:szCs w:val="24"/>
        </w:rPr>
        <w:instrText>ADDIN CSL_CITATION {"citationItems":[{"id":"ITEM-1","itemData":{"DOI":"10.1016/j.iref.2017.05.004","ISSN":"10590560","abstract":"This study investigates the effect of manager turnover on fund returns in China, the largest developing market. Using unique Chinese data, we extend the study of Khorana (2001) by classifying manager turnover as internal relocation, switch to outside mutual fund, switch to hedge fund, and dropout from the fund industry. Among the four types of manager turnover, only dropout shows significantly negative pre-replacement and positive post-replacement excess returns over the benchmark. When a skilled (an unskilled) manager is replaced, post-replacement performance gets worse (better) than pre-replacement performance. A takeover of a fund by an experienced manager is likely to result in better post-replacement performance than takeover by an inexperienced manager.","author":[{"dropping-particle":"","family":"Wang","given":"Yaping","non-dropping-particle":"","parse-names":false,"suffix":""},{"dropping-particle":"","family":"Ko","given":"Kwangsoo","non-dropping-particle":"","parse-names":false,"suffix":""}],"container-title":"International Review of Economics and Finance","id":"ITEM-1","issued":{"date-parts":[["2017","9","1"]]},"page":"99-106","publisher":"Elsevier Inc.","title":"Implications of fund manager turnover in China","type":"article-journal","volume":"51"},"uris":["http://www.mendeley.com/documents/?uuid=0245a172-07b9-3fb9-ace3-355f2c218973"]}],"mendeley":{"formattedCitation":"(Wang &amp; Ko, 2017)","manualFormatting":"Wang &amp; Ko, (2017)","plainTextFormattedCitation":"(Wang &amp; Ko, 2017)","previouslyFormattedCitation":"(Wang &amp; Ko, 2017)"},"properties":{"noteIndex":0},"schema":"https://github.com/citation-style-language/schema/raw/master/csl-citation.json"}</w:instrText>
      </w:r>
      <w:r w:rsidR="009D556A" w:rsidRPr="00D13EAA">
        <w:rPr>
          <w:rFonts w:ascii="Times New Roman" w:hAnsi="Times New Roman" w:cs="Times New Roman"/>
          <w:color w:val="FF0000"/>
          <w:sz w:val="24"/>
          <w:szCs w:val="24"/>
        </w:rPr>
        <w:fldChar w:fldCharType="separate"/>
      </w:r>
      <w:r w:rsidR="009D556A" w:rsidRPr="00D13EAA">
        <w:rPr>
          <w:rFonts w:ascii="Times New Roman" w:hAnsi="Times New Roman" w:cs="Times New Roman"/>
          <w:noProof/>
          <w:color w:val="FF0000"/>
          <w:sz w:val="24"/>
          <w:szCs w:val="24"/>
        </w:rPr>
        <w:t xml:space="preserve">Wang </w:t>
      </w:r>
      <w:r w:rsidR="008566F9">
        <w:rPr>
          <w:rFonts w:ascii="Times New Roman" w:hAnsi="Times New Roman" w:cs="Times New Roman"/>
          <w:noProof/>
          <w:color w:val="FF0000"/>
          <w:sz w:val="24"/>
          <w:szCs w:val="24"/>
        </w:rPr>
        <w:t>and</w:t>
      </w:r>
      <w:r w:rsidR="009D556A" w:rsidRPr="00D13EAA">
        <w:rPr>
          <w:rFonts w:ascii="Times New Roman" w:hAnsi="Times New Roman" w:cs="Times New Roman"/>
          <w:noProof/>
          <w:color w:val="FF0000"/>
          <w:sz w:val="24"/>
          <w:szCs w:val="24"/>
        </w:rPr>
        <w:t xml:space="preserve"> Ko </w:t>
      </w:r>
      <w:r w:rsidR="00D13EAA">
        <w:rPr>
          <w:rFonts w:ascii="Times New Roman" w:hAnsi="Times New Roman" w:cs="Times New Roman"/>
          <w:noProof/>
          <w:color w:val="FF0000"/>
          <w:sz w:val="24"/>
          <w:szCs w:val="24"/>
        </w:rPr>
        <w:t>(</w:t>
      </w:r>
      <w:r w:rsidR="009D556A" w:rsidRPr="00D13EAA">
        <w:rPr>
          <w:rFonts w:ascii="Times New Roman" w:hAnsi="Times New Roman" w:cs="Times New Roman"/>
          <w:noProof/>
          <w:color w:val="FF0000"/>
          <w:sz w:val="24"/>
          <w:szCs w:val="24"/>
        </w:rPr>
        <w:t>2017)</w:t>
      </w:r>
      <w:r w:rsidR="009D556A" w:rsidRPr="00D13EAA">
        <w:rPr>
          <w:rFonts w:ascii="Times New Roman" w:hAnsi="Times New Roman" w:cs="Times New Roman"/>
          <w:color w:val="FF0000"/>
          <w:sz w:val="24"/>
          <w:szCs w:val="24"/>
        </w:rPr>
        <w:fldChar w:fldCharType="end"/>
      </w:r>
      <w:r w:rsidR="009D556A" w:rsidRPr="00D13EAA">
        <w:rPr>
          <w:rFonts w:ascii="Times New Roman" w:hAnsi="Times New Roman" w:cs="Times New Roman"/>
          <w:color w:val="FF0000"/>
          <w:sz w:val="24"/>
          <w:szCs w:val="24"/>
        </w:rPr>
        <w:t xml:space="preserve"> highlighted the importance of managers’ retention for persistent performance. </w:t>
      </w:r>
      <w:r w:rsidR="00D13EAA" w:rsidRPr="00D13EAA">
        <w:rPr>
          <w:rFonts w:ascii="Times New Roman" w:hAnsi="Times New Roman" w:cs="Times New Roman"/>
          <w:color w:val="FF0000"/>
          <w:sz w:val="24"/>
          <w:szCs w:val="24"/>
        </w:rPr>
        <w:fldChar w:fldCharType="begin" w:fldLock="1"/>
      </w:r>
      <w:r w:rsidR="00CA3E59">
        <w:rPr>
          <w:rFonts w:ascii="Times New Roman" w:hAnsi="Times New Roman" w:cs="Times New Roman"/>
          <w:color w:val="FF0000"/>
          <w:sz w:val="24"/>
          <w:szCs w:val="24"/>
        </w:rPr>
        <w:instrText>ADDIN CSL_CITATION {"citationItems":[{"id":"ITEM-1","itemData":{"DOI":"10.1016/S1059-0560(02)00099-0","ISSN":"10590560","abstract":"This paper examines the relationship between the fees charged by mutual funds and their performance. The work distinguishes between high- and low-quality funds and sheds some additional light on the growing controversy concerning the role of independent directors as monitors of the fee setting practices within funds. We find that for high-quality managers, there is a positive relationship between fees and performance. In contrast, for lower-quality managers, there is a negative relationship between fees and performance. We believe this reflects the incentive for poor managers to extract short-term benefits from investors, as the likelihood of survival is lower for poor performing managers. These results are consistent with the notion that the independent directors whose responsibility is to safeguard the interests of shareholders may not be effective in doing so. © 2002 Elsevier Science Inc. All rights reserved.","author":[{"dropping-particle":"","family":"Berkowitz","given":"Michael K.","non-dropping-particle":"","parse-names":false,"suffix":""},{"dropping-particle":"","family":"Kotowitz","given":"Yehuda","non-dropping-particle":"","parse-names":false,"suffix":""}],"container-title":"International Review of Economics and Finance","id":"ITEM-1","issue":"3","issued":{"date-parts":[["2002","1","1"]]},"page":"315-330","publisher":"JAI","title":"Managerial quality and the structure of management expenses in the US mutual fund industry","type":"article-journal","volume":"11"},"uris":["http://www.mendeley.com/documents/?uuid=e836b99c-fc0a-32a5-b386-d949166b3ec8"]}],"mendeley":{"formattedCitation":"(Berkowitz &amp; Kotowitz, 2002)","manualFormatting":"Berkowitz &amp; Kotowitz, (2002)","plainTextFormattedCitation":"(Berkowitz &amp; Kotowitz, 2002)","previouslyFormattedCitation":"(Berkowitz &amp; Kotowitz, 2002)"},"properties":{"noteIndex":0},"schema":"https://github.com/citation-style-language/schema/raw/master/csl-citation.json"}</w:instrText>
      </w:r>
      <w:r w:rsidR="00D13EAA" w:rsidRPr="00D13EAA">
        <w:rPr>
          <w:rFonts w:ascii="Times New Roman" w:hAnsi="Times New Roman" w:cs="Times New Roman"/>
          <w:color w:val="FF0000"/>
          <w:sz w:val="24"/>
          <w:szCs w:val="24"/>
        </w:rPr>
        <w:fldChar w:fldCharType="separate"/>
      </w:r>
      <w:r w:rsidR="00D13EAA" w:rsidRPr="00D13EAA">
        <w:rPr>
          <w:rFonts w:ascii="Times New Roman" w:hAnsi="Times New Roman" w:cs="Times New Roman"/>
          <w:noProof/>
          <w:color w:val="FF0000"/>
          <w:sz w:val="24"/>
          <w:szCs w:val="24"/>
        </w:rPr>
        <w:t xml:space="preserve">Berkowitz </w:t>
      </w:r>
      <w:r w:rsidR="008566F9">
        <w:rPr>
          <w:rFonts w:ascii="Times New Roman" w:hAnsi="Times New Roman" w:cs="Times New Roman"/>
          <w:noProof/>
          <w:color w:val="FF0000"/>
          <w:sz w:val="24"/>
          <w:szCs w:val="24"/>
        </w:rPr>
        <w:t>and</w:t>
      </w:r>
      <w:r w:rsidR="00D13EAA" w:rsidRPr="00D13EAA">
        <w:rPr>
          <w:rFonts w:ascii="Times New Roman" w:hAnsi="Times New Roman" w:cs="Times New Roman"/>
          <w:noProof/>
          <w:color w:val="FF0000"/>
          <w:sz w:val="24"/>
          <w:szCs w:val="24"/>
        </w:rPr>
        <w:t xml:space="preserve"> Kotowitz </w:t>
      </w:r>
      <w:r w:rsidR="00D13EAA">
        <w:rPr>
          <w:rFonts w:ascii="Times New Roman" w:hAnsi="Times New Roman" w:cs="Times New Roman"/>
          <w:noProof/>
          <w:color w:val="FF0000"/>
          <w:sz w:val="24"/>
          <w:szCs w:val="24"/>
        </w:rPr>
        <w:t>(</w:t>
      </w:r>
      <w:r w:rsidR="00D13EAA" w:rsidRPr="00D13EAA">
        <w:rPr>
          <w:rFonts w:ascii="Times New Roman" w:hAnsi="Times New Roman" w:cs="Times New Roman"/>
          <w:noProof/>
          <w:color w:val="FF0000"/>
          <w:sz w:val="24"/>
          <w:szCs w:val="24"/>
        </w:rPr>
        <w:t>2002)</w:t>
      </w:r>
      <w:r w:rsidR="00D13EAA" w:rsidRPr="00D13EAA">
        <w:rPr>
          <w:rFonts w:ascii="Times New Roman" w:hAnsi="Times New Roman" w:cs="Times New Roman"/>
          <w:color w:val="FF0000"/>
          <w:sz w:val="24"/>
          <w:szCs w:val="24"/>
        </w:rPr>
        <w:fldChar w:fldCharType="end"/>
      </w:r>
      <w:r w:rsidR="00D13EAA" w:rsidRPr="00D13EAA">
        <w:rPr>
          <w:rFonts w:ascii="Times New Roman" w:hAnsi="Times New Roman" w:cs="Times New Roman"/>
          <w:color w:val="FF0000"/>
          <w:sz w:val="24"/>
          <w:szCs w:val="24"/>
        </w:rPr>
        <w:t xml:space="preserve"> suggested that sustainable returns of mutual funds emanate from the quality of funds’ management, and investors are willing to pay higher fees to engage better quality fund managers. Many studies have deliberated on </w:t>
      </w:r>
      <w:r w:rsidRPr="00D13EAA">
        <w:rPr>
          <w:rFonts w:ascii="Times New Roman" w:hAnsi="Times New Roman" w:cs="Times New Roman"/>
          <w:color w:val="FF0000"/>
          <w:sz w:val="24"/>
          <w:szCs w:val="24"/>
        </w:rPr>
        <w:t xml:space="preserve">the positive </w:t>
      </w:r>
      <w:r w:rsidR="00032CF8" w:rsidRPr="00D13EAA">
        <w:rPr>
          <w:rFonts w:ascii="Times New Roman" w:hAnsi="Times New Roman" w:cs="Times New Roman"/>
          <w:color w:val="FF0000"/>
          <w:sz w:val="24"/>
          <w:szCs w:val="24"/>
        </w:rPr>
        <w:t>linkages between</w:t>
      </w:r>
      <w:r w:rsidRPr="00D13EAA">
        <w:rPr>
          <w:rFonts w:ascii="Times New Roman" w:hAnsi="Times New Roman" w:cs="Times New Roman"/>
          <w:color w:val="FF0000"/>
          <w:sz w:val="24"/>
          <w:szCs w:val="24"/>
        </w:rPr>
        <w:t xml:space="preserve"> </w:t>
      </w:r>
      <w:r w:rsidR="005F11C9" w:rsidRPr="00D13EAA">
        <w:rPr>
          <w:rFonts w:ascii="Times New Roman" w:hAnsi="Times New Roman" w:cs="Times New Roman"/>
          <w:color w:val="FF0000"/>
          <w:sz w:val="24"/>
          <w:szCs w:val="24"/>
        </w:rPr>
        <w:t>managers’</w:t>
      </w:r>
      <w:r w:rsidRPr="00D13EAA">
        <w:rPr>
          <w:rFonts w:ascii="Times New Roman" w:hAnsi="Times New Roman" w:cs="Times New Roman"/>
          <w:color w:val="FF0000"/>
          <w:sz w:val="24"/>
          <w:szCs w:val="24"/>
        </w:rPr>
        <w:t xml:space="preserve"> skills </w:t>
      </w:r>
      <w:r w:rsidR="00032CF8" w:rsidRPr="00D13EAA">
        <w:rPr>
          <w:rFonts w:ascii="Times New Roman" w:hAnsi="Times New Roman" w:cs="Times New Roman"/>
          <w:color w:val="FF0000"/>
          <w:sz w:val="24"/>
          <w:szCs w:val="24"/>
        </w:rPr>
        <w:t xml:space="preserve">and </w:t>
      </w:r>
      <w:r w:rsidRPr="00D13EAA">
        <w:rPr>
          <w:rFonts w:ascii="Times New Roman" w:hAnsi="Times New Roman" w:cs="Times New Roman"/>
          <w:color w:val="FF0000"/>
          <w:sz w:val="24"/>
          <w:szCs w:val="24"/>
        </w:rPr>
        <w:t xml:space="preserve">mutual fund performance (e.g., </w:t>
      </w:r>
      <w:r w:rsidR="000C0A92" w:rsidRPr="00D13EAA">
        <w:rPr>
          <w:rFonts w:ascii="Times New Roman" w:hAnsi="Times New Roman" w:cs="Times New Roman"/>
          <w:color w:val="FF0000"/>
          <w:sz w:val="24"/>
          <w:szCs w:val="24"/>
        </w:rPr>
        <w:fldChar w:fldCharType="begin" w:fldLock="1"/>
      </w:r>
      <w:r w:rsidR="000C0A92" w:rsidRPr="00D13EAA">
        <w:rPr>
          <w:rFonts w:ascii="Times New Roman" w:hAnsi="Times New Roman" w:cs="Times New Roman"/>
          <w:color w:val="FF0000"/>
          <w:sz w:val="24"/>
          <w:szCs w:val="24"/>
        </w:rPr>
        <w:instrText>ADDIN CSL_CITATION {"citationItems":[{"id":"ITEM-1","itemData":{"DOI":"10.1016/j.jfineco.2015.05.002","ISSN":"0304405X","abstract":"Using the value that a mutual fund extracts from capital markets as the measure of skill, we find that the average mutual fund has used this skill to generate about $3.2 million per year. Large cross-sectional differences in skill persist for as long as ten years. Investors recognize this skill and reward it by investing more capital with better funds. Better funds earn higher aggregate fees, and a strong positive correlation exists between current compensation and future performance. The cross-sectional distribution of managerial skill is predominantly reflected in the cross-sectional distribution of fund size, not gross alpha.","author":[{"dropping-particle":"","family":"Berk","given":"Jonathan B.","non-dropping-particle":"","parse-names":false,"suffix":""},{"dropping-particle":"","family":"Binsbergen","given":"Jules H.","non-dropping-particle":"van","parse-names":false,"suffix":""}],"container-title":"Journal of Financial Economics","id":"ITEM-1","issued":{"date-parts":[["2015"]]},"title":"Measuring skill in the mutual fund industry","type":"article-journal"},"uris":["http://www.mendeley.com/documents/?uuid=e709fd84-fce5-4447-98f0-9fd5408f09bf"]}],"mendeley":{"formattedCitation":"(Berk &amp; van Binsbergen, 2015)","manualFormatting":"Berk &amp; van Binsbergen, 2015","plainTextFormattedCitation":"(Berk &amp; van Binsbergen, 2015)","previouslyFormattedCitation":"(Berk &amp; van Binsbergen, 2015)"},"properties":{"noteIndex":0},"schema":"https://github.com/citation-style-language/schema/raw/master/csl-citation.json"}</w:instrText>
      </w:r>
      <w:r w:rsidR="000C0A92" w:rsidRPr="00D13EAA">
        <w:rPr>
          <w:rFonts w:ascii="Times New Roman" w:hAnsi="Times New Roman" w:cs="Times New Roman"/>
          <w:color w:val="FF0000"/>
          <w:sz w:val="24"/>
          <w:szCs w:val="24"/>
        </w:rPr>
        <w:fldChar w:fldCharType="separate"/>
      </w:r>
      <w:r w:rsidR="000C0A92" w:rsidRPr="00D13EAA">
        <w:rPr>
          <w:rFonts w:ascii="Times New Roman" w:hAnsi="Times New Roman" w:cs="Times New Roman"/>
          <w:noProof/>
          <w:color w:val="FF0000"/>
          <w:sz w:val="24"/>
          <w:szCs w:val="24"/>
        </w:rPr>
        <w:t>Berk &amp; van Binsbergen, 2015</w:t>
      </w:r>
      <w:r w:rsidR="000C0A92" w:rsidRPr="00D13EAA">
        <w:rPr>
          <w:rFonts w:ascii="Times New Roman" w:hAnsi="Times New Roman" w:cs="Times New Roman"/>
          <w:color w:val="FF0000"/>
          <w:sz w:val="24"/>
          <w:szCs w:val="24"/>
        </w:rPr>
        <w:fldChar w:fldCharType="end"/>
      </w:r>
      <w:r w:rsidRPr="00D13EAA">
        <w:rPr>
          <w:rFonts w:ascii="Times New Roman" w:hAnsi="Times New Roman" w:cs="Times New Roman"/>
          <w:color w:val="FF0000"/>
          <w:sz w:val="24"/>
          <w:szCs w:val="24"/>
        </w:rPr>
        <w:t xml:space="preserve">; </w:t>
      </w:r>
      <w:r w:rsidR="000C0A92" w:rsidRPr="00D13EAA">
        <w:rPr>
          <w:rFonts w:ascii="Times New Roman" w:hAnsi="Times New Roman" w:cs="Times New Roman"/>
          <w:color w:val="FF0000"/>
          <w:sz w:val="24"/>
          <w:szCs w:val="24"/>
        </w:rPr>
        <w:fldChar w:fldCharType="begin" w:fldLock="1"/>
      </w:r>
      <w:r w:rsidR="000C0A92" w:rsidRPr="00D13EAA">
        <w:rPr>
          <w:rFonts w:ascii="Times New Roman" w:hAnsi="Times New Roman" w:cs="Times New Roman"/>
          <w:color w:val="FF0000"/>
          <w:sz w:val="24"/>
          <w:szCs w:val="24"/>
        </w:rPr>
        <w:instrText>ADDIN CSL_CITATION {"citationItems":[{"id":"ITEM-1","itemData":{"DOI":"10.1016/j.pacfin.2017.11.002","ISSN":"0927538X","abstract":"This paper explores market timing abilities of Chinese mutual fund managers from the three dimensions: market return, volatility, and liquidity. Using a sample of equity funds from July 2005 to June 2016, we find strong evidence that mutual funds can time the market volatility and liquidity. Our results show that only growth-oriental funds have the ability to time the market returns. We also find that among funds with different investment objectives, balance funds have the most significant volatility timing while growth funds have the most significant liquidity timing ability. Our findings are robust to alternative explanations, including style timing, illiquid holdings, and market reaction. Bootstrap analysis indicates that the evidence cannot be attributable to luck. For all three forms of market timing, a successful timer tends to have higher turnover rate. Finally, we find that Chinese equity mutual funds are able to demonstrate market volatility and liquidity timing persistence in the out-of-sample test. No evidence is found for the presence of return timing persistence.","author":[{"dropping-particle":"","family":"Yi","given":"Li","non-dropping-particle":"","parse-names":false,"suffix":""},{"dropping-particle":"","family":"Liu","given":"Zilan","non-dropping-particle":"","parse-names":false,"suffix":""},{"dropping-particle":"","family":"He","given":"Lei","non-dropping-particle":"","parse-names":false,"suffix":""},{"dropping-particle":"","family":"Qin","given":"Zilong","non-dropping-particle":"","parse-names":false,"suffix":""},{"dropping-particle":"","family":"Gan","given":"Shunli","non-dropping-particle":"","parse-names":false,"suffix":""}],"container-title":"Pacific Basin Finance Journal","id":"ITEM-1","issued":{"date-parts":[["2018","2","1"]]},"page":"1-19","publisher":"Elsevier B.V.","title":"Do Chinese mutual funds time the market?","type":"article-journal","volume":"47"},"uris":["http://www.mendeley.com/documents/?uuid=be196fc4-6609-3b0e-88c7-dc64c93eb323"]}],"mendeley":{"formattedCitation":"(Yi et al., 2018)","manualFormatting":"Yi et al., 2018","plainTextFormattedCitation":"(Yi et al., 2018)","previouslyFormattedCitation":"(Yi et al., 2018)"},"properties":{"noteIndex":0},"schema":"https://github.com/citation-style-language/schema/raw/master/csl-citation.json"}</w:instrText>
      </w:r>
      <w:r w:rsidR="000C0A92" w:rsidRPr="00D13EAA">
        <w:rPr>
          <w:rFonts w:ascii="Times New Roman" w:hAnsi="Times New Roman" w:cs="Times New Roman"/>
          <w:color w:val="FF0000"/>
          <w:sz w:val="24"/>
          <w:szCs w:val="24"/>
        </w:rPr>
        <w:fldChar w:fldCharType="separate"/>
      </w:r>
      <w:r w:rsidR="000C0A92" w:rsidRPr="00D13EAA">
        <w:rPr>
          <w:rFonts w:ascii="Times New Roman" w:hAnsi="Times New Roman" w:cs="Times New Roman"/>
          <w:noProof/>
          <w:color w:val="FF0000"/>
          <w:sz w:val="24"/>
          <w:szCs w:val="24"/>
          <w:lang w:val="fr-FR"/>
        </w:rPr>
        <w:t>Yi et al., 2018</w:t>
      </w:r>
      <w:r w:rsidR="000C0A92" w:rsidRPr="00D13EAA">
        <w:rPr>
          <w:rFonts w:ascii="Times New Roman" w:hAnsi="Times New Roman" w:cs="Times New Roman"/>
          <w:color w:val="FF0000"/>
          <w:sz w:val="24"/>
          <w:szCs w:val="24"/>
        </w:rPr>
        <w:fldChar w:fldCharType="end"/>
      </w:r>
      <w:r w:rsidRPr="00D13EAA">
        <w:rPr>
          <w:rFonts w:ascii="Times New Roman" w:hAnsi="Times New Roman" w:cs="Times New Roman"/>
          <w:color w:val="FF0000"/>
          <w:sz w:val="24"/>
          <w:szCs w:val="24"/>
          <w:lang w:val="fr-FR"/>
        </w:rPr>
        <w:t xml:space="preserve">; </w:t>
      </w:r>
      <w:r w:rsidR="000C0A92" w:rsidRPr="00D13EAA">
        <w:rPr>
          <w:rFonts w:ascii="Times New Roman" w:hAnsi="Times New Roman" w:cs="Times New Roman"/>
          <w:color w:val="FF0000"/>
          <w:sz w:val="24"/>
          <w:szCs w:val="24"/>
          <w:lang w:val="fr-FR"/>
        </w:rPr>
        <w:fldChar w:fldCharType="begin" w:fldLock="1"/>
      </w:r>
      <w:r w:rsidR="00E30895" w:rsidRPr="00D13EAA">
        <w:rPr>
          <w:rFonts w:ascii="Times New Roman" w:hAnsi="Times New Roman" w:cs="Times New Roman"/>
          <w:color w:val="FF0000"/>
          <w:sz w:val="24"/>
          <w:szCs w:val="24"/>
          <w:lang w:val="fr-FR"/>
        </w:rPr>
        <w:instrText>ADDIN CSL_CITATION {"citationItems":[{"id":"ITEM-1","itemData":{"DOI":"10.1016/j.jempfin.2018.09.001","ISSN":"09275398","abstract":"In this paper, we develop a nonparametric methodology for estimating and testing time-varying fund alphas and betas as well as their long-run counterparts (i.e., their time-series averages). Traditional linear factor model arises as a special case without time variation in coefficients. Monte Carlo simulation evidence suggests that our methodology performs well in finite samples. Applying our methodology to U.S. mutual funds and hedge funds, we find most fund alphas decrease with time. Combining our methodology with the bootstrap method which controls for ‘luck’ positive long-run alphas of mutual funds but hedge funds disappear, while negative long-run alphas of both mutual and hedge funds remain. We further check the robustness of our results by altering benchmarks, fund skill indicators and samples.","author":[{"dropping-particle":"","family":"Cai","given":"Biqing","non-dropping-particle":"","parse-names":false,"suffix":""},{"dropping-particle":"","family":"Cheng","given":"Tingting","non-dropping-particle":"","parse-names":false,"suffix":""},{"dropping-particle":"","family":"Yan","given":"Cheng","non-dropping-particle":"","parse-names":false,"suffix":""}],"container-title":"Journal of Empirical Finance","id":"ITEM-1","issued":{"date-parts":[["2018","12","1"]]},"page":"81-106","publisher":"Elsevier B.V.","title":"Time-varying skills (versus luck) in U.S. active mutual funds and hedge funds","type":"article-journal","volume":"49"},"uris":["http://www.mendeley.com/documents/?uuid=479eaad4-8fa0-3188-a484-93c80025c69a"]}],"mendeley":{"formattedCitation":"(Cai et al., 2018)","manualFormatting":"Cai et al., 2018","plainTextFormattedCitation":"(Cai et al., 2018)","previouslyFormattedCitation":"(Cai et al., 2018)"},"properties":{"noteIndex":0},"schema":"https://github.com/citation-style-language/schema/raw/master/csl-citation.json"}</w:instrText>
      </w:r>
      <w:r w:rsidR="000C0A92" w:rsidRPr="00D13EAA">
        <w:rPr>
          <w:rFonts w:ascii="Times New Roman" w:hAnsi="Times New Roman" w:cs="Times New Roman"/>
          <w:color w:val="FF0000"/>
          <w:sz w:val="24"/>
          <w:szCs w:val="24"/>
          <w:lang w:val="fr-FR"/>
        </w:rPr>
        <w:fldChar w:fldCharType="separate"/>
      </w:r>
      <w:r w:rsidR="000C0A92" w:rsidRPr="00D13EAA">
        <w:rPr>
          <w:rFonts w:ascii="Times New Roman" w:hAnsi="Times New Roman" w:cs="Times New Roman"/>
          <w:noProof/>
          <w:color w:val="FF0000"/>
          <w:sz w:val="24"/>
          <w:szCs w:val="24"/>
          <w:lang w:val="fr-FR"/>
        </w:rPr>
        <w:t>Cai et al., 2018</w:t>
      </w:r>
      <w:r w:rsidR="000C0A92" w:rsidRPr="00D13EAA">
        <w:rPr>
          <w:rFonts w:ascii="Times New Roman" w:hAnsi="Times New Roman" w:cs="Times New Roman"/>
          <w:color w:val="FF0000"/>
          <w:sz w:val="24"/>
          <w:szCs w:val="24"/>
          <w:lang w:val="fr-FR"/>
        </w:rPr>
        <w:fldChar w:fldCharType="end"/>
      </w:r>
      <w:r w:rsidRPr="00D13EAA">
        <w:rPr>
          <w:rFonts w:ascii="Times New Roman" w:hAnsi="Times New Roman" w:cs="Times New Roman"/>
          <w:color w:val="FF0000"/>
          <w:sz w:val="24"/>
          <w:szCs w:val="24"/>
          <w:lang w:val="fr-FR"/>
        </w:rPr>
        <w:t>;</w:t>
      </w:r>
      <w:r w:rsidR="000C0A92" w:rsidRPr="00D13EAA">
        <w:rPr>
          <w:rFonts w:ascii="Times New Roman" w:hAnsi="Times New Roman" w:cs="Times New Roman"/>
          <w:color w:val="FF0000"/>
          <w:sz w:val="24"/>
          <w:szCs w:val="24"/>
          <w:lang w:val="fr-FR"/>
        </w:rPr>
        <w:t xml:space="preserve"> </w:t>
      </w:r>
      <w:r w:rsidR="000C0A92" w:rsidRPr="00D13EAA">
        <w:rPr>
          <w:rFonts w:ascii="Times New Roman" w:hAnsi="Times New Roman" w:cs="Times New Roman"/>
          <w:color w:val="FF0000"/>
          <w:sz w:val="24"/>
          <w:szCs w:val="24"/>
          <w:lang w:val="fr-FR"/>
        </w:rPr>
        <w:fldChar w:fldCharType="begin" w:fldLock="1"/>
      </w:r>
      <w:r w:rsidR="004C3191" w:rsidRPr="00D13EAA">
        <w:rPr>
          <w:rFonts w:ascii="Times New Roman" w:hAnsi="Times New Roman" w:cs="Times New Roman"/>
          <w:color w:val="FF0000"/>
          <w:sz w:val="24"/>
          <w:szCs w:val="24"/>
          <w:lang w:val="fr-FR"/>
        </w:rPr>
        <w:instrText>ADDIN CSL_CITATION {"citationItems":[{"id":"ITEM-1","itemData":{"DOI":"10.1016/j.iref.2019.03.010","ISSN":"10590560","abstract":"In this paper, I study investors' selection skills for a broad (576 funds) and updated (January 2004 to May 2018) sample of socially responsible (SR) mutual funds in the US market. In general terms, I obtain a positive relationship between fund flows and subsequent financial performance. This positive relationship is conducted by the bad financial performance of funds suffering net outflows, and it is stronger for non-institutional funds and for funds with a low minimum investment. In addition, I find in general terms that fund flows in US SR funds are persistent, and they are positively related to lagged returns. All these results together seem to indicate that this positive relationship is not driven by investors’ selection skills. Moreover, I observe that religious fund investors are minimally influenced by lagged returns and show the worst selection skills in the US SR fund market. Furthermore, environmental fund investors present the strongest positive relationship between flows and subsequent financial performance, and the flows for these funds are not persistent. When analysing other SR fund markets, I observe in general terms a lack of relationship between fund flows and subsequent financial performance.","author":[{"dropping-particle":"","family":"Muñoz","given":"Fernando","non-dropping-particle":"","parse-names":false,"suffix":""}],"container-title":"International Review of Economics and Finance","id":"ITEM-1","issued":{"date-parts":[["2019","7","1"]]},"page":"160-179","publisher":"Elsevier Inc.","title":"The 'smart money effect’ among socially responsible mutual fund investors","type":"article-journal","volume":"62"},"uris":["http://www.mendeley.com/documents/?uuid=5bd503ea-94e5-33ed-bb2f-723cc13b9951"]}],"mendeley":{"formattedCitation":"(Muñoz, 2019)","manualFormatting":"Muñoz, 2019","plainTextFormattedCitation":"(Muñoz, 2019)","previouslyFormattedCitation":"(Muñoz, 2019)"},"properties":{"noteIndex":0},"schema":"https://github.com/citation-style-language/schema/raw/master/csl-citation.json"}</w:instrText>
      </w:r>
      <w:r w:rsidR="000C0A92" w:rsidRPr="00D13EAA">
        <w:rPr>
          <w:rFonts w:ascii="Times New Roman" w:hAnsi="Times New Roman" w:cs="Times New Roman"/>
          <w:color w:val="FF0000"/>
          <w:sz w:val="24"/>
          <w:szCs w:val="24"/>
          <w:lang w:val="fr-FR"/>
        </w:rPr>
        <w:fldChar w:fldCharType="separate"/>
      </w:r>
      <w:r w:rsidR="000C0A92" w:rsidRPr="00D13EAA">
        <w:rPr>
          <w:rFonts w:ascii="Times New Roman" w:hAnsi="Times New Roman" w:cs="Times New Roman"/>
          <w:noProof/>
          <w:color w:val="FF0000"/>
          <w:sz w:val="24"/>
          <w:szCs w:val="24"/>
          <w:lang w:val="fr-FR"/>
        </w:rPr>
        <w:t>Muñoz, 2019</w:t>
      </w:r>
      <w:r w:rsidR="000C0A92" w:rsidRPr="00D13EAA">
        <w:rPr>
          <w:rFonts w:ascii="Times New Roman" w:hAnsi="Times New Roman" w:cs="Times New Roman"/>
          <w:color w:val="FF0000"/>
          <w:sz w:val="24"/>
          <w:szCs w:val="24"/>
          <w:lang w:val="fr-FR"/>
        </w:rPr>
        <w:fldChar w:fldCharType="end"/>
      </w:r>
      <w:r w:rsidR="001A39D1" w:rsidRPr="00D13EAA">
        <w:rPr>
          <w:rFonts w:ascii="Times New Roman" w:hAnsi="Times New Roman" w:cs="Times New Roman"/>
          <w:color w:val="FF0000"/>
          <w:sz w:val="24"/>
          <w:szCs w:val="24"/>
          <w:lang w:val="fr-FR"/>
        </w:rPr>
        <w:t>)</w:t>
      </w:r>
      <w:r w:rsidR="00C64637" w:rsidRPr="00D13EAA">
        <w:rPr>
          <w:rFonts w:ascii="Times New Roman" w:hAnsi="Times New Roman" w:cs="Times New Roman"/>
          <w:color w:val="FF0000"/>
          <w:sz w:val="24"/>
          <w:szCs w:val="24"/>
          <w:lang w:val="fr-FR"/>
        </w:rPr>
        <w:t>.</w:t>
      </w:r>
      <w:r w:rsidR="001A39D1" w:rsidRPr="00D13EAA">
        <w:rPr>
          <w:rFonts w:ascii="Times New Roman" w:hAnsi="Times New Roman" w:cs="Times New Roman"/>
          <w:color w:val="FF0000"/>
          <w:sz w:val="24"/>
          <w:szCs w:val="24"/>
          <w:lang w:val="fr-FR"/>
        </w:rPr>
        <w:t xml:space="preserve"> </w:t>
      </w:r>
      <w:r w:rsidR="00C64637" w:rsidRPr="00D13EAA">
        <w:rPr>
          <w:rFonts w:ascii="Times New Roman" w:hAnsi="Times New Roman" w:cs="Times New Roman"/>
          <w:color w:val="FF0000"/>
          <w:sz w:val="24"/>
          <w:szCs w:val="24"/>
        </w:rPr>
        <w:t>H</w:t>
      </w:r>
      <w:r w:rsidR="00032CF8" w:rsidRPr="00D13EAA">
        <w:rPr>
          <w:rFonts w:ascii="Times New Roman" w:hAnsi="Times New Roman" w:cs="Times New Roman"/>
          <w:color w:val="FF0000"/>
          <w:sz w:val="24"/>
          <w:szCs w:val="24"/>
        </w:rPr>
        <w:t xml:space="preserve">owever, there is limited evidence on the impact </w:t>
      </w:r>
      <w:r w:rsidR="00B11EB5" w:rsidRPr="00D13EAA">
        <w:rPr>
          <w:rFonts w:ascii="Times New Roman" w:hAnsi="Times New Roman" w:cs="Times New Roman"/>
          <w:color w:val="FF0000"/>
          <w:sz w:val="24"/>
          <w:szCs w:val="24"/>
        </w:rPr>
        <w:t>of Human Capital Efficiency (HCE</w:t>
      </w:r>
      <w:r w:rsidR="00032CF8" w:rsidRPr="00D13EAA">
        <w:rPr>
          <w:rFonts w:ascii="Times New Roman" w:hAnsi="Times New Roman" w:cs="Times New Roman"/>
          <w:color w:val="FF0000"/>
          <w:sz w:val="24"/>
          <w:szCs w:val="24"/>
        </w:rPr>
        <w:t>) on equity funds’ performance, and it is not clear whether this impact varies in different market condition</w:t>
      </w:r>
      <w:r w:rsidR="002C5B36" w:rsidRPr="00D13EAA">
        <w:rPr>
          <w:rFonts w:ascii="Times New Roman" w:hAnsi="Times New Roman" w:cs="Times New Roman"/>
          <w:color w:val="FF0000"/>
          <w:sz w:val="24"/>
          <w:szCs w:val="24"/>
        </w:rPr>
        <w:t>s</w:t>
      </w:r>
      <w:r w:rsidR="00032CF8" w:rsidRPr="00D13EAA">
        <w:rPr>
          <w:rFonts w:ascii="Times New Roman" w:hAnsi="Times New Roman" w:cs="Times New Roman"/>
          <w:color w:val="FF0000"/>
          <w:sz w:val="24"/>
          <w:szCs w:val="24"/>
        </w:rPr>
        <w:t xml:space="preserve">. </w:t>
      </w:r>
    </w:p>
    <w:p w14:paraId="7A08BF13" w14:textId="0D0046C3" w:rsidR="00EC1ABD" w:rsidRDefault="00597CA1" w:rsidP="00D13EAA">
      <w:pPr>
        <w:spacing w:after="0" w:line="480" w:lineRule="auto"/>
        <w:ind w:firstLine="720"/>
        <w:jc w:val="both"/>
        <w:rPr>
          <w:rFonts w:ascii="Times New Roman" w:hAnsi="Times New Roman" w:cs="Times New Roman"/>
          <w:sz w:val="24"/>
          <w:szCs w:val="24"/>
        </w:rPr>
      </w:pPr>
      <w:r w:rsidRPr="00D66A92">
        <w:rPr>
          <w:rFonts w:ascii="Times New Roman" w:hAnsi="Times New Roman" w:cs="Times New Roman"/>
          <w:sz w:val="24"/>
          <w:szCs w:val="24"/>
        </w:rPr>
        <w:t xml:space="preserve">COVID-19 pandemic and its </w:t>
      </w:r>
      <w:r w:rsidR="00032CF8" w:rsidRPr="00D66A92">
        <w:rPr>
          <w:rFonts w:ascii="Times New Roman" w:hAnsi="Times New Roman" w:cs="Times New Roman"/>
          <w:sz w:val="24"/>
          <w:szCs w:val="24"/>
        </w:rPr>
        <w:t>severe</w:t>
      </w:r>
      <w:r w:rsidRPr="00D66A92">
        <w:rPr>
          <w:rFonts w:ascii="Times New Roman" w:hAnsi="Times New Roman" w:cs="Times New Roman"/>
          <w:sz w:val="24"/>
          <w:szCs w:val="24"/>
        </w:rPr>
        <w:t xml:space="preserve"> economic and social consequences </w:t>
      </w:r>
      <w:r w:rsidR="00032CF8" w:rsidRPr="00D66A92">
        <w:rPr>
          <w:rFonts w:ascii="Times New Roman" w:hAnsi="Times New Roman" w:cs="Times New Roman"/>
          <w:sz w:val="24"/>
          <w:szCs w:val="24"/>
        </w:rPr>
        <w:t xml:space="preserve">provide unique settings to examine the </w:t>
      </w:r>
      <w:r w:rsidR="00C64637">
        <w:rPr>
          <w:rFonts w:ascii="Times New Roman" w:hAnsi="Times New Roman" w:cs="Times New Roman"/>
          <w:sz w:val="24"/>
          <w:szCs w:val="24"/>
        </w:rPr>
        <w:t>effe</w:t>
      </w:r>
      <w:r w:rsidR="00032CF8" w:rsidRPr="00D66A92">
        <w:rPr>
          <w:rFonts w:ascii="Times New Roman" w:hAnsi="Times New Roman" w:cs="Times New Roman"/>
          <w:sz w:val="24"/>
          <w:szCs w:val="24"/>
        </w:rPr>
        <w:t>ct of investment in human capital and its efficiency on the mutual funds</w:t>
      </w:r>
      <w:r w:rsidR="00D66A92">
        <w:rPr>
          <w:rFonts w:ascii="Times New Roman" w:hAnsi="Times New Roman" w:cs="Times New Roman"/>
          <w:sz w:val="24"/>
          <w:szCs w:val="24"/>
        </w:rPr>
        <w:t>’</w:t>
      </w:r>
      <w:r w:rsidR="00032CF8" w:rsidRPr="00D66A92">
        <w:rPr>
          <w:rFonts w:ascii="Times New Roman" w:hAnsi="Times New Roman" w:cs="Times New Roman"/>
          <w:sz w:val="24"/>
          <w:szCs w:val="24"/>
        </w:rPr>
        <w:t xml:space="preserve"> performance. In this paper, we explore whether mutual funds with higher human capital efficiency demonstrate higher resilience to the COVID-19 crisis shock or not.</w:t>
      </w:r>
      <w:r w:rsidR="00D13EAA">
        <w:rPr>
          <w:rFonts w:ascii="Times New Roman" w:hAnsi="Times New Roman" w:cs="Times New Roman"/>
          <w:sz w:val="24"/>
          <w:szCs w:val="24"/>
        </w:rPr>
        <w:t xml:space="preserve"> </w:t>
      </w:r>
      <w:r w:rsidR="00B857DC">
        <w:rPr>
          <w:rFonts w:ascii="Times New Roman" w:hAnsi="Times New Roman" w:cs="Times New Roman"/>
          <w:sz w:val="24"/>
          <w:szCs w:val="24"/>
        </w:rPr>
        <w:t>The</w:t>
      </w:r>
      <w:r w:rsidR="009F2A7F">
        <w:rPr>
          <w:rFonts w:ascii="Times New Roman" w:hAnsi="Times New Roman" w:cs="Times New Roman"/>
          <w:sz w:val="24"/>
          <w:szCs w:val="24"/>
        </w:rPr>
        <w:t xml:space="preserve"> diverse</w:t>
      </w:r>
      <w:r w:rsidR="00875E3D">
        <w:rPr>
          <w:rFonts w:ascii="Times New Roman" w:hAnsi="Times New Roman" w:cs="Times New Roman"/>
          <w:sz w:val="24"/>
          <w:szCs w:val="24"/>
        </w:rPr>
        <w:t xml:space="preserve"> impact</w:t>
      </w:r>
      <w:r w:rsidR="009F2A7F">
        <w:rPr>
          <w:rFonts w:ascii="Times New Roman" w:hAnsi="Times New Roman" w:cs="Times New Roman"/>
          <w:sz w:val="24"/>
          <w:szCs w:val="24"/>
        </w:rPr>
        <w:t>s</w:t>
      </w:r>
      <w:r w:rsidR="00875E3D">
        <w:rPr>
          <w:rFonts w:ascii="Times New Roman" w:hAnsi="Times New Roman" w:cs="Times New Roman"/>
          <w:sz w:val="24"/>
          <w:szCs w:val="24"/>
        </w:rPr>
        <w:t xml:space="preserve"> of</w:t>
      </w:r>
      <w:r w:rsidR="00EC1ABD">
        <w:rPr>
          <w:rFonts w:ascii="Times New Roman" w:hAnsi="Times New Roman" w:cs="Times New Roman"/>
          <w:sz w:val="24"/>
          <w:szCs w:val="24"/>
        </w:rPr>
        <w:t xml:space="preserve"> the</w:t>
      </w:r>
      <w:r w:rsidR="00875E3D">
        <w:rPr>
          <w:rFonts w:ascii="Times New Roman" w:hAnsi="Times New Roman" w:cs="Times New Roman"/>
          <w:sz w:val="24"/>
          <w:szCs w:val="24"/>
        </w:rPr>
        <w:t xml:space="preserve"> C</w:t>
      </w:r>
      <w:r w:rsidR="00FE129E">
        <w:rPr>
          <w:rFonts w:ascii="Times New Roman" w:hAnsi="Times New Roman" w:cs="Times New Roman"/>
          <w:sz w:val="24"/>
          <w:szCs w:val="24"/>
        </w:rPr>
        <w:t>OVID</w:t>
      </w:r>
      <w:r w:rsidR="00875E3D">
        <w:rPr>
          <w:rFonts w:ascii="Times New Roman" w:hAnsi="Times New Roman" w:cs="Times New Roman"/>
          <w:sz w:val="24"/>
          <w:szCs w:val="24"/>
        </w:rPr>
        <w:t>-19</w:t>
      </w:r>
      <w:r w:rsidR="00FE129E">
        <w:rPr>
          <w:rFonts w:ascii="Times New Roman" w:hAnsi="Times New Roman" w:cs="Times New Roman"/>
          <w:sz w:val="24"/>
          <w:szCs w:val="24"/>
        </w:rPr>
        <w:t xml:space="preserve"> pandemic on financial markets and institutions</w:t>
      </w:r>
      <w:r w:rsidR="00875E3D">
        <w:rPr>
          <w:rFonts w:ascii="Times New Roman" w:hAnsi="Times New Roman" w:cs="Times New Roman"/>
          <w:sz w:val="24"/>
          <w:szCs w:val="24"/>
        </w:rPr>
        <w:t xml:space="preserve"> ha</w:t>
      </w:r>
      <w:r w:rsidR="009F2A7F">
        <w:rPr>
          <w:rFonts w:ascii="Times New Roman" w:hAnsi="Times New Roman" w:cs="Times New Roman"/>
          <w:sz w:val="24"/>
          <w:szCs w:val="24"/>
        </w:rPr>
        <w:t>ve</w:t>
      </w:r>
      <w:r w:rsidR="00875E3D">
        <w:rPr>
          <w:rFonts w:ascii="Times New Roman" w:hAnsi="Times New Roman" w:cs="Times New Roman"/>
          <w:sz w:val="24"/>
          <w:szCs w:val="24"/>
        </w:rPr>
        <w:t xml:space="preserve"> been </w:t>
      </w:r>
      <w:r w:rsidR="00FE129E">
        <w:rPr>
          <w:rFonts w:ascii="Times New Roman" w:hAnsi="Times New Roman" w:cs="Times New Roman"/>
          <w:sz w:val="24"/>
          <w:szCs w:val="24"/>
        </w:rPr>
        <w:t xml:space="preserve">analyzed </w:t>
      </w:r>
      <w:r w:rsidR="009F2A7F">
        <w:rPr>
          <w:rFonts w:ascii="Times New Roman" w:hAnsi="Times New Roman" w:cs="Times New Roman"/>
          <w:sz w:val="24"/>
          <w:szCs w:val="24"/>
        </w:rPr>
        <w:t>in the recent literature from several sets of perspectives</w:t>
      </w:r>
      <w:r w:rsidR="00FE129E">
        <w:rPr>
          <w:rFonts w:ascii="Times New Roman" w:hAnsi="Times New Roman" w:cs="Times New Roman"/>
          <w:sz w:val="24"/>
          <w:szCs w:val="24"/>
        </w:rPr>
        <w:t xml:space="preserve">. </w:t>
      </w:r>
      <w:r w:rsidR="004C3191">
        <w:rPr>
          <w:rFonts w:ascii="Times New Roman" w:hAnsi="Times New Roman" w:cs="Times New Roman"/>
          <w:sz w:val="24"/>
          <w:szCs w:val="24"/>
        </w:rPr>
        <w:fldChar w:fldCharType="begin" w:fldLock="1"/>
      </w:r>
      <w:r w:rsidR="004C3191">
        <w:rPr>
          <w:rFonts w:ascii="Times New Roman" w:hAnsi="Times New Roman" w:cs="Times New Roman"/>
          <w:sz w:val="24"/>
          <w:szCs w:val="24"/>
        </w:rPr>
        <w:instrText>ADDIN CSL_CITATION {"citationItems":[{"id":"ITEM-1","itemData":{"DOI":"10.1016/j.frl.2020.101528","ISSN":"15446123","abstract":"The rapid spread of coronavirus (COVID-19) has dramatic impacts on financial markets all over the world. It has created an unprecedented level of risk, causing investors to suffer significant loses in a very short period of time. This paper aims to map the general patterns of country-specific risks and systemic risks in the global financial markets. It also analyses the potential consequence of policy interventions, such as the US’ decision to implement a zero-percent interest rate and unlimited quantitative easing (QE), and to what extent these policies may introduce further uncertainties into global financial markets.","author":[{"dropping-particle":"","family":"Zhang","given":"Dayong","non-dropping-particle":"","parse-names":false,"suffix":""},{"dropping-particle":"","family":"Hu","given":"Min","non-dropping-particle":"","parse-names":false,"suffix":""},{"dropping-particle":"","family":"Ji","given":"Qiang","non-dropping-particle":"","parse-names":false,"suffix":""}],"container-title":"Finance Research Letters","id":"ITEM-1","issued":{"date-parts":[["2020","4","16"]]},"page":"101528","publisher":"Elsevier Ltd","title":"Financial markets under the global pandemic of COVID-19","type":"article-journal"},"uris":["http://www.mendeley.com/documents/?uuid=1768af88-a3b4-39b8-92f0-c7a32d53b966"]}],"mendeley":{"formattedCitation":"(Zhang et al., 2020)","manualFormatting":"Zhang et al., (2020","plainTextFormattedCitation":"(Zhang et al., 2020)","previouslyFormattedCitation":"(Zhang et al., 2020)"},"properties":{"noteIndex":0},"schema":"https://github.com/citation-style-language/schema/raw/master/csl-citation.json"}</w:instrText>
      </w:r>
      <w:r w:rsidR="004C3191">
        <w:rPr>
          <w:rFonts w:ascii="Times New Roman" w:hAnsi="Times New Roman" w:cs="Times New Roman"/>
          <w:sz w:val="24"/>
          <w:szCs w:val="24"/>
        </w:rPr>
        <w:fldChar w:fldCharType="separate"/>
      </w:r>
      <w:r w:rsidR="004C3191" w:rsidRPr="004C3191">
        <w:rPr>
          <w:rFonts w:ascii="Times New Roman" w:hAnsi="Times New Roman" w:cs="Times New Roman"/>
          <w:noProof/>
          <w:sz w:val="24"/>
          <w:szCs w:val="24"/>
        </w:rPr>
        <w:t xml:space="preserve">Zhang et al., </w:t>
      </w:r>
      <w:r w:rsidR="004C3191">
        <w:rPr>
          <w:rFonts w:ascii="Times New Roman" w:hAnsi="Times New Roman" w:cs="Times New Roman"/>
          <w:noProof/>
          <w:sz w:val="24"/>
          <w:szCs w:val="24"/>
        </w:rPr>
        <w:t>(</w:t>
      </w:r>
      <w:r w:rsidR="004C3191" w:rsidRPr="004C3191">
        <w:rPr>
          <w:rFonts w:ascii="Times New Roman" w:hAnsi="Times New Roman" w:cs="Times New Roman"/>
          <w:noProof/>
          <w:sz w:val="24"/>
          <w:szCs w:val="24"/>
        </w:rPr>
        <w:t>2020</w:t>
      </w:r>
      <w:r w:rsidR="004C3191">
        <w:rPr>
          <w:rFonts w:ascii="Times New Roman" w:hAnsi="Times New Roman" w:cs="Times New Roman"/>
          <w:sz w:val="24"/>
          <w:szCs w:val="24"/>
        </w:rPr>
        <w:fldChar w:fldCharType="end"/>
      </w:r>
      <w:r w:rsidR="004C3191">
        <w:rPr>
          <w:rFonts w:ascii="Times New Roman" w:hAnsi="Times New Roman" w:cs="Times New Roman"/>
          <w:sz w:val="24"/>
          <w:szCs w:val="24"/>
        </w:rPr>
        <w:t>)</w:t>
      </w:r>
      <w:r w:rsidR="00FE129E">
        <w:rPr>
          <w:rFonts w:ascii="Times New Roman" w:hAnsi="Times New Roman" w:cs="Times New Roman"/>
          <w:sz w:val="24"/>
          <w:szCs w:val="24"/>
        </w:rPr>
        <w:t xml:space="preserve"> report </w:t>
      </w:r>
      <w:r w:rsidR="00C64637">
        <w:rPr>
          <w:rFonts w:ascii="Times New Roman" w:hAnsi="Times New Roman" w:cs="Times New Roman"/>
          <w:sz w:val="24"/>
          <w:szCs w:val="24"/>
        </w:rPr>
        <w:t xml:space="preserve">a </w:t>
      </w:r>
      <w:r w:rsidR="00FE129E">
        <w:rPr>
          <w:rFonts w:ascii="Times New Roman" w:hAnsi="Times New Roman" w:cs="Times New Roman"/>
          <w:sz w:val="24"/>
          <w:szCs w:val="24"/>
        </w:rPr>
        <w:t>substantial increase in volatility</w:t>
      </w:r>
      <w:r w:rsidR="00FE129E" w:rsidRPr="00FE129E">
        <w:t xml:space="preserve"> </w:t>
      </w:r>
      <w:r w:rsidR="00FE129E" w:rsidRPr="00FE129E">
        <w:rPr>
          <w:rFonts w:ascii="Times New Roman" w:hAnsi="Times New Roman" w:cs="Times New Roman"/>
          <w:sz w:val="24"/>
          <w:szCs w:val="24"/>
        </w:rPr>
        <w:t>in global markets due to the outbreak</w:t>
      </w:r>
      <w:r w:rsidR="00FE129E">
        <w:rPr>
          <w:rFonts w:ascii="Times New Roman" w:hAnsi="Times New Roman" w:cs="Times New Roman"/>
          <w:sz w:val="24"/>
          <w:szCs w:val="24"/>
        </w:rPr>
        <w:t xml:space="preserve"> of the COVID-19. </w:t>
      </w:r>
      <w:r w:rsidR="004C3191">
        <w:rPr>
          <w:rFonts w:ascii="Times New Roman" w:hAnsi="Times New Roman" w:cs="Times New Roman"/>
          <w:sz w:val="24"/>
          <w:szCs w:val="24"/>
        </w:rPr>
        <w:fldChar w:fldCharType="begin" w:fldLock="1"/>
      </w:r>
      <w:r w:rsidR="005C709D">
        <w:rPr>
          <w:rFonts w:ascii="Times New Roman" w:hAnsi="Times New Roman" w:cs="Times New Roman"/>
          <w:sz w:val="24"/>
          <w:szCs w:val="24"/>
        </w:rPr>
        <w:instrText>ADDIN CSL_CITATION {"citationItems":[{"id":"ITEM-1","itemData":{"DOI":"10.1016/j.frl.2020.101554","ISSN":"15446123","abstract":"At the beginning of the 2020 global COVID-2019 pandemic, Chinese financial markets acted as the epicentre of both physical and financial contagion. Our results indicate that a number of characteristics expected during a ”flight to safety” were present during the period analysed. The volatility relationship between the main Chinese stock markets and Bitcoin evolved significantly during this period of enormous financial stress. We provide a number of observations as to why this situation occurred. Such dynamic correlations during periods of stress present further evidence to cautiously support the validity of the development of this new financial product within mainstream portfolio design through the diversification benefits provided.","author":[{"dropping-particle":"","family":"Corbet","given":"Shaen","non-dropping-particle":"","parse-names":false,"suffix":""},{"dropping-particle":"","family":"Larkin","given":"Charles","non-dropping-particle":"","parse-names":false,"suffix":""},{"dropping-particle":"","family":"Lucey","given":"Brian","non-dropping-particle":"","parse-names":false,"suffix":""}],"container-title":"Finance Research Letters","id":"ITEM-1","issued":{"date-parts":[["2020","5","14"]]},"page":"101554","publisher":"Elsevier BV","title":"The contagion effects of the COVID-19 pandemic: Evidence from Gold and Cryptocurrencies","type":"article-journal"},"uris":["http://www.mendeley.com/documents/?uuid=83844ea4-559c-3b4d-aacc-de41936c5fc9"]}],"mendeley":{"formattedCitation":"(Corbet et al., 2020)","manualFormatting":"Corbet et al., (2020)","plainTextFormattedCitation":"(Corbet et al., 2020)","previouslyFormattedCitation":"(Corbet et al., 2020)"},"properties":{"noteIndex":0},"schema":"https://github.com/citation-style-language/schema/raw/master/csl-citation.json"}</w:instrText>
      </w:r>
      <w:r w:rsidR="004C3191">
        <w:rPr>
          <w:rFonts w:ascii="Times New Roman" w:hAnsi="Times New Roman" w:cs="Times New Roman"/>
          <w:sz w:val="24"/>
          <w:szCs w:val="24"/>
        </w:rPr>
        <w:fldChar w:fldCharType="separate"/>
      </w:r>
      <w:r w:rsidR="004C3191" w:rsidRPr="004C3191">
        <w:rPr>
          <w:rFonts w:ascii="Times New Roman" w:hAnsi="Times New Roman" w:cs="Times New Roman"/>
          <w:noProof/>
          <w:sz w:val="24"/>
          <w:szCs w:val="24"/>
        </w:rPr>
        <w:t xml:space="preserve">Corbet et al., </w:t>
      </w:r>
      <w:r w:rsidR="004C3191">
        <w:rPr>
          <w:rFonts w:ascii="Times New Roman" w:hAnsi="Times New Roman" w:cs="Times New Roman"/>
          <w:noProof/>
          <w:sz w:val="24"/>
          <w:szCs w:val="24"/>
        </w:rPr>
        <w:t>(</w:t>
      </w:r>
      <w:r w:rsidR="004C3191" w:rsidRPr="004C3191">
        <w:rPr>
          <w:rFonts w:ascii="Times New Roman" w:hAnsi="Times New Roman" w:cs="Times New Roman"/>
          <w:noProof/>
          <w:sz w:val="24"/>
          <w:szCs w:val="24"/>
        </w:rPr>
        <w:t>2020)</w:t>
      </w:r>
      <w:r w:rsidR="004C3191">
        <w:rPr>
          <w:rFonts w:ascii="Times New Roman" w:hAnsi="Times New Roman" w:cs="Times New Roman"/>
          <w:sz w:val="24"/>
          <w:szCs w:val="24"/>
        </w:rPr>
        <w:fldChar w:fldCharType="end"/>
      </w:r>
      <w:r w:rsidR="004C3191">
        <w:rPr>
          <w:rFonts w:ascii="Times New Roman" w:hAnsi="Times New Roman" w:cs="Times New Roman"/>
          <w:sz w:val="24"/>
          <w:szCs w:val="24"/>
        </w:rPr>
        <w:t xml:space="preserve"> </w:t>
      </w:r>
      <w:r w:rsidR="00FE129E">
        <w:rPr>
          <w:rFonts w:ascii="Times New Roman" w:hAnsi="Times New Roman" w:cs="Times New Roman"/>
          <w:sz w:val="24"/>
          <w:szCs w:val="24"/>
        </w:rPr>
        <w:t xml:space="preserve">explore the </w:t>
      </w:r>
      <w:r w:rsidR="00FE129E">
        <w:rPr>
          <w:rFonts w:ascii="Times New Roman" w:hAnsi="Times New Roman" w:cs="Times New Roman"/>
          <w:sz w:val="24"/>
          <w:szCs w:val="24"/>
        </w:rPr>
        <w:lastRenderedPageBreak/>
        <w:t xml:space="preserve">impact of </w:t>
      </w:r>
      <w:r w:rsidR="009F2A7F">
        <w:rPr>
          <w:rFonts w:ascii="Times New Roman" w:hAnsi="Times New Roman" w:cs="Times New Roman"/>
          <w:sz w:val="24"/>
          <w:szCs w:val="24"/>
        </w:rPr>
        <w:t>corporate</w:t>
      </w:r>
      <w:r w:rsidR="00D415F6">
        <w:rPr>
          <w:rFonts w:ascii="Times New Roman" w:hAnsi="Times New Roman" w:cs="Times New Roman"/>
          <w:sz w:val="24"/>
          <w:szCs w:val="24"/>
        </w:rPr>
        <w:t xml:space="preserve"> identity</w:t>
      </w:r>
      <w:r w:rsidR="009F2A7F">
        <w:rPr>
          <w:rFonts w:ascii="Times New Roman" w:hAnsi="Times New Roman" w:cs="Times New Roman"/>
          <w:sz w:val="24"/>
          <w:szCs w:val="24"/>
        </w:rPr>
        <w:t xml:space="preserve"> </w:t>
      </w:r>
      <w:r w:rsidR="00D415F6">
        <w:rPr>
          <w:rFonts w:ascii="Times New Roman" w:hAnsi="Times New Roman" w:cs="Times New Roman"/>
          <w:sz w:val="24"/>
          <w:szCs w:val="24"/>
        </w:rPr>
        <w:t>associations</w:t>
      </w:r>
      <w:r w:rsidR="009F2A7F">
        <w:rPr>
          <w:rFonts w:ascii="Times New Roman" w:hAnsi="Times New Roman" w:cs="Times New Roman"/>
          <w:sz w:val="24"/>
          <w:szCs w:val="24"/>
        </w:rPr>
        <w:t xml:space="preserve"> with</w:t>
      </w:r>
      <w:r w:rsidR="00FE129E">
        <w:rPr>
          <w:rFonts w:ascii="Times New Roman" w:hAnsi="Times New Roman" w:cs="Times New Roman"/>
          <w:sz w:val="24"/>
          <w:szCs w:val="24"/>
        </w:rPr>
        <w:t xml:space="preserve"> ‘corona’ on the stock performance </w:t>
      </w:r>
      <w:r w:rsidR="009F2A7F">
        <w:rPr>
          <w:rFonts w:ascii="Times New Roman" w:hAnsi="Times New Roman" w:cs="Times New Roman"/>
          <w:sz w:val="24"/>
          <w:szCs w:val="24"/>
        </w:rPr>
        <w:t xml:space="preserve">before and </w:t>
      </w:r>
      <w:r w:rsidR="00FE129E">
        <w:rPr>
          <w:rFonts w:ascii="Times New Roman" w:hAnsi="Times New Roman" w:cs="Times New Roman"/>
          <w:sz w:val="24"/>
          <w:szCs w:val="24"/>
        </w:rPr>
        <w:t>during the pandemic.</w:t>
      </w:r>
      <w:r w:rsidR="009F2A7F">
        <w:rPr>
          <w:rFonts w:ascii="Times New Roman" w:hAnsi="Times New Roman" w:cs="Times New Roman"/>
          <w:sz w:val="24"/>
          <w:szCs w:val="24"/>
        </w:rPr>
        <w:t xml:space="preserve"> </w:t>
      </w:r>
      <w:r w:rsidR="005C709D">
        <w:rPr>
          <w:rFonts w:ascii="Times New Roman" w:hAnsi="Times New Roman" w:cs="Times New Roman"/>
          <w:sz w:val="24"/>
          <w:szCs w:val="24"/>
        </w:rPr>
        <w:fldChar w:fldCharType="begin" w:fldLock="1"/>
      </w:r>
      <w:r w:rsidR="008976CA">
        <w:rPr>
          <w:rFonts w:ascii="Times New Roman" w:hAnsi="Times New Roman" w:cs="Times New Roman"/>
          <w:sz w:val="24"/>
          <w:szCs w:val="24"/>
        </w:rPr>
        <w:instrText>ADDIN CSL_CITATION {"citationItems":[{"id":"ITEM-1","itemData":{"DOI":"10.1016/j.frl.2020.101578","ISSN":"15446123","abstract":"During the ongoing COVID-19 pandemic in the US, there has been considerable media attention regarding several US legislators who traded stocks in late January through February 2020. The concern is that these legislators traded in anticipation of COVID-19 having a major impact on the financial markets, while publicly suggesting otherwise. We consider whether these legislator trades were in a time window, and of a nature, that would be consistent with trading ahead of the market. Towards this end, we assess the reactions of US industries to sudden COVID-related news announcements, concomitantly with an analysis of levels of investor attention to COVID. Results suggest that, at an industry-level, for legislator trading to be “ahead of the market” it needed to have been done prior to February 26, and involving the 15 industries we identify as having abnormal returns, especially medical and pharmaceutical products (positive); restaurants, hotels, and motels (negative); as well as services and utilities. These criteria are met by many of the legislator trades. Our results help to both parameterize concerns about this case of legislator trading; as well as provide insight into the reactions and expectations of investors toward COVID-19.","author":[{"dropping-particle":"","family":"Goodell","given":"John W.","non-dropping-particle":"","parse-names":false,"suffix":""},{"dropping-particle":"","family":"Huynh","given":"Toan Luu Duc","non-dropping-particle":"","parse-names":false,"suffix":""}],"container-title":"Finance Research Letters","id":"ITEM-1","issued":{"date-parts":[["2020","5","31"]]},"page":"101578","publisher":"Elsevier Ltd","title":"Did Congress trade ahead? Considering the reaction of US industries to COVID-19","type":"paper-conference"},"uris":["http://www.mendeley.com/documents/?uuid=4773c0b8-5494-37a6-a56a-c4e7f17ac65a"]}],"mendeley":{"formattedCitation":"(Goodell &amp; Huynh, 2020)","manualFormatting":"Goodell &amp; Huynh, (2020)","plainTextFormattedCitation":"(Goodell &amp; Huynh, 2020)","previouslyFormattedCitation":"(Goodell &amp; Huynh, 2020)"},"properties":{"noteIndex":0},"schema":"https://github.com/citation-style-language/schema/raw/master/csl-citation.json"}</w:instrText>
      </w:r>
      <w:r w:rsidR="005C709D">
        <w:rPr>
          <w:rFonts w:ascii="Times New Roman" w:hAnsi="Times New Roman" w:cs="Times New Roman"/>
          <w:sz w:val="24"/>
          <w:szCs w:val="24"/>
        </w:rPr>
        <w:fldChar w:fldCharType="separate"/>
      </w:r>
      <w:r w:rsidR="005C709D" w:rsidRPr="005C709D">
        <w:rPr>
          <w:rFonts w:ascii="Times New Roman" w:hAnsi="Times New Roman" w:cs="Times New Roman"/>
          <w:noProof/>
          <w:sz w:val="24"/>
          <w:szCs w:val="24"/>
        </w:rPr>
        <w:t xml:space="preserve">Goodell &amp; Huynh, </w:t>
      </w:r>
      <w:r w:rsidR="005C709D">
        <w:rPr>
          <w:rFonts w:ascii="Times New Roman" w:hAnsi="Times New Roman" w:cs="Times New Roman"/>
          <w:noProof/>
          <w:sz w:val="24"/>
          <w:szCs w:val="24"/>
        </w:rPr>
        <w:t>(</w:t>
      </w:r>
      <w:r w:rsidR="005C709D" w:rsidRPr="005C709D">
        <w:rPr>
          <w:rFonts w:ascii="Times New Roman" w:hAnsi="Times New Roman" w:cs="Times New Roman"/>
          <w:noProof/>
          <w:sz w:val="24"/>
          <w:szCs w:val="24"/>
        </w:rPr>
        <w:t>2020)</w:t>
      </w:r>
      <w:r w:rsidR="005C709D">
        <w:rPr>
          <w:rFonts w:ascii="Times New Roman" w:hAnsi="Times New Roman" w:cs="Times New Roman"/>
          <w:sz w:val="24"/>
          <w:szCs w:val="24"/>
        </w:rPr>
        <w:fldChar w:fldCharType="end"/>
      </w:r>
      <w:r w:rsidR="009F2A7F">
        <w:rPr>
          <w:rFonts w:ascii="Times New Roman" w:hAnsi="Times New Roman" w:cs="Times New Roman"/>
          <w:sz w:val="24"/>
          <w:szCs w:val="24"/>
        </w:rPr>
        <w:t xml:space="preserve"> </w:t>
      </w:r>
      <w:r w:rsidR="009F2A7F" w:rsidRPr="009F2A7F">
        <w:rPr>
          <w:rFonts w:ascii="Times New Roman" w:hAnsi="Times New Roman" w:cs="Times New Roman"/>
          <w:sz w:val="24"/>
          <w:szCs w:val="24"/>
        </w:rPr>
        <w:t xml:space="preserve">assess </w:t>
      </w:r>
      <w:r w:rsidR="009F2A7F">
        <w:rPr>
          <w:rFonts w:ascii="Times New Roman" w:hAnsi="Times New Roman" w:cs="Times New Roman"/>
          <w:sz w:val="24"/>
          <w:szCs w:val="24"/>
        </w:rPr>
        <w:t xml:space="preserve">the </w:t>
      </w:r>
      <w:r w:rsidR="009F2A7F" w:rsidRPr="009F2A7F">
        <w:rPr>
          <w:rFonts w:ascii="Times New Roman" w:hAnsi="Times New Roman" w:cs="Times New Roman"/>
          <w:sz w:val="24"/>
          <w:szCs w:val="24"/>
        </w:rPr>
        <w:t xml:space="preserve">US </w:t>
      </w:r>
      <w:r w:rsidR="009F2A7F">
        <w:rPr>
          <w:rFonts w:ascii="Times New Roman" w:hAnsi="Times New Roman" w:cs="Times New Roman"/>
          <w:sz w:val="24"/>
          <w:szCs w:val="24"/>
        </w:rPr>
        <w:t>i</w:t>
      </w:r>
      <w:r w:rsidR="009F2A7F" w:rsidRPr="009F2A7F">
        <w:rPr>
          <w:rFonts w:ascii="Times New Roman" w:hAnsi="Times New Roman" w:cs="Times New Roman"/>
          <w:sz w:val="24"/>
          <w:szCs w:val="24"/>
        </w:rPr>
        <w:t>ndustry-level market reactions to COVID-19</w:t>
      </w:r>
      <w:r w:rsidR="009F2A7F">
        <w:rPr>
          <w:rFonts w:ascii="Times New Roman" w:hAnsi="Times New Roman" w:cs="Times New Roman"/>
          <w:sz w:val="24"/>
          <w:szCs w:val="24"/>
        </w:rPr>
        <w:t xml:space="preserve"> pandemic and COVID-related news announcements. </w:t>
      </w:r>
      <w:r w:rsidR="008976CA">
        <w:rPr>
          <w:rFonts w:ascii="Times New Roman" w:hAnsi="Times New Roman" w:cs="Times New Roman"/>
          <w:sz w:val="24"/>
          <w:szCs w:val="24"/>
        </w:rPr>
        <w:fldChar w:fldCharType="begin" w:fldLock="1"/>
      </w:r>
      <w:r w:rsidR="00FD3C2E">
        <w:rPr>
          <w:rFonts w:ascii="Times New Roman" w:hAnsi="Times New Roman" w:cs="Times New Roman"/>
          <w:sz w:val="24"/>
          <w:szCs w:val="24"/>
        </w:rPr>
        <w:instrText>ADDIN CSL_CITATION {"citationItems":[{"id":"ITEM-1","itemData":{"DOI":"10.2139/ssrn.3586511","ISSN":"1556-5068","abstract":"This paper analyses herding in cryptocurrency markets in the time of the COVID-19 pandemic. We employ a combination of quantitative methods to hourly prices of the four most traded cryptocurrency markets-USD, EUR, JPY and KRW-for the period from 1st January 2019 to 13th March 2020. While there are several strong theoretical reasons to observe the \"black swan\" effect on cryptocurrency herding, our results suggest that COVID-19 does not amplify herding in cryptocurrency markets. In all markets studied, herding remains contingent on up or down markets days, but does not get stronger during the COVID-19. These results are important for cryptocurrency investors and regulators to enhance their understanding of cryptocurrency markets and the financial effects of the COVID-19 pandemic.","author":[{"dropping-particle":"","family":"Yarovaya","given":"Larisa","non-dropping-particle":"","parse-names":false,"suffix":""},{"dropping-particle":"","family":"Matkovskyy","given":"Roman","non-dropping-particle":"","parse-names":false,"suffix":""},{"dropping-particle":"","family":"Jalan","given":"Akanksha","non-dropping-particle":"","parse-names":false,"suffix":""}],"container-title":"SSRN Electronic Journal","id":"ITEM-1","issued":{"date-parts":[["2020","4","29"]]},"publisher":"Elsevier BV","title":"The Effects of a 'Black Swan' Event (COVID-19) on Herding Behavior in Cryptocurrency Markets: Evidence from Cryptocurrency USD, EUR, JPY and KRW Markets","type":"article-journal"},"uris":["http://www.mendeley.com/documents/?uuid=b8521d49-4c35-3932-b1ed-34d3ac984f25"]}],"mendeley":{"formattedCitation":"(Yarovaya, Matkovskyy, et al., 2020)","manualFormatting":"Yarovaya et al., (2020)","plainTextFormattedCitation":"(Yarovaya, Matkovskyy, et al., 2020)","previouslyFormattedCitation":"(Yarovaya, Matkovskyy, et al., 2020)"},"properties":{"noteIndex":0},"schema":"https://github.com/citation-style-language/schema/raw/master/csl-citation.json"}</w:instrText>
      </w:r>
      <w:r w:rsidR="008976CA">
        <w:rPr>
          <w:rFonts w:ascii="Times New Roman" w:hAnsi="Times New Roman" w:cs="Times New Roman"/>
          <w:sz w:val="24"/>
          <w:szCs w:val="24"/>
        </w:rPr>
        <w:fldChar w:fldCharType="separate"/>
      </w:r>
      <w:r w:rsidR="008976CA" w:rsidRPr="008976CA">
        <w:rPr>
          <w:rFonts w:ascii="Times New Roman" w:hAnsi="Times New Roman" w:cs="Times New Roman"/>
          <w:noProof/>
          <w:sz w:val="24"/>
          <w:szCs w:val="24"/>
        </w:rPr>
        <w:t xml:space="preserve">Yarovaya et al., </w:t>
      </w:r>
      <w:r w:rsidR="008976CA">
        <w:rPr>
          <w:rFonts w:ascii="Times New Roman" w:hAnsi="Times New Roman" w:cs="Times New Roman"/>
          <w:noProof/>
          <w:sz w:val="24"/>
          <w:szCs w:val="24"/>
        </w:rPr>
        <w:t>(</w:t>
      </w:r>
      <w:r w:rsidR="008976CA" w:rsidRPr="008976CA">
        <w:rPr>
          <w:rFonts w:ascii="Times New Roman" w:hAnsi="Times New Roman" w:cs="Times New Roman"/>
          <w:noProof/>
          <w:sz w:val="24"/>
          <w:szCs w:val="24"/>
        </w:rPr>
        <w:t>2020)</w:t>
      </w:r>
      <w:r w:rsidR="008976CA">
        <w:rPr>
          <w:rFonts w:ascii="Times New Roman" w:hAnsi="Times New Roman" w:cs="Times New Roman"/>
          <w:sz w:val="24"/>
          <w:szCs w:val="24"/>
        </w:rPr>
        <w:fldChar w:fldCharType="end"/>
      </w:r>
      <w:r w:rsidR="009F2A7F" w:rsidRPr="008976CA">
        <w:rPr>
          <w:rFonts w:ascii="Times New Roman" w:hAnsi="Times New Roman" w:cs="Times New Roman"/>
          <w:color w:val="FF0000"/>
          <w:sz w:val="24"/>
          <w:szCs w:val="24"/>
        </w:rPr>
        <w:t xml:space="preserve"> </w:t>
      </w:r>
      <w:r w:rsidR="009F2A7F">
        <w:rPr>
          <w:rFonts w:ascii="Times New Roman" w:hAnsi="Times New Roman" w:cs="Times New Roman"/>
          <w:sz w:val="24"/>
          <w:szCs w:val="24"/>
        </w:rPr>
        <w:t xml:space="preserve">analyze the </w:t>
      </w:r>
      <w:r w:rsidR="00032CF8">
        <w:rPr>
          <w:rFonts w:ascii="Times New Roman" w:hAnsi="Times New Roman" w:cs="Times New Roman"/>
          <w:sz w:val="24"/>
          <w:szCs w:val="24"/>
        </w:rPr>
        <w:t>response</w:t>
      </w:r>
      <w:r w:rsidR="009F2A7F">
        <w:rPr>
          <w:rFonts w:ascii="Times New Roman" w:hAnsi="Times New Roman" w:cs="Times New Roman"/>
          <w:sz w:val="24"/>
          <w:szCs w:val="24"/>
        </w:rPr>
        <w:t xml:space="preserve"> of </w:t>
      </w:r>
      <w:r w:rsidR="005C1766">
        <w:rPr>
          <w:rFonts w:ascii="Times New Roman" w:hAnsi="Times New Roman" w:cs="Times New Roman"/>
          <w:sz w:val="24"/>
          <w:szCs w:val="24"/>
        </w:rPr>
        <w:t>equity, bond, precious metals</w:t>
      </w:r>
      <w:r w:rsidR="00C64637">
        <w:rPr>
          <w:rFonts w:ascii="Times New Roman" w:hAnsi="Times New Roman" w:cs="Times New Roman"/>
          <w:sz w:val="24"/>
          <w:szCs w:val="24"/>
        </w:rPr>
        <w:t>,</w:t>
      </w:r>
      <w:r w:rsidR="005C1766">
        <w:rPr>
          <w:rFonts w:ascii="Times New Roman" w:hAnsi="Times New Roman" w:cs="Times New Roman"/>
          <w:sz w:val="24"/>
          <w:szCs w:val="24"/>
        </w:rPr>
        <w:t xml:space="preserve"> and cryptocurrency markets</w:t>
      </w:r>
      <w:r w:rsidR="00032CF8">
        <w:rPr>
          <w:rFonts w:ascii="Times New Roman" w:hAnsi="Times New Roman" w:cs="Times New Roman"/>
          <w:sz w:val="24"/>
          <w:szCs w:val="24"/>
        </w:rPr>
        <w:t xml:space="preserve"> to the COVID-19 shock, and results demonstrate heterogeneous patterns of reaction and recovery across different a</w:t>
      </w:r>
      <w:r w:rsidR="005C1766">
        <w:rPr>
          <w:rFonts w:ascii="Times New Roman" w:hAnsi="Times New Roman" w:cs="Times New Roman"/>
          <w:sz w:val="24"/>
          <w:szCs w:val="24"/>
        </w:rPr>
        <w:t xml:space="preserve">sset classes and within each class of assets. </w:t>
      </w:r>
      <w:r w:rsidR="008976CA">
        <w:rPr>
          <w:rFonts w:ascii="Times New Roman" w:hAnsi="Times New Roman" w:cs="Times New Roman"/>
          <w:sz w:val="24"/>
          <w:szCs w:val="24"/>
        </w:rPr>
        <w:fldChar w:fldCharType="begin" w:fldLock="1"/>
      </w:r>
      <w:r w:rsidR="008976CA">
        <w:rPr>
          <w:rFonts w:ascii="Times New Roman" w:hAnsi="Times New Roman" w:cs="Times New Roman"/>
          <w:sz w:val="24"/>
          <w:szCs w:val="24"/>
        </w:rPr>
        <w:instrText>ADDIN CSL_CITATION {"citationItems":[{"id":"ITEM-1","itemData":{"DOI":"10.2139/ssrn.3597144","abstract":"This paper highlights the enormous economic and social impact of COVID-19 with respect to articles that have either prognosticated such a large-scale event, and its economic consequences, or have assessed the impacts of other epidemics and pandemics. A consideration of possible impacts of COVID-19 on financial markets and institutions, either directly or indirectly, is briefly outlined by drawing on a variety of literatures. A consideration of the characteristics of COVID-19, along with what research suggests have been the impacts of other past events that in some ways roughly parallel COVID-19, points toward avenues of future investigation.","author":[{"dropping-particle":"","family":"Goodell","given":"John W.","non-dropping-particle":"","parse-names":false,"suffix":""},{"dropping-particle":"","family":"Goutte","given":"Stephane","non-dropping-particle":"","parse-names":false,"suffix":""}],"container-title":"SSRN Electronic Journal","id":"ITEM-1","issued":{"date-parts":[["2020","5","12"]]},"publisher":"Elsevier BV","title":"Co-Movement of COVID-19 and Bitcoin: Evidence from Wavelet Coherence Analysis","type":"article-journal"},"uris":["http://www.mendeley.com/documents/?uuid=58ba5dba-e705-398f-9cbd-027c916edd65"]}],"mendeley":{"formattedCitation":"(Goodell &amp; Goutte, 2020)","manualFormatting":"Goodell &amp; Goutte, (2020)","plainTextFormattedCitation":"(Goodell &amp; Goutte, 2020)","previouslyFormattedCitation":"(Goodell &amp; Goutte, 2020)"},"properties":{"noteIndex":0},"schema":"https://github.com/citation-style-language/schema/raw/master/csl-citation.json"}</w:instrText>
      </w:r>
      <w:r w:rsidR="008976CA">
        <w:rPr>
          <w:rFonts w:ascii="Times New Roman" w:hAnsi="Times New Roman" w:cs="Times New Roman"/>
          <w:sz w:val="24"/>
          <w:szCs w:val="24"/>
        </w:rPr>
        <w:fldChar w:fldCharType="separate"/>
      </w:r>
      <w:r w:rsidR="008976CA" w:rsidRPr="008976CA">
        <w:rPr>
          <w:rFonts w:ascii="Times New Roman" w:hAnsi="Times New Roman" w:cs="Times New Roman"/>
          <w:noProof/>
          <w:sz w:val="24"/>
          <w:szCs w:val="24"/>
        </w:rPr>
        <w:t xml:space="preserve">Goodell &amp; Goutte, </w:t>
      </w:r>
      <w:r w:rsidR="008976CA">
        <w:rPr>
          <w:rFonts w:ascii="Times New Roman" w:hAnsi="Times New Roman" w:cs="Times New Roman"/>
          <w:noProof/>
          <w:sz w:val="24"/>
          <w:szCs w:val="24"/>
        </w:rPr>
        <w:t>(</w:t>
      </w:r>
      <w:r w:rsidR="008976CA" w:rsidRPr="008976CA">
        <w:rPr>
          <w:rFonts w:ascii="Times New Roman" w:hAnsi="Times New Roman" w:cs="Times New Roman"/>
          <w:noProof/>
          <w:sz w:val="24"/>
          <w:szCs w:val="24"/>
        </w:rPr>
        <w:t>2020)</w:t>
      </w:r>
      <w:r w:rsidR="008976CA">
        <w:rPr>
          <w:rFonts w:ascii="Times New Roman" w:hAnsi="Times New Roman" w:cs="Times New Roman"/>
          <w:sz w:val="24"/>
          <w:szCs w:val="24"/>
        </w:rPr>
        <w:fldChar w:fldCharType="end"/>
      </w:r>
      <w:r w:rsidR="008976CA">
        <w:rPr>
          <w:rFonts w:ascii="Times New Roman" w:hAnsi="Times New Roman" w:cs="Times New Roman"/>
          <w:sz w:val="24"/>
          <w:szCs w:val="24"/>
        </w:rPr>
        <w:t xml:space="preserve"> </w:t>
      </w:r>
      <w:r w:rsidR="005C1766">
        <w:rPr>
          <w:rFonts w:ascii="Times New Roman" w:hAnsi="Times New Roman" w:cs="Times New Roman"/>
          <w:sz w:val="24"/>
          <w:szCs w:val="24"/>
        </w:rPr>
        <w:t xml:space="preserve"> employed </w:t>
      </w:r>
      <w:r w:rsidR="00C64637">
        <w:rPr>
          <w:rFonts w:ascii="Times New Roman" w:hAnsi="Times New Roman" w:cs="Times New Roman"/>
          <w:sz w:val="24"/>
          <w:szCs w:val="24"/>
        </w:rPr>
        <w:t xml:space="preserve">a </w:t>
      </w:r>
      <w:r w:rsidR="005C1766">
        <w:rPr>
          <w:rFonts w:ascii="Times New Roman" w:hAnsi="Times New Roman" w:cs="Times New Roman"/>
          <w:sz w:val="24"/>
          <w:szCs w:val="24"/>
        </w:rPr>
        <w:t xml:space="preserve">wavelet coherence approach to investigate the Bitcoin reaction to the COVID-19 pandemic. </w:t>
      </w:r>
      <w:r w:rsidR="00EC1ABD">
        <w:rPr>
          <w:rFonts w:ascii="Times New Roman" w:hAnsi="Times New Roman" w:cs="Times New Roman"/>
          <w:sz w:val="24"/>
          <w:szCs w:val="24"/>
        </w:rPr>
        <w:t>The results indicate that during the peak of the pandemic, from 5</w:t>
      </w:r>
      <w:r w:rsidR="00EC1ABD" w:rsidRPr="00EC1ABD">
        <w:rPr>
          <w:rFonts w:ascii="Times New Roman" w:hAnsi="Times New Roman" w:cs="Times New Roman"/>
          <w:sz w:val="24"/>
          <w:szCs w:val="24"/>
          <w:vertAlign w:val="superscript"/>
        </w:rPr>
        <w:t>th</w:t>
      </w:r>
      <w:r w:rsidR="00EC1ABD">
        <w:rPr>
          <w:rFonts w:ascii="Times New Roman" w:hAnsi="Times New Roman" w:cs="Times New Roman"/>
          <w:sz w:val="24"/>
          <w:szCs w:val="24"/>
        </w:rPr>
        <w:t xml:space="preserve"> April to 29</w:t>
      </w:r>
      <w:r w:rsidR="00EC1ABD" w:rsidRPr="00EC1ABD">
        <w:rPr>
          <w:rFonts w:ascii="Times New Roman" w:hAnsi="Times New Roman" w:cs="Times New Roman"/>
          <w:sz w:val="24"/>
          <w:szCs w:val="24"/>
          <w:vertAlign w:val="superscript"/>
        </w:rPr>
        <w:t>th</w:t>
      </w:r>
      <w:r w:rsidR="00EC1ABD">
        <w:rPr>
          <w:rFonts w:ascii="Times New Roman" w:hAnsi="Times New Roman" w:cs="Times New Roman"/>
          <w:sz w:val="24"/>
          <w:szCs w:val="24"/>
        </w:rPr>
        <w:t xml:space="preserve"> April 2020,</w:t>
      </w:r>
      <w:r w:rsidR="00EC1ABD" w:rsidRPr="00EC1ABD">
        <w:t xml:space="preserve"> </w:t>
      </w:r>
      <w:r w:rsidR="00EC1ABD">
        <w:rPr>
          <w:rFonts w:ascii="Times New Roman" w:hAnsi="Times New Roman" w:cs="Times New Roman"/>
          <w:sz w:val="24"/>
          <w:szCs w:val="24"/>
        </w:rPr>
        <w:t>the</w:t>
      </w:r>
      <w:r w:rsidR="00EC1ABD" w:rsidRPr="00EC1ABD">
        <w:rPr>
          <w:rFonts w:ascii="Times New Roman" w:hAnsi="Times New Roman" w:cs="Times New Roman"/>
          <w:sz w:val="24"/>
          <w:szCs w:val="24"/>
        </w:rPr>
        <w:t xml:space="preserve"> levels of COVID-19 caused a rise in Bitcoin prices.</w:t>
      </w:r>
      <w:r w:rsidR="00EC1ABD">
        <w:rPr>
          <w:rFonts w:ascii="Times New Roman" w:hAnsi="Times New Roman" w:cs="Times New Roman"/>
          <w:sz w:val="24"/>
          <w:szCs w:val="24"/>
        </w:rPr>
        <w:t xml:space="preserve"> </w:t>
      </w:r>
      <w:r w:rsidR="00C64637">
        <w:rPr>
          <w:rFonts w:ascii="Times New Roman" w:hAnsi="Times New Roman" w:cs="Times New Roman"/>
          <w:sz w:val="24"/>
          <w:szCs w:val="24"/>
        </w:rPr>
        <w:t>A s</w:t>
      </w:r>
      <w:r w:rsidR="005C1766">
        <w:rPr>
          <w:rFonts w:ascii="Times New Roman" w:hAnsi="Times New Roman" w:cs="Times New Roman"/>
          <w:sz w:val="24"/>
          <w:szCs w:val="24"/>
        </w:rPr>
        <w:t xml:space="preserve">imilar approach used by </w:t>
      </w:r>
      <w:r w:rsidR="008976CA">
        <w:rPr>
          <w:rFonts w:ascii="Times New Roman" w:hAnsi="Times New Roman" w:cs="Times New Roman"/>
          <w:sz w:val="24"/>
          <w:szCs w:val="24"/>
        </w:rPr>
        <w:fldChar w:fldCharType="begin" w:fldLock="1"/>
      </w:r>
      <w:r w:rsidR="008976CA">
        <w:rPr>
          <w:rFonts w:ascii="Times New Roman" w:hAnsi="Times New Roman" w:cs="Times New Roman"/>
          <w:sz w:val="24"/>
          <w:szCs w:val="24"/>
        </w:rPr>
        <w:instrText>ADDIN CSL_CITATION {"citationItems":[{"id":"ITEM-1","itemData":{"DOI":"10.1016/j.irfa.2020.101496","ISSN":"10575219","abstract":"In this paper, we analyze the connectedness between the recent spread of COVID-19, oil price volatility shock, the stock market, geopolitical risk and economic policy uncertainty in the US within a time-frequency framework. The coherence wavelet method and the wavelet-based Granger causality tests applied to US recent daily data unveil the unprecedented impact of COVID-19 and oil price shocks on the geopolitical risk levels, economic policy uncertainty and stock market volatility over the low frequency bands. The effect of the COVID-19 on the geopolitical risk substantially higher than on the US economic uncertainty. The COVID-19 risk is perceived differently over the short and the long-run and may be firstly viewed as an economic crisis. Our study offers several urgent prominent implications and endorsements for policymakers and asset managers.","author":[{"dropping-particle":"","family":"Sharif","given":"Arshian","non-dropping-particle":"","parse-names":false,"suffix":""},{"dropping-particle":"","family":"Aloui","given":"Chaker","non-dropping-particle":"","parse-names":false,"suffix":""},{"dropping-particle":"","family":"Yarovaya","given":"Larisa","non-dropping-particle":"","parse-names":false,"suffix":""}],"container-title":"International Review of Financial Analysis","id":"ITEM-1","issued":{"date-parts":[["2020","5","1"]]},"page":"101496","publisher":"Elsevier BV","title":"COVID-19 pandemic, oil prices, stock market, geopolitical risk and policy uncertainty nexus in the US economy: Fresh evidence from the wavelet-based approach","type":"article-journal","volume":"70"},"uris":["http://www.mendeley.com/documents/?uuid=9458658a-9d87-3c57-9b2a-9c8d2cd3123e"]}],"mendeley":{"formattedCitation":"(Sharif et al., 2020)","manualFormatting":"Sharif et al., (2020)","plainTextFormattedCitation":"(Sharif et al., 2020)","previouslyFormattedCitation":"(Sharif et al., 2020)"},"properties":{"noteIndex":0},"schema":"https://github.com/citation-style-language/schema/raw/master/csl-citation.json"}</w:instrText>
      </w:r>
      <w:r w:rsidR="008976CA">
        <w:rPr>
          <w:rFonts w:ascii="Times New Roman" w:hAnsi="Times New Roman" w:cs="Times New Roman"/>
          <w:sz w:val="24"/>
          <w:szCs w:val="24"/>
        </w:rPr>
        <w:fldChar w:fldCharType="separate"/>
      </w:r>
      <w:r w:rsidR="008976CA" w:rsidRPr="008976CA">
        <w:rPr>
          <w:rFonts w:ascii="Times New Roman" w:hAnsi="Times New Roman" w:cs="Times New Roman"/>
          <w:noProof/>
          <w:sz w:val="24"/>
          <w:szCs w:val="24"/>
        </w:rPr>
        <w:t xml:space="preserve">Sharif et al., </w:t>
      </w:r>
      <w:r w:rsidR="008976CA">
        <w:rPr>
          <w:rFonts w:ascii="Times New Roman" w:hAnsi="Times New Roman" w:cs="Times New Roman"/>
          <w:noProof/>
          <w:sz w:val="24"/>
          <w:szCs w:val="24"/>
        </w:rPr>
        <w:t>(</w:t>
      </w:r>
      <w:r w:rsidR="008976CA" w:rsidRPr="008976CA">
        <w:rPr>
          <w:rFonts w:ascii="Times New Roman" w:hAnsi="Times New Roman" w:cs="Times New Roman"/>
          <w:noProof/>
          <w:sz w:val="24"/>
          <w:szCs w:val="24"/>
        </w:rPr>
        <w:t>2020)</w:t>
      </w:r>
      <w:r w:rsidR="008976CA">
        <w:rPr>
          <w:rFonts w:ascii="Times New Roman" w:hAnsi="Times New Roman" w:cs="Times New Roman"/>
          <w:sz w:val="24"/>
          <w:szCs w:val="24"/>
        </w:rPr>
        <w:fldChar w:fldCharType="end"/>
      </w:r>
      <w:r w:rsidR="005C1766">
        <w:rPr>
          <w:rFonts w:ascii="Times New Roman" w:hAnsi="Times New Roman" w:cs="Times New Roman"/>
          <w:sz w:val="24"/>
          <w:szCs w:val="24"/>
        </w:rPr>
        <w:t xml:space="preserve"> in </w:t>
      </w:r>
      <w:r w:rsidR="00C64637">
        <w:rPr>
          <w:rFonts w:ascii="Times New Roman" w:hAnsi="Times New Roman" w:cs="Times New Roman"/>
          <w:sz w:val="24"/>
          <w:szCs w:val="24"/>
        </w:rPr>
        <w:t xml:space="preserve">the </w:t>
      </w:r>
      <w:r w:rsidR="005C1766">
        <w:rPr>
          <w:rFonts w:ascii="Times New Roman" w:hAnsi="Times New Roman" w:cs="Times New Roman"/>
          <w:sz w:val="24"/>
          <w:szCs w:val="24"/>
        </w:rPr>
        <w:t xml:space="preserve">analysis of the impact of the COVID-19, EPU, geopolitical index and oil price on the US stock markets in </w:t>
      </w:r>
      <w:r w:rsidR="00C64637">
        <w:rPr>
          <w:rFonts w:ascii="Times New Roman" w:hAnsi="Times New Roman" w:cs="Times New Roman"/>
          <w:sz w:val="24"/>
          <w:szCs w:val="24"/>
        </w:rPr>
        <w:t xml:space="preserve">the </w:t>
      </w:r>
      <w:r w:rsidR="005C1766">
        <w:rPr>
          <w:rFonts w:ascii="Times New Roman" w:hAnsi="Times New Roman" w:cs="Times New Roman"/>
          <w:sz w:val="24"/>
          <w:szCs w:val="24"/>
        </w:rPr>
        <w:t>first three months of the pandemic</w:t>
      </w:r>
      <w:r w:rsidR="00EC1ABD">
        <w:rPr>
          <w:rFonts w:ascii="Times New Roman" w:hAnsi="Times New Roman" w:cs="Times New Roman"/>
          <w:sz w:val="24"/>
          <w:szCs w:val="24"/>
        </w:rPr>
        <w:t>, from 21</w:t>
      </w:r>
      <w:r w:rsidR="00EC1ABD" w:rsidRPr="00EC1ABD">
        <w:rPr>
          <w:rFonts w:ascii="Times New Roman" w:hAnsi="Times New Roman" w:cs="Times New Roman"/>
          <w:sz w:val="24"/>
          <w:szCs w:val="24"/>
          <w:vertAlign w:val="superscript"/>
        </w:rPr>
        <w:t>st</w:t>
      </w:r>
      <w:r w:rsidR="00EC1ABD">
        <w:rPr>
          <w:rFonts w:ascii="Times New Roman" w:hAnsi="Times New Roman" w:cs="Times New Roman"/>
          <w:sz w:val="24"/>
          <w:szCs w:val="24"/>
        </w:rPr>
        <w:t xml:space="preserve"> January to 30</w:t>
      </w:r>
      <w:r w:rsidR="00EC1ABD" w:rsidRPr="00EC1ABD">
        <w:rPr>
          <w:rFonts w:ascii="Times New Roman" w:hAnsi="Times New Roman" w:cs="Times New Roman"/>
          <w:sz w:val="24"/>
          <w:szCs w:val="24"/>
          <w:vertAlign w:val="superscript"/>
        </w:rPr>
        <w:t>th</w:t>
      </w:r>
      <w:r w:rsidR="00EC1ABD">
        <w:rPr>
          <w:rFonts w:ascii="Times New Roman" w:hAnsi="Times New Roman" w:cs="Times New Roman"/>
          <w:sz w:val="24"/>
          <w:szCs w:val="24"/>
        </w:rPr>
        <w:t xml:space="preserve"> March 2020</w:t>
      </w:r>
      <w:r w:rsidR="005C1766">
        <w:rPr>
          <w:rFonts w:ascii="Times New Roman" w:hAnsi="Times New Roman" w:cs="Times New Roman"/>
          <w:sz w:val="24"/>
          <w:szCs w:val="24"/>
        </w:rPr>
        <w:t xml:space="preserve">. </w:t>
      </w:r>
      <w:r w:rsidR="00EC1ABD">
        <w:rPr>
          <w:rFonts w:ascii="Times New Roman" w:hAnsi="Times New Roman" w:cs="Times New Roman"/>
          <w:sz w:val="24"/>
          <w:szCs w:val="24"/>
        </w:rPr>
        <w:t xml:space="preserve">Results show that oil shock hit the US stock markets stronger than the spread of the COVID-19 virus itself. </w:t>
      </w:r>
    </w:p>
    <w:p w14:paraId="594D0B68" w14:textId="65AF1526" w:rsidR="005C1766" w:rsidRDefault="00EC1ABD" w:rsidP="00EC1ABD">
      <w:pPr>
        <w:spacing w:after="0" w:line="480" w:lineRule="auto"/>
        <w:ind w:firstLine="720"/>
        <w:jc w:val="both"/>
        <w:rPr>
          <w:rFonts w:ascii="Times New Roman" w:hAnsi="Times New Roman" w:cs="Times New Roman"/>
          <w:sz w:val="24"/>
          <w:szCs w:val="24"/>
        </w:rPr>
      </w:pPr>
      <w:r w:rsidRPr="00EC1ABD">
        <w:rPr>
          <w:rFonts w:ascii="Times New Roman" w:hAnsi="Times New Roman" w:cs="Times New Roman"/>
          <w:sz w:val="24"/>
          <w:szCs w:val="24"/>
        </w:rPr>
        <w:t xml:space="preserve">The </w:t>
      </w:r>
      <w:r w:rsidR="00C64637">
        <w:rPr>
          <w:rFonts w:ascii="Times New Roman" w:hAnsi="Times New Roman" w:cs="Times New Roman"/>
          <w:sz w:val="24"/>
          <w:szCs w:val="24"/>
        </w:rPr>
        <w:t>economic</w:t>
      </w:r>
      <w:r w:rsidRPr="00EC1ABD">
        <w:rPr>
          <w:rFonts w:ascii="Times New Roman" w:hAnsi="Times New Roman" w:cs="Times New Roman"/>
          <w:sz w:val="24"/>
          <w:szCs w:val="24"/>
        </w:rPr>
        <w:t xml:space="preserve"> effect</w:t>
      </w:r>
      <w:r>
        <w:rPr>
          <w:rFonts w:ascii="Times New Roman" w:hAnsi="Times New Roman" w:cs="Times New Roman"/>
          <w:sz w:val="24"/>
          <w:szCs w:val="24"/>
        </w:rPr>
        <w:t>s</w:t>
      </w:r>
      <w:r w:rsidRPr="00EC1ABD">
        <w:rPr>
          <w:rFonts w:ascii="Times New Roman" w:hAnsi="Times New Roman" w:cs="Times New Roman"/>
          <w:sz w:val="24"/>
          <w:szCs w:val="24"/>
        </w:rPr>
        <w:t xml:space="preserve"> originated by the COVID-19 pandemic has </w:t>
      </w:r>
      <w:r w:rsidR="00C64637">
        <w:rPr>
          <w:rFonts w:ascii="Times New Roman" w:hAnsi="Times New Roman" w:cs="Times New Roman"/>
          <w:sz w:val="24"/>
          <w:szCs w:val="24"/>
        </w:rPr>
        <w:t>been</w:t>
      </w:r>
      <w:r w:rsidRPr="00EC1ABD">
        <w:rPr>
          <w:rFonts w:ascii="Times New Roman" w:hAnsi="Times New Roman" w:cs="Times New Roman"/>
          <w:sz w:val="24"/>
          <w:szCs w:val="24"/>
        </w:rPr>
        <w:t xml:space="preserve"> explored across stock markets, commodities, and cryptocurrencies (</w:t>
      </w:r>
      <w:proofErr w:type="spellStart"/>
      <w:r w:rsidR="008976CA">
        <w:rPr>
          <w:rFonts w:ascii="Times New Roman" w:hAnsi="Times New Roman" w:cs="Times New Roman"/>
          <w:sz w:val="24"/>
          <w:szCs w:val="24"/>
        </w:rPr>
        <w:fldChar w:fldCharType="begin" w:fldLock="1"/>
      </w:r>
      <w:r w:rsidR="008976CA">
        <w:rPr>
          <w:rFonts w:ascii="Times New Roman" w:hAnsi="Times New Roman" w:cs="Times New Roman"/>
          <w:sz w:val="24"/>
          <w:szCs w:val="24"/>
        </w:rPr>
        <w:instrText>ADDIN CSL_CITATION {"citationItems":[{"id":"ITEM-1","itemData":{"DOI":"10.1016/j.frl.2020.101604","ISSN":"15446123","author":[{"dropping-particle":"","family":"Akhtaruzzaman","given":"Md","non-dropping-particle":"","parse-names":false,"suffix":""},{"dropping-particle":"","family":"Boubaker","given":"Sabri","non-dropping-particle":"","parse-names":false,"suffix":""},{"dropping-particle":"","family":"Sensoy","given":"Ahmet","non-dropping-particle":"","parse-names":false,"suffix":""}],"container-title":"Finance Research Letters","id":"ITEM-1","issued":{"date-parts":[["2020","5","23"]]},"page":"101604","publisher":"Elsevier","title":"Financial contagion during COVID–19 crisis","type":"article-journal"},"uris":["http://www.mendeley.com/documents/?uuid=8f94d354-0dee-3067-af58-7b06448310ca"]}],"mendeley":{"formattedCitation":"(Akhtaruzzaman et al., 2020)","plainTextFormattedCitation":"(Akhtaruzzaman et al., 2020)","previouslyFormattedCitation":"(Akhtaruzzaman et al., 2020)"},"properties":{"noteIndex":0},"schema":"https://github.com/citation-style-language/schema/raw/master/csl-citation.json"}</w:instrText>
      </w:r>
      <w:r w:rsidR="008976CA">
        <w:rPr>
          <w:rFonts w:ascii="Times New Roman" w:hAnsi="Times New Roman" w:cs="Times New Roman"/>
          <w:sz w:val="24"/>
          <w:szCs w:val="24"/>
        </w:rPr>
        <w:fldChar w:fldCharType="separate"/>
      </w:r>
      <w:r w:rsidR="008976CA" w:rsidRPr="008976CA">
        <w:rPr>
          <w:rFonts w:ascii="Times New Roman" w:hAnsi="Times New Roman" w:cs="Times New Roman"/>
          <w:noProof/>
          <w:sz w:val="24"/>
          <w:szCs w:val="24"/>
        </w:rPr>
        <w:t>Akhtaruzzaman</w:t>
      </w:r>
      <w:proofErr w:type="spellEnd"/>
      <w:r w:rsidR="008976CA" w:rsidRPr="008976CA">
        <w:rPr>
          <w:rFonts w:ascii="Times New Roman" w:hAnsi="Times New Roman" w:cs="Times New Roman"/>
          <w:noProof/>
          <w:sz w:val="24"/>
          <w:szCs w:val="24"/>
        </w:rPr>
        <w:t xml:space="preserve"> et al.,</w:t>
      </w:r>
      <w:r w:rsidR="008566F9">
        <w:rPr>
          <w:rFonts w:ascii="Times New Roman" w:hAnsi="Times New Roman" w:cs="Times New Roman"/>
          <w:noProof/>
          <w:sz w:val="24"/>
          <w:szCs w:val="24"/>
        </w:rPr>
        <w:t xml:space="preserve"> </w:t>
      </w:r>
      <w:r w:rsidR="008976CA" w:rsidRPr="008976CA">
        <w:rPr>
          <w:rFonts w:ascii="Times New Roman" w:hAnsi="Times New Roman" w:cs="Times New Roman"/>
          <w:noProof/>
          <w:sz w:val="24"/>
          <w:szCs w:val="24"/>
        </w:rPr>
        <w:t>2020</w:t>
      </w:r>
      <w:r w:rsidR="008976CA">
        <w:rPr>
          <w:rFonts w:ascii="Times New Roman" w:hAnsi="Times New Roman" w:cs="Times New Roman"/>
          <w:sz w:val="24"/>
          <w:szCs w:val="24"/>
        </w:rPr>
        <w:fldChar w:fldCharType="end"/>
      </w:r>
      <w:r w:rsidRPr="00EC1ABD">
        <w:rPr>
          <w:rFonts w:ascii="Times New Roman" w:hAnsi="Times New Roman" w:cs="Times New Roman"/>
          <w:sz w:val="24"/>
          <w:szCs w:val="24"/>
        </w:rPr>
        <w:t>;</w:t>
      </w:r>
      <w:r w:rsidR="008976CA">
        <w:rPr>
          <w:rFonts w:ascii="Times New Roman" w:hAnsi="Times New Roman" w:cs="Times New Roman"/>
          <w:sz w:val="24"/>
          <w:szCs w:val="24"/>
        </w:rPr>
        <w:t xml:space="preserve"> </w:t>
      </w:r>
      <w:r w:rsidR="008976CA">
        <w:rPr>
          <w:rFonts w:ascii="Times New Roman" w:hAnsi="Times New Roman" w:cs="Times New Roman"/>
          <w:sz w:val="24"/>
          <w:szCs w:val="24"/>
        </w:rPr>
        <w:fldChar w:fldCharType="begin" w:fldLock="1"/>
      </w:r>
      <w:r w:rsidR="008976CA">
        <w:rPr>
          <w:rFonts w:ascii="Times New Roman" w:hAnsi="Times New Roman" w:cs="Times New Roman"/>
          <w:sz w:val="24"/>
          <w:szCs w:val="24"/>
        </w:rPr>
        <w:instrText>ADDIN CSL_CITATION {"citationItems":[{"id":"ITEM-1","itemData":{"DOI":"10.1016/j.frl.2020.101554","ISSN":"15446123","abstract":"At the beginning of the 2020 global COVID-2019 pandemic, Chinese financial markets acted as the epicentre of both physical and financial contagion. Our results indicate that a number of characteristics expected during a ”flight to safety” were present during the period analysed. The volatility relationship between the main Chinese stock markets and Bitcoin evolved significantly during this period of enormous financial stress. We provide a number of observations as to why this situation occurred. Such dynamic correlations during periods of stress present further evidence to cautiously support the validity of the development of this new financial product within mainstream portfolio design through the diversification benefits provided.","author":[{"dropping-particle":"","family":"Corbet","given":"Shaen","non-dropping-particle":"","parse-names":false,"suffix":""},{"dropping-particle":"","family":"Larkin","given":"Charles","non-dropping-particle":"","parse-names":false,"suffix":""},{"dropping-particle":"","family":"Lucey","given":"Brian","non-dropping-particle":"","parse-names":false,"suffix":""}],"container-title":"Finance Research Letters","id":"ITEM-1","issued":{"date-parts":[["2020","5","14"]]},"page":"101554","publisher":"Elsevier BV","title":"The contagion effects of the COVID-19 pandemic: Evidence from Gold and Cryptocurrencies","type":"article-journal"},"uris":["http://www.mendeley.com/documents/?uuid=83844ea4-559c-3b4d-aacc-de41936c5fc9"]}],"mendeley":{"formattedCitation":"(Corbet et al., 2020)","plainTextFormattedCitation":"(Corbet et al., 2020)","previouslyFormattedCitation":"(Corbet et al., 2020)"},"properties":{"noteIndex":0},"schema":"https://github.com/citation-style-language/schema/raw/master/csl-citation.json"}</w:instrText>
      </w:r>
      <w:r w:rsidR="008976CA">
        <w:rPr>
          <w:rFonts w:ascii="Times New Roman" w:hAnsi="Times New Roman" w:cs="Times New Roman"/>
          <w:sz w:val="24"/>
          <w:szCs w:val="24"/>
        </w:rPr>
        <w:fldChar w:fldCharType="separate"/>
      </w:r>
      <w:r w:rsidR="008976CA" w:rsidRPr="008976CA">
        <w:rPr>
          <w:rFonts w:ascii="Times New Roman" w:hAnsi="Times New Roman" w:cs="Times New Roman"/>
          <w:noProof/>
          <w:sz w:val="24"/>
          <w:szCs w:val="24"/>
          <w:lang w:val="fr-FR"/>
        </w:rPr>
        <w:t>Corbet et al., 2020)</w:t>
      </w:r>
      <w:r w:rsidR="008976CA">
        <w:rPr>
          <w:rFonts w:ascii="Times New Roman" w:hAnsi="Times New Roman" w:cs="Times New Roman"/>
          <w:sz w:val="24"/>
          <w:szCs w:val="24"/>
        </w:rPr>
        <w:fldChar w:fldCharType="end"/>
      </w:r>
      <w:r w:rsidRPr="008976CA">
        <w:rPr>
          <w:rFonts w:ascii="Times New Roman" w:hAnsi="Times New Roman" w:cs="Times New Roman"/>
          <w:sz w:val="24"/>
          <w:szCs w:val="24"/>
          <w:lang w:val="fr-FR"/>
        </w:rPr>
        <w:t xml:space="preserve">. </w:t>
      </w:r>
      <w:r w:rsidR="005C1766">
        <w:rPr>
          <w:rFonts w:ascii="Times New Roman" w:hAnsi="Times New Roman" w:cs="Times New Roman"/>
          <w:sz w:val="24"/>
          <w:szCs w:val="24"/>
        </w:rPr>
        <w:t>The comprehensive overview of the COVID-19 contagion</w:t>
      </w:r>
      <w:r w:rsidR="00565EAA">
        <w:rPr>
          <w:rFonts w:ascii="Times New Roman" w:hAnsi="Times New Roman" w:cs="Times New Roman"/>
          <w:sz w:val="24"/>
          <w:szCs w:val="24"/>
        </w:rPr>
        <w:t xml:space="preserve"> and unique characteristics of this new crisis</w:t>
      </w:r>
      <w:r w:rsidR="005C1766">
        <w:rPr>
          <w:rFonts w:ascii="Times New Roman" w:hAnsi="Times New Roman" w:cs="Times New Roman"/>
          <w:sz w:val="24"/>
          <w:szCs w:val="24"/>
        </w:rPr>
        <w:t xml:space="preserve"> is provided by </w:t>
      </w:r>
      <w:r w:rsidR="008976CA">
        <w:rPr>
          <w:rFonts w:ascii="Times New Roman" w:hAnsi="Times New Roman" w:cs="Times New Roman"/>
          <w:sz w:val="24"/>
          <w:szCs w:val="24"/>
        </w:rPr>
        <w:fldChar w:fldCharType="begin" w:fldLock="1"/>
      </w:r>
      <w:r w:rsidR="00FD3C2E">
        <w:rPr>
          <w:rFonts w:ascii="Times New Roman" w:hAnsi="Times New Roman" w:cs="Times New Roman"/>
          <w:sz w:val="24"/>
          <w:szCs w:val="24"/>
        </w:rPr>
        <w:instrText>ADDIN CSL_CITATION {"citationItems":[{"id":"ITEM-1","itemData":{"DOI":"10.2139/ssrn.3602973","ISSN":"1556-5068","author":[{"dropping-particle":"","family":"Yarovaya","given":"Larisa","non-dropping-particle":"","parse-names":false,"suffix":""},{"dropping-particle":"","family":"Brzeszczynski","given":"Janusz","non-dropping-particle":"","parse-names":false,"suffix":""},{"dropping-particle":"","family":"Goodell","given":"John W.","non-dropping-particle":"","parse-names":false,"suffix":""},{"dropping-particle":"","family":"Lucey","given":"Brian M.","non-dropping-particle":"","parse-names":false,"suffix":""},{"dropping-particle":"","family":"Lau","given":"Chi Keung","non-dropping-particle":"","parse-names":false,"suffix":""}],"container-title":"SSRN Electronic Journal","id":"ITEM-1","issued":{"date-parts":[["2020","5","19"]]},"publisher":"Elsevier BV","title":"Rethinking Financial Contagion: Information Transmission Mechanism During the COVID-19 Pandemic.","type":"article-journal"},"uris":["http://www.mendeley.com/documents/?uuid=2c879c29-b7b7-3834-b773-f340e42648ab"]}],"mendeley":{"formattedCitation":"(Yarovaya, Brzeszczynski, et al., 2020)","manualFormatting":"Yarovaya, et al., (2020)","plainTextFormattedCitation":"(Yarovaya, Brzeszczynski, et al., 2020)","previouslyFormattedCitation":"(Yarovaya, Brzeszczynski, et al., 2020)"},"properties":{"noteIndex":0},"schema":"https://github.com/citation-style-language/schema/raw/master/csl-citation.json"}</w:instrText>
      </w:r>
      <w:r w:rsidR="008976CA">
        <w:rPr>
          <w:rFonts w:ascii="Times New Roman" w:hAnsi="Times New Roman" w:cs="Times New Roman"/>
          <w:sz w:val="24"/>
          <w:szCs w:val="24"/>
        </w:rPr>
        <w:fldChar w:fldCharType="separate"/>
      </w:r>
      <w:r w:rsidR="008976CA" w:rsidRPr="008976CA">
        <w:rPr>
          <w:rFonts w:ascii="Times New Roman" w:hAnsi="Times New Roman" w:cs="Times New Roman"/>
          <w:noProof/>
          <w:sz w:val="24"/>
          <w:szCs w:val="24"/>
        </w:rPr>
        <w:t xml:space="preserve">Yarovaya, et al., </w:t>
      </w:r>
      <w:r w:rsidR="008976CA">
        <w:rPr>
          <w:rFonts w:ascii="Times New Roman" w:hAnsi="Times New Roman" w:cs="Times New Roman"/>
          <w:noProof/>
          <w:sz w:val="24"/>
          <w:szCs w:val="24"/>
        </w:rPr>
        <w:t>(</w:t>
      </w:r>
      <w:r w:rsidR="008976CA" w:rsidRPr="008976CA">
        <w:rPr>
          <w:rFonts w:ascii="Times New Roman" w:hAnsi="Times New Roman" w:cs="Times New Roman"/>
          <w:noProof/>
          <w:sz w:val="24"/>
          <w:szCs w:val="24"/>
        </w:rPr>
        <w:t>2020)</w:t>
      </w:r>
      <w:r w:rsidR="008976CA">
        <w:rPr>
          <w:rFonts w:ascii="Times New Roman" w:hAnsi="Times New Roman" w:cs="Times New Roman"/>
          <w:sz w:val="24"/>
          <w:szCs w:val="24"/>
        </w:rPr>
        <w:fldChar w:fldCharType="end"/>
      </w:r>
      <w:r w:rsidR="005C1766">
        <w:rPr>
          <w:rFonts w:ascii="Times New Roman" w:hAnsi="Times New Roman" w:cs="Times New Roman"/>
          <w:sz w:val="24"/>
          <w:szCs w:val="24"/>
        </w:rPr>
        <w:t xml:space="preserve">, while </w:t>
      </w:r>
      <w:r w:rsidR="00FD3C2E">
        <w:rPr>
          <w:rFonts w:ascii="Times New Roman" w:hAnsi="Times New Roman" w:cs="Times New Roman"/>
          <w:sz w:val="24"/>
          <w:szCs w:val="24"/>
        </w:rPr>
        <w:fldChar w:fldCharType="begin" w:fldLock="1"/>
      </w:r>
      <w:r w:rsidR="00DE0B50">
        <w:rPr>
          <w:rFonts w:ascii="Times New Roman" w:hAnsi="Times New Roman" w:cs="Times New Roman"/>
          <w:sz w:val="24"/>
          <w:szCs w:val="24"/>
        </w:rPr>
        <w:instrText>ADDIN CSL_CITATION {"citationItems":[{"id":"ITEM-1","itemData":{"DOI":"10.1016/j.frl.2020.101512","ISSN":"15446123","abstract":"This paper highlights the enormous economic and social impact of COVID-19 with respect to articles that have either prognosticated such a large-scale event, and its economic consequences, or have assessed the impacts of other epidemics and pandemics. A consideration of possible impacts of COVID-19 on financial markets and institutions, either directly or indirectly, is briefly outlined by drawing on a variety of literatures. A consideration of the characteristics of COVID-19, along with what research suggests have been the impacts of other past events that in some ways roughly parallel COVID-19, points toward avenues of future investigation.","author":[{"dropping-particle":"","family":"Goodell","given":"John W.","non-dropping-particle":"","parse-names":false,"suffix":""}],"container-title":"Finance Research Letters","id":"ITEM-1","issued":{"date-parts":[["2020","7","1"]]},"page":"101512","publisher":"Elsevier Ltd","title":"COVID-19 and finance: Agendas for future research","type":"article-journal","volume":"35"},"uris":["http://www.mendeley.com/documents/?uuid=708e6d72-22bc-35ed-9ce7-6fa077c8e100"]}],"mendeley":{"formattedCitation":"(Goodell, 2020)","manualFormatting":"Goodell, (2020)","plainTextFormattedCitation":"(Goodell, 2020)","previouslyFormattedCitation":"(Goodell, 2020)"},"properties":{"noteIndex":0},"schema":"https://github.com/citation-style-language/schema/raw/master/csl-citation.json"}</w:instrText>
      </w:r>
      <w:r w:rsidR="00FD3C2E">
        <w:rPr>
          <w:rFonts w:ascii="Times New Roman" w:hAnsi="Times New Roman" w:cs="Times New Roman"/>
          <w:sz w:val="24"/>
          <w:szCs w:val="24"/>
        </w:rPr>
        <w:fldChar w:fldCharType="separate"/>
      </w:r>
      <w:r w:rsidR="00FD3C2E" w:rsidRPr="00FD3C2E">
        <w:rPr>
          <w:rFonts w:ascii="Times New Roman" w:hAnsi="Times New Roman" w:cs="Times New Roman"/>
          <w:noProof/>
          <w:sz w:val="24"/>
          <w:szCs w:val="24"/>
        </w:rPr>
        <w:t xml:space="preserve">Goodell, </w:t>
      </w:r>
      <w:r w:rsidR="00FD3C2E">
        <w:rPr>
          <w:rFonts w:ascii="Times New Roman" w:hAnsi="Times New Roman" w:cs="Times New Roman"/>
          <w:noProof/>
          <w:sz w:val="24"/>
          <w:szCs w:val="24"/>
        </w:rPr>
        <w:t>(</w:t>
      </w:r>
      <w:r w:rsidR="00FD3C2E" w:rsidRPr="00FD3C2E">
        <w:rPr>
          <w:rFonts w:ascii="Times New Roman" w:hAnsi="Times New Roman" w:cs="Times New Roman"/>
          <w:noProof/>
          <w:sz w:val="24"/>
          <w:szCs w:val="24"/>
        </w:rPr>
        <w:t>2020)</w:t>
      </w:r>
      <w:r w:rsidR="00FD3C2E">
        <w:rPr>
          <w:rFonts w:ascii="Times New Roman" w:hAnsi="Times New Roman" w:cs="Times New Roman"/>
          <w:sz w:val="24"/>
          <w:szCs w:val="24"/>
        </w:rPr>
        <w:fldChar w:fldCharType="end"/>
      </w:r>
      <w:r w:rsidR="005C1766">
        <w:rPr>
          <w:rFonts w:ascii="Times New Roman" w:hAnsi="Times New Roman" w:cs="Times New Roman"/>
          <w:sz w:val="24"/>
          <w:szCs w:val="24"/>
        </w:rPr>
        <w:t xml:space="preserve"> </w:t>
      </w:r>
      <w:r w:rsidR="00565EAA">
        <w:rPr>
          <w:rFonts w:ascii="Times New Roman" w:hAnsi="Times New Roman" w:cs="Times New Roman"/>
          <w:sz w:val="24"/>
          <w:szCs w:val="24"/>
        </w:rPr>
        <w:t xml:space="preserve">further highlights the direction for </w:t>
      </w:r>
      <w:r w:rsidR="00D66A92">
        <w:rPr>
          <w:rFonts w:ascii="Times New Roman" w:hAnsi="Times New Roman" w:cs="Times New Roman"/>
          <w:sz w:val="24"/>
          <w:szCs w:val="24"/>
        </w:rPr>
        <w:t xml:space="preserve">future </w:t>
      </w:r>
      <w:r w:rsidR="00565EAA">
        <w:rPr>
          <w:rFonts w:ascii="Times New Roman" w:hAnsi="Times New Roman" w:cs="Times New Roman"/>
          <w:sz w:val="24"/>
          <w:szCs w:val="24"/>
        </w:rPr>
        <w:t xml:space="preserve">COVID-19 research. </w:t>
      </w:r>
      <w:r w:rsidR="00565EAA" w:rsidRPr="00565EAA">
        <w:rPr>
          <w:rFonts w:ascii="Times New Roman" w:hAnsi="Times New Roman" w:cs="Times New Roman"/>
          <w:sz w:val="24"/>
          <w:szCs w:val="24"/>
        </w:rPr>
        <w:t xml:space="preserve">Owing to the active investment strategies, mutual funds usually act as panic healers and fund managers are expected to produce consistent positive alphas </w:t>
      </w:r>
      <w:r w:rsidR="00DE0B50">
        <w:rPr>
          <w:rFonts w:ascii="Times New Roman" w:hAnsi="Times New Roman" w:cs="Times New Roman"/>
          <w:sz w:val="24"/>
          <w:szCs w:val="24"/>
        </w:rPr>
        <w:fldChar w:fldCharType="begin" w:fldLock="1"/>
      </w:r>
      <w:r w:rsidR="00C66853">
        <w:rPr>
          <w:rFonts w:ascii="Times New Roman" w:hAnsi="Times New Roman" w:cs="Times New Roman"/>
          <w:sz w:val="24"/>
          <w:szCs w:val="24"/>
        </w:rPr>
        <w:instrText>ADDIN CSL_CITATION {"citationItems":[{"id":"ITEM-1","itemData":{"DOI":"10.1016/j.jebo.2019.03.006","ISSN":"01672681","abstract":"Using more general forms of equilibrium asset pricing models, we re-examine the recent literature on actively managed US Mutual Fund performance over the period 1984–2015. Using the false discovery technique, we show that the existing literature which is based upon unconditional versions of these models have underestimated performance of actively managed US funds because they produce inconsistent estimates of fund alpha coefficients. Our estimations of abnormal returns using conditional models allow the parameters that underlie the equilibrium asset pricing models to change which produces consistent estimates of funds alphas. We find that when returns are measured net of management and trading costs between 2.9% to 8.4% of US actively managed funds produce positive-alpha. This contrasts with existing studies that find no significant percentage of US Mutual Funds produce positive-alpha. We also find that different investment styles have significantly different percentages of positive-alpha funds.","author":[{"dropping-particle":"","family":"Huang","given":"Rong","non-dropping-particle":"","parse-names":false,"suffix":""},{"dropping-particle":"","family":"Pilbeam","given":"Keith","non-dropping-particle":"","parse-names":false,"suffix":""},{"dropping-particle":"","family":"Pouliot","given":"William","non-dropping-particle":"","parse-names":false,"suffix":""}],"container-title":"Journal of Economic Behavior and Organization","id":"ITEM-1","issued":{"date-parts":[["2019","4","26"]]},"publisher":"Elsevier B.V.","title":"Do actively managed US mutual funds produce positive alpha?","type":"article-journal"},"uris":["http://www.mendeley.com/documents/?uuid=291d0fbc-0fe9-3a59-b5bf-a5ac506b4828"]}],"mendeley":{"formattedCitation":"(Huang et al., 2019)","plainTextFormattedCitation":"(Huang et al., 2019)","previouslyFormattedCitation":"(Huang et al., 2019)"},"properties":{"noteIndex":0},"schema":"https://github.com/citation-style-language/schema/raw/master/csl-citation.json"}</w:instrText>
      </w:r>
      <w:r w:rsidR="00DE0B50">
        <w:rPr>
          <w:rFonts w:ascii="Times New Roman" w:hAnsi="Times New Roman" w:cs="Times New Roman"/>
          <w:sz w:val="24"/>
          <w:szCs w:val="24"/>
        </w:rPr>
        <w:fldChar w:fldCharType="separate"/>
      </w:r>
      <w:r w:rsidR="00DE0B50" w:rsidRPr="00DE0B50">
        <w:rPr>
          <w:rFonts w:ascii="Times New Roman" w:hAnsi="Times New Roman" w:cs="Times New Roman"/>
          <w:noProof/>
          <w:sz w:val="24"/>
          <w:szCs w:val="24"/>
        </w:rPr>
        <w:t>(Huang et al., 2019)</w:t>
      </w:r>
      <w:r w:rsidR="00DE0B50">
        <w:rPr>
          <w:rFonts w:ascii="Times New Roman" w:hAnsi="Times New Roman" w:cs="Times New Roman"/>
          <w:sz w:val="24"/>
          <w:szCs w:val="24"/>
        </w:rPr>
        <w:fldChar w:fldCharType="end"/>
      </w:r>
      <w:r w:rsidR="00565EAA" w:rsidRPr="00565EAA">
        <w:rPr>
          <w:rFonts w:ascii="Times New Roman" w:hAnsi="Times New Roman" w:cs="Times New Roman"/>
          <w:sz w:val="24"/>
          <w:szCs w:val="24"/>
        </w:rPr>
        <w:t xml:space="preserve">. </w:t>
      </w:r>
      <w:r w:rsidR="00C66853">
        <w:rPr>
          <w:rFonts w:ascii="Times New Roman" w:hAnsi="Times New Roman" w:cs="Times New Roman"/>
          <w:sz w:val="24"/>
          <w:szCs w:val="24"/>
        </w:rPr>
        <w:fldChar w:fldCharType="begin" w:fldLock="1"/>
      </w:r>
      <w:r w:rsidR="001C0EE2">
        <w:rPr>
          <w:rFonts w:ascii="Times New Roman" w:hAnsi="Times New Roman" w:cs="Times New Roman"/>
          <w:sz w:val="24"/>
          <w:szCs w:val="24"/>
        </w:rPr>
        <w:instrText>ADDIN CSL_CITATION {"citationItems":[{"id":"ITEM-1","itemData":{"DOI":"10.1057/s41260-020-00172-3","abstract":"The likelihood of pandemics has been perceived very low till very recently. Therefore, the exponential spread of Covid-19 was a major surprise that has resulted in a global rout of financial markets. In this study, we document some preliminary evidence of performance and investment styles of European funds during the evolution of Covid-19. We assess the period between January and May 2020 and categorized the spread of contagion in three phases. The results document that Social Entrepreneurship funds demonstrated positive returns across the three phases, while most of the other subcategories plunged into negative zone. Our findings on style analysis suggest that fund managers have been drifting from high risk option to low risk in terms of size and investment strategy. Similarly, there has been a switch from high risk to relatively less sensitive sectors and a transition of investment from countries with higher to those with lower number of cases.","author":[{"dropping-particle":"","family":"Rizvi","given":"Syed Kumail Abbas","non-dropping-particle":"","parse-names":false,"suffix":""},{"dropping-particle":"","family":"Mirza","given":"Nawazish","non-dropping-particle":"","parse-names":false,"suffix":""},{"dropping-particle":"","family":"Naqvi","given":"Bushra","non-dropping-particle":"","parse-names":false,"suffix":""},{"dropping-particle":"","family":"Rahat","given":"Birjees","non-dropping-particle":"","parse-names":false,"suffix":""}],"container-title":"Journal of Asset Management","id":"ITEM-1","issued":{"date-parts":[["2020","6","11"]]},"page":"1-11","publisher":"Palgrave","title":"Covid-19 and asset management in EU: a preliminary assessment of performance and investment styles","type":"article-journal"},"uris":["http://www.mendeley.com/documents/?uuid=0382abb7-3da7-351c-be20-e6c2937f8713"]}],"mendeley":{"formattedCitation":"(Rizvi et al., 2020)","manualFormatting":"Rizvi et al., (2020)","plainTextFormattedCitation":"(Rizvi et al., 2020)","previouslyFormattedCitation":"(Rizvi et al., 2020)"},"properties":{"noteIndex":0},"schema":"https://github.com/citation-style-language/schema/raw/master/csl-citation.json"}</w:instrText>
      </w:r>
      <w:r w:rsidR="00C66853">
        <w:rPr>
          <w:rFonts w:ascii="Times New Roman" w:hAnsi="Times New Roman" w:cs="Times New Roman"/>
          <w:sz w:val="24"/>
          <w:szCs w:val="24"/>
        </w:rPr>
        <w:fldChar w:fldCharType="separate"/>
      </w:r>
      <w:r w:rsidR="00C66853" w:rsidRPr="00C66853">
        <w:rPr>
          <w:rFonts w:ascii="Times New Roman" w:hAnsi="Times New Roman" w:cs="Times New Roman"/>
          <w:noProof/>
          <w:sz w:val="24"/>
          <w:szCs w:val="24"/>
        </w:rPr>
        <w:t xml:space="preserve">Rizvi et al., </w:t>
      </w:r>
      <w:r w:rsidR="00C66853">
        <w:rPr>
          <w:rFonts w:ascii="Times New Roman" w:hAnsi="Times New Roman" w:cs="Times New Roman"/>
          <w:noProof/>
          <w:sz w:val="24"/>
          <w:szCs w:val="24"/>
        </w:rPr>
        <w:t>(</w:t>
      </w:r>
      <w:r w:rsidR="00C66853" w:rsidRPr="00C66853">
        <w:rPr>
          <w:rFonts w:ascii="Times New Roman" w:hAnsi="Times New Roman" w:cs="Times New Roman"/>
          <w:noProof/>
          <w:sz w:val="24"/>
          <w:szCs w:val="24"/>
        </w:rPr>
        <w:t>2020)</w:t>
      </w:r>
      <w:r w:rsidR="00C66853">
        <w:rPr>
          <w:rFonts w:ascii="Times New Roman" w:hAnsi="Times New Roman" w:cs="Times New Roman"/>
          <w:sz w:val="24"/>
          <w:szCs w:val="24"/>
        </w:rPr>
        <w:fldChar w:fldCharType="end"/>
      </w:r>
      <w:r w:rsidR="00565EAA" w:rsidRPr="00565EAA">
        <w:rPr>
          <w:rFonts w:ascii="Times New Roman" w:hAnsi="Times New Roman" w:cs="Times New Roman"/>
          <w:sz w:val="24"/>
          <w:szCs w:val="24"/>
        </w:rPr>
        <w:t xml:space="preserve"> reported varying mutual funds’ performance during the C</w:t>
      </w:r>
      <w:r w:rsidR="00D415F6">
        <w:rPr>
          <w:rFonts w:ascii="Times New Roman" w:hAnsi="Times New Roman" w:cs="Times New Roman"/>
          <w:sz w:val="24"/>
          <w:szCs w:val="24"/>
        </w:rPr>
        <w:t>OVID</w:t>
      </w:r>
      <w:r w:rsidR="00565EAA" w:rsidRPr="00565EAA">
        <w:rPr>
          <w:rFonts w:ascii="Times New Roman" w:hAnsi="Times New Roman" w:cs="Times New Roman"/>
          <w:sz w:val="24"/>
          <w:szCs w:val="24"/>
        </w:rPr>
        <w:t xml:space="preserve">-19 outbreak in EU. They also pointed out the drift in investment styles of fund managers as a response to the evolving situation.  While new evidence on </w:t>
      </w:r>
      <w:r w:rsidR="00C64637">
        <w:rPr>
          <w:rFonts w:ascii="Times New Roman" w:hAnsi="Times New Roman" w:cs="Times New Roman"/>
          <w:sz w:val="24"/>
          <w:szCs w:val="24"/>
        </w:rPr>
        <w:t xml:space="preserve">the </w:t>
      </w:r>
      <w:r w:rsidR="00F314F9">
        <w:rPr>
          <w:rFonts w:ascii="Times New Roman" w:hAnsi="Times New Roman" w:cs="Times New Roman"/>
          <w:sz w:val="24"/>
          <w:szCs w:val="24"/>
        </w:rPr>
        <w:t>economic</w:t>
      </w:r>
      <w:r w:rsidR="00565EAA" w:rsidRPr="00565EAA">
        <w:rPr>
          <w:rFonts w:ascii="Times New Roman" w:hAnsi="Times New Roman" w:cs="Times New Roman"/>
          <w:sz w:val="24"/>
          <w:szCs w:val="24"/>
        </w:rPr>
        <w:t xml:space="preserve"> effects of the COVID-19 rapidly become available, to our best knowledge, this paper is the first attempt to </w:t>
      </w:r>
      <w:r w:rsidR="002C5B36">
        <w:rPr>
          <w:rFonts w:ascii="Times New Roman" w:hAnsi="Times New Roman" w:cs="Times New Roman"/>
          <w:sz w:val="24"/>
          <w:szCs w:val="24"/>
        </w:rPr>
        <w:t>a</w:t>
      </w:r>
      <w:r w:rsidR="002C5B36" w:rsidRPr="00565EAA">
        <w:rPr>
          <w:rFonts w:ascii="Times New Roman" w:hAnsi="Times New Roman" w:cs="Times New Roman"/>
          <w:sz w:val="24"/>
          <w:szCs w:val="24"/>
        </w:rPr>
        <w:t>nalyze</w:t>
      </w:r>
      <w:r w:rsidR="00565EAA" w:rsidRPr="00565EAA">
        <w:rPr>
          <w:rFonts w:ascii="Times New Roman" w:hAnsi="Times New Roman" w:cs="Times New Roman"/>
          <w:sz w:val="24"/>
          <w:szCs w:val="24"/>
        </w:rPr>
        <w:t xml:space="preserve"> the impact of investment in human capital on </w:t>
      </w:r>
      <w:r w:rsidR="00C64637">
        <w:rPr>
          <w:rFonts w:ascii="Times New Roman" w:hAnsi="Times New Roman" w:cs="Times New Roman"/>
          <w:sz w:val="24"/>
          <w:szCs w:val="24"/>
        </w:rPr>
        <w:t xml:space="preserve">the </w:t>
      </w:r>
      <w:r w:rsidR="00565EAA" w:rsidRPr="00565EAA">
        <w:rPr>
          <w:rFonts w:ascii="Times New Roman" w:hAnsi="Times New Roman" w:cs="Times New Roman"/>
          <w:sz w:val="24"/>
          <w:szCs w:val="24"/>
        </w:rPr>
        <w:t xml:space="preserve">coping mechanism of the mutual funds and their resilience to the COVID-19 crisis. </w:t>
      </w:r>
      <w:r w:rsidR="00565EAA">
        <w:rPr>
          <w:rFonts w:ascii="Times New Roman" w:hAnsi="Times New Roman" w:cs="Times New Roman"/>
          <w:sz w:val="24"/>
          <w:szCs w:val="24"/>
        </w:rPr>
        <w:t xml:space="preserve"> </w:t>
      </w:r>
      <w:r w:rsidR="00565EAA" w:rsidRPr="00565EAA">
        <w:rPr>
          <w:rFonts w:ascii="Times New Roman" w:hAnsi="Times New Roman" w:cs="Times New Roman"/>
          <w:sz w:val="24"/>
          <w:szCs w:val="24"/>
        </w:rPr>
        <w:t>The investment in human capital is very strategic</w:t>
      </w:r>
      <w:r w:rsidR="001C0EE2">
        <w:rPr>
          <w:rFonts w:ascii="Times New Roman" w:hAnsi="Times New Roman" w:cs="Times New Roman"/>
          <w:sz w:val="24"/>
          <w:szCs w:val="24"/>
        </w:rPr>
        <w:t xml:space="preserve"> </w:t>
      </w:r>
      <w:r w:rsidR="001C0EE2">
        <w:rPr>
          <w:rFonts w:ascii="Times New Roman" w:hAnsi="Times New Roman" w:cs="Times New Roman"/>
          <w:sz w:val="24"/>
          <w:szCs w:val="24"/>
        </w:rPr>
        <w:fldChar w:fldCharType="begin" w:fldLock="1"/>
      </w:r>
      <w:r w:rsidR="009E7DAA">
        <w:rPr>
          <w:rFonts w:ascii="Times New Roman" w:hAnsi="Times New Roman" w:cs="Times New Roman"/>
          <w:sz w:val="24"/>
          <w:szCs w:val="24"/>
        </w:rPr>
        <w:instrText>ADDIN CSL_CITATION {"citationItems":[{"id":"ITEM-1","itemData":{"DOI":"10.2307/3069334","ISSN":"00014273","abstract":"The current study examines the direct and moderating effects of human capital on professional service firm performance. The results show that human capital exhibits a curvilinear (U-shaped) effect and the leveraging of human capital a positive effect on performance. Furthermore, the results show that human capital moderates the relationship between strategy and firm performance, thereby supporting a resource-strategy contingency fit. The results contribute to knowledge on the resource-based view of the firm and the strategic importance of human capital.","author":[{"dropping-particle":"","family":"Hitt","given":"Michael A.","non-dropping-particle":"","parse-names":false,"suffix":""},{"dropping-particle":"","family":"Bierman","given":"Leonard","non-dropping-particle":"","parse-names":false,"suffix":""},{"dropping-particle":"","family":"Shimizu","given":"Katsuhiko","non-dropping-particle":"","parse-names":false,"suffix":""},{"dropping-particle":"","family":"Kochhar","given":"Rahul","non-dropping-particle":"","parse-names":false,"suffix":""}],"container-title":"Academy of Management Journal","id":"ITEM-1","issued":{"date-parts":[["2001"]]},"title":"Direct and moderating effects of human capital on strategy and performance in professional service firms: A resource-based perspective","type":"article"},"uris":["http://www.mendeley.com/documents/?uuid=b61cc08d-0984-4ae4-a91a-c5121822215e"]}],"mendeley":{"formattedCitation":"(Hitt et al., 2001)","plainTextFormattedCitation":"(Hitt et al., 2001)","previouslyFormattedCitation":"(Hitt et al., 2001)"},"properties":{"noteIndex":0},"schema":"https://github.com/citation-style-language/schema/raw/master/csl-citation.json"}</w:instrText>
      </w:r>
      <w:r w:rsidR="001C0EE2">
        <w:rPr>
          <w:rFonts w:ascii="Times New Roman" w:hAnsi="Times New Roman" w:cs="Times New Roman"/>
          <w:sz w:val="24"/>
          <w:szCs w:val="24"/>
        </w:rPr>
        <w:fldChar w:fldCharType="separate"/>
      </w:r>
      <w:r w:rsidR="001C0EE2" w:rsidRPr="001C0EE2">
        <w:rPr>
          <w:rFonts w:ascii="Times New Roman" w:hAnsi="Times New Roman" w:cs="Times New Roman"/>
          <w:noProof/>
          <w:sz w:val="24"/>
          <w:szCs w:val="24"/>
        </w:rPr>
        <w:t xml:space="preserve">(Hitt et al., </w:t>
      </w:r>
      <w:r w:rsidR="001C0EE2" w:rsidRPr="001C0EE2">
        <w:rPr>
          <w:rFonts w:ascii="Times New Roman" w:hAnsi="Times New Roman" w:cs="Times New Roman"/>
          <w:noProof/>
          <w:sz w:val="24"/>
          <w:szCs w:val="24"/>
        </w:rPr>
        <w:lastRenderedPageBreak/>
        <w:t>2001)</w:t>
      </w:r>
      <w:r w:rsidR="001C0EE2">
        <w:rPr>
          <w:rFonts w:ascii="Times New Roman" w:hAnsi="Times New Roman" w:cs="Times New Roman"/>
          <w:sz w:val="24"/>
          <w:szCs w:val="24"/>
        </w:rPr>
        <w:fldChar w:fldCharType="end"/>
      </w:r>
      <w:r w:rsidR="00565EAA" w:rsidRPr="00565EAA">
        <w:rPr>
          <w:rFonts w:ascii="Times New Roman" w:hAnsi="Times New Roman" w:cs="Times New Roman"/>
          <w:sz w:val="24"/>
          <w:szCs w:val="24"/>
        </w:rPr>
        <w:t xml:space="preserve"> and contributes to value creation </w:t>
      </w:r>
      <w:r w:rsidR="009E7DAA">
        <w:rPr>
          <w:rFonts w:ascii="Times New Roman" w:hAnsi="Times New Roman" w:cs="Times New Roman"/>
          <w:sz w:val="24"/>
          <w:szCs w:val="24"/>
        </w:rPr>
        <w:fldChar w:fldCharType="begin" w:fldLock="1"/>
      </w:r>
      <w:r w:rsidR="00B75622">
        <w:rPr>
          <w:rFonts w:ascii="Times New Roman" w:hAnsi="Times New Roman" w:cs="Times New Roman"/>
          <w:sz w:val="24"/>
          <w:szCs w:val="24"/>
        </w:rPr>
        <w:instrText>ADDIN CSL_CITATION {"citationItems":[{"id":"ITEM-1","itemData":{"DOI":"10.1002/hrm.20094","ISSN":"00904848","abstract":"This research tested the role of core employees (CEs) in firm competitiveness. The article defines theoretical relations among the value and uniqueness of CEs' knowledge, skills, and abilities (KSAs) and organizational capabilities that define the competitive advantage of the firm; using a sample of Spanish firms with more than 500 employees, it also analyzes empirically whether CEs are associated with organizational efficiency. The HR manager assessed the value and uniqueness of CEs, and a different manager appraised organizational capabilities. We used a formal methodology to test efficiency. A variance analysis indicated a higher organizational capability for firms using the most valuable and unique CEs and data envelopment analysis (DEA) confirmed that such firms had the highest efficiency. © 2006 Wiley Periodicals, Inc.","author":[{"dropping-particle":"","family":"Lopez-Cabrales","given":"Alvaro","non-dropping-particle":"","parse-names":false,"suffix":""},{"dropping-particle":"","family":"Valle","given":"Ramón","non-dropping-particle":"","parse-names":false,"suffix":""},{"dropping-particle":"","family":"Herrero","given":"Ines","non-dropping-particle":"","parse-names":false,"suffix":""}],"container-title":"Human Resource Management","id":"ITEM-1","issued":{"date-parts":[["2006"]]},"title":"The contribution of core employees to organizational capabilities and efficiency","type":"article-journal"},"uris":["http://www.mendeley.com/documents/?uuid=c5790510-5bf4-4c5e-9420-9a5526f0a9dd"]}],"mendeley":{"formattedCitation":"(Lopez-Cabrales et al., 2006)","plainTextFormattedCitation":"(Lopez-Cabrales et al., 2006)","previouslyFormattedCitation":"(Lopez-Cabrales et al., 2006)"},"properties":{"noteIndex":0},"schema":"https://github.com/citation-style-language/schema/raw/master/csl-citation.json"}</w:instrText>
      </w:r>
      <w:r w:rsidR="009E7DAA">
        <w:rPr>
          <w:rFonts w:ascii="Times New Roman" w:hAnsi="Times New Roman" w:cs="Times New Roman"/>
          <w:sz w:val="24"/>
          <w:szCs w:val="24"/>
        </w:rPr>
        <w:fldChar w:fldCharType="separate"/>
      </w:r>
      <w:r w:rsidR="009E7DAA" w:rsidRPr="009E7DAA">
        <w:rPr>
          <w:rFonts w:ascii="Times New Roman" w:hAnsi="Times New Roman" w:cs="Times New Roman"/>
          <w:noProof/>
          <w:sz w:val="24"/>
          <w:szCs w:val="24"/>
        </w:rPr>
        <w:t>(Lopez-Cabrales et al., 2006)</w:t>
      </w:r>
      <w:r w:rsidR="009E7DAA">
        <w:rPr>
          <w:rFonts w:ascii="Times New Roman" w:hAnsi="Times New Roman" w:cs="Times New Roman"/>
          <w:sz w:val="24"/>
          <w:szCs w:val="24"/>
        </w:rPr>
        <w:fldChar w:fldCharType="end"/>
      </w:r>
      <w:r w:rsidR="00565EAA" w:rsidRPr="00565EAA">
        <w:rPr>
          <w:rFonts w:ascii="Times New Roman" w:hAnsi="Times New Roman" w:cs="Times New Roman"/>
          <w:sz w:val="24"/>
          <w:szCs w:val="24"/>
        </w:rPr>
        <w:t>.</w:t>
      </w:r>
      <w:r w:rsidR="00565EAA" w:rsidRPr="00565EAA">
        <w:t xml:space="preserve"> </w:t>
      </w:r>
      <w:r w:rsidR="00565EAA" w:rsidRPr="00565EAA">
        <w:rPr>
          <w:rFonts w:ascii="Times New Roman" w:hAnsi="Times New Roman" w:cs="Times New Roman"/>
          <w:sz w:val="24"/>
          <w:szCs w:val="24"/>
        </w:rPr>
        <w:t>The relevance of human resource</w:t>
      </w:r>
      <w:r w:rsidR="00C64637">
        <w:rPr>
          <w:rFonts w:ascii="Times New Roman" w:hAnsi="Times New Roman" w:cs="Times New Roman"/>
          <w:sz w:val="24"/>
          <w:szCs w:val="24"/>
        </w:rPr>
        <w:t>s</w:t>
      </w:r>
      <w:r w:rsidR="00565EAA" w:rsidRPr="00565EAA">
        <w:rPr>
          <w:rFonts w:ascii="Times New Roman" w:hAnsi="Times New Roman" w:cs="Times New Roman"/>
          <w:sz w:val="24"/>
          <w:szCs w:val="24"/>
        </w:rPr>
        <w:t xml:space="preserve"> increases manifold for services</w:t>
      </w:r>
      <w:r w:rsidR="00B75622">
        <w:rPr>
          <w:rFonts w:ascii="Times New Roman" w:hAnsi="Times New Roman" w:cs="Times New Roman"/>
          <w:sz w:val="24"/>
          <w:szCs w:val="24"/>
        </w:rPr>
        <w:t xml:space="preserve"> </w:t>
      </w:r>
      <w:r w:rsidR="00B75622">
        <w:rPr>
          <w:rFonts w:ascii="Times New Roman" w:hAnsi="Times New Roman" w:cs="Times New Roman"/>
          <w:sz w:val="24"/>
          <w:szCs w:val="24"/>
        </w:rPr>
        <w:fldChar w:fldCharType="begin" w:fldLock="1"/>
      </w:r>
      <w:r w:rsidR="003A6572">
        <w:rPr>
          <w:rFonts w:ascii="Times New Roman" w:hAnsi="Times New Roman" w:cs="Times New Roman"/>
          <w:sz w:val="24"/>
          <w:szCs w:val="24"/>
        </w:rPr>
        <w:instrText>ADDIN CSL_CITATION {"citationItems":[{"id":"ITEM-1","itemData":{"DOI":"10.1177/1467358415624137","ISSN":"17429692","abstract":"Recent investigations suggest that human resource practices influence organisational performance through their effect on key mediating variables. However, the link between human resource management practices and innovation performance is yet to be determined and little is known about the variables that can mediate this relation. The diverse results of studies in this field seem to suggest that the sector of activity may determine specific aspects of this relation. By analysing data from a single industry, this paper aims to increase understanding of the mediating role of human capital in the relation between human resource management practices and innovation. Data from a survey of 109 firms managing hotel establishments in Spain show that, in the hotel industry, some human resource management practices affect innovation through their influence on human capital. Recruitment and selection human resource management practices, however, do not enhance the level of human capital of the firms studied, although they do determine their innovation performance.","author":[{"dropping-particle":"","family":"Nieves","given":"Julia","non-dropping-particle":"","parse-names":false,"suffix":""},{"dropping-particle":"","family":"Quintana","given":"Agustín","non-dropping-particle":"","parse-names":false,"suffix":""}],"container-title":"Tourism and Hospitality Research","id":"ITEM-1","issued":{"date-parts":[["2018"]]},"title":"Human resource practices and innovation in the hotel industry: The mediating role of human capital","type":"article-journal"},"uris":["http://www.mendeley.com/documents/?uuid=3b769893-2c29-4f7d-bda4-934a32f77955"]}],"mendeley":{"formattedCitation":"(Nieves &amp; Quintana, 2018)","plainTextFormattedCitation":"(Nieves &amp; Quintana, 2018)","previouslyFormattedCitation":"(Nieves &amp; Quintana, 2018)"},"properties":{"noteIndex":0},"schema":"https://github.com/citation-style-language/schema/raw/master/csl-citation.json"}</w:instrText>
      </w:r>
      <w:r w:rsidR="00B75622">
        <w:rPr>
          <w:rFonts w:ascii="Times New Roman" w:hAnsi="Times New Roman" w:cs="Times New Roman"/>
          <w:sz w:val="24"/>
          <w:szCs w:val="24"/>
        </w:rPr>
        <w:fldChar w:fldCharType="separate"/>
      </w:r>
      <w:r w:rsidR="00B75622" w:rsidRPr="00B75622">
        <w:rPr>
          <w:rFonts w:ascii="Times New Roman" w:hAnsi="Times New Roman" w:cs="Times New Roman"/>
          <w:noProof/>
          <w:sz w:val="24"/>
          <w:szCs w:val="24"/>
        </w:rPr>
        <w:t>(Nieves &amp; Quintana, 2018)</w:t>
      </w:r>
      <w:r w:rsidR="00B75622">
        <w:rPr>
          <w:rFonts w:ascii="Times New Roman" w:hAnsi="Times New Roman" w:cs="Times New Roman"/>
          <w:sz w:val="24"/>
          <w:szCs w:val="24"/>
        </w:rPr>
        <w:fldChar w:fldCharType="end"/>
      </w:r>
      <w:r w:rsidR="00C64637">
        <w:rPr>
          <w:rFonts w:ascii="Times New Roman" w:hAnsi="Times New Roman" w:cs="Times New Roman"/>
          <w:sz w:val="24"/>
          <w:szCs w:val="24"/>
        </w:rPr>
        <w:t>,</w:t>
      </w:r>
      <w:r w:rsidR="00565EAA" w:rsidRPr="00565EAA">
        <w:rPr>
          <w:rFonts w:ascii="Times New Roman" w:hAnsi="Times New Roman" w:cs="Times New Roman"/>
          <w:sz w:val="24"/>
          <w:szCs w:val="24"/>
        </w:rPr>
        <w:t xml:space="preserve"> and mutual funds represent an </w:t>
      </w:r>
      <w:r w:rsidR="00C64637">
        <w:rPr>
          <w:rFonts w:ascii="Times New Roman" w:hAnsi="Times New Roman" w:cs="Times New Roman"/>
          <w:sz w:val="24"/>
          <w:szCs w:val="24"/>
        </w:rPr>
        <w:t>essential</w:t>
      </w:r>
      <w:r w:rsidR="00565EAA" w:rsidRPr="00565EAA">
        <w:rPr>
          <w:rFonts w:ascii="Times New Roman" w:hAnsi="Times New Roman" w:cs="Times New Roman"/>
          <w:sz w:val="24"/>
          <w:szCs w:val="24"/>
        </w:rPr>
        <w:t xml:space="preserve"> cluster of financial services that ha</w:t>
      </w:r>
      <w:r w:rsidR="00C64637">
        <w:rPr>
          <w:rFonts w:ascii="Times New Roman" w:hAnsi="Times New Roman" w:cs="Times New Roman"/>
          <w:sz w:val="24"/>
          <w:szCs w:val="24"/>
        </w:rPr>
        <w:t>ve</w:t>
      </w:r>
      <w:r w:rsidR="00565EAA" w:rsidRPr="00565EAA">
        <w:rPr>
          <w:rFonts w:ascii="Times New Roman" w:hAnsi="Times New Roman" w:cs="Times New Roman"/>
          <w:sz w:val="24"/>
          <w:szCs w:val="24"/>
        </w:rPr>
        <w:t xml:space="preserve"> significant dependence on human capital.  Therefore, it is </w:t>
      </w:r>
      <w:r w:rsidR="00C64637">
        <w:rPr>
          <w:rFonts w:ascii="Times New Roman" w:hAnsi="Times New Roman" w:cs="Times New Roman"/>
          <w:sz w:val="24"/>
          <w:szCs w:val="24"/>
        </w:rPr>
        <w:t>crucial</w:t>
      </w:r>
      <w:r w:rsidR="00565EAA" w:rsidRPr="00565EAA">
        <w:rPr>
          <w:rFonts w:ascii="Times New Roman" w:hAnsi="Times New Roman" w:cs="Times New Roman"/>
          <w:sz w:val="24"/>
          <w:szCs w:val="24"/>
        </w:rPr>
        <w:t xml:space="preserve"> to assess if mutual funds’ performance var</w:t>
      </w:r>
      <w:r w:rsidR="00C64637">
        <w:rPr>
          <w:rFonts w:ascii="Times New Roman" w:hAnsi="Times New Roman" w:cs="Times New Roman"/>
          <w:sz w:val="24"/>
          <w:szCs w:val="24"/>
        </w:rPr>
        <w:t>ies</w:t>
      </w:r>
      <w:r w:rsidR="00565EAA" w:rsidRPr="00565EAA">
        <w:rPr>
          <w:rFonts w:ascii="Times New Roman" w:hAnsi="Times New Roman" w:cs="Times New Roman"/>
          <w:sz w:val="24"/>
          <w:szCs w:val="24"/>
        </w:rPr>
        <w:t xml:space="preserve"> with human capital efficiency.</w:t>
      </w:r>
    </w:p>
    <w:p w14:paraId="7BBB69F9" w14:textId="2D9C74D9" w:rsidR="00565EAA" w:rsidRDefault="00565EAA" w:rsidP="00FE129E">
      <w:pPr>
        <w:spacing w:after="0" w:line="480" w:lineRule="auto"/>
        <w:ind w:firstLine="720"/>
        <w:jc w:val="both"/>
        <w:rPr>
          <w:rFonts w:ascii="Times New Roman" w:hAnsi="Times New Roman" w:cs="Times New Roman"/>
          <w:sz w:val="24"/>
          <w:szCs w:val="24"/>
        </w:rPr>
      </w:pPr>
      <w:r w:rsidRPr="00565EAA">
        <w:rPr>
          <w:rFonts w:ascii="Times New Roman" w:hAnsi="Times New Roman" w:cs="Times New Roman"/>
          <w:sz w:val="24"/>
          <w:szCs w:val="24"/>
        </w:rPr>
        <w:t>Thus, in this paper, we</w:t>
      </w:r>
      <w:r>
        <w:rPr>
          <w:rFonts w:ascii="Times New Roman" w:hAnsi="Times New Roman" w:cs="Times New Roman"/>
          <w:sz w:val="24"/>
          <w:szCs w:val="24"/>
        </w:rPr>
        <w:t xml:space="preserve"> analyze the linkages between human capital efficiency and the mutual fund performance in five European economies that </w:t>
      </w:r>
      <w:r w:rsidR="00C64637">
        <w:rPr>
          <w:rFonts w:ascii="Times New Roman" w:hAnsi="Times New Roman" w:cs="Times New Roman"/>
          <w:sz w:val="24"/>
          <w:szCs w:val="24"/>
        </w:rPr>
        <w:t xml:space="preserve">have </w:t>
      </w:r>
      <w:r>
        <w:rPr>
          <w:rFonts w:ascii="Times New Roman" w:hAnsi="Times New Roman" w:cs="Times New Roman"/>
          <w:sz w:val="24"/>
          <w:szCs w:val="24"/>
        </w:rPr>
        <w:t>been severely af</w:t>
      </w:r>
      <w:r w:rsidR="00C64637">
        <w:rPr>
          <w:rFonts w:ascii="Times New Roman" w:hAnsi="Times New Roman" w:cs="Times New Roman"/>
          <w:sz w:val="24"/>
          <w:szCs w:val="24"/>
        </w:rPr>
        <w:t>fected by the COVID-19 pandemic. This includes</w:t>
      </w:r>
      <w:r>
        <w:rPr>
          <w:rFonts w:ascii="Times New Roman" w:hAnsi="Times New Roman" w:cs="Times New Roman"/>
          <w:sz w:val="24"/>
          <w:szCs w:val="24"/>
        </w:rPr>
        <w:t xml:space="preserve"> Spain, Italy, France, Germany</w:t>
      </w:r>
      <w:r w:rsidR="00C64637">
        <w:rPr>
          <w:rFonts w:ascii="Times New Roman" w:hAnsi="Times New Roman" w:cs="Times New Roman"/>
          <w:sz w:val="24"/>
          <w:szCs w:val="24"/>
        </w:rPr>
        <w:t>,</w:t>
      </w:r>
      <w:r>
        <w:rPr>
          <w:rFonts w:ascii="Times New Roman" w:hAnsi="Times New Roman" w:cs="Times New Roman"/>
          <w:sz w:val="24"/>
          <w:szCs w:val="24"/>
        </w:rPr>
        <w:t xml:space="preserve"> and Belgium, </w:t>
      </w:r>
      <w:r w:rsidR="00C64637">
        <w:rPr>
          <w:rFonts w:ascii="Times New Roman" w:hAnsi="Times New Roman" w:cs="Times New Roman"/>
          <w:sz w:val="24"/>
          <w:szCs w:val="24"/>
        </w:rPr>
        <w:t>which</w:t>
      </w:r>
      <w:r>
        <w:rPr>
          <w:rFonts w:ascii="Times New Roman" w:hAnsi="Times New Roman" w:cs="Times New Roman"/>
          <w:sz w:val="24"/>
          <w:szCs w:val="24"/>
        </w:rPr>
        <w:t xml:space="preserve"> account </w:t>
      </w:r>
      <w:r w:rsidRPr="00565EAA">
        <w:rPr>
          <w:rFonts w:ascii="Times New Roman" w:hAnsi="Times New Roman" w:cs="Times New Roman"/>
          <w:sz w:val="24"/>
          <w:szCs w:val="24"/>
        </w:rPr>
        <w:t>for 14.8% of the global cases and 28.4% of the mortality count</w:t>
      </w:r>
      <w:r w:rsidR="00C4678F">
        <w:rPr>
          <w:rFonts w:ascii="Times New Roman" w:hAnsi="Times New Roman" w:cs="Times New Roman"/>
          <w:sz w:val="24"/>
          <w:szCs w:val="24"/>
        </w:rPr>
        <w:t xml:space="preserve"> (see Table 1 for COVID-19 statistics in these countries)</w:t>
      </w:r>
      <w:r>
        <w:rPr>
          <w:rFonts w:ascii="Times New Roman" w:hAnsi="Times New Roman" w:cs="Times New Roman"/>
          <w:sz w:val="24"/>
          <w:szCs w:val="24"/>
        </w:rPr>
        <w:t>.</w:t>
      </w:r>
      <w:r w:rsidR="00C64637">
        <w:rPr>
          <w:rFonts w:ascii="Times New Roman" w:hAnsi="Times New Roman" w:cs="Times New Roman"/>
          <w:sz w:val="24"/>
          <w:szCs w:val="24"/>
        </w:rPr>
        <w:t xml:space="preserve"> Most of the</w:t>
      </w:r>
      <w:r w:rsidR="00F97F0B">
        <w:rPr>
          <w:rFonts w:ascii="Times New Roman" w:hAnsi="Times New Roman" w:cs="Times New Roman"/>
          <w:sz w:val="24"/>
          <w:szCs w:val="24"/>
        </w:rPr>
        <w:t xml:space="preserve"> early studies</w:t>
      </w:r>
      <w:r w:rsidR="00C4678F">
        <w:rPr>
          <w:rFonts w:ascii="Times New Roman" w:hAnsi="Times New Roman" w:cs="Times New Roman"/>
          <w:sz w:val="24"/>
          <w:szCs w:val="24"/>
        </w:rPr>
        <w:t xml:space="preserve"> on the COVID-19 </w:t>
      </w:r>
      <w:r w:rsidR="00D415F6">
        <w:rPr>
          <w:rFonts w:ascii="Times New Roman" w:hAnsi="Times New Roman" w:cs="Times New Roman"/>
          <w:sz w:val="24"/>
          <w:szCs w:val="24"/>
        </w:rPr>
        <w:t xml:space="preserve">are </w:t>
      </w:r>
      <w:r w:rsidR="00C4678F">
        <w:rPr>
          <w:rFonts w:ascii="Times New Roman" w:hAnsi="Times New Roman" w:cs="Times New Roman"/>
          <w:sz w:val="24"/>
          <w:szCs w:val="24"/>
        </w:rPr>
        <w:t>focused on the US economy and impact on the US market (</w:t>
      </w:r>
      <w:r w:rsidR="00D415F6">
        <w:rPr>
          <w:rFonts w:ascii="Times New Roman" w:hAnsi="Times New Roman" w:cs="Times New Roman"/>
          <w:sz w:val="24"/>
          <w:szCs w:val="24"/>
        </w:rPr>
        <w:t xml:space="preserve">e.g., </w:t>
      </w:r>
      <w:r w:rsidR="003A6572">
        <w:rPr>
          <w:rFonts w:ascii="Times New Roman" w:hAnsi="Times New Roman" w:cs="Times New Roman"/>
          <w:sz w:val="24"/>
          <w:szCs w:val="24"/>
        </w:rPr>
        <w:fldChar w:fldCharType="begin" w:fldLock="1"/>
      </w:r>
      <w:r w:rsidR="003A6572">
        <w:rPr>
          <w:rFonts w:ascii="Times New Roman" w:hAnsi="Times New Roman" w:cs="Times New Roman"/>
          <w:sz w:val="24"/>
          <w:szCs w:val="24"/>
        </w:rPr>
        <w:instrText>ADDIN CSL_CITATION {"citationItems":[{"id":"ITEM-1","itemData":{"DOI":"10.1016/j.irfa.2020.101496","ISSN":"10575219","abstract":"In this paper, we analyze the connectedness between the recent spread of COVID-19, oil price volatility shock, the stock market, geopolitical risk and economic policy uncertainty in the US within a time-frequency framework. The coherence wavelet method and the wavelet-based Granger causality tests applied to US recent daily data unveil the unprecedented impact of COVID-19 and oil price shocks on the geopolitical risk levels, economic policy uncertainty and stock market volatility over the low frequency bands. The effect of the COVID-19 on the geopolitical risk substantially higher than on the US economic uncertainty. The COVID-19 risk is perceived differently over the short and the long-run and may be firstly viewed as an economic crisis. Our study offers several urgent prominent implications and endorsements for policymakers and asset managers.","author":[{"dropping-particle":"","family":"Sharif","given":"Arshian","non-dropping-particle":"","parse-names":false,"suffix":""},{"dropping-particle":"","family":"Aloui","given":"Chaker","non-dropping-particle":"","parse-names":false,"suffix":""},{"dropping-particle":"","family":"Yarovaya","given":"Larisa","non-dropping-particle":"","parse-names":false,"suffix":""}],"container-title":"International Review of Financial Analysis","id":"ITEM-1","issued":{"date-parts":[["2020","5","1"]]},"page":"101496","publisher":"Elsevier BV","title":"COVID-19 pandemic, oil prices, stock market, geopolitical risk and policy uncertainty nexus in the US economy: Fresh evidence from the wavelet-based approach","type":"article-journal","volume":"70"},"uris":["http://www.mendeley.com/documents/?uuid=9458658a-9d87-3c57-9b2a-9c8d2cd3123e"]}],"mendeley":{"formattedCitation":"(Sharif et al., 2020)","manualFormatting":"Sharif et al., 2020","plainTextFormattedCitation":"(Sharif et al., 2020)","previouslyFormattedCitation":"(Sharif et al., 2020)"},"properties":{"noteIndex":0},"schema":"https://github.com/citation-style-language/schema/raw/master/csl-citation.json"}</w:instrText>
      </w:r>
      <w:r w:rsidR="003A6572">
        <w:rPr>
          <w:rFonts w:ascii="Times New Roman" w:hAnsi="Times New Roman" w:cs="Times New Roman"/>
          <w:sz w:val="24"/>
          <w:szCs w:val="24"/>
        </w:rPr>
        <w:fldChar w:fldCharType="separate"/>
      </w:r>
      <w:r w:rsidR="003A6572" w:rsidRPr="003A6572">
        <w:rPr>
          <w:rFonts w:ascii="Times New Roman" w:hAnsi="Times New Roman" w:cs="Times New Roman"/>
          <w:noProof/>
          <w:sz w:val="24"/>
          <w:szCs w:val="24"/>
        </w:rPr>
        <w:t>Sharif et al., 2020</w:t>
      </w:r>
      <w:r w:rsidR="003A6572">
        <w:rPr>
          <w:rFonts w:ascii="Times New Roman" w:hAnsi="Times New Roman" w:cs="Times New Roman"/>
          <w:sz w:val="24"/>
          <w:szCs w:val="24"/>
        </w:rPr>
        <w:fldChar w:fldCharType="end"/>
      </w:r>
      <w:r w:rsidR="00C4678F">
        <w:rPr>
          <w:rFonts w:ascii="Times New Roman" w:hAnsi="Times New Roman" w:cs="Times New Roman"/>
          <w:sz w:val="24"/>
          <w:szCs w:val="24"/>
        </w:rPr>
        <w:t xml:space="preserve">; </w:t>
      </w:r>
      <w:r w:rsidR="003A6572">
        <w:rPr>
          <w:rFonts w:ascii="Times New Roman" w:hAnsi="Times New Roman" w:cs="Times New Roman"/>
          <w:sz w:val="24"/>
          <w:szCs w:val="24"/>
        </w:rPr>
        <w:fldChar w:fldCharType="begin" w:fldLock="1"/>
      </w:r>
      <w:r w:rsidR="00DF0689">
        <w:rPr>
          <w:rFonts w:ascii="Times New Roman" w:hAnsi="Times New Roman" w:cs="Times New Roman"/>
          <w:sz w:val="24"/>
          <w:szCs w:val="24"/>
        </w:rPr>
        <w:instrText>ADDIN CSL_CITATION {"citationItems":[{"id":"ITEM-1","itemData":{"DOI":"10.1016/j.frl.2020.101578","ISSN":"15446123","abstract":"During the ongoing COVID-19 pandemic in the US, there has been considerable media attention regarding several US legislators who traded stocks in late January through February 2020. The concern is that these legislators traded in anticipation of COVID-19 having a major impact on the financial markets, while publicly suggesting otherwise. We consider whether these legislator trades were in a time window, and of a nature, that would be consistent with trading ahead of the market. Towards this end, we assess the reactions of US industries to sudden COVID-related news announcements, concomitantly with an analysis of levels of investor attention to COVID. Results suggest that, at an industry-level, for legislator trading to be “ahead of the market” it needed to have been done prior to February 26, and involving the 15 industries we identify as having abnormal returns, especially medical and pharmaceutical products (positive); restaurants, hotels, and motels (negative); as well as services and utilities. These criteria are met by many of the legislator trades. Our results help to both parameterize concerns about this case of legislator trading; as well as provide insight into the reactions and expectations of investors toward COVID-19.","author":[{"dropping-particle":"","family":"Goodell","given":"John W.","non-dropping-particle":"","parse-names":false,"suffix":""},{"dropping-particle":"","family":"Huynh","given":"Toan Luu Duc","non-dropping-particle":"","parse-names":false,"suffix":""}],"container-title":"Finance Research Letters","id":"ITEM-1","issued":{"date-parts":[["2020","5","31"]]},"page":"101578","publisher":"Elsevier Ltd","title":"Did Congress trade ahead? Considering the reaction of US industries to COVID-19","type":"paper-conference"},"uris":["http://www.mendeley.com/documents/?uuid=4773c0b8-5494-37a6-a56a-c4e7f17ac65a"]}],"mendeley":{"formattedCitation":"(Goodell &amp; Huynh, 2020)","manualFormatting":"Goodell &amp; Huynh, 2020)","plainTextFormattedCitation":"(Goodell &amp; Huynh, 2020)","previouslyFormattedCitation":"(Goodell &amp; Huynh, 2020)"},"properties":{"noteIndex":0},"schema":"https://github.com/citation-style-language/schema/raw/master/csl-citation.json"}</w:instrText>
      </w:r>
      <w:r w:rsidR="003A6572">
        <w:rPr>
          <w:rFonts w:ascii="Times New Roman" w:hAnsi="Times New Roman" w:cs="Times New Roman"/>
          <w:sz w:val="24"/>
          <w:szCs w:val="24"/>
        </w:rPr>
        <w:fldChar w:fldCharType="separate"/>
      </w:r>
      <w:r w:rsidR="003A6572" w:rsidRPr="003A6572">
        <w:rPr>
          <w:rFonts w:ascii="Times New Roman" w:hAnsi="Times New Roman" w:cs="Times New Roman"/>
          <w:noProof/>
          <w:sz w:val="24"/>
          <w:szCs w:val="24"/>
        </w:rPr>
        <w:t>Goodell &amp; Huynh, 2020)</w:t>
      </w:r>
      <w:r w:rsidR="003A6572">
        <w:rPr>
          <w:rFonts w:ascii="Times New Roman" w:hAnsi="Times New Roman" w:cs="Times New Roman"/>
          <w:sz w:val="24"/>
          <w:szCs w:val="24"/>
        </w:rPr>
        <w:fldChar w:fldCharType="end"/>
      </w:r>
      <w:r w:rsidR="00C64637">
        <w:rPr>
          <w:rFonts w:ascii="Times New Roman" w:hAnsi="Times New Roman" w:cs="Times New Roman"/>
          <w:sz w:val="24"/>
          <w:szCs w:val="24"/>
        </w:rPr>
        <w:t xml:space="preserve">. </w:t>
      </w:r>
      <w:r w:rsidR="00F97F0B">
        <w:rPr>
          <w:rFonts w:ascii="Times New Roman" w:hAnsi="Times New Roman" w:cs="Times New Roman"/>
          <w:sz w:val="24"/>
          <w:szCs w:val="24"/>
        </w:rPr>
        <w:t>In this paper, w</w:t>
      </w:r>
      <w:r w:rsidR="00C4678F">
        <w:rPr>
          <w:rFonts w:ascii="Times New Roman" w:hAnsi="Times New Roman" w:cs="Times New Roman"/>
          <w:sz w:val="24"/>
          <w:szCs w:val="24"/>
        </w:rPr>
        <w:t xml:space="preserve">e consider the impact of investing in human capital on </w:t>
      </w:r>
      <w:r w:rsidR="00F97F0B">
        <w:rPr>
          <w:rFonts w:ascii="Times New Roman" w:hAnsi="Times New Roman" w:cs="Times New Roman"/>
          <w:sz w:val="24"/>
          <w:szCs w:val="24"/>
        </w:rPr>
        <w:t xml:space="preserve">a sample of EU </w:t>
      </w:r>
      <w:r w:rsidR="00C4678F">
        <w:rPr>
          <w:rFonts w:ascii="Times New Roman" w:hAnsi="Times New Roman" w:cs="Times New Roman"/>
          <w:sz w:val="24"/>
          <w:szCs w:val="24"/>
        </w:rPr>
        <w:t>funds</w:t>
      </w:r>
      <w:r w:rsidR="00C64637">
        <w:rPr>
          <w:rFonts w:ascii="Times New Roman" w:hAnsi="Times New Roman" w:cs="Times New Roman"/>
          <w:sz w:val="24"/>
          <w:szCs w:val="24"/>
        </w:rPr>
        <w:t xml:space="preserve"> and </w:t>
      </w:r>
      <w:r w:rsidR="00F97F0B">
        <w:rPr>
          <w:rFonts w:ascii="Times New Roman" w:hAnsi="Times New Roman" w:cs="Times New Roman"/>
          <w:sz w:val="24"/>
          <w:szCs w:val="24"/>
        </w:rPr>
        <w:t xml:space="preserve">assess </w:t>
      </w:r>
      <w:r w:rsidR="00C64637">
        <w:rPr>
          <w:rFonts w:ascii="Times New Roman" w:hAnsi="Times New Roman" w:cs="Times New Roman"/>
          <w:sz w:val="24"/>
          <w:szCs w:val="24"/>
        </w:rPr>
        <w:t>their</w:t>
      </w:r>
      <w:r w:rsidR="00C4678F">
        <w:rPr>
          <w:rFonts w:ascii="Times New Roman" w:hAnsi="Times New Roman" w:cs="Times New Roman"/>
          <w:sz w:val="24"/>
          <w:szCs w:val="24"/>
        </w:rPr>
        <w:t xml:space="preserve"> resilience to</w:t>
      </w:r>
      <w:r w:rsidR="00B652F2">
        <w:rPr>
          <w:rFonts w:ascii="Times New Roman" w:hAnsi="Times New Roman" w:cs="Times New Roman"/>
          <w:sz w:val="24"/>
          <w:szCs w:val="24"/>
        </w:rPr>
        <w:t>wards</w:t>
      </w:r>
      <w:r w:rsidR="00C4678F">
        <w:rPr>
          <w:rFonts w:ascii="Times New Roman" w:hAnsi="Times New Roman" w:cs="Times New Roman"/>
          <w:sz w:val="24"/>
          <w:szCs w:val="24"/>
        </w:rPr>
        <w:t xml:space="preserve"> the pandemic</w:t>
      </w:r>
      <w:r w:rsidR="00B652F2">
        <w:rPr>
          <w:rFonts w:ascii="Times New Roman" w:hAnsi="Times New Roman" w:cs="Times New Roman"/>
          <w:sz w:val="24"/>
          <w:szCs w:val="24"/>
        </w:rPr>
        <w:t>,</w:t>
      </w:r>
      <w:r w:rsidR="00C4678F">
        <w:rPr>
          <w:rFonts w:ascii="Times New Roman" w:hAnsi="Times New Roman" w:cs="Times New Roman"/>
          <w:sz w:val="24"/>
          <w:szCs w:val="24"/>
        </w:rPr>
        <w:t xml:space="preserve"> providing novel and original contribution</w:t>
      </w:r>
      <w:r w:rsidR="00D415F6">
        <w:rPr>
          <w:rFonts w:ascii="Times New Roman" w:hAnsi="Times New Roman" w:cs="Times New Roman"/>
          <w:sz w:val="24"/>
          <w:szCs w:val="24"/>
        </w:rPr>
        <w:t xml:space="preserve"> to the COVID-19 literature</w:t>
      </w:r>
      <w:r w:rsidR="00C4678F">
        <w:rPr>
          <w:rFonts w:ascii="Times New Roman" w:hAnsi="Times New Roman" w:cs="Times New Roman"/>
          <w:sz w:val="24"/>
          <w:szCs w:val="24"/>
        </w:rPr>
        <w:t xml:space="preserve">. </w:t>
      </w:r>
    </w:p>
    <w:p w14:paraId="5FDD6373" w14:textId="77777777" w:rsidR="00C4678F" w:rsidRDefault="00C4678F" w:rsidP="00D66A9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[Table 1 here]</w:t>
      </w:r>
    </w:p>
    <w:p w14:paraId="4B3D257E" w14:textId="55500216" w:rsidR="00C4678F" w:rsidRPr="00AA0625" w:rsidRDefault="00C4678F" w:rsidP="00FE129E">
      <w:pPr>
        <w:spacing w:after="0" w:line="480" w:lineRule="auto"/>
        <w:ind w:firstLine="720"/>
        <w:jc w:val="both"/>
        <w:rPr>
          <w:rFonts w:ascii="Times New Roman" w:hAnsi="Times New Roman" w:cs="Times New Roman"/>
          <w:color w:val="FF0000"/>
          <w:sz w:val="24"/>
          <w:szCs w:val="24"/>
        </w:rPr>
      </w:pPr>
      <w:r w:rsidRPr="00AA1BF4">
        <w:rPr>
          <w:rFonts w:ascii="Times New Roman" w:hAnsi="Times New Roman" w:cs="Times New Roman"/>
          <w:sz w:val="24"/>
          <w:szCs w:val="24"/>
        </w:rPr>
        <w:t>The results show</w:t>
      </w:r>
      <w:r w:rsidR="00817D95" w:rsidRPr="00AA1BF4">
        <w:rPr>
          <w:rFonts w:ascii="Times New Roman" w:hAnsi="Times New Roman" w:cs="Times New Roman"/>
          <w:sz w:val="24"/>
          <w:szCs w:val="24"/>
        </w:rPr>
        <w:t xml:space="preserve"> that </w:t>
      </w:r>
      <w:r w:rsidR="00F0058E" w:rsidRPr="00AA1BF4">
        <w:rPr>
          <w:rFonts w:ascii="Times New Roman" w:hAnsi="Times New Roman" w:cs="Times New Roman"/>
          <w:sz w:val="24"/>
          <w:szCs w:val="24"/>
        </w:rPr>
        <w:t xml:space="preserve">funds with higher human capital efficiency </w:t>
      </w:r>
      <w:r w:rsidR="008F77B6" w:rsidRPr="00AA1BF4">
        <w:rPr>
          <w:rFonts w:ascii="Times New Roman" w:hAnsi="Times New Roman" w:cs="Times New Roman"/>
          <w:sz w:val="24"/>
          <w:szCs w:val="24"/>
        </w:rPr>
        <w:t>depicted</w:t>
      </w:r>
      <w:r w:rsidR="00457AB1" w:rsidRPr="00AA1BF4">
        <w:rPr>
          <w:rFonts w:ascii="Times New Roman" w:hAnsi="Times New Roman" w:cs="Times New Roman"/>
          <w:sz w:val="24"/>
          <w:szCs w:val="24"/>
        </w:rPr>
        <w:t xml:space="preserve"> better risk</w:t>
      </w:r>
      <w:r w:rsidR="00390D3D">
        <w:rPr>
          <w:rFonts w:ascii="Times New Roman" w:hAnsi="Times New Roman" w:cs="Times New Roman"/>
          <w:sz w:val="24"/>
          <w:szCs w:val="24"/>
        </w:rPr>
        <w:t>-</w:t>
      </w:r>
      <w:r w:rsidR="00457AB1" w:rsidRPr="00AA1BF4">
        <w:rPr>
          <w:rFonts w:ascii="Times New Roman" w:hAnsi="Times New Roman" w:cs="Times New Roman"/>
          <w:sz w:val="24"/>
          <w:szCs w:val="24"/>
        </w:rPr>
        <w:t xml:space="preserve">adjusted performance and </w:t>
      </w:r>
      <w:r w:rsidR="0003168D" w:rsidRPr="00AA1BF4">
        <w:rPr>
          <w:rFonts w:ascii="Times New Roman" w:hAnsi="Times New Roman" w:cs="Times New Roman"/>
          <w:sz w:val="24"/>
          <w:szCs w:val="24"/>
        </w:rPr>
        <w:t>Jensen’</w:t>
      </w:r>
      <w:r w:rsidR="004F5EC9" w:rsidRPr="00AA1BF4">
        <w:rPr>
          <w:rFonts w:ascii="Times New Roman" w:hAnsi="Times New Roman" w:cs="Times New Roman"/>
          <w:sz w:val="24"/>
          <w:szCs w:val="24"/>
        </w:rPr>
        <w:t xml:space="preserve">s alpha compared </w:t>
      </w:r>
      <w:r w:rsidR="008F77B6" w:rsidRPr="00AA1BF4">
        <w:rPr>
          <w:rFonts w:ascii="Times New Roman" w:hAnsi="Times New Roman" w:cs="Times New Roman"/>
          <w:sz w:val="24"/>
          <w:szCs w:val="24"/>
        </w:rPr>
        <w:t>to their counterparts during the outbreak</w:t>
      </w:r>
      <w:r w:rsidR="004F5EC9" w:rsidRPr="00AA1BF4">
        <w:rPr>
          <w:rFonts w:ascii="Times New Roman" w:hAnsi="Times New Roman" w:cs="Times New Roman"/>
          <w:sz w:val="24"/>
          <w:szCs w:val="24"/>
        </w:rPr>
        <w:t xml:space="preserve">. </w:t>
      </w:r>
      <w:r w:rsidR="00535AD1" w:rsidRPr="00AA1BF4">
        <w:rPr>
          <w:rFonts w:ascii="Times New Roman" w:hAnsi="Times New Roman" w:cs="Times New Roman"/>
          <w:sz w:val="24"/>
          <w:szCs w:val="24"/>
        </w:rPr>
        <w:t>This remain</w:t>
      </w:r>
      <w:r w:rsidR="00D415F6">
        <w:rPr>
          <w:rFonts w:ascii="Times New Roman" w:hAnsi="Times New Roman" w:cs="Times New Roman"/>
          <w:sz w:val="24"/>
          <w:szCs w:val="24"/>
        </w:rPr>
        <w:t>s</w:t>
      </w:r>
      <w:r w:rsidR="00535AD1" w:rsidRPr="00AA1BF4">
        <w:rPr>
          <w:rFonts w:ascii="Times New Roman" w:hAnsi="Times New Roman" w:cs="Times New Roman"/>
          <w:sz w:val="24"/>
          <w:szCs w:val="24"/>
        </w:rPr>
        <w:t xml:space="preserve"> consistent across different stages of </w:t>
      </w:r>
      <w:r w:rsidR="00D415F6">
        <w:rPr>
          <w:rFonts w:ascii="Times New Roman" w:hAnsi="Times New Roman" w:cs="Times New Roman"/>
          <w:sz w:val="24"/>
          <w:szCs w:val="24"/>
        </w:rPr>
        <w:t xml:space="preserve">the </w:t>
      </w:r>
      <w:r w:rsidR="00535AD1" w:rsidRPr="00AA1BF4">
        <w:rPr>
          <w:rFonts w:ascii="Times New Roman" w:hAnsi="Times New Roman" w:cs="Times New Roman"/>
          <w:sz w:val="24"/>
          <w:szCs w:val="24"/>
        </w:rPr>
        <w:t>C</w:t>
      </w:r>
      <w:r w:rsidR="00AA1BF4">
        <w:rPr>
          <w:rFonts w:ascii="Times New Roman" w:hAnsi="Times New Roman" w:cs="Times New Roman"/>
          <w:sz w:val="24"/>
          <w:szCs w:val="24"/>
        </w:rPr>
        <w:t>OVID</w:t>
      </w:r>
      <w:r w:rsidR="00535AD1" w:rsidRPr="00AA1BF4">
        <w:rPr>
          <w:rFonts w:ascii="Times New Roman" w:hAnsi="Times New Roman" w:cs="Times New Roman"/>
          <w:sz w:val="24"/>
          <w:szCs w:val="24"/>
        </w:rPr>
        <w:t>-19</w:t>
      </w:r>
      <w:r w:rsidR="00AA1BF4">
        <w:rPr>
          <w:rFonts w:ascii="Times New Roman" w:hAnsi="Times New Roman" w:cs="Times New Roman"/>
          <w:sz w:val="24"/>
          <w:szCs w:val="24"/>
        </w:rPr>
        <w:t xml:space="preserve"> crisis in five countries analyzed</w:t>
      </w:r>
      <w:r w:rsidR="00535AD1" w:rsidRPr="00AA1BF4">
        <w:rPr>
          <w:rFonts w:ascii="Times New Roman" w:hAnsi="Times New Roman" w:cs="Times New Roman"/>
          <w:sz w:val="24"/>
          <w:szCs w:val="24"/>
        </w:rPr>
        <w:t xml:space="preserve">. We report that </w:t>
      </w:r>
      <w:r w:rsidR="00AA1BF4">
        <w:rPr>
          <w:rFonts w:ascii="Times New Roman" w:hAnsi="Times New Roman" w:cs="Times New Roman"/>
          <w:sz w:val="24"/>
          <w:szCs w:val="24"/>
        </w:rPr>
        <w:t xml:space="preserve">even </w:t>
      </w:r>
      <w:r w:rsidR="00535AD1" w:rsidRPr="00AA1BF4">
        <w:rPr>
          <w:rFonts w:ascii="Times New Roman" w:hAnsi="Times New Roman" w:cs="Times New Roman"/>
          <w:sz w:val="24"/>
          <w:szCs w:val="24"/>
        </w:rPr>
        <w:t xml:space="preserve">when the pandemic </w:t>
      </w:r>
      <w:r w:rsidR="00AA1BF4">
        <w:rPr>
          <w:rFonts w:ascii="Times New Roman" w:hAnsi="Times New Roman" w:cs="Times New Roman"/>
          <w:sz w:val="24"/>
          <w:szCs w:val="24"/>
        </w:rPr>
        <w:t xml:space="preserve">reached </w:t>
      </w:r>
      <w:r w:rsidR="00535AD1" w:rsidRPr="00AA1BF4">
        <w:rPr>
          <w:rFonts w:ascii="Times New Roman" w:hAnsi="Times New Roman" w:cs="Times New Roman"/>
          <w:sz w:val="24"/>
          <w:szCs w:val="24"/>
        </w:rPr>
        <w:t>its peak in</w:t>
      </w:r>
      <w:r w:rsidR="00AA1BF4">
        <w:rPr>
          <w:rFonts w:ascii="Times New Roman" w:hAnsi="Times New Roman" w:cs="Times New Roman"/>
          <w:sz w:val="24"/>
          <w:szCs w:val="24"/>
        </w:rPr>
        <w:t xml:space="preserve"> the</w:t>
      </w:r>
      <w:r w:rsidR="00535AD1" w:rsidRPr="00AA1BF4">
        <w:rPr>
          <w:rFonts w:ascii="Times New Roman" w:hAnsi="Times New Roman" w:cs="Times New Roman"/>
          <w:sz w:val="24"/>
          <w:szCs w:val="24"/>
        </w:rPr>
        <w:t xml:space="preserve"> EU and </w:t>
      </w:r>
      <w:proofErr w:type="gramStart"/>
      <w:r w:rsidR="00390D3D">
        <w:rPr>
          <w:rFonts w:ascii="Times New Roman" w:hAnsi="Times New Roman" w:cs="Times New Roman"/>
          <w:sz w:val="24"/>
          <w:szCs w:val="24"/>
        </w:rPr>
        <w:t xml:space="preserve">the </w:t>
      </w:r>
      <w:r w:rsidR="00AA1BF4">
        <w:rPr>
          <w:rFonts w:ascii="Times New Roman" w:hAnsi="Times New Roman" w:cs="Times New Roman"/>
          <w:sz w:val="24"/>
          <w:szCs w:val="24"/>
        </w:rPr>
        <w:t>majority of</w:t>
      </w:r>
      <w:proofErr w:type="gramEnd"/>
      <w:r w:rsidR="00535AD1" w:rsidRPr="00AA1BF4">
        <w:rPr>
          <w:rFonts w:ascii="Times New Roman" w:hAnsi="Times New Roman" w:cs="Times New Roman"/>
          <w:sz w:val="24"/>
          <w:szCs w:val="24"/>
        </w:rPr>
        <w:t xml:space="preserve"> </w:t>
      </w:r>
      <w:r w:rsidR="0005640E" w:rsidRPr="00AA1BF4">
        <w:rPr>
          <w:rFonts w:ascii="Times New Roman" w:hAnsi="Times New Roman" w:cs="Times New Roman"/>
          <w:sz w:val="24"/>
          <w:szCs w:val="24"/>
        </w:rPr>
        <w:t xml:space="preserve">funds </w:t>
      </w:r>
      <w:r w:rsidR="00AA1BF4">
        <w:rPr>
          <w:rFonts w:ascii="Times New Roman" w:hAnsi="Times New Roman" w:cs="Times New Roman"/>
          <w:sz w:val="24"/>
          <w:szCs w:val="24"/>
        </w:rPr>
        <w:t>demonstrated</w:t>
      </w:r>
      <w:r w:rsidR="00FE1016" w:rsidRPr="00AA1BF4">
        <w:rPr>
          <w:rFonts w:ascii="Times New Roman" w:hAnsi="Times New Roman" w:cs="Times New Roman"/>
          <w:sz w:val="24"/>
          <w:szCs w:val="24"/>
        </w:rPr>
        <w:t xml:space="preserve"> negative returns, th</w:t>
      </w:r>
      <w:r w:rsidR="00AA1BF4">
        <w:rPr>
          <w:rFonts w:ascii="Times New Roman" w:hAnsi="Times New Roman" w:cs="Times New Roman"/>
          <w:sz w:val="24"/>
          <w:szCs w:val="24"/>
        </w:rPr>
        <w:t xml:space="preserve">e funds that are in the </w:t>
      </w:r>
      <w:r w:rsidR="0005640E" w:rsidRPr="00AA1BF4">
        <w:rPr>
          <w:rFonts w:ascii="Times New Roman" w:hAnsi="Times New Roman" w:cs="Times New Roman"/>
          <w:sz w:val="24"/>
          <w:szCs w:val="24"/>
        </w:rPr>
        <w:t>top 20</w:t>
      </w:r>
      <w:r w:rsidR="00AA1BF4">
        <w:rPr>
          <w:rFonts w:ascii="Times New Roman" w:hAnsi="Times New Roman" w:cs="Times New Roman"/>
          <w:sz w:val="24"/>
          <w:szCs w:val="24"/>
        </w:rPr>
        <w:t>%</w:t>
      </w:r>
      <w:r w:rsidR="00FE1016" w:rsidRPr="00AA1BF4">
        <w:rPr>
          <w:rFonts w:ascii="Times New Roman" w:hAnsi="Times New Roman" w:cs="Times New Roman"/>
          <w:sz w:val="24"/>
          <w:szCs w:val="24"/>
        </w:rPr>
        <w:t xml:space="preserve"> of human capital efficiency </w:t>
      </w:r>
      <w:r w:rsidR="008F77B6" w:rsidRPr="00AA1BF4">
        <w:rPr>
          <w:rFonts w:ascii="Times New Roman" w:hAnsi="Times New Roman" w:cs="Times New Roman"/>
          <w:sz w:val="24"/>
          <w:szCs w:val="24"/>
        </w:rPr>
        <w:t>demonstrated positive (and higher) risk</w:t>
      </w:r>
      <w:r w:rsidR="00390D3D">
        <w:rPr>
          <w:rFonts w:ascii="Times New Roman" w:hAnsi="Times New Roman" w:cs="Times New Roman"/>
          <w:sz w:val="24"/>
          <w:szCs w:val="24"/>
        </w:rPr>
        <w:t>-</w:t>
      </w:r>
      <w:r w:rsidR="008F77B6" w:rsidRPr="00AA1BF4">
        <w:rPr>
          <w:rFonts w:ascii="Times New Roman" w:hAnsi="Times New Roman" w:cs="Times New Roman"/>
          <w:sz w:val="24"/>
          <w:szCs w:val="24"/>
        </w:rPr>
        <w:t xml:space="preserve">adjusted returns. </w:t>
      </w:r>
      <w:r w:rsidR="008F77B6" w:rsidRPr="00AA0625">
        <w:rPr>
          <w:rFonts w:ascii="Times New Roman" w:hAnsi="Times New Roman" w:cs="Times New Roman"/>
          <w:color w:val="FF0000"/>
          <w:sz w:val="24"/>
          <w:szCs w:val="24"/>
        </w:rPr>
        <w:t>The findings remained robust f</w:t>
      </w:r>
      <w:r w:rsidR="00AA0625" w:rsidRPr="00AA0625">
        <w:rPr>
          <w:rFonts w:ascii="Times New Roman" w:hAnsi="Times New Roman" w:cs="Times New Roman"/>
          <w:color w:val="FF0000"/>
          <w:sz w:val="24"/>
          <w:szCs w:val="24"/>
        </w:rPr>
        <w:t>or various performance measures as well as for abnormal returns assessment during pre-C</w:t>
      </w:r>
      <w:r w:rsidR="008566F9">
        <w:rPr>
          <w:rFonts w:ascii="Times New Roman" w:hAnsi="Times New Roman" w:cs="Times New Roman"/>
          <w:color w:val="FF0000"/>
          <w:sz w:val="24"/>
          <w:szCs w:val="24"/>
        </w:rPr>
        <w:t>OVID</w:t>
      </w:r>
      <w:r w:rsidR="00AA0625" w:rsidRPr="00AA0625">
        <w:rPr>
          <w:rFonts w:ascii="Times New Roman" w:hAnsi="Times New Roman" w:cs="Times New Roman"/>
          <w:color w:val="FF0000"/>
          <w:sz w:val="24"/>
          <w:szCs w:val="24"/>
        </w:rPr>
        <w:t xml:space="preserve"> and outbreak periods. </w:t>
      </w:r>
      <w:r w:rsidR="00FE1016" w:rsidRPr="00AA0625">
        <w:rPr>
          <w:rFonts w:ascii="Times New Roman" w:hAnsi="Times New Roman" w:cs="Times New Roman"/>
          <w:color w:val="FF0000"/>
          <w:sz w:val="24"/>
          <w:szCs w:val="24"/>
        </w:rPr>
        <w:t xml:space="preserve">  </w:t>
      </w:r>
      <w:r w:rsidR="0005640E" w:rsidRPr="00AA0625">
        <w:rPr>
          <w:rFonts w:ascii="Times New Roman" w:hAnsi="Times New Roman" w:cs="Times New Roman"/>
          <w:color w:val="FF0000"/>
          <w:sz w:val="24"/>
          <w:szCs w:val="24"/>
        </w:rPr>
        <w:t xml:space="preserve">  </w:t>
      </w:r>
      <w:r w:rsidR="00535AD1" w:rsidRPr="00AA0625">
        <w:rPr>
          <w:rFonts w:ascii="Times New Roman" w:hAnsi="Times New Roman" w:cs="Times New Roman"/>
          <w:color w:val="FF0000"/>
          <w:sz w:val="24"/>
          <w:szCs w:val="24"/>
        </w:rPr>
        <w:t xml:space="preserve"> </w:t>
      </w:r>
      <w:r w:rsidR="004F5EC9" w:rsidRPr="00AA0625">
        <w:rPr>
          <w:rFonts w:ascii="Times New Roman" w:hAnsi="Times New Roman" w:cs="Times New Roman"/>
          <w:color w:val="FF0000"/>
          <w:sz w:val="24"/>
          <w:szCs w:val="24"/>
        </w:rPr>
        <w:t xml:space="preserve"> </w:t>
      </w:r>
      <w:r w:rsidR="00457AB1" w:rsidRPr="00AA0625">
        <w:rPr>
          <w:rFonts w:ascii="Times New Roman" w:hAnsi="Times New Roman" w:cs="Times New Roman"/>
          <w:color w:val="FF0000"/>
          <w:sz w:val="24"/>
          <w:szCs w:val="24"/>
        </w:rPr>
        <w:t xml:space="preserve"> </w:t>
      </w:r>
      <w:r w:rsidR="00932CC7" w:rsidRPr="00AA0625">
        <w:rPr>
          <w:rFonts w:ascii="Times New Roman" w:hAnsi="Times New Roman" w:cs="Times New Roman"/>
          <w:color w:val="FF0000"/>
          <w:sz w:val="24"/>
          <w:szCs w:val="24"/>
        </w:rPr>
        <w:t xml:space="preserve"> </w:t>
      </w:r>
    </w:p>
    <w:p w14:paraId="156BEE02" w14:textId="1D8F03A8" w:rsidR="00032CF8" w:rsidRDefault="00C4678F" w:rsidP="00D66A9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remainder of the paper is organi</w:t>
      </w:r>
      <w:r w:rsidR="005D0A88">
        <w:rPr>
          <w:rFonts w:ascii="Times New Roman" w:hAnsi="Times New Roman" w:cs="Times New Roman"/>
          <w:sz w:val="24"/>
          <w:szCs w:val="24"/>
        </w:rPr>
        <w:t>z</w:t>
      </w:r>
      <w:r>
        <w:rPr>
          <w:rFonts w:ascii="Times New Roman" w:hAnsi="Times New Roman" w:cs="Times New Roman"/>
          <w:sz w:val="24"/>
          <w:szCs w:val="24"/>
        </w:rPr>
        <w:t>ed as follows. Section 2 discuss</w:t>
      </w:r>
      <w:r w:rsidR="002C5B36">
        <w:rPr>
          <w:rFonts w:ascii="Times New Roman" w:hAnsi="Times New Roman" w:cs="Times New Roman"/>
          <w:sz w:val="24"/>
          <w:szCs w:val="24"/>
        </w:rPr>
        <w:t>es</w:t>
      </w:r>
      <w:r>
        <w:rPr>
          <w:rFonts w:ascii="Times New Roman" w:hAnsi="Times New Roman" w:cs="Times New Roman"/>
          <w:sz w:val="24"/>
          <w:szCs w:val="24"/>
        </w:rPr>
        <w:t xml:space="preserve"> </w:t>
      </w:r>
      <w:r w:rsidR="005D0A88">
        <w:rPr>
          <w:rFonts w:ascii="Times New Roman" w:hAnsi="Times New Roman" w:cs="Times New Roman"/>
          <w:sz w:val="24"/>
          <w:szCs w:val="24"/>
        </w:rPr>
        <w:t xml:space="preserve">the </w:t>
      </w:r>
      <w:r>
        <w:rPr>
          <w:rFonts w:ascii="Times New Roman" w:hAnsi="Times New Roman" w:cs="Times New Roman"/>
          <w:sz w:val="24"/>
          <w:szCs w:val="24"/>
        </w:rPr>
        <w:t xml:space="preserve">data and methodology. Section 3 presents empirical results, while Section 4 </w:t>
      </w:r>
      <w:r w:rsidR="002C5B36">
        <w:rPr>
          <w:rFonts w:ascii="Times New Roman" w:hAnsi="Times New Roman" w:cs="Times New Roman"/>
          <w:sz w:val="24"/>
          <w:szCs w:val="24"/>
        </w:rPr>
        <w:t>concludes.</w:t>
      </w:r>
    </w:p>
    <w:p w14:paraId="4908E58D" w14:textId="26DC61DC" w:rsidR="00EA0B2A" w:rsidRDefault="00A90B9A" w:rsidP="00BB32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r>
      <w:r w:rsidR="0013318C" w:rsidRPr="0013318C">
        <w:rPr>
          <w:rFonts w:ascii="Times New Roman" w:hAnsi="Times New Roman" w:cs="Times New Roman"/>
          <w:b/>
          <w:sz w:val="24"/>
          <w:szCs w:val="24"/>
        </w:rPr>
        <w:t>Data</w:t>
      </w:r>
      <w:r w:rsidR="00C4678F">
        <w:rPr>
          <w:rFonts w:ascii="Times New Roman" w:hAnsi="Times New Roman" w:cs="Times New Roman"/>
          <w:b/>
          <w:sz w:val="24"/>
          <w:szCs w:val="24"/>
        </w:rPr>
        <w:t xml:space="preserve"> and Methodology </w:t>
      </w:r>
    </w:p>
    <w:p w14:paraId="4648CCE3" w14:textId="7F642110" w:rsidR="00C4678F" w:rsidRPr="00D415F6" w:rsidRDefault="00C4678F" w:rsidP="00D415F6">
      <w:pPr>
        <w:spacing w:after="0" w:line="480" w:lineRule="auto"/>
        <w:ind w:firstLine="720"/>
        <w:jc w:val="both"/>
        <w:rPr>
          <w:rFonts w:ascii="Times New Roman" w:hAnsi="Times New Roman" w:cs="Times New Roman"/>
          <w:bCs/>
          <w:sz w:val="24"/>
          <w:szCs w:val="24"/>
        </w:rPr>
      </w:pPr>
      <w:r w:rsidRPr="00D66A92">
        <w:rPr>
          <w:rFonts w:ascii="Times New Roman" w:hAnsi="Times New Roman" w:cs="Times New Roman"/>
          <w:bCs/>
          <w:sz w:val="24"/>
          <w:szCs w:val="24"/>
        </w:rPr>
        <w:t>This</w:t>
      </w:r>
      <w:r>
        <w:rPr>
          <w:rFonts w:ascii="Times New Roman" w:hAnsi="Times New Roman" w:cs="Times New Roman"/>
          <w:bCs/>
          <w:sz w:val="24"/>
          <w:szCs w:val="24"/>
        </w:rPr>
        <w:t xml:space="preserve"> paper </w:t>
      </w:r>
      <w:r w:rsidR="00D66A92">
        <w:rPr>
          <w:rFonts w:ascii="Times New Roman" w:hAnsi="Times New Roman" w:cs="Times New Roman"/>
          <w:bCs/>
          <w:sz w:val="24"/>
          <w:szCs w:val="24"/>
        </w:rPr>
        <w:t>utilizes</w:t>
      </w:r>
      <w:r>
        <w:rPr>
          <w:rFonts w:ascii="Times New Roman" w:hAnsi="Times New Roman" w:cs="Times New Roman"/>
          <w:bCs/>
          <w:sz w:val="24"/>
          <w:szCs w:val="24"/>
        </w:rPr>
        <w:t xml:space="preserve"> data </w:t>
      </w:r>
      <w:r w:rsidR="00FE5FE8">
        <w:rPr>
          <w:rFonts w:ascii="Times New Roman" w:hAnsi="Times New Roman" w:cs="Times New Roman"/>
          <w:bCs/>
          <w:sz w:val="24"/>
          <w:szCs w:val="24"/>
        </w:rPr>
        <w:t xml:space="preserve">for </w:t>
      </w:r>
      <w:r w:rsidRPr="00C4678F">
        <w:rPr>
          <w:rFonts w:ascii="Times New Roman" w:hAnsi="Times New Roman" w:cs="Times New Roman"/>
          <w:bCs/>
          <w:sz w:val="24"/>
          <w:szCs w:val="24"/>
        </w:rPr>
        <w:t xml:space="preserve">799 </w:t>
      </w:r>
      <w:r w:rsidR="00AA1BF4">
        <w:rPr>
          <w:rFonts w:ascii="Times New Roman" w:hAnsi="Times New Roman" w:cs="Times New Roman"/>
          <w:bCs/>
          <w:sz w:val="24"/>
          <w:szCs w:val="24"/>
        </w:rPr>
        <w:t xml:space="preserve">open-ended </w:t>
      </w:r>
      <w:r w:rsidRPr="00C4678F">
        <w:rPr>
          <w:rFonts w:ascii="Times New Roman" w:hAnsi="Times New Roman" w:cs="Times New Roman"/>
          <w:bCs/>
          <w:sz w:val="24"/>
          <w:szCs w:val="24"/>
        </w:rPr>
        <w:t>equity</w:t>
      </w:r>
      <w:r w:rsidR="00AA1BF4">
        <w:rPr>
          <w:rFonts w:ascii="Times New Roman" w:hAnsi="Times New Roman" w:cs="Times New Roman"/>
          <w:bCs/>
          <w:sz w:val="24"/>
          <w:szCs w:val="24"/>
        </w:rPr>
        <w:t xml:space="preserve"> </w:t>
      </w:r>
      <w:r w:rsidRPr="00C4678F">
        <w:rPr>
          <w:rFonts w:ascii="Times New Roman" w:hAnsi="Times New Roman" w:cs="Times New Roman"/>
          <w:bCs/>
          <w:sz w:val="24"/>
          <w:szCs w:val="24"/>
        </w:rPr>
        <w:t>funds across five countries</w:t>
      </w:r>
      <w:r>
        <w:rPr>
          <w:rFonts w:ascii="Times New Roman" w:hAnsi="Times New Roman" w:cs="Times New Roman"/>
          <w:bCs/>
          <w:sz w:val="24"/>
          <w:szCs w:val="24"/>
        </w:rPr>
        <w:t>, Spain, Italy,</w:t>
      </w:r>
      <w:r w:rsidR="00FE5FE8">
        <w:rPr>
          <w:rFonts w:ascii="Times New Roman" w:hAnsi="Times New Roman" w:cs="Times New Roman"/>
          <w:bCs/>
          <w:sz w:val="24"/>
          <w:szCs w:val="24"/>
        </w:rPr>
        <w:t xml:space="preserve"> France, </w:t>
      </w:r>
      <w:r>
        <w:rPr>
          <w:rFonts w:ascii="Times New Roman" w:hAnsi="Times New Roman" w:cs="Times New Roman"/>
          <w:bCs/>
          <w:sz w:val="24"/>
          <w:szCs w:val="24"/>
        </w:rPr>
        <w:t>Germany</w:t>
      </w:r>
      <w:r w:rsidR="00ED5000">
        <w:rPr>
          <w:rFonts w:ascii="Times New Roman" w:hAnsi="Times New Roman" w:cs="Times New Roman"/>
          <w:bCs/>
          <w:sz w:val="24"/>
          <w:szCs w:val="24"/>
        </w:rPr>
        <w:t>,</w:t>
      </w:r>
      <w:r w:rsidR="00FE5FE8">
        <w:rPr>
          <w:rFonts w:ascii="Times New Roman" w:hAnsi="Times New Roman" w:cs="Times New Roman"/>
          <w:bCs/>
          <w:sz w:val="24"/>
          <w:szCs w:val="24"/>
        </w:rPr>
        <w:t xml:space="preserve"> and Belgium, </w:t>
      </w:r>
      <w:r w:rsidR="00FE5FE8" w:rsidRPr="00FE5FE8">
        <w:rPr>
          <w:rFonts w:ascii="Times New Roman" w:hAnsi="Times New Roman" w:cs="Times New Roman"/>
          <w:bCs/>
          <w:sz w:val="24"/>
          <w:szCs w:val="24"/>
        </w:rPr>
        <w:t xml:space="preserve">from </w:t>
      </w:r>
      <w:r w:rsidR="00ED5000">
        <w:rPr>
          <w:rFonts w:ascii="Times New Roman" w:hAnsi="Times New Roman" w:cs="Times New Roman"/>
          <w:bCs/>
          <w:sz w:val="24"/>
          <w:szCs w:val="24"/>
        </w:rPr>
        <w:t xml:space="preserve">the </w:t>
      </w:r>
      <w:r w:rsidR="00FE5FE8" w:rsidRPr="00FE5FE8">
        <w:rPr>
          <w:rFonts w:ascii="Times New Roman" w:hAnsi="Times New Roman" w:cs="Times New Roman"/>
          <w:bCs/>
          <w:sz w:val="24"/>
          <w:szCs w:val="24"/>
        </w:rPr>
        <w:t xml:space="preserve">1st </w:t>
      </w:r>
      <w:r w:rsidR="00AA1BF4">
        <w:rPr>
          <w:rFonts w:ascii="Times New Roman" w:hAnsi="Times New Roman" w:cs="Times New Roman"/>
          <w:bCs/>
          <w:sz w:val="24"/>
          <w:szCs w:val="24"/>
        </w:rPr>
        <w:t xml:space="preserve">of January </w:t>
      </w:r>
      <w:r w:rsidR="00FE5FE8" w:rsidRPr="00FE5FE8">
        <w:rPr>
          <w:rFonts w:ascii="Times New Roman" w:hAnsi="Times New Roman" w:cs="Times New Roman"/>
          <w:bCs/>
          <w:sz w:val="24"/>
          <w:szCs w:val="24"/>
        </w:rPr>
        <w:t xml:space="preserve">to </w:t>
      </w:r>
      <w:r w:rsidR="00ED5000">
        <w:rPr>
          <w:rFonts w:ascii="Times New Roman" w:hAnsi="Times New Roman" w:cs="Times New Roman"/>
          <w:bCs/>
          <w:sz w:val="24"/>
          <w:szCs w:val="24"/>
        </w:rPr>
        <w:t xml:space="preserve">the </w:t>
      </w:r>
      <w:r w:rsidR="00FE5FE8" w:rsidRPr="00FE5FE8">
        <w:rPr>
          <w:rFonts w:ascii="Times New Roman" w:hAnsi="Times New Roman" w:cs="Times New Roman"/>
          <w:bCs/>
          <w:sz w:val="24"/>
          <w:szCs w:val="24"/>
        </w:rPr>
        <w:t>2</w:t>
      </w:r>
      <w:r w:rsidR="00FE5FE8" w:rsidRPr="00AA1BF4">
        <w:rPr>
          <w:rFonts w:ascii="Times New Roman" w:hAnsi="Times New Roman" w:cs="Times New Roman"/>
          <w:bCs/>
          <w:sz w:val="24"/>
          <w:szCs w:val="24"/>
          <w:vertAlign w:val="superscript"/>
        </w:rPr>
        <w:t>nd</w:t>
      </w:r>
      <w:r w:rsidR="00AA1BF4">
        <w:rPr>
          <w:rFonts w:ascii="Times New Roman" w:hAnsi="Times New Roman" w:cs="Times New Roman"/>
          <w:bCs/>
          <w:sz w:val="24"/>
          <w:szCs w:val="24"/>
        </w:rPr>
        <w:t xml:space="preserve"> of June </w:t>
      </w:r>
      <w:r w:rsidR="00FE5FE8" w:rsidRPr="00FE5FE8">
        <w:rPr>
          <w:rFonts w:ascii="Times New Roman" w:hAnsi="Times New Roman" w:cs="Times New Roman"/>
          <w:bCs/>
          <w:sz w:val="24"/>
          <w:szCs w:val="24"/>
        </w:rPr>
        <w:t>2020.</w:t>
      </w:r>
      <w:r w:rsidR="00D415F6">
        <w:rPr>
          <w:rFonts w:ascii="Times New Roman" w:hAnsi="Times New Roman" w:cs="Times New Roman"/>
          <w:bCs/>
          <w:sz w:val="24"/>
          <w:szCs w:val="24"/>
        </w:rPr>
        <w:t xml:space="preserve"> </w:t>
      </w:r>
      <w:r w:rsidR="00EA0C81">
        <w:rPr>
          <w:rFonts w:ascii="Times New Roman" w:hAnsi="Times New Roman" w:cs="Times New Roman"/>
          <w:sz w:val="24"/>
          <w:szCs w:val="24"/>
        </w:rPr>
        <w:t>The focus o</w:t>
      </w:r>
      <w:r w:rsidR="00BC07C7">
        <w:rPr>
          <w:rFonts w:ascii="Times New Roman" w:hAnsi="Times New Roman" w:cs="Times New Roman"/>
          <w:sz w:val="24"/>
          <w:szCs w:val="24"/>
        </w:rPr>
        <w:t>f this paper is to evaluate the</w:t>
      </w:r>
      <w:r w:rsidR="0013318C">
        <w:rPr>
          <w:rFonts w:ascii="Times New Roman" w:hAnsi="Times New Roman" w:cs="Times New Roman"/>
          <w:sz w:val="24"/>
          <w:szCs w:val="24"/>
        </w:rPr>
        <w:t xml:space="preserve"> impact of human capital efficiency on</w:t>
      </w:r>
      <w:r w:rsidR="00BC07C7">
        <w:rPr>
          <w:rFonts w:ascii="Times New Roman" w:hAnsi="Times New Roman" w:cs="Times New Roman"/>
          <w:sz w:val="24"/>
          <w:szCs w:val="24"/>
        </w:rPr>
        <w:t xml:space="preserve"> </w:t>
      </w:r>
      <w:r w:rsidR="00ED5000">
        <w:rPr>
          <w:rFonts w:ascii="Times New Roman" w:hAnsi="Times New Roman" w:cs="Times New Roman"/>
          <w:sz w:val="24"/>
          <w:szCs w:val="24"/>
        </w:rPr>
        <w:t xml:space="preserve">the </w:t>
      </w:r>
      <w:r w:rsidR="00BC07C7">
        <w:rPr>
          <w:rFonts w:ascii="Times New Roman" w:hAnsi="Times New Roman" w:cs="Times New Roman"/>
          <w:sz w:val="24"/>
          <w:szCs w:val="24"/>
        </w:rPr>
        <w:t>performance of equity funds during</w:t>
      </w:r>
      <w:r w:rsidR="00AA1BF4">
        <w:rPr>
          <w:rFonts w:ascii="Times New Roman" w:hAnsi="Times New Roman" w:cs="Times New Roman"/>
          <w:sz w:val="24"/>
          <w:szCs w:val="24"/>
        </w:rPr>
        <w:t xml:space="preserve"> the</w:t>
      </w:r>
      <w:r w:rsidR="00BC07C7">
        <w:rPr>
          <w:rFonts w:ascii="Times New Roman" w:hAnsi="Times New Roman" w:cs="Times New Roman"/>
          <w:sz w:val="24"/>
          <w:szCs w:val="24"/>
        </w:rPr>
        <w:t xml:space="preserve"> </w:t>
      </w:r>
      <w:r>
        <w:rPr>
          <w:rFonts w:ascii="Times New Roman" w:hAnsi="Times New Roman" w:cs="Times New Roman"/>
          <w:sz w:val="24"/>
          <w:szCs w:val="24"/>
        </w:rPr>
        <w:t>COVID</w:t>
      </w:r>
      <w:r w:rsidR="00BC07C7">
        <w:rPr>
          <w:rFonts w:ascii="Times New Roman" w:hAnsi="Times New Roman" w:cs="Times New Roman"/>
          <w:sz w:val="24"/>
          <w:szCs w:val="24"/>
        </w:rPr>
        <w:t>-19</w:t>
      </w:r>
      <w:r w:rsidR="00D415F6">
        <w:rPr>
          <w:rFonts w:ascii="Times New Roman" w:hAnsi="Times New Roman" w:cs="Times New Roman"/>
          <w:sz w:val="24"/>
          <w:szCs w:val="24"/>
        </w:rPr>
        <w:t xml:space="preserve"> pandemics</w:t>
      </w:r>
      <w:r w:rsidR="0013318C">
        <w:rPr>
          <w:rFonts w:ascii="Times New Roman" w:hAnsi="Times New Roman" w:cs="Times New Roman"/>
          <w:sz w:val="24"/>
          <w:szCs w:val="24"/>
        </w:rPr>
        <w:t xml:space="preserve">. </w:t>
      </w:r>
      <w:r w:rsidR="0013318C" w:rsidRPr="00664CA6">
        <w:rPr>
          <w:rFonts w:ascii="Times New Roman" w:hAnsi="Times New Roman" w:cs="Times New Roman"/>
          <w:sz w:val="24"/>
          <w:szCs w:val="24"/>
        </w:rPr>
        <w:fldChar w:fldCharType="begin" w:fldLock="1"/>
      </w:r>
      <w:r w:rsidR="009C1B33">
        <w:rPr>
          <w:rFonts w:ascii="Times New Roman" w:hAnsi="Times New Roman" w:cs="Times New Roman"/>
          <w:sz w:val="24"/>
          <w:szCs w:val="24"/>
        </w:rPr>
        <w:instrText>ADDIN CSL_CITATION {"citationItems":[{"id":"ITEM-1","itemData":{"DOI":"10.1504/ijtm.2000.002891","ISSN":"02675730","abstract":"The existing accounting system cannot meet the requirements of modern companies any more because not costs but value creation is the core of modern business. If a company aims to achieve a maximum result with its given resources management must know how successfully they create value in the company. Information provided by a basic economic function - measuring the efficiency of value creation - is therefore decisive for successful management of intellectual assets. The VAIC method measures and monitors the value creation efficiency in the company using accounting based figures. The better a company's resources (capital employed and intellectual capital) have been utilized, the higher the company's value creation efficiency will be (whereby human capital, as the decisive value creation factor of modern business). This results in an increase of value added on the one hand and determines the market value on the other hand as our research has shown.","author":[{"dropping-particle":"","family":"Pulic","given":"Ante","non-dropping-particle":"","parse-names":false,"suffix":""}],"container-title":"International Journal of Technology Management","id":"ITEM-1","issued":{"date-parts":[["2000"]]},"title":"VAIC - an accounting tool for IC management","type":"article-journal"},"uris":["http://www.mendeley.com/documents/?uuid=3bde79e7-b663-4014-816b-f009290d3a2a"]},{"id":"ITEM-2","itemData":{"DOI":"10.1504/gber.2003.006201","ISSN":"1097-4954","abstract":"Firms, which have recognized the significance of Intellectual Capital as the key resource of modern business, aim at developing ways to manage and also measure this key resource in order to relate their Intellectual Capital performance and bottom line results. But it has become obvious that the traditional financial metrics do not reflect reality because the core of modern business is not cost but instead value creation. Traditional indicators such as revenue, cash flow or income are often misleading and, in our opinion, hinder management's ability to measure more accurately whether or not value is created or destroyed. It has become obvious that, if a firm aims to achieve a maximum result with its existing tangible and intangible resources, management must introduce new tools for monitoring and measuring how well the resources (physical, financial and intellectual capital) have been utilized and whether they create or destroy value. In this context, the ability of employees to transform their knowledge and skills into value creating action is of vital importance. Therefore, intellectual capital has gained in importance as a new knowledge management instrument for managing, measuring and improving a company's intangible assets. It can enable any firm to launch a renewal process and transform itself into a powerful strategic weapon for the new century. Focusing on monitoring and measuring intellectual capital performance, our research shows that Value Creation Efficiency Analysis (powered by the VAIC model) may be utilized for better measuring business activity at the firm, regional or national level. In whatever follows, after we introduce the concept of Intellectual Capital and its comprising elements, we use Value Creation Efficiency Analysis to study Croatia's banks and the country's entire economy.","author":[{"dropping-particle":"","family":"Pulic","given":"Ante","non-dropping-particle":"","parse-names":false,"suffix":""},{"dropping-particle":"","family":"Kolakovic","given":"Marko","non-dropping-particle":"","parse-names":false,"suffix":""}],"container-title":"Global Business and Economics Review","id":"ITEM-2","issued":{"date-parts":[["2003"]]},"title":"Value creation efficiency in the new economy","type":"article-journal"},"uris":["http://www.mendeley.com/documents/?uuid=db8b3517-b495-4f2d-8f12-72d3dce75259"]}],"mendeley":{"formattedCitation":"(Pulic, 2000; Pulic &amp; Kolakovic, 2003)","manualFormatting":"Pulic (2000), Pulic and Kolakovic(2003)","plainTextFormattedCitation":"(Pulic, 2000; Pulic &amp; Kolakovic, 2003)","previouslyFormattedCitation":"(Pulic, 2000; Pulic &amp; Kolakovic, 2003)"},"properties":{"noteIndex":0},"schema":"https://github.com/citation-style-language/schema/raw/master/csl-citation.json"}</w:instrText>
      </w:r>
      <w:r w:rsidR="0013318C" w:rsidRPr="00664CA6">
        <w:rPr>
          <w:rFonts w:ascii="Times New Roman" w:hAnsi="Times New Roman" w:cs="Times New Roman"/>
          <w:sz w:val="24"/>
          <w:szCs w:val="24"/>
        </w:rPr>
        <w:fldChar w:fldCharType="separate"/>
      </w:r>
      <w:r w:rsidR="0013318C" w:rsidRPr="00664CA6">
        <w:rPr>
          <w:rFonts w:ascii="Times New Roman" w:hAnsi="Times New Roman" w:cs="Times New Roman"/>
          <w:noProof/>
          <w:sz w:val="24"/>
          <w:szCs w:val="24"/>
        </w:rPr>
        <w:t xml:space="preserve">Pulic </w:t>
      </w:r>
      <w:r>
        <w:rPr>
          <w:rFonts w:ascii="Times New Roman" w:hAnsi="Times New Roman" w:cs="Times New Roman"/>
          <w:noProof/>
          <w:sz w:val="24"/>
          <w:szCs w:val="24"/>
        </w:rPr>
        <w:t>(</w:t>
      </w:r>
      <w:r w:rsidR="0013318C" w:rsidRPr="00664CA6">
        <w:rPr>
          <w:rFonts w:ascii="Times New Roman" w:hAnsi="Times New Roman" w:cs="Times New Roman"/>
          <w:noProof/>
          <w:sz w:val="24"/>
          <w:szCs w:val="24"/>
        </w:rPr>
        <w:t>2000</w:t>
      </w:r>
      <w:r>
        <w:rPr>
          <w:rFonts w:ascii="Times New Roman" w:hAnsi="Times New Roman" w:cs="Times New Roman"/>
          <w:noProof/>
          <w:sz w:val="24"/>
          <w:szCs w:val="24"/>
        </w:rPr>
        <w:t>)</w:t>
      </w:r>
      <w:r w:rsidR="00AA1BF4">
        <w:rPr>
          <w:rFonts w:ascii="Times New Roman" w:hAnsi="Times New Roman" w:cs="Times New Roman"/>
          <w:noProof/>
          <w:sz w:val="24"/>
          <w:szCs w:val="24"/>
        </w:rPr>
        <w:t>,</w:t>
      </w:r>
      <w:r w:rsidR="0013318C" w:rsidRPr="00664CA6">
        <w:rPr>
          <w:rFonts w:ascii="Times New Roman" w:hAnsi="Times New Roman" w:cs="Times New Roman"/>
          <w:noProof/>
          <w:sz w:val="24"/>
          <w:szCs w:val="24"/>
        </w:rPr>
        <w:t xml:space="preserve"> Pulic </w:t>
      </w:r>
      <w:r w:rsidR="00AA1BF4">
        <w:rPr>
          <w:rFonts w:ascii="Times New Roman" w:hAnsi="Times New Roman" w:cs="Times New Roman"/>
          <w:noProof/>
          <w:sz w:val="24"/>
          <w:szCs w:val="24"/>
        </w:rPr>
        <w:t>and</w:t>
      </w:r>
      <w:r w:rsidR="0013318C" w:rsidRPr="00664CA6">
        <w:rPr>
          <w:rFonts w:ascii="Times New Roman" w:hAnsi="Times New Roman" w:cs="Times New Roman"/>
          <w:noProof/>
          <w:sz w:val="24"/>
          <w:szCs w:val="24"/>
        </w:rPr>
        <w:t xml:space="preserve"> Kolakovic</w:t>
      </w:r>
      <w:r>
        <w:rPr>
          <w:rFonts w:ascii="Times New Roman" w:hAnsi="Times New Roman" w:cs="Times New Roman"/>
          <w:noProof/>
          <w:sz w:val="24"/>
          <w:szCs w:val="24"/>
        </w:rPr>
        <w:t>(</w:t>
      </w:r>
      <w:r w:rsidR="0013318C" w:rsidRPr="00664CA6">
        <w:rPr>
          <w:rFonts w:ascii="Times New Roman" w:hAnsi="Times New Roman" w:cs="Times New Roman"/>
          <w:noProof/>
          <w:sz w:val="24"/>
          <w:szCs w:val="24"/>
        </w:rPr>
        <w:t>2003)</w:t>
      </w:r>
      <w:r w:rsidR="0013318C" w:rsidRPr="00664CA6">
        <w:rPr>
          <w:rFonts w:ascii="Times New Roman" w:hAnsi="Times New Roman" w:cs="Times New Roman"/>
          <w:sz w:val="24"/>
          <w:szCs w:val="24"/>
        </w:rPr>
        <w:fldChar w:fldCharType="end"/>
      </w:r>
      <w:r w:rsidR="0013318C" w:rsidRPr="00664CA6">
        <w:rPr>
          <w:rFonts w:ascii="Times New Roman" w:hAnsi="Times New Roman" w:cs="Times New Roman"/>
          <w:sz w:val="24"/>
          <w:szCs w:val="24"/>
        </w:rPr>
        <w:t xml:space="preserve"> </w:t>
      </w:r>
      <w:r w:rsidR="0013318C">
        <w:rPr>
          <w:rFonts w:ascii="Times New Roman" w:hAnsi="Times New Roman" w:cs="Times New Roman"/>
          <w:sz w:val="24"/>
          <w:szCs w:val="24"/>
        </w:rPr>
        <w:t>suggest</w:t>
      </w:r>
      <w:r w:rsidR="0013318C" w:rsidRPr="00664CA6">
        <w:rPr>
          <w:rFonts w:ascii="Times New Roman" w:hAnsi="Times New Roman" w:cs="Times New Roman"/>
          <w:sz w:val="24"/>
          <w:szCs w:val="24"/>
        </w:rPr>
        <w:t xml:space="preserve"> that </w:t>
      </w:r>
      <w:r w:rsidR="00FE5FE8">
        <w:rPr>
          <w:rFonts w:ascii="Times New Roman" w:hAnsi="Times New Roman" w:cs="Times New Roman"/>
          <w:sz w:val="24"/>
          <w:szCs w:val="24"/>
        </w:rPr>
        <w:t>H</w:t>
      </w:r>
      <w:r w:rsidR="0013318C" w:rsidRPr="00664CA6">
        <w:rPr>
          <w:rFonts w:ascii="Times New Roman" w:hAnsi="Times New Roman" w:cs="Times New Roman"/>
          <w:sz w:val="24"/>
          <w:szCs w:val="24"/>
        </w:rPr>
        <w:t xml:space="preserve">uman </w:t>
      </w:r>
      <w:r w:rsidR="00FE5FE8">
        <w:rPr>
          <w:rFonts w:ascii="Times New Roman" w:hAnsi="Times New Roman" w:cs="Times New Roman"/>
          <w:sz w:val="24"/>
          <w:szCs w:val="24"/>
        </w:rPr>
        <w:t>C</w:t>
      </w:r>
      <w:r w:rsidR="0013318C" w:rsidRPr="00664CA6">
        <w:rPr>
          <w:rFonts w:ascii="Times New Roman" w:hAnsi="Times New Roman" w:cs="Times New Roman"/>
          <w:sz w:val="24"/>
          <w:szCs w:val="24"/>
        </w:rPr>
        <w:t xml:space="preserve">apital </w:t>
      </w:r>
      <w:r w:rsidR="00FE5FE8">
        <w:rPr>
          <w:rFonts w:ascii="Times New Roman" w:hAnsi="Times New Roman" w:cs="Times New Roman"/>
          <w:sz w:val="24"/>
          <w:szCs w:val="24"/>
        </w:rPr>
        <w:t>E</w:t>
      </w:r>
      <w:r w:rsidR="0013318C" w:rsidRPr="00664CA6">
        <w:rPr>
          <w:rFonts w:ascii="Times New Roman" w:hAnsi="Times New Roman" w:cs="Times New Roman"/>
          <w:sz w:val="24"/>
          <w:szCs w:val="24"/>
        </w:rPr>
        <w:t>fficiency (HCE)</w:t>
      </w:r>
      <w:r w:rsidR="0013318C">
        <w:rPr>
          <w:rFonts w:ascii="Times New Roman" w:hAnsi="Times New Roman" w:cs="Times New Roman"/>
          <w:sz w:val="24"/>
          <w:szCs w:val="24"/>
        </w:rPr>
        <w:t xml:space="preserve"> is a function of value</w:t>
      </w:r>
      <w:r w:rsidR="00ED5000">
        <w:rPr>
          <w:rFonts w:ascii="Times New Roman" w:hAnsi="Times New Roman" w:cs="Times New Roman"/>
          <w:sz w:val="24"/>
          <w:szCs w:val="24"/>
        </w:rPr>
        <w:t>-</w:t>
      </w:r>
      <w:r w:rsidR="0013318C">
        <w:rPr>
          <w:rFonts w:ascii="Times New Roman" w:hAnsi="Times New Roman" w:cs="Times New Roman"/>
          <w:sz w:val="24"/>
          <w:szCs w:val="24"/>
        </w:rPr>
        <w:t>added (VA) and human capital (HC)</w:t>
      </w:r>
      <w:r w:rsidR="0013318C" w:rsidRPr="00664CA6">
        <w:rPr>
          <w:rFonts w:ascii="Times New Roman" w:hAnsi="Times New Roman" w:cs="Times New Roman"/>
          <w:sz w:val="24"/>
          <w:szCs w:val="24"/>
        </w:rPr>
        <w:t xml:space="preserve"> </w:t>
      </w:r>
      <w:r w:rsidR="0013318C">
        <w:rPr>
          <w:rFonts w:ascii="Times New Roman" w:hAnsi="Times New Roman" w:cs="Times New Roman"/>
          <w:sz w:val="24"/>
          <w:szCs w:val="24"/>
        </w:rPr>
        <w:t>that can be expressed</w:t>
      </w:r>
      <w:r w:rsidR="0013318C" w:rsidRPr="00664CA6">
        <w:rPr>
          <w:rFonts w:ascii="Times New Roman" w:hAnsi="Times New Roman" w:cs="Times New Roman"/>
          <w:sz w:val="24"/>
          <w:szCs w:val="24"/>
        </w:rPr>
        <w:t xml:space="preserve"> as</w:t>
      </w:r>
      <w:r>
        <w:rPr>
          <w:rFonts w:ascii="Times New Roman" w:hAnsi="Times New Roman" w:cs="Times New Roman"/>
          <w:sz w:val="24"/>
          <w:szCs w:val="24"/>
        </w:rPr>
        <w:t>:</w:t>
      </w:r>
    </w:p>
    <w:p w14:paraId="71E90DEF" w14:textId="77777777" w:rsidR="0013318C" w:rsidRDefault="0013318C" w:rsidP="00D66A92">
      <w:pPr>
        <w:spacing w:before="240" w:after="0" w:line="480" w:lineRule="auto"/>
        <w:ind w:firstLine="720"/>
        <w:jc w:val="both"/>
        <w:rPr>
          <w:rFonts w:ascii="Times New Roman" w:hAnsi="Times New Roman" w:cs="Times New Roman"/>
          <w:sz w:val="24"/>
          <w:szCs w:val="24"/>
        </w:rPr>
      </w:pPr>
      <w:r w:rsidRPr="00664CA6">
        <w:rPr>
          <w:rFonts w:ascii="Times New Roman" w:hAnsi="Times New Roman" w:cs="Times New Roman"/>
          <w:sz w:val="24"/>
          <w:szCs w:val="24"/>
        </w:rPr>
        <w:t xml:space="preserve"> </w:t>
      </w:r>
      <w:r w:rsidRPr="00664CA6">
        <w:rPr>
          <w:rFonts w:ascii="Times New Roman" w:hAnsi="Times New Roman" w:cs="Times New Roman"/>
          <w:noProof/>
          <w:position w:val="-24"/>
          <w:sz w:val="24"/>
          <w:szCs w:val="24"/>
        </w:rPr>
        <w:object w:dxaOrig="1200" w:dyaOrig="620" w14:anchorId="7B84C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pt;height:31pt;mso-width-percent:0;mso-height-percent:0;mso-width-percent:0;mso-height-percent:0" o:ole="">
            <v:imagedata r:id="rId8" o:title=""/>
          </v:shape>
          <o:OLEObject Type="Embed" ProgID="Equation.3" ShapeID="_x0000_i1025" DrawAspect="Content" ObjectID="_1660133811" r:id="rId9"/>
        </w:object>
      </w:r>
      <w:proofErr w:type="gramStart"/>
      <w:r w:rsidRPr="00664CA6">
        <w:rPr>
          <w:rFonts w:ascii="Times New Roman" w:hAnsi="Times New Roman" w:cs="Times New Roman"/>
          <w:sz w:val="24"/>
          <w:szCs w:val="24"/>
        </w:rPr>
        <w:t xml:space="preserve">, </w:t>
      </w:r>
      <w:r w:rsidR="00C4678F">
        <w:rPr>
          <w:rFonts w:ascii="Times New Roman" w:hAnsi="Times New Roman" w:cs="Times New Roman"/>
          <w:sz w:val="24"/>
          <w:szCs w:val="24"/>
        </w:rPr>
        <w:t xml:space="preserve">  </w:t>
      </w:r>
      <w:proofErr w:type="gramEnd"/>
      <w:r w:rsidR="00C4678F">
        <w:rPr>
          <w:rFonts w:ascii="Times New Roman" w:hAnsi="Times New Roman" w:cs="Times New Roman"/>
          <w:sz w:val="24"/>
          <w:szCs w:val="24"/>
        </w:rPr>
        <w:t xml:space="preserve">                                                                                                                    (1)</w:t>
      </w:r>
    </w:p>
    <w:p w14:paraId="14C87221" w14:textId="0B71C809" w:rsidR="00FE5FE8" w:rsidRDefault="00C4678F" w:rsidP="004138A7">
      <w:pPr>
        <w:spacing w:after="0" w:line="480" w:lineRule="auto"/>
        <w:ind w:firstLine="720"/>
        <w:jc w:val="both"/>
        <w:rPr>
          <w:rFonts w:ascii="Times New Roman" w:hAnsi="Times New Roman" w:cs="Times New Roman"/>
          <w:sz w:val="24"/>
          <w:szCs w:val="24"/>
        </w:rPr>
      </w:pPr>
      <w:r>
        <w:rPr>
          <w:rFonts w:ascii="Times New Roman" w:hAnsi="Times New Roman" w:cs="Times New Roman"/>
          <w:iCs/>
          <w:sz w:val="24"/>
          <w:szCs w:val="24"/>
        </w:rPr>
        <w:t>w</w:t>
      </w:r>
      <w:r w:rsidRPr="00D66A92">
        <w:rPr>
          <w:rFonts w:ascii="Times New Roman" w:hAnsi="Times New Roman" w:cs="Times New Roman"/>
          <w:iCs/>
          <w:sz w:val="24"/>
          <w:szCs w:val="24"/>
        </w:rPr>
        <w:t xml:space="preserve">here </w:t>
      </w:r>
      <w:r w:rsidR="0013318C" w:rsidRPr="00664CA6">
        <w:rPr>
          <w:rFonts w:ascii="Times New Roman" w:hAnsi="Times New Roman" w:cs="Times New Roman"/>
          <w:i/>
          <w:sz w:val="24"/>
          <w:szCs w:val="24"/>
        </w:rPr>
        <w:t>HC</w:t>
      </w:r>
      <w:r w:rsidR="0013318C" w:rsidRPr="00664CA6">
        <w:rPr>
          <w:rFonts w:ascii="Times New Roman" w:hAnsi="Times New Roman" w:cs="Times New Roman"/>
          <w:sz w:val="24"/>
          <w:szCs w:val="24"/>
        </w:rPr>
        <w:t xml:space="preserve"> </w:t>
      </w:r>
      <w:r w:rsidR="0013318C">
        <w:rPr>
          <w:rFonts w:ascii="Times New Roman" w:hAnsi="Times New Roman" w:cs="Times New Roman"/>
          <w:sz w:val="24"/>
          <w:szCs w:val="24"/>
        </w:rPr>
        <w:t>is</w:t>
      </w:r>
      <w:r w:rsidR="0013318C" w:rsidRPr="00664CA6">
        <w:rPr>
          <w:rFonts w:ascii="Times New Roman" w:hAnsi="Times New Roman" w:cs="Times New Roman"/>
          <w:sz w:val="24"/>
          <w:szCs w:val="24"/>
        </w:rPr>
        <w:t xml:space="preserve"> </w:t>
      </w:r>
      <w:r w:rsidR="00573C22">
        <w:rPr>
          <w:rFonts w:ascii="Times New Roman" w:hAnsi="Times New Roman" w:cs="Times New Roman"/>
          <w:sz w:val="24"/>
          <w:szCs w:val="24"/>
        </w:rPr>
        <w:t xml:space="preserve">an </w:t>
      </w:r>
      <w:r w:rsidR="0013318C" w:rsidRPr="00664CA6">
        <w:rPr>
          <w:rFonts w:ascii="Times New Roman" w:hAnsi="Times New Roman" w:cs="Times New Roman"/>
          <w:sz w:val="24"/>
          <w:szCs w:val="24"/>
        </w:rPr>
        <w:t>investment in human capital</w:t>
      </w:r>
      <w:r w:rsidR="0013318C">
        <w:rPr>
          <w:rFonts w:ascii="Times New Roman" w:hAnsi="Times New Roman" w:cs="Times New Roman"/>
          <w:sz w:val="24"/>
          <w:szCs w:val="24"/>
        </w:rPr>
        <w:t>.</w:t>
      </w:r>
      <w:r w:rsidR="003A2522">
        <w:rPr>
          <w:rFonts w:ascii="Times New Roman" w:hAnsi="Times New Roman" w:cs="Times New Roman"/>
          <w:sz w:val="24"/>
          <w:szCs w:val="24"/>
        </w:rPr>
        <w:t xml:space="preserve"> The </w:t>
      </w:r>
      <w:r w:rsidR="003A2522" w:rsidRPr="003A2522">
        <w:rPr>
          <w:rFonts w:ascii="Times New Roman" w:hAnsi="Times New Roman" w:cs="Times New Roman"/>
          <w:i/>
          <w:sz w:val="24"/>
          <w:szCs w:val="24"/>
        </w:rPr>
        <w:t>VA</w:t>
      </w:r>
      <w:r w:rsidR="003A2522">
        <w:rPr>
          <w:rFonts w:ascii="Times New Roman" w:hAnsi="Times New Roman" w:cs="Times New Roman"/>
          <w:sz w:val="24"/>
          <w:szCs w:val="24"/>
        </w:rPr>
        <w:t xml:space="preserve"> for </w:t>
      </w:r>
      <w:r w:rsidR="00573C22">
        <w:rPr>
          <w:rFonts w:ascii="Times New Roman" w:hAnsi="Times New Roman" w:cs="Times New Roman"/>
          <w:sz w:val="24"/>
          <w:szCs w:val="24"/>
        </w:rPr>
        <w:t xml:space="preserve">a </w:t>
      </w:r>
      <w:r w:rsidR="003A2522">
        <w:rPr>
          <w:rFonts w:ascii="Times New Roman" w:hAnsi="Times New Roman" w:cs="Times New Roman"/>
          <w:sz w:val="24"/>
          <w:szCs w:val="24"/>
        </w:rPr>
        <w:t>fund is estimated as a product of CAPM based fund’s alpha and asset under management (α</w:t>
      </w:r>
      <w:r w:rsidR="00001185">
        <w:rPr>
          <w:rFonts w:ascii="Times New Roman" w:hAnsi="Times New Roman" w:cs="Times New Roman"/>
          <w:sz w:val="24"/>
          <w:szCs w:val="24"/>
        </w:rPr>
        <w:t xml:space="preserve"> x AUM).</w:t>
      </w:r>
    </w:p>
    <w:p w14:paraId="69AB243F" w14:textId="4EB21D2A" w:rsidR="00FE07C4" w:rsidRDefault="00001185" w:rsidP="00CA3E5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86C62">
        <w:rPr>
          <w:rFonts w:ascii="Times New Roman" w:hAnsi="Times New Roman" w:cs="Times New Roman"/>
          <w:sz w:val="24"/>
          <w:szCs w:val="24"/>
        </w:rPr>
        <w:t xml:space="preserve">We </w:t>
      </w:r>
      <w:r w:rsidR="00625800">
        <w:rPr>
          <w:rFonts w:ascii="Times New Roman" w:hAnsi="Times New Roman" w:cs="Times New Roman"/>
          <w:sz w:val="24"/>
          <w:szCs w:val="24"/>
        </w:rPr>
        <w:t>estimate</w:t>
      </w:r>
      <w:r w:rsidR="00386C62">
        <w:rPr>
          <w:rFonts w:ascii="Times New Roman" w:hAnsi="Times New Roman" w:cs="Times New Roman"/>
          <w:sz w:val="24"/>
          <w:szCs w:val="24"/>
        </w:rPr>
        <w:t xml:space="preserve"> HCE for each fund as of 4Q19. </w:t>
      </w:r>
      <w:r w:rsidR="00983B45">
        <w:rPr>
          <w:rFonts w:ascii="Times New Roman" w:hAnsi="Times New Roman" w:cs="Times New Roman"/>
          <w:sz w:val="24"/>
          <w:szCs w:val="24"/>
        </w:rPr>
        <w:t xml:space="preserve">The </w:t>
      </w:r>
      <w:r w:rsidR="00573C22">
        <w:rPr>
          <w:rFonts w:ascii="Times New Roman" w:hAnsi="Times New Roman" w:cs="Times New Roman"/>
          <w:sz w:val="24"/>
          <w:szCs w:val="24"/>
        </w:rPr>
        <w:t>necessary</w:t>
      </w:r>
      <w:r w:rsidR="00983B45">
        <w:rPr>
          <w:rFonts w:ascii="Times New Roman" w:hAnsi="Times New Roman" w:cs="Times New Roman"/>
          <w:sz w:val="24"/>
          <w:szCs w:val="24"/>
        </w:rPr>
        <w:t xml:space="preserve"> information related to co</w:t>
      </w:r>
      <w:r w:rsidR="00386C62">
        <w:rPr>
          <w:rFonts w:ascii="Times New Roman" w:hAnsi="Times New Roman" w:cs="Times New Roman"/>
          <w:sz w:val="24"/>
          <w:szCs w:val="24"/>
        </w:rPr>
        <w:t>mpensation and AUM is available from financial disclosures of each fund</w:t>
      </w:r>
      <w:r w:rsidR="00573C22">
        <w:rPr>
          <w:rFonts w:ascii="Times New Roman" w:hAnsi="Times New Roman" w:cs="Times New Roman"/>
          <w:sz w:val="24"/>
          <w:szCs w:val="24"/>
        </w:rPr>
        <w:t>,</w:t>
      </w:r>
      <w:r w:rsidR="00FE5FE8">
        <w:rPr>
          <w:rFonts w:ascii="Times New Roman" w:hAnsi="Times New Roman" w:cs="Times New Roman"/>
          <w:sz w:val="24"/>
          <w:szCs w:val="24"/>
        </w:rPr>
        <w:t xml:space="preserve"> and </w:t>
      </w:r>
      <w:r w:rsidR="00A03E1E">
        <w:rPr>
          <w:rFonts w:ascii="Times New Roman" w:hAnsi="Times New Roman" w:cs="Times New Roman"/>
          <w:sz w:val="24"/>
          <w:szCs w:val="24"/>
        </w:rPr>
        <w:t>we only include funds that publicly disseminates these details.</w:t>
      </w:r>
      <w:r w:rsidR="00EC3240">
        <w:rPr>
          <w:rFonts w:ascii="Times New Roman" w:hAnsi="Times New Roman" w:cs="Times New Roman"/>
          <w:sz w:val="24"/>
          <w:szCs w:val="24"/>
        </w:rPr>
        <w:t xml:space="preserve"> </w:t>
      </w:r>
      <w:r w:rsidR="00EC3240" w:rsidRPr="00EC3240">
        <w:rPr>
          <w:rFonts w:ascii="Times New Roman" w:hAnsi="Times New Roman" w:cs="Times New Roman"/>
          <w:color w:val="FF0000"/>
          <w:sz w:val="24"/>
          <w:szCs w:val="24"/>
        </w:rPr>
        <w:t xml:space="preserve">The compensation consists of payroll, commissions, bonuses, allowances, training expenditures, etc. that signify various spending on human resources </w:t>
      </w:r>
      <w:proofErr w:type="gramStart"/>
      <w:r w:rsidR="00EC3240" w:rsidRPr="00EC3240">
        <w:rPr>
          <w:rFonts w:ascii="Times New Roman" w:hAnsi="Times New Roman" w:cs="Times New Roman"/>
          <w:color w:val="FF0000"/>
          <w:sz w:val="24"/>
          <w:szCs w:val="24"/>
        </w:rPr>
        <w:t>in a given</w:t>
      </w:r>
      <w:proofErr w:type="gramEnd"/>
      <w:r w:rsidR="00EC3240" w:rsidRPr="00EC3240">
        <w:rPr>
          <w:rFonts w:ascii="Times New Roman" w:hAnsi="Times New Roman" w:cs="Times New Roman"/>
          <w:color w:val="FF0000"/>
          <w:sz w:val="24"/>
          <w:szCs w:val="24"/>
        </w:rPr>
        <w:t xml:space="preserve"> fund</w:t>
      </w:r>
      <w:r w:rsidR="00EC3240">
        <w:rPr>
          <w:rFonts w:ascii="Times New Roman" w:hAnsi="Times New Roman" w:cs="Times New Roman"/>
          <w:sz w:val="24"/>
          <w:szCs w:val="24"/>
        </w:rPr>
        <w:t xml:space="preserve">. </w:t>
      </w:r>
      <w:r w:rsidR="00A03E1E">
        <w:rPr>
          <w:rFonts w:ascii="Times New Roman" w:hAnsi="Times New Roman" w:cs="Times New Roman"/>
          <w:sz w:val="24"/>
          <w:szCs w:val="24"/>
        </w:rPr>
        <w:t xml:space="preserve"> </w:t>
      </w:r>
      <w:r w:rsidR="00FE5FE8">
        <w:rPr>
          <w:rFonts w:ascii="Times New Roman" w:hAnsi="Times New Roman" w:cs="Times New Roman"/>
          <w:sz w:val="24"/>
          <w:szCs w:val="24"/>
        </w:rPr>
        <w:t>Our final sample consists of</w:t>
      </w:r>
      <w:r w:rsidR="00967062">
        <w:rPr>
          <w:rFonts w:ascii="Times New Roman" w:hAnsi="Times New Roman" w:cs="Times New Roman"/>
          <w:sz w:val="24"/>
          <w:szCs w:val="24"/>
        </w:rPr>
        <w:t xml:space="preserve"> 799</w:t>
      </w:r>
      <w:r w:rsidR="00A03E1E">
        <w:rPr>
          <w:rFonts w:ascii="Times New Roman" w:hAnsi="Times New Roman" w:cs="Times New Roman"/>
          <w:sz w:val="24"/>
          <w:szCs w:val="24"/>
        </w:rPr>
        <w:t xml:space="preserve"> equity funds across five countries. </w:t>
      </w:r>
      <w:r w:rsidR="00573C22" w:rsidRPr="00CA3E59">
        <w:rPr>
          <w:rFonts w:ascii="Times New Roman" w:hAnsi="Times New Roman" w:cs="Times New Roman"/>
          <w:color w:val="FF0000"/>
          <w:sz w:val="24"/>
          <w:szCs w:val="24"/>
        </w:rPr>
        <w:t>T</w:t>
      </w:r>
      <w:r w:rsidR="002A18B1" w:rsidRPr="00CA3E59">
        <w:rPr>
          <w:rFonts w:ascii="Times New Roman" w:hAnsi="Times New Roman" w:cs="Times New Roman"/>
          <w:color w:val="FF0000"/>
          <w:sz w:val="24"/>
          <w:szCs w:val="24"/>
        </w:rPr>
        <w:t xml:space="preserve">o calculate the </w:t>
      </w:r>
      <w:r w:rsidR="00D2385E" w:rsidRPr="00CA3E59">
        <w:rPr>
          <w:rFonts w:ascii="Times New Roman" w:hAnsi="Times New Roman" w:cs="Times New Roman"/>
          <w:color w:val="FF0000"/>
          <w:sz w:val="24"/>
          <w:szCs w:val="24"/>
        </w:rPr>
        <w:t>CAPM based alpha</w:t>
      </w:r>
      <w:r w:rsidR="00442959" w:rsidRPr="00CA3E59">
        <w:rPr>
          <w:rFonts w:ascii="Times New Roman" w:hAnsi="Times New Roman" w:cs="Times New Roman"/>
          <w:color w:val="FF0000"/>
          <w:sz w:val="24"/>
          <w:szCs w:val="24"/>
        </w:rPr>
        <w:t>,</w:t>
      </w:r>
      <w:r w:rsidR="00D2385E" w:rsidRPr="00CA3E59">
        <w:rPr>
          <w:rFonts w:ascii="Times New Roman" w:hAnsi="Times New Roman" w:cs="Times New Roman"/>
          <w:color w:val="FF0000"/>
          <w:sz w:val="24"/>
          <w:szCs w:val="24"/>
        </w:rPr>
        <w:t xml:space="preserve"> we use daily </w:t>
      </w:r>
      <w:r w:rsidR="002E45D7" w:rsidRPr="00CA3E59">
        <w:rPr>
          <w:rFonts w:ascii="Times New Roman" w:hAnsi="Times New Roman" w:cs="Times New Roman"/>
          <w:color w:val="FF0000"/>
          <w:sz w:val="24"/>
          <w:szCs w:val="24"/>
        </w:rPr>
        <w:t>net asset value (</w:t>
      </w:r>
      <w:r w:rsidR="00D2385E" w:rsidRPr="00CA3E59">
        <w:rPr>
          <w:rFonts w:ascii="Times New Roman" w:hAnsi="Times New Roman" w:cs="Times New Roman"/>
          <w:color w:val="FF0000"/>
          <w:sz w:val="24"/>
          <w:szCs w:val="24"/>
        </w:rPr>
        <w:t>NAV</w:t>
      </w:r>
      <w:r w:rsidR="002E45D7" w:rsidRPr="00CA3E59">
        <w:rPr>
          <w:rFonts w:ascii="Times New Roman" w:hAnsi="Times New Roman" w:cs="Times New Roman"/>
          <w:color w:val="FF0000"/>
          <w:sz w:val="24"/>
          <w:szCs w:val="24"/>
        </w:rPr>
        <w:t>)</w:t>
      </w:r>
      <w:r w:rsidR="00442959" w:rsidRPr="00CA3E59">
        <w:rPr>
          <w:rFonts w:ascii="Times New Roman" w:hAnsi="Times New Roman" w:cs="Times New Roman"/>
          <w:color w:val="FF0000"/>
          <w:sz w:val="24"/>
          <w:szCs w:val="24"/>
        </w:rPr>
        <w:t xml:space="preserve"> </w:t>
      </w:r>
      <w:r w:rsidR="00E94AEA" w:rsidRPr="00CA3E59">
        <w:rPr>
          <w:rFonts w:ascii="Times New Roman" w:hAnsi="Times New Roman" w:cs="Times New Roman"/>
          <w:color w:val="FF0000"/>
          <w:sz w:val="24"/>
          <w:szCs w:val="24"/>
        </w:rPr>
        <w:t>going back to January 2019 (</w:t>
      </w:r>
      <w:r w:rsidR="00442959" w:rsidRPr="00CA3E59">
        <w:rPr>
          <w:rFonts w:ascii="Times New Roman" w:hAnsi="Times New Roman" w:cs="Times New Roman"/>
          <w:color w:val="FF0000"/>
          <w:sz w:val="24"/>
          <w:szCs w:val="24"/>
        </w:rPr>
        <w:t xml:space="preserve">pre </w:t>
      </w:r>
      <w:r w:rsidR="00FE5FE8" w:rsidRPr="00CA3E59">
        <w:rPr>
          <w:rFonts w:ascii="Times New Roman" w:hAnsi="Times New Roman" w:cs="Times New Roman"/>
          <w:color w:val="FF0000"/>
          <w:sz w:val="24"/>
          <w:szCs w:val="24"/>
        </w:rPr>
        <w:t>COVID</w:t>
      </w:r>
      <w:r w:rsidR="00442959" w:rsidRPr="00CA3E59">
        <w:rPr>
          <w:rFonts w:ascii="Times New Roman" w:hAnsi="Times New Roman" w:cs="Times New Roman"/>
          <w:color w:val="FF0000"/>
          <w:sz w:val="24"/>
          <w:szCs w:val="24"/>
        </w:rPr>
        <w:t>-19 period).</w:t>
      </w:r>
      <w:r w:rsidR="00CA3E59" w:rsidRPr="00CA3E59">
        <w:rPr>
          <w:rFonts w:ascii="Times New Roman" w:hAnsi="Times New Roman" w:cs="Times New Roman"/>
          <w:color w:val="FF0000"/>
          <w:sz w:val="24"/>
          <w:szCs w:val="24"/>
        </w:rPr>
        <w:t xml:space="preserve"> The individual fund alpha, along with AUM, is used to estimate VA in equation 1. The value-added and investment in human capital will get us HCE</w:t>
      </w:r>
      <w:r w:rsidR="00CA3E59">
        <w:rPr>
          <w:rFonts w:ascii="Times New Roman" w:hAnsi="Times New Roman" w:cs="Times New Roman"/>
          <w:sz w:val="24"/>
          <w:szCs w:val="24"/>
        </w:rPr>
        <w:t xml:space="preserve">. </w:t>
      </w:r>
      <w:r w:rsidR="00895523">
        <w:rPr>
          <w:rFonts w:ascii="Times New Roman" w:hAnsi="Times New Roman" w:cs="Times New Roman"/>
          <w:sz w:val="24"/>
          <w:szCs w:val="24"/>
        </w:rPr>
        <w:t>Once</w:t>
      </w:r>
      <w:r w:rsidR="0085029A">
        <w:rPr>
          <w:rFonts w:ascii="Times New Roman" w:hAnsi="Times New Roman" w:cs="Times New Roman"/>
          <w:sz w:val="24"/>
          <w:szCs w:val="24"/>
        </w:rPr>
        <w:t xml:space="preserve"> HCE for each fund is estimated, we </w:t>
      </w:r>
      <w:r w:rsidR="00D44CAC">
        <w:rPr>
          <w:rFonts w:ascii="Times New Roman" w:hAnsi="Times New Roman" w:cs="Times New Roman"/>
          <w:sz w:val="24"/>
          <w:szCs w:val="24"/>
        </w:rPr>
        <w:t>classify</w:t>
      </w:r>
      <w:r w:rsidR="0085029A">
        <w:rPr>
          <w:rFonts w:ascii="Times New Roman" w:hAnsi="Times New Roman" w:cs="Times New Roman"/>
          <w:sz w:val="24"/>
          <w:szCs w:val="24"/>
        </w:rPr>
        <w:t xml:space="preserve"> them in five groups</w:t>
      </w:r>
      <w:r w:rsidR="003C2E92">
        <w:rPr>
          <w:rFonts w:ascii="Times New Roman" w:hAnsi="Times New Roman" w:cs="Times New Roman"/>
          <w:sz w:val="24"/>
          <w:szCs w:val="24"/>
        </w:rPr>
        <w:t xml:space="preserve"> (20%</w:t>
      </w:r>
      <w:r w:rsidR="00A03E1E">
        <w:rPr>
          <w:rFonts w:ascii="Times New Roman" w:hAnsi="Times New Roman" w:cs="Times New Roman"/>
          <w:sz w:val="24"/>
          <w:szCs w:val="24"/>
        </w:rPr>
        <w:t xml:space="preserve"> each</w:t>
      </w:r>
      <w:r w:rsidR="003C2E92">
        <w:rPr>
          <w:rFonts w:ascii="Times New Roman" w:hAnsi="Times New Roman" w:cs="Times New Roman"/>
          <w:sz w:val="24"/>
          <w:szCs w:val="24"/>
        </w:rPr>
        <w:t>)</w:t>
      </w:r>
      <w:r w:rsidR="0085029A">
        <w:rPr>
          <w:rFonts w:ascii="Times New Roman" w:hAnsi="Times New Roman" w:cs="Times New Roman"/>
          <w:sz w:val="24"/>
          <w:szCs w:val="24"/>
        </w:rPr>
        <w:t xml:space="preserve"> from high </w:t>
      </w:r>
      <w:r w:rsidR="004E09C9">
        <w:rPr>
          <w:rFonts w:ascii="Times New Roman" w:hAnsi="Times New Roman" w:cs="Times New Roman"/>
          <w:sz w:val="24"/>
          <w:szCs w:val="24"/>
        </w:rPr>
        <w:t>to low HCE</w:t>
      </w:r>
      <w:r w:rsidR="00A70DA9">
        <w:rPr>
          <w:rFonts w:ascii="Times New Roman" w:hAnsi="Times New Roman" w:cs="Times New Roman"/>
          <w:sz w:val="24"/>
          <w:szCs w:val="24"/>
        </w:rPr>
        <w:t xml:space="preserve">. The comparative performance is assessed across these groups during </w:t>
      </w:r>
      <w:r w:rsidR="00FE5FE8">
        <w:rPr>
          <w:rFonts w:ascii="Times New Roman" w:hAnsi="Times New Roman" w:cs="Times New Roman"/>
          <w:sz w:val="24"/>
          <w:szCs w:val="24"/>
        </w:rPr>
        <w:t xml:space="preserve">the </w:t>
      </w:r>
      <w:r w:rsidR="00A70DA9">
        <w:rPr>
          <w:rFonts w:ascii="Times New Roman" w:hAnsi="Times New Roman" w:cs="Times New Roman"/>
          <w:sz w:val="24"/>
          <w:szCs w:val="24"/>
        </w:rPr>
        <w:t>C</w:t>
      </w:r>
      <w:r w:rsidR="00FE5FE8">
        <w:rPr>
          <w:rFonts w:ascii="Times New Roman" w:hAnsi="Times New Roman" w:cs="Times New Roman"/>
          <w:sz w:val="24"/>
          <w:szCs w:val="24"/>
        </w:rPr>
        <w:t>OVID</w:t>
      </w:r>
      <w:r w:rsidR="00A70DA9">
        <w:rPr>
          <w:rFonts w:ascii="Times New Roman" w:hAnsi="Times New Roman" w:cs="Times New Roman"/>
          <w:sz w:val="24"/>
          <w:szCs w:val="24"/>
        </w:rPr>
        <w:t>-19 outbreak</w:t>
      </w:r>
      <w:r w:rsidR="004E09C9">
        <w:rPr>
          <w:rFonts w:ascii="Times New Roman" w:hAnsi="Times New Roman" w:cs="Times New Roman"/>
          <w:sz w:val="24"/>
          <w:szCs w:val="24"/>
        </w:rPr>
        <w:t>.</w:t>
      </w:r>
      <w:r w:rsidR="00A70DA9">
        <w:rPr>
          <w:rFonts w:ascii="Times New Roman" w:hAnsi="Times New Roman" w:cs="Times New Roman"/>
          <w:sz w:val="24"/>
          <w:szCs w:val="24"/>
        </w:rPr>
        <w:t xml:space="preserve"> We expect that funds with higher HCE </w:t>
      </w:r>
      <w:r w:rsidR="004D0983">
        <w:rPr>
          <w:rFonts w:ascii="Times New Roman" w:hAnsi="Times New Roman" w:cs="Times New Roman"/>
          <w:sz w:val="24"/>
          <w:szCs w:val="24"/>
        </w:rPr>
        <w:t>should outperform their counterparts with lower HCE.</w:t>
      </w:r>
      <w:r w:rsidR="004E09C9">
        <w:rPr>
          <w:rFonts w:ascii="Times New Roman" w:hAnsi="Times New Roman" w:cs="Times New Roman"/>
          <w:sz w:val="24"/>
          <w:szCs w:val="24"/>
        </w:rPr>
        <w:t xml:space="preserve"> </w:t>
      </w:r>
      <w:r w:rsidR="0009756F">
        <w:rPr>
          <w:rFonts w:ascii="Times New Roman" w:hAnsi="Times New Roman" w:cs="Times New Roman"/>
          <w:sz w:val="24"/>
          <w:szCs w:val="24"/>
        </w:rPr>
        <w:t xml:space="preserve">Table 2 presents </w:t>
      </w:r>
      <w:r w:rsidR="00D44CAC">
        <w:rPr>
          <w:rFonts w:ascii="Times New Roman" w:hAnsi="Times New Roman" w:cs="Times New Roman"/>
          <w:sz w:val="24"/>
          <w:szCs w:val="24"/>
        </w:rPr>
        <w:t>the country</w:t>
      </w:r>
      <w:r w:rsidR="00573C22">
        <w:rPr>
          <w:rFonts w:ascii="Times New Roman" w:hAnsi="Times New Roman" w:cs="Times New Roman"/>
          <w:sz w:val="24"/>
          <w:szCs w:val="24"/>
        </w:rPr>
        <w:t>-</w:t>
      </w:r>
      <w:r w:rsidR="00D44CAC">
        <w:rPr>
          <w:rFonts w:ascii="Times New Roman" w:hAnsi="Times New Roman" w:cs="Times New Roman"/>
          <w:sz w:val="24"/>
          <w:szCs w:val="24"/>
        </w:rPr>
        <w:t xml:space="preserve">wise distribution of these funds across five rank groups. </w:t>
      </w:r>
    </w:p>
    <w:p w14:paraId="659A750D" w14:textId="77777777" w:rsidR="00FE07C4" w:rsidRDefault="00FE07C4" w:rsidP="0086732A">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[Insert Table 2 about here]</w:t>
      </w:r>
    </w:p>
    <w:p w14:paraId="718970B3" w14:textId="35AD316B" w:rsidR="0013343C" w:rsidRDefault="00D44CAC" w:rsidP="00FE0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51839">
        <w:rPr>
          <w:rFonts w:ascii="Times New Roman" w:hAnsi="Times New Roman" w:cs="Times New Roman"/>
          <w:sz w:val="24"/>
          <w:szCs w:val="24"/>
        </w:rPr>
        <w:tab/>
      </w:r>
      <w:r w:rsidR="00C7686E">
        <w:rPr>
          <w:rFonts w:ascii="Times New Roman" w:hAnsi="Times New Roman" w:cs="Times New Roman"/>
          <w:sz w:val="24"/>
          <w:szCs w:val="24"/>
        </w:rPr>
        <w:t xml:space="preserve">We </w:t>
      </w:r>
      <w:r w:rsidR="00D66A92">
        <w:rPr>
          <w:rFonts w:ascii="Times New Roman" w:hAnsi="Times New Roman" w:cs="Times New Roman"/>
          <w:sz w:val="24"/>
          <w:szCs w:val="24"/>
        </w:rPr>
        <w:t>analyze</w:t>
      </w:r>
      <w:r w:rsidR="00EC0A00">
        <w:rPr>
          <w:rFonts w:ascii="Times New Roman" w:hAnsi="Times New Roman" w:cs="Times New Roman"/>
          <w:sz w:val="24"/>
          <w:szCs w:val="24"/>
        </w:rPr>
        <w:t xml:space="preserve"> the impact of </w:t>
      </w:r>
      <w:r w:rsidR="00FE5FE8">
        <w:rPr>
          <w:rFonts w:ascii="Times New Roman" w:hAnsi="Times New Roman" w:cs="Times New Roman"/>
          <w:sz w:val="24"/>
          <w:szCs w:val="24"/>
        </w:rPr>
        <w:t xml:space="preserve">the </w:t>
      </w:r>
      <w:r w:rsidR="00EC0A00">
        <w:rPr>
          <w:rFonts w:ascii="Times New Roman" w:hAnsi="Times New Roman" w:cs="Times New Roman"/>
          <w:sz w:val="24"/>
          <w:szCs w:val="24"/>
        </w:rPr>
        <w:t>C</w:t>
      </w:r>
      <w:r w:rsidR="00FE5FE8">
        <w:rPr>
          <w:rFonts w:ascii="Times New Roman" w:hAnsi="Times New Roman" w:cs="Times New Roman"/>
          <w:sz w:val="24"/>
          <w:szCs w:val="24"/>
        </w:rPr>
        <w:t>OVID</w:t>
      </w:r>
      <w:r w:rsidR="00EC0A00">
        <w:rPr>
          <w:rFonts w:ascii="Times New Roman" w:hAnsi="Times New Roman" w:cs="Times New Roman"/>
          <w:sz w:val="24"/>
          <w:szCs w:val="24"/>
        </w:rPr>
        <w:t xml:space="preserve">-19 </w:t>
      </w:r>
      <w:r w:rsidR="00FE5FE8">
        <w:rPr>
          <w:rFonts w:ascii="Times New Roman" w:hAnsi="Times New Roman" w:cs="Times New Roman"/>
          <w:sz w:val="24"/>
          <w:szCs w:val="24"/>
        </w:rPr>
        <w:t xml:space="preserve">crisis </w:t>
      </w:r>
      <w:r w:rsidR="00EC0A00">
        <w:rPr>
          <w:rFonts w:ascii="Times New Roman" w:hAnsi="Times New Roman" w:cs="Times New Roman"/>
          <w:sz w:val="24"/>
          <w:szCs w:val="24"/>
        </w:rPr>
        <w:t>on our ranked funds</w:t>
      </w:r>
      <w:r w:rsidR="00C34D92">
        <w:rPr>
          <w:rFonts w:ascii="Times New Roman" w:hAnsi="Times New Roman" w:cs="Times New Roman"/>
          <w:sz w:val="24"/>
          <w:szCs w:val="24"/>
        </w:rPr>
        <w:t>’ performance</w:t>
      </w:r>
      <w:r w:rsidR="00FE5FE8">
        <w:rPr>
          <w:rFonts w:ascii="Times New Roman" w:hAnsi="Times New Roman" w:cs="Times New Roman"/>
          <w:sz w:val="24"/>
          <w:szCs w:val="24"/>
        </w:rPr>
        <w:t xml:space="preserve"> in several subperiods</w:t>
      </w:r>
      <w:r w:rsidR="00C7686E">
        <w:rPr>
          <w:rFonts w:ascii="Times New Roman" w:hAnsi="Times New Roman" w:cs="Times New Roman"/>
          <w:sz w:val="24"/>
          <w:szCs w:val="24"/>
        </w:rPr>
        <w:t>.</w:t>
      </w:r>
      <w:r w:rsidR="00EC0A00">
        <w:rPr>
          <w:rFonts w:ascii="Times New Roman" w:hAnsi="Times New Roman" w:cs="Times New Roman"/>
          <w:sz w:val="24"/>
          <w:szCs w:val="24"/>
        </w:rPr>
        <w:t xml:space="preserve"> </w:t>
      </w:r>
      <w:r w:rsidR="00C7686E">
        <w:rPr>
          <w:rFonts w:ascii="Times New Roman" w:hAnsi="Times New Roman" w:cs="Times New Roman"/>
          <w:sz w:val="24"/>
          <w:szCs w:val="24"/>
        </w:rPr>
        <w:t>We begin</w:t>
      </w:r>
      <w:r w:rsidR="003117DF">
        <w:rPr>
          <w:rFonts w:ascii="Times New Roman" w:hAnsi="Times New Roman" w:cs="Times New Roman"/>
          <w:sz w:val="24"/>
          <w:szCs w:val="24"/>
        </w:rPr>
        <w:t xml:space="preserve"> our assessment from January 1</w:t>
      </w:r>
      <w:r w:rsidR="003117DF" w:rsidRPr="003117DF">
        <w:rPr>
          <w:rFonts w:ascii="Times New Roman" w:hAnsi="Times New Roman" w:cs="Times New Roman"/>
          <w:sz w:val="24"/>
          <w:szCs w:val="24"/>
          <w:vertAlign w:val="superscript"/>
        </w:rPr>
        <w:t>st</w:t>
      </w:r>
      <w:r w:rsidR="00573C22">
        <w:rPr>
          <w:rFonts w:ascii="Times New Roman" w:hAnsi="Times New Roman" w:cs="Times New Roman"/>
          <w:sz w:val="24"/>
          <w:szCs w:val="24"/>
          <w:vertAlign w:val="superscript"/>
        </w:rPr>
        <w:t>,</w:t>
      </w:r>
      <w:r w:rsidR="003117DF">
        <w:rPr>
          <w:rFonts w:ascii="Times New Roman" w:hAnsi="Times New Roman" w:cs="Times New Roman"/>
          <w:sz w:val="24"/>
          <w:szCs w:val="24"/>
        </w:rPr>
        <w:t xml:space="preserve"> 2020</w:t>
      </w:r>
      <w:r w:rsidR="00573C22">
        <w:rPr>
          <w:rFonts w:ascii="Times New Roman" w:hAnsi="Times New Roman" w:cs="Times New Roman"/>
          <w:sz w:val="24"/>
          <w:szCs w:val="24"/>
        </w:rPr>
        <w:t>,</w:t>
      </w:r>
      <w:r w:rsidR="003117DF">
        <w:rPr>
          <w:rFonts w:ascii="Times New Roman" w:hAnsi="Times New Roman" w:cs="Times New Roman"/>
          <w:sz w:val="24"/>
          <w:szCs w:val="24"/>
        </w:rPr>
        <w:t xml:space="preserve"> which is the date when </w:t>
      </w:r>
      <w:r w:rsidR="00FE5FE8">
        <w:rPr>
          <w:rFonts w:ascii="Times New Roman" w:hAnsi="Times New Roman" w:cs="Times New Roman"/>
          <w:sz w:val="24"/>
          <w:szCs w:val="24"/>
        </w:rPr>
        <w:t>COVID</w:t>
      </w:r>
      <w:r w:rsidR="003117DF">
        <w:rPr>
          <w:rFonts w:ascii="Times New Roman" w:hAnsi="Times New Roman" w:cs="Times New Roman"/>
          <w:sz w:val="24"/>
          <w:szCs w:val="24"/>
        </w:rPr>
        <w:t xml:space="preserve">-19 was formally reported to WHO. </w:t>
      </w:r>
      <w:r w:rsidR="00C7686E">
        <w:rPr>
          <w:rFonts w:ascii="Times New Roman" w:hAnsi="Times New Roman" w:cs="Times New Roman"/>
          <w:sz w:val="24"/>
          <w:szCs w:val="24"/>
        </w:rPr>
        <w:t>Hence</w:t>
      </w:r>
      <w:r w:rsidR="003117DF">
        <w:rPr>
          <w:rFonts w:ascii="Times New Roman" w:hAnsi="Times New Roman" w:cs="Times New Roman"/>
          <w:sz w:val="24"/>
          <w:szCs w:val="24"/>
        </w:rPr>
        <w:t>, our full period spans from January 1</w:t>
      </w:r>
      <w:r w:rsidR="003117DF" w:rsidRPr="003117DF">
        <w:rPr>
          <w:rFonts w:ascii="Times New Roman" w:hAnsi="Times New Roman" w:cs="Times New Roman"/>
          <w:sz w:val="24"/>
          <w:szCs w:val="24"/>
          <w:vertAlign w:val="superscript"/>
        </w:rPr>
        <w:t>st</w:t>
      </w:r>
      <w:r w:rsidR="003117DF">
        <w:rPr>
          <w:rFonts w:ascii="Times New Roman" w:hAnsi="Times New Roman" w:cs="Times New Roman"/>
          <w:sz w:val="24"/>
          <w:szCs w:val="24"/>
        </w:rPr>
        <w:t xml:space="preserve"> to June 2</w:t>
      </w:r>
      <w:r w:rsidR="003117DF" w:rsidRPr="003117DF">
        <w:rPr>
          <w:rFonts w:ascii="Times New Roman" w:hAnsi="Times New Roman" w:cs="Times New Roman"/>
          <w:sz w:val="24"/>
          <w:szCs w:val="24"/>
          <w:vertAlign w:val="superscript"/>
        </w:rPr>
        <w:t>nd</w:t>
      </w:r>
      <w:r w:rsidR="00991585">
        <w:rPr>
          <w:rFonts w:ascii="Times New Roman" w:hAnsi="Times New Roman" w:cs="Times New Roman"/>
          <w:sz w:val="24"/>
          <w:szCs w:val="24"/>
          <w:vertAlign w:val="superscript"/>
        </w:rPr>
        <w:t>,</w:t>
      </w:r>
      <w:r w:rsidR="003117DF">
        <w:rPr>
          <w:rFonts w:ascii="Times New Roman" w:hAnsi="Times New Roman" w:cs="Times New Roman"/>
          <w:sz w:val="24"/>
          <w:szCs w:val="24"/>
        </w:rPr>
        <w:t xml:space="preserve"> 2020. </w:t>
      </w:r>
      <w:r w:rsidR="00991585">
        <w:rPr>
          <w:rFonts w:ascii="Times New Roman" w:hAnsi="Times New Roman" w:cs="Times New Roman"/>
          <w:sz w:val="24"/>
          <w:szCs w:val="24"/>
        </w:rPr>
        <w:t>After that</w:t>
      </w:r>
      <w:r w:rsidR="008B09A7">
        <w:rPr>
          <w:rFonts w:ascii="Times New Roman" w:hAnsi="Times New Roman" w:cs="Times New Roman"/>
          <w:sz w:val="24"/>
          <w:szCs w:val="24"/>
        </w:rPr>
        <w:t xml:space="preserve">, </w:t>
      </w:r>
      <w:r w:rsidR="00C7686E">
        <w:rPr>
          <w:rFonts w:ascii="Times New Roman" w:hAnsi="Times New Roman" w:cs="Times New Roman"/>
          <w:sz w:val="24"/>
          <w:szCs w:val="24"/>
        </w:rPr>
        <w:t>we consider subperiods to analyze</w:t>
      </w:r>
      <w:r w:rsidR="008B09A7">
        <w:rPr>
          <w:rFonts w:ascii="Times New Roman" w:hAnsi="Times New Roman" w:cs="Times New Roman"/>
          <w:sz w:val="24"/>
          <w:szCs w:val="24"/>
        </w:rPr>
        <w:t xml:space="preserve"> the</w:t>
      </w:r>
      <w:r w:rsidR="00C7686E">
        <w:rPr>
          <w:rFonts w:ascii="Times New Roman" w:hAnsi="Times New Roman" w:cs="Times New Roman"/>
          <w:sz w:val="24"/>
          <w:szCs w:val="24"/>
        </w:rPr>
        <w:t xml:space="preserve"> performance during</w:t>
      </w:r>
      <w:r w:rsidR="008B09A7">
        <w:rPr>
          <w:rFonts w:ascii="Times New Roman" w:hAnsi="Times New Roman" w:cs="Times New Roman"/>
          <w:sz w:val="24"/>
          <w:szCs w:val="24"/>
        </w:rPr>
        <w:t xml:space="preserve"> different stages of </w:t>
      </w:r>
      <w:r w:rsidR="00FE5FE8">
        <w:rPr>
          <w:rFonts w:ascii="Times New Roman" w:hAnsi="Times New Roman" w:cs="Times New Roman"/>
          <w:sz w:val="24"/>
          <w:szCs w:val="24"/>
        </w:rPr>
        <w:t>the COVID</w:t>
      </w:r>
      <w:r w:rsidR="008B09A7">
        <w:rPr>
          <w:rFonts w:ascii="Times New Roman" w:hAnsi="Times New Roman" w:cs="Times New Roman"/>
          <w:sz w:val="24"/>
          <w:szCs w:val="24"/>
        </w:rPr>
        <w:t>-19</w:t>
      </w:r>
      <w:r w:rsidR="00FE5FE8">
        <w:rPr>
          <w:rFonts w:ascii="Times New Roman" w:hAnsi="Times New Roman" w:cs="Times New Roman"/>
          <w:sz w:val="24"/>
          <w:szCs w:val="24"/>
        </w:rPr>
        <w:t xml:space="preserve"> pandemic</w:t>
      </w:r>
      <w:r w:rsidR="008B09A7">
        <w:rPr>
          <w:rFonts w:ascii="Times New Roman" w:hAnsi="Times New Roman" w:cs="Times New Roman"/>
          <w:sz w:val="24"/>
          <w:szCs w:val="24"/>
        </w:rPr>
        <w:t xml:space="preserve">. </w:t>
      </w:r>
      <w:r w:rsidR="00991585">
        <w:rPr>
          <w:rFonts w:ascii="Times New Roman" w:hAnsi="Times New Roman" w:cs="Times New Roman"/>
          <w:sz w:val="24"/>
          <w:szCs w:val="24"/>
        </w:rPr>
        <w:t>S</w:t>
      </w:r>
      <w:r w:rsidR="00800677">
        <w:rPr>
          <w:rFonts w:ascii="Times New Roman" w:hAnsi="Times New Roman" w:cs="Times New Roman"/>
          <w:sz w:val="24"/>
          <w:szCs w:val="24"/>
        </w:rPr>
        <w:t xml:space="preserve">tage A is </w:t>
      </w:r>
      <w:r w:rsidR="00C7686E">
        <w:rPr>
          <w:rFonts w:ascii="Times New Roman" w:hAnsi="Times New Roman" w:cs="Times New Roman"/>
          <w:sz w:val="24"/>
          <w:szCs w:val="24"/>
        </w:rPr>
        <w:t xml:space="preserve">specified </w:t>
      </w:r>
      <w:r w:rsidR="00800677">
        <w:rPr>
          <w:rFonts w:ascii="Times New Roman" w:hAnsi="Times New Roman" w:cs="Times New Roman"/>
          <w:sz w:val="24"/>
          <w:szCs w:val="24"/>
        </w:rPr>
        <w:t>from January 1</w:t>
      </w:r>
      <w:r w:rsidR="00800677" w:rsidRPr="00800677">
        <w:rPr>
          <w:rFonts w:ascii="Times New Roman" w:hAnsi="Times New Roman" w:cs="Times New Roman"/>
          <w:sz w:val="24"/>
          <w:szCs w:val="24"/>
          <w:vertAlign w:val="superscript"/>
        </w:rPr>
        <w:t>st</w:t>
      </w:r>
      <w:r w:rsidR="00800677">
        <w:rPr>
          <w:rFonts w:ascii="Times New Roman" w:hAnsi="Times New Roman" w:cs="Times New Roman"/>
          <w:sz w:val="24"/>
          <w:szCs w:val="24"/>
        </w:rPr>
        <w:t xml:space="preserve"> to February 20</w:t>
      </w:r>
      <w:r w:rsidR="00800677" w:rsidRPr="00800677">
        <w:rPr>
          <w:rFonts w:ascii="Times New Roman" w:hAnsi="Times New Roman" w:cs="Times New Roman"/>
          <w:sz w:val="24"/>
          <w:szCs w:val="24"/>
          <w:vertAlign w:val="superscript"/>
        </w:rPr>
        <w:t>th</w:t>
      </w:r>
      <w:r w:rsidR="00991585">
        <w:rPr>
          <w:rFonts w:ascii="Times New Roman" w:hAnsi="Times New Roman" w:cs="Times New Roman"/>
          <w:sz w:val="24"/>
          <w:szCs w:val="24"/>
          <w:vertAlign w:val="superscript"/>
        </w:rPr>
        <w:t>,</w:t>
      </w:r>
      <w:r w:rsidR="00800677">
        <w:rPr>
          <w:rFonts w:ascii="Times New Roman" w:hAnsi="Times New Roman" w:cs="Times New Roman"/>
          <w:sz w:val="24"/>
          <w:szCs w:val="24"/>
        </w:rPr>
        <w:t xml:space="preserve"> </w:t>
      </w:r>
      <w:r w:rsidR="00FE5FE8">
        <w:rPr>
          <w:rFonts w:ascii="Times New Roman" w:hAnsi="Times New Roman" w:cs="Times New Roman"/>
          <w:sz w:val="24"/>
          <w:szCs w:val="24"/>
        </w:rPr>
        <w:t>2020</w:t>
      </w:r>
      <w:r w:rsidR="00991585">
        <w:rPr>
          <w:rFonts w:ascii="Times New Roman" w:hAnsi="Times New Roman" w:cs="Times New Roman"/>
          <w:sz w:val="24"/>
          <w:szCs w:val="24"/>
        </w:rPr>
        <w:t>,</w:t>
      </w:r>
      <w:r w:rsidR="00FE5FE8">
        <w:rPr>
          <w:rFonts w:ascii="Times New Roman" w:hAnsi="Times New Roman" w:cs="Times New Roman"/>
          <w:sz w:val="24"/>
          <w:szCs w:val="24"/>
        </w:rPr>
        <w:t xml:space="preserve"> </w:t>
      </w:r>
      <w:r w:rsidR="00800677">
        <w:rPr>
          <w:rFonts w:ascii="Times New Roman" w:hAnsi="Times New Roman" w:cs="Times New Roman"/>
          <w:sz w:val="24"/>
          <w:szCs w:val="24"/>
        </w:rPr>
        <w:t xml:space="preserve">that marks </w:t>
      </w:r>
      <w:r w:rsidR="00991585">
        <w:rPr>
          <w:rFonts w:ascii="Times New Roman" w:hAnsi="Times New Roman" w:cs="Times New Roman"/>
          <w:sz w:val="24"/>
          <w:szCs w:val="24"/>
        </w:rPr>
        <w:t xml:space="preserve">a </w:t>
      </w:r>
      <w:r w:rsidR="0042787B">
        <w:rPr>
          <w:rFonts w:ascii="Times New Roman" w:hAnsi="Times New Roman" w:cs="Times New Roman"/>
          <w:sz w:val="24"/>
          <w:szCs w:val="24"/>
        </w:rPr>
        <w:t xml:space="preserve">very </w:t>
      </w:r>
      <w:r w:rsidR="00800677">
        <w:rPr>
          <w:rFonts w:ascii="Times New Roman" w:hAnsi="Times New Roman" w:cs="Times New Roman"/>
          <w:sz w:val="24"/>
          <w:szCs w:val="24"/>
        </w:rPr>
        <w:t xml:space="preserve">moderate spread of </w:t>
      </w:r>
      <w:r w:rsidR="00991585">
        <w:rPr>
          <w:rFonts w:ascii="Times New Roman" w:hAnsi="Times New Roman" w:cs="Times New Roman"/>
          <w:sz w:val="24"/>
          <w:szCs w:val="24"/>
        </w:rPr>
        <w:t xml:space="preserve">the </w:t>
      </w:r>
      <w:r w:rsidR="00800677">
        <w:rPr>
          <w:rFonts w:ascii="Times New Roman" w:hAnsi="Times New Roman" w:cs="Times New Roman"/>
          <w:sz w:val="24"/>
          <w:szCs w:val="24"/>
        </w:rPr>
        <w:t xml:space="preserve">virus in </w:t>
      </w:r>
      <w:r w:rsidR="00991585">
        <w:rPr>
          <w:rFonts w:ascii="Times New Roman" w:hAnsi="Times New Roman" w:cs="Times New Roman"/>
          <w:sz w:val="24"/>
          <w:szCs w:val="24"/>
        </w:rPr>
        <w:t xml:space="preserve">the </w:t>
      </w:r>
      <w:r w:rsidR="00800677">
        <w:rPr>
          <w:rFonts w:ascii="Times New Roman" w:hAnsi="Times New Roman" w:cs="Times New Roman"/>
          <w:sz w:val="24"/>
          <w:szCs w:val="24"/>
        </w:rPr>
        <w:t>EU</w:t>
      </w:r>
      <w:r w:rsidR="00FE5FE8">
        <w:rPr>
          <w:rFonts w:ascii="Times New Roman" w:hAnsi="Times New Roman" w:cs="Times New Roman"/>
          <w:sz w:val="24"/>
          <w:szCs w:val="24"/>
        </w:rPr>
        <w:t>, i.e.</w:t>
      </w:r>
      <w:r w:rsidR="00991585">
        <w:rPr>
          <w:rFonts w:ascii="Times New Roman" w:hAnsi="Times New Roman" w:cs="Times New Roman"/>
          <w:sz w:val="24"/>
          <w:szCs w:val="24"/>
        </w:rPr>
        <w:t>,</w:t>
      </w:r>
      <w:r w:rsidR="00FE5FE8">
        <w:rPr>
          <w:rFonts w:ascii="Times New Roman" w:hAnsi="Times New Roman" w:cs="Times New Roman"/>
          <w:sz w:val="24"/>
          <w:szCs w:val="24"/>
        </w:rPr>
        <w:t xml:space="preserve"> </w:t>
      </w:r>
      <w:r w:rsidR="00991585">
        <w:rPr>
          <w:rFonts w:ascii="Times New Roman" w:hAnsi="Times New Roman" w:cs="Times New Roman"/>
          <w:sz w:val="24"/>
          <w:szCs w:val="24"/>
        </w:rPr>
        <w:t xml:space="preserve">an </w:t>
      </w:r>
      <w:r w:rsidR="00FE5FE8">
        <w:rPr>
          <w:rFonts w:ascii="Times New Roman" w:hAnsi="Times New Roman" w:cs="Times New Roman"/>
          <w:sz w:val="24"/>
          <w:szCs w:val="24"/>
        </w:rPr>
        <w:t xml:space="preserve">early stage of </w:t>
      </w:r>
      <w:r w:rsidR="00991585">
        <w:rPr>
          <w:rFonts w:ascii="Times New Roman" w:hAnsi="Times New Roman" w:cs="Times New Roman"/>
          <w:sz w:val="24"/>
          <w:szCs w:val="24"/>
        </w:rPr>
        <w:t xml:space="preserve">the </w:t>
      </w:r>
      <w:r w:rsidR="00FE5FE8">
        <w:rPr>
          <w:rFonts w:ascii="Times New Roman" w:hAnsi="Times New Roman" w:cs="Times New Roman"/>
          <w:sz w:val="24"/>
          <w:szCs w:val="24"/>
        </w:rPr>
        <w:t>crisis</w:t>
      </w:r>
      <w:r w:rsidR="00800677">
        <w:rPr>
          <w:rFonts w:ascii="Times New Roman" w:hAnsi="Times New Roman" w:cs="Times New Roman"/>
          <w:sz w:val="24"/>
          <w:szCs w:val="24"/>
        </w:rPr>
        <w:t xml:space="preserve">. </w:t>
      </w:r>
      <w:r w:rsidR="00991585">
        <w:rPr>
          <w:rFonts w:ascii="Times New Roman" w:hAnsi="Times New Roman" w:cs="Times New Roman"/>
          <w:sz w:val="24"/>
          <w:szCs w:val="24"/>
        </w:rPr>
        <w:t>S</w:t>
      </w:r>
      <w:r w:rsidR="00800677">
        <w:rPr>
          <w:rFonts w:ascii="Times New Roman" w:hAnsi="Times New Roman" w:cs="Times New Roman"/>
          <w:sz w:val="24"/>
          <w:szCs w:val="24"/>
        </w:rPr>
        <w:t>tage B is from February 21</w:t>
      </w:r>
      <w:r w:rsidR="00800677" w:rsidRPr="00800677">
        <w:rPr>
          <w:rFonts w:ascii="Times New Roman" w:hAnsi="Times New Roman" w:cs="Times New Roman"/>
          <w:sz w:val="24"/>
          <w:szCs w:val="24"/>
          <w:vertAlign w:val="superscript"/>
        </w:rPr>
        <w:t>st</w:t>
      </w:r>
      <w:r w:rsidR="00800677">
        <w:rPr>
          <w:rFonts w:ascii="Times New Roman" w:hAnsi="Times New Roman" w:cs="Times New Roman"/>
          <w:sz w:val="24"/>
          <w:szCs w:val="24"/>
        </w:rPr>
        <w:t xml:space="preserve"> to May 7</w:t>
      </w:r>
      <w:r w:rsidR="00800677" w:rsidRPr="00800677">
        <w:rPr>
          <w:rFonts w:ascii="Times New Roman" w:hAnsi="Times New Roman" w:cs="Times New Roman"/>
          <w:sz w:val="24"/>
          <w:szCs w:val="24"/>
          <w:vertAlign w:val="superscript"/>
        </w:rPr>
        <w:t>th</w:t>
      </w:r>
      <w:r w:rsidR="00800677">
        <w:rPr>
          <w:rFonts w:ascii="Times New Roman" w:hAnsi="Times New Roman" w:cs="Times New Roman"/>
          <w:sz w:val="24"/>
          <w:szCs w:val="24"/>
        </w:rPr>
        <w:t xml:space="preserve"> that </w:t>
      </w:r>
      <w:r w:rsidR="00D27D14">
        <w:rPr>
          <w:rFonts w:ascii="Times New Roman" w:hAnsi="Times New Roman" w:cs="Times New Roman"/>
          <w:sz w:val="24"/>
          <w:szCs w:val="24"/>
        </w:rPr>
        <w:t xml:space="preserve">represents the peak </w:t>
      </w:r>
      <w:r w:rsidR="00FE5FE8">
        <w:rPr>
          <w:rFonts w:ascii="Times New Roman" w:hAnsi="Times New Roman" w:cs="Times New Roman"/>
          <w:sz w:val="24"/>
          <w:szCs w:val="24"/>
        </w:rPr>
        <w:t xml:space="preserve">of the pandemics, </w:t>
      </w:r>
      <w:r w:rsidR="00D27D14">
        <w:rPr>
          <w:rFonts w:ascii="Times New Roman" w:hAnsi="Times New Roman" w:cs="Times New Roman"/>
          <w:sz w:val="24"/>
          <w:szCs w:val="24"/>
        </w:rPr>
        <w:t>and stage C is from May 8</w:t>
      </w:r>
      <w:r w:rsidR="00D27D14" w:rsidRPr="00D27D14">
        <w:rPr>
          <w:rFonts w:ascii="Times New Roman" w:hAnsi="Times New Roman" w:cs="Times New Roman"/>
          <w:sz w:val="24"/>
          <w:szCs w:val="24"/>
          <w:vertAlign w:val="superscript"/>
        </w:rPr>
        <w:t>th</w:t>
      </w:r>
      <w:r w:rsidR="00D27D14">
        <w:rPr>
          <w:rFonts w:ascii="Times New Roman" w:hAnsi="Times New Roman" w:cs="Times New Roman"/>
          <w:sz w:val="24"/>
          <w:szCs w:val="24"/>
        </w:rPr>
        <w:t xml:space="preserve"> to June 2</w:t>
      </w:r>
      <w:r w:rsidR="00D27D14" w:rsidRPr="00D27D14">
        <w:rPr>
          <w:rFonts w:ascii="Times New Roman" w:hAnsi="Times New Roman" w:cs="Times New Roman"/>
          <w:sz w:val="24"/>
          <w:szCs w:val="24"/>
          <w:vertAlign w:val="superscript"/>
        </w:rPr>
        <w:t>nd</w:t>
      </w:r>
      <w:r w:rsidR="00D27D14">
        <w:rPr>
          <w:rFonts w:ascii="Times New Roman" w:hAnsi="Times New Roman" w:cs="Times New Roman"/>
          <w:sz w:val="24"/>
          <w:szCs w:val="24"/>
        </w:rPr>
        <w:t xml:space="preserve"> when </w:t>
      </w:r>
      <w:r w:rsidR="00991585">
        <w:rPr>
          <w:rFonts w:ascii="Times New Roman" w:hAnsi="Times New Roman" w:cs="Times New Roman"/>
          <w:sz w:val="24"/>
          <w:szCs w:val="24"/>
        </w:rPr>
        <w:t xml:space="preserve">the </w:t>
      </w:r>
      <w:r w:rsidR="00D27D14">
        <w:rPr>
          <w:rFonts w:ascii="Times New Roman" w:hAnsi="Times New Roman" w:cs="Times New Roman"/>
          <w:sz w:val="24"/>
          <w:szCs w:val="24"/>
        </w:rPr>
        <w:t>curve begin</w:t>
      </w:r>
      <w:r w:rsidR="00991585">
        <w:rPr>
          <w:rFonts w:ascii="Times New Roman" w:hAnsi="Times New Roman" w:cs="Times New Roman"/>
          <w:sz w:val="24"/>
          <w:szCs w:val="24"/>
        </w:rPr>
        <w:t>s</w:t>
      </w:r>
      <w:r w:rsidR="00D27D14">
        <w:rPr>
          <w:rFonts w:ascii="Times New Roman" w:hAnsi="Times New Roman" w:cs="Times New Roman"/>
          <w:sz w:val="24"/>
          <w:szCs w:val="24"/>
        </w:rPr>
        <w:t xml:space="preserve"> to flatten.</w:t>
      </w:r>
      <w:r w:rsidR="0013343C">
        <w:rPr>
          <w:rFonts w:ascii="Times New Roman" w:hAnsi="Times New Roman" w:cs="Times New Roman"/>
          <w:sz w:val="24"/>
          <w:szCs w:val="24"/>
        </w:rPr>
        <w:t xml:space="preserve"> In </w:t>
      </w:r>
      <w:r w:rsidR="00FE5FE8">
        <w:rPr>
          <w:rFonts w:ascii="Times New Roman" w:hAnsi="Times New Roman" w:cs="Times New Roman"/>
          <w:sz w:val="24"/>
          <w:szCs w:val="24"/>
        </w:rPr>
        <w:t>T</w:t>
      </w:r>
      <w:r w:rsidR="0013343C">
        <w:rPr>
          <w:rFonts w:ascii="Times New Roman" w:hAnsi="Times New Roman" w:cs="Times New Roman"/>
          <w:sz w:val="24"/>
          <w:szCs w:val="24"/>
        </w:rPr>
        <w:t>able 3, we present the timeline of these</w:t>
      </w:r>
      <w:r w:rsidR="00BA63FC">
        <w:rPr>
          <w:rFonts w:ascii="Times New Roman" w:hAnsi="Times New Roman" w:cs="Times New Roman"/>
          <w:sz w:val="24"/>
          <w:szCs w:val="24"/>
        </w:rPr>
        <w:t xml:space="preserve"> stages with </w:t>
      </w:r>
      <w:r w:rsidR="0013343C">
        <w:rPr>
          <w:rFonts w:ascii="Times New Roman" w:hAnsi="Times New Roman" w:cs="Times New Roman"/>
          <w:sz w:val="24"/>
          <w:szCs w:val="24"/>
        </w:rPr>
        <w:t xml:space="preserve">some </w:t>
      </w:r>
      <w:r w:rsidR="00991585">
        <w:rPr>
          <w:rFonts w:ascii="Times New Roman" w:hAnsi="Times New Roman" w:cs="Times New Roman"/>
          <w:sz w:val="24"/>
          <w:szCs w:val="24"/>
        </w:rPr>
        <w:t>critical</w:t>
      </w:r>
      <w:r w:rsidR="0013343C">
        <w:rPr>
          <w:rFonts w:ascii="Times New Roman" w:hAnsi="Times New Roman" w:cs="Times New Roman"/>
          <w:sz w:val="24"/>
          <w:szCs w:val="24"/>
        </w:rPr>
        <w:t xml:space="preserve"> news corresponding to </w:t>
      </w:r>
      <w:r w:rsidR="00991585">
        <w:rPr>
          <w:rFonts w:ascii="Times New Roman" w:hAnsi="Times New Roman" w:cs="Times New Roman"/>
          <w:sz w:val="24"/>
          <w:szCs w:val="24"/>
        </w:rPr>
        <w:t xml:space="preserve">the </w:t>
      </w:r>
      <w:r w:rsidR="0013343C">
        <w:rPr>
          <w:rFonts w:ascii="Times New Roman" w:hAnsi="Times New Roman" w:cs="Times New Roman"/>
          <w:sz w:val="24"/>
          <w:szCs w:val="24"/>
        </w:rPr>
        <w:t xml:space="preserve">evolution of </w:t>
      </w:r>
      <w:r w:rsidR="00FE5FE8">
        <w:rPr>
          <w:rFonts w:ascii="Times New Roman" w:hAnsi="Times New Roman" w:cs="Times New Roman"/>
          <w:sz w:val="24"/>
          <w:szCs w:val="24"/>
        </w:rPr>
        <w:t>the COVID</w:t>
      </w:r>
      <w:r w:rsidR="0013343C">
        <w:rPr>
          <w:rFonts w:ascii="Times New Roman" w:hAnsi="Times New Roman" w:cs="Times New Roman"/>
          <w:sz w:val="24"/>
          <w:szCs w:val="24"/>
        </w:rPr>
        <w:t>-19</w:t>
      </w:r>
      <w:r w:rsidR="00FE5FE8">
        <w:rPr>
          <w:rFonts w:ascii="Times New Roman" w:hAnsi="Times New Roman" w:cs="Times New Roman"/>
          <w:sz w:val="24"/>
          <w:szCs w:val="24"/>
        </w:rPr>
        <w:t xml:space="preserve"> crisis</w:t>
      </w:r>
      <w:r w:rsidR="0013343C">
        <w:rPr>
          <w:rFonts w:ascii="Times New Roman" w:hAnsi="Times New Roman" w:cs="Times New Roman"/>
          <w:sz w:val="24"/>
          <w:szCs w:val="24"/>
        </w:rPr>
        <w:t>.</w:t>
      </w:r>
    </w:p>
    <w:p w14:paraId="40B58255" w14:textId="77777777" w:rsidR="00E05D01" w:rsidRDefault="00E05D01" w:rsidP="00E05D01">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[Insert Table 3 about here]</w:t>
      </w:r>
    </w:p>
    <w:p w14:paraId="21FDF3E7" w14:textId="14C80105" w:rsidR="00E41558" w:rsidRDefault="005A1731" w:rsidP="00FE07C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There are two </w:t>
      </w:r>
      <w:r w:rsidR="00FF311E">
        <w:rPr>
          <w:rFonts w:ascii="Times New Roman" w:hAnsi="Times New Roman" w:cs="Times New Roman"/>
          <w:color w:val="FF0000"/>
          <w:sz w:val="24"/>
          <w:szCs w:val="24"/>
        </w:rPr>
        <w:t>methodological</w:t>
      </w:r>
      <w:r>
        <w:rPr>
          <w:rFonts w:ascii="Times New Roman" w:hAnsi="Times New Roman" w:cs="Times New Roman"/>
          <w:color w:val="FF0000"/>
          <w:sz w:val="24"/>
          <w:szCs w:val="24"/>
        </w:rPr>
        <w:t xml:space="preserve"> approaches that we </w:t>
      </w:r>
      <w:r w:rsidR="00FF311E">
        <w:rPr>
          <w:rFonts w:ascii="Times New Roman" w:hAnsi="Times New Roman" w:cs="Times New Roman"/>
          <w:color w:val="FF0000"/>
          <w:sz w:val="24"/>
          <w:szCs w:val="24"/>
        </w:rPr>
        <w:t>employ</w:t>
      </w:r>
      <w:r>
        <w:rPr>
          <w:rFonts w:ascii="Times New Roman" w:hAnsi="Times New Roman" w:cs="Times New Roman"/>
          <w:color w:val="FF0000"/>
          <w:sz w:val="24"/>
          <w:szCs w:val="24"/>
        </w:rPr>
        <w:t xml:space="preserve"> in thi</w:t>
      </w:r>
      <w:r w:rsidR="00B45A65">
        <w:rPr>
          <w:rFonts w:ascii="Times New Roman" w:hAnsi="Times New Roman" w:cs="Times New Roman"/>
          <w:color w:val="FF0000"/>
          <w:sz w:val="24"/>
          <w:szCs w:val="24"/>
        </w:rPr>
        <w:t xml:space="preserve">s study for evaluating the impact of HCE on the funds’ performance. The first one </w:t>
      </w:r>
      <w:r w:rsidR="00FF311E">
        <w:rPr>
          <w:rFonts w:ascii="Times New Roman" w:hAnsi="Times New Roman" w:cs="Times New Roman"/>
          <w:color w:val="FF0000"/>
          <w:sz w:val="24"/>
          <w:szCs w:val="24"/>
        </w:rPr>
        <w:t xml:space="preserve">comprises </w:t>
      </w:r>
      <w:r w:rsidR="00B45A65">
        <w:rPr>
          <w:rFonts w:ascii="Times New Roman" w:hAnsi="Times New Roman" w:cs="Times New Roman"/>
          <w:color w:val="FF0000"/>
          <w:sz w:val="24"/>
          <w:szCs w:val="24"/>
        </w:rPr>
        <w:t>the conventional risk</w:t>
      </w:r>
      <w:r w:rsidR="00661532">
        <w:rPr>
          <w:rFonts w:ascii="Times New Roman" w:hAnsi="Times New Roman" w:cs="Times New Roman"/>
          <w:color w:val="FF0000"/>
          <w:sz w:val="24"/>
          <w:szCs w:val="24"/>
        </w:rPr>
        <w:t>-</w:t>
      </w:r>
      <w:r w:rsidR="00B45A65">
        <w:rPr>
          <w:rFonts w:ascii="Times New Roman" w:hAnsi="Times New Roman" w:cs="Times New Roman"/>
          <w:color w:val="FF0000"/>
          <w:sz w:val="24"/>
          <w:szCs w:val="24"/>
        </w:rPr>
        <w:t>adjusted measures</w:t>
      </w:r>
      <w:r w:rsidR="00560B4B">
        <w:rPr>
          <w:rFonts w:ascii="Times New Roman" w:hAnsi="Times New Roman" w:cs="Times New Roman"/>
          <w:color w:val="FF0000"/>
          <w:sz w:val="24"/>
          <w:szCs w:val="24"/>
        </w:rPr>
        <w:t>,</w:t>
      </w:r>
      <w:r w:rsidR="00FF311E">
        <w:rPr>
          <w:rFonts w:ascii="Times New Roman" w:hAnsi="Times New Roman" w:cs="Times New Roman"/>
          <w:color w:val="FF0000"/>
          <w:sz w:val="24"/>
          <w:szCs w:val="24"/>
        </w:rPr>
        <w:t xml:space="preserve"> while the second one </w:t>
      </w:r>
      <w:r w:rsidR="00560B4B">
        <w:rPr>
          <w:rFonts w:ascii="Times New Roman" w:hAnsi="Times New Roman" w:cs="Times New Roman"/>
          <w:color w:val="FF0000"/>
          <w:sz w:val="24"/>
          <w:szCs w:val="24"/>
        </w:rPr>
        <w:t xml:space="preserve">is </w:t>
      </w:r>
      <w:proofErr w:type="gramStart"/>
      <w:r w:rsidR="00560B4B">
        <w:rPr>
          <w:rFonts w:ascii="Times New Roman" w:hAnsi="Times New Roman" w:cs="Times New Roman"/>
          <w:color w:val="FF0000"/>
          <w:sz w:val="24"/>
          <w:szCs w:val="24"/>
        </w:rPr>
        <w:t>similar to</w:t>
      </w:r>
      <w:proofErr w:type="gramEnd"/>
      <w:r w:rsidR="00560B4B">
        <w:rPr>
          <w:rFonts w:ascii="Times New Roman" w:hAnsi="Times New Roman" w:cs="Times New Roman"/>
          <w:color w:val="FF0000"/>
          <w:sz w:val="24"/>
          <w:szCs w:val="24"/>
        </w:rPr>
        <w:t xml:space="preserve"> </w:t>
      </w:r>
      <w:r w:rsidR="00E41558">
        <w:rPr>
          <w:rFonts w:ascii="Times New Roman" w:hAnsi="Times New Roman" w:cs="Times New Roman"/>
          <w:color w:val="FF0000"/>
          <w:sz w:val="24"/>
          <w:szCs w:val="24"/>
        </w:rPr>
        <w:t xml:space="preserve">an </w:t>
      </w:r>
      <w:r w:rsidR="00560B4B">
        <w:rPr>
          <w:rFonts w:ascii="Times New Roman" w:hAnsi="Times New Roman" w:cs="Times New Roman"/>
          <w:color w:val="FF0000"/>
          <w:sz w:val="24"/>
          <w:szCs w:val="24"/>
        </w:rPr>
        <w:t>e</w:t>
      </w:r>
      <w:r w:rsidR="00E41558">
        <w:rPr>
          <w:rFonts w:ascii="Times New Roman" w:hAnsi="Times New Roman" w:cs="Times New Roman"/>
          <w:color w:val="FF0000"/>
          <w:sz w:val="24"/>
          <w:szCs w:val="24"/>
        </w:rPr>
        <w:t xml:space="preserve">vent study. These </w:t>
      </w:r>
      <w:r w:rsidR="00CA2447">
        <w:rPr>
          <w:rFonts w:ascii="Times New Roman" w:hAnsi="Times New Roman" w:cs="Times New Roman"/>
          <w:color w:val="FF0000"/>
          <w:sz w:val="24"/>
          <w:szCs w:val="24"/>
        </w:rPr>
        <w:t xml:space="preserve">two </w:t>
      </w:r>
      <w:r w:rsidR="00E41558">
        <w:rPr>
          <w:rFonts w:ascii="Times New Roman" w:hAnsi="Times New Roman" w:cs="Times New Roman"/>
          <w:color w:val="FF0000"/>
          <w:sz w:val="24"/>
          <w:szCs w:val="24"/>
        </w:rPr>
        <w:t>approaches are explained below.</w:t>
      </w:r>
    </w:p>
    <w:p w14:paraId="5359AEF1" w14:textId="6AD4EE82" w:rsidR="0046690B" w:rsidRPr="00E3078F" w:rsidRDefault="00E41558" w:rsidP="00FE07C4">
      <w:pPr>
        <w:spacing w:after="0" w:line="480" w:lineRule="auto"/>
        <w:jc w:val="both"/>
        <w:rPr>
          <w:rFonts w:ascii="Times New Roman" w:hAnsi="Times New Roman" w:cs="Times New Roman"/>
          <w:b/>
          <w:sz w:val="24"/>
          <w:szCs w:val="24"/>
        </w:rPr>
      </w:pPr>
      <w:r w:rsidRPr="00E3078F">
        <w:rPr>
          <w:rFonts w:ascii="Times New Roman" w:hAnsi="Times New Roman" w:cs="Times New Roman"/>
          <w:b/>
          <w:color w:val="FF0000"/>
          <w:sz w:val="24"/>
          <w:szCs w:val="24"/>
        </w:rPr>
        <w:t>2.1</w:t>
      </w:r>
      <w:r w:rsidRPr="00E3078F">
        <w:rPr>
          <w:rFonts w:ascii="Times New Roman" w:hAnsi="Times New Roman" w:cs="Times New Roman"/>
          <w:b/>
          <w:color w:val="FF0000"/>
          <w:sz w:val="24"/>
          <w:szCs w:val="24"/>
        </w:rPr>
        <w:tab/>
        <w:t>Risk</w:t>
      </w:r>
      <w:r w:rsidR="000E3270">
        <w:rPr>
          <w:rFonts w:ascii="Times New Roman" w:hAnsi="Times New Roman" w:cs="Times New Roman"/>
          <w:b/>
          <w:color w:val="FF0000"/>
          <w:sz w:val="24"/>
          <w:szCs w:val="24"/>
        </w:rPr>
        <w:t>-</w:t>
      </w:r>
      <w:r w:rsidRPr="00E3078F">
        <w:rPr>
          <w:rFonts w:ascii="Times New Roman" w:hAnsi="Times New Roman" w:cs="Times New Roman"/>
          <w:b/>
          <w:color w:val="FF0000"/>
          <w:sz w:val="24"/>
          <w:szCs w:val="24"/>
        </w:rPr>
        <w:t>Adjusted Performance</w:t>
      </w:r>
      <w:r w:rsidR="00560B4B" w:rsidRPr="00E3078F">
        <w:rPr>
          <w:rFonts w:ascii="Times New Roman" w:hAnsi="Times New Roman" w:cs="Times New Roman"/>
          <w:b/>
          <w:color w:val="FF0000"/>
          <w:sz w:val="24"/>
          <w:szCs w:val="24"/>
        </w:rPr>
        <w:t xml:space="preserve">  </w:t>
      </w:r>
      <w:r w:rsidR="00CB3D15" w:rsidRPr="00E3078F">
        <w:rPr>
          <w:rFonts w:ascii="Times New Roman" w:hAnsi="Times New Roman" w:cs="Times New Roman"/>
          <w:b/>
          <w:color w:val="FF0000"/>
          <w:sz w:val="24"/>
          <w:szCs w:val="24"/>
        </w:rPr>
        <w:t xml:space="preserve"> </w:t>
      </w:r>
      <w:r w:rsidR="00B45A65" w:rsidRPr="00E3078F">
        <w:rPr>
          <w:rFonts w:ascii="Times New Roman" w:hAnsi="Times New Roman" w:cs="Times New Roman"/>
          <w:b/>
          <w:color w:val="FF0000"/>
          <w:sz w:val="24"/>
          <w:szCs w:val="24"/>
        </w:rPr>
        <w:t xml:space="preserve"> </w:t>
      </w:r>
      <w:r w:rsidR="005A1731" w:rsidRPr="00E3078F">
        <w:rPr>
          <w:rFonts w:ascii="Times New Roman" w:hAnsi="Times New Roman" w:cs="Times New Roman"/>
          <w:b/>
          <w:color w:val="FF0000"/>
          <w:sz w:val="24"/>
          <w:szCs w:val="24"/>
        </w:rPr>
        <w:t xml:space="preserve"> </w:t>
      </w:r>
      <w:r w:rsidR="0013343C" w:rsidRPr="00E3078F">
        <w:rPr>
          <w:rFonts w:ascii="Times New Roman" w:hAnsi="Times New Roman" w:cs="Times New Roman"/>
          <w:b/>
          <w:sz w:val="24"/>
          <w:szCs w:val="24"/>
        </w:rPr>
        <w:tab/>
      </w:r>
    </w:p>
    <w:p w14:paraId="0E55C1BC" w14:textId="353A73BB" w:rsidR="00B2074F" w:rsidRDefault="000F687D" w:rsidP="00E307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3024F">
        <w:rPr>
          <w:rFonts w:ascii="Times New Roman" w:hAnsi="Times New Roman" w:cs="Times New Roman"/>
          <w:sz w:val="24"/>
          <w:szCs w:val="24"/>
        </w:rPr>
        <w:t xml:space="preserve">o </w:t>
      </w:r>
      <w:r w:rsidR="008029CA">
        <w:rPr>
          <w:rFonts w:ascii="Times New Roman" w:hAnsi="Times New Roman" w:cs="Times New Roman"/>
          <w:sz w:val="24"/>
          <w:szCs w:val="24"/>
        </w:rPr>
        <w:t>estimate</w:t>
      </w:r>
      <w:r w:rsidR="00D96E8A">
        <w:rPr>
          <w:rFonts w:ascii="Times New Roman" w:hAnsi="Times New Roman" w:cs="Times New Roman"/>
          <w:sz w:val="24"/>
          <w:szCs w:val="24"/>
        </w:rPr>
        <w:t xml:space="preserve"> and compare</w:t>
      </w:r>
      <w:r w:rsidR="008029CA">
        <w:rPr>
          <w:rFonts w:ascii="Times New Roman" w:hAnsi="Times New Roman" w:cs="Times New Roman"/>
          <w:sz w:val="24"/>
          <w:szCs w:val="24"/>
        </w:rPr>
        <w:t xml:space="preserve"> the risk</w:t>
      </w:r>
      <w:r>
        <w:rPr>
          <w:rFonts w:ascii="Times New Roman" w:hAnsi="Times New Roman" w:cs="Times New Roman"/>
          <w:sz w:val="24"/>
          <w:szCs w:val="24"/>
        </w:rPr>
        <w:t>-</w:t>
      </w:r>
      <w:r w:rsidR="008029CA">
        <w:rPr>
          <w:rFonts w:ascii="Times New Roman" w:hAnsi="Times New Roman" w:cs="Times New Roman"/>
          <w:sz w:val="24"/>
          <w:szCs w:val="24"/>
        </w:rPr>
        <w:t>a</w:t>
      </w:r>
      <w:r w:rsidR="00A00D33">
        <w:rPr>
          <w:rFonts w:ascii="Times New Roman" w:hAnsi="Times New Roman" w:cs="Times New Roman"/>
          <w:sz w:val="24"/>
          <w:szCs w:val="24"/>
        </w:rPr>
        <w:t xml:space="preserve">djusted performance, we employ multiple </w:t>
      </w:r>
      <w:r w:rsidR="00243638">
        <w:rPr>
          <w:rFonts w:ascii="Times New Roman" w:hAnsi="Times New Roman" w:cs="Times New Roman"/>
          <w:sz w:val="24"/>
          <w:szCs w:val="24"/>
        </w:rPr>
        <w:t>measures.</w:t>
      </w:r>
      <w:r w:rsidR="00D96E8A">
        <w:rPr>
          <w:rFonts w:ascii="Times New Roman" w:hAnsi="Times New Roman" w:cs="Times New Roman"/>
          <w:sz w:val="24"/>
          <w:szCs w:val="24"/>
        </w:rPr>
        <w:t xml:space="preserve"> </w:t>
      </w:r>
      <w:r w:rsidR="003A6308">
        <w:rPr>
          <w:rFonts w:ascii="Times New Roman" w:hAnsi="Times New Roman" w:cs="Times New Roman"/>
          <w:sz w:val="24"/>
          <w:szCs w:val="24"/>
        </w:rPr>
        <w:t>These include adjusted Sharpe</w:t>
      </w:r>
      <w:r w:rsidR="00DF0689">
        <w:rPr>
          <w:rFonts w:ascii="Times New Roman" w:hAnsi="Times New Roman" w:cs="Times New Roman"/>
          <w:sz w:val="24"/>
          <w:szCs w:val="24"/>
        </w:rPr>
        <w:t xml:space="preserve"> </w:t>
      </w:r>
      <w:r w:rsidR="00DF0689">
        <w:rPr>
          <w:rFonts w:ascii="Times New Roman" w:hAnsi="Times New Roman" w:cs="Times New Roman"/>
          <w:sz w:val="24"/>
          <w:szCs w:val="24"/>
        </w:rPr>
        <w:fldChar w:fldCharType="begin" w:fldLock="1"/>
      </w:r>
      <w:r w:rsidR="00DF0689">
        <w:rPr>
          <w:rFonts w:ascii="Times New Roman" w:hAnsi="Times New Roman" w:cs="Times New Roman"/>
          <w:sz w:val="24"/>
          <w:szCs w:val="24"/>
        </w:rPr>
        <w:instrText>ADDIN CSL_CITATION {"citationItems":[{"id":"ITEM-1","itemData":{"DOI":"10.1086/294846","ISSN":"0021-9398","abstract":"The article focuses on mutual fund performance. Within the last few years considerable progress has been made in three closely related areas the theory of portfolio selection, the theory of the pricing of capital assets under conditions of risk, and the general behavior of stock-market prices. Results obtained in all three areas are relevant for evaluating mutual fund performance. Unfortunately, few of the studies of mutual funds have taken advantage of the substantial backlog of theoretical and empirical material made available by recent studies in these related areas. Drawing on results obtained in the field of portfolio analysis, economist Jack L. Treynor has suggested a new predictor of mutual fund performance, one that differs from virtually all those used previously by incorporating the volatiity of a fund's return in a simple yet meaningful manner. This paper attempts to extend Treynor's work by subjecting his proposed measure to empirical test in order to evaluate its predictive ability.","author":[{"dropping-particle":"","family":"Sharpe","given":"William F.","non-dropping-particle":"","parse-names":false,"suffix":""}],"container-title":"The Journal of Business","id":"ITEM-1","issued":{"date-parts":[["1966"]]},"title":"Mutual Fund Performance","type":"article-journal"},"uris":["http://www.mendeley.com/documents/?uuid=f3b0d4f9-7685-4780-bf9f-865265033413"]}],"mendeley":{"formattedCitation":"(Sharpe, 1966)","plainTextFormattedCitation":"(Sharpe, 1966)","previouslyFormattedCitation":"(Sharpe, 1966)"},"properties":{"noteIndex":0},"schema":"https://github.com/citation-style-language/schema/raw/master/csl-citation.json"}</w:instrText>
      </w:r>
      <w:r w:rsidR="00DF0689">
        <w:rPr>
          <w:rFonts w:ascii="Times New Roman" w:hAnsi="Times New Roman" w:cs="Times New Roman"/>
          <w:sz w:val="24"/>
          <w:szCs w:val="24"/>
        </w:rPr>
        <w:fldChar w:fldCharType="separate"/>
      </w:r>
      <w:r w:rsidR="00DF0689" w:rsidRPr="00DF0689">
        <w:rPr>
          <w:rFonts w:ascii="Times New Roman" w:hAnsi="Times New Roman" w:cs="Times New Roman"/>
          <w:noProof/>
          <w:sz w:val="24"/>
          <w:szCs w:val="24"/>
        </w:rPr>
        <w:t>(Sharpe, 1966)</w:t>
      </w:r>
      <w:r w:rsidR="00DF0689">
        <w:rPr>
          <w:rFonts w:ascii="Times New Roman" w:hAnsi="Times New Roman" w:cs="Times New Roman"/>
          <w:sz w:val="24"/>
          <w:szCs w:val="24"/>
        </w:rPr>
        <w:fldChar w:fldCharType="end"/>
      </w:r>
      <w:r w:rsidR="00154EC2">
        <w:rPr>
          <w:rFonts w:ascii="Times New Roman" w:hAnsi="Times New Roman" w:cs="Times New Roman"/>
          <w:sz w:val="24"/>
          <w:szCs w:val="24"/>
        </w:rPr>
        <w:t xml:space="preserve">, </w:t>
      </w:r>
      <w:r w:rsidR="00314638">
        <w:rPr>
          <w:rFonts w:ascii="Times New Roman" w:hAnsi="Times New Roman" w:cs="Times New Roman"/>
          <w:sz w:val="24"/>
          <w:szCs w:val="24"/>
        </w:rPr>
        <w:t>Treynor</w:t>
      </w:r>
      <w:r w:rsidR="00DF0689">
        <w:rPr>
          <w:rFonts w:ascii="Times New Roman" w:hAnsi="Times New Roman" w:cs="Times New Roman"/>
          <w:sz w:val="24"/>
          <w:szCs w:val="24"/>
        </w:rPr>
        <w:t xml:space="preserve"> </w:t>
      </w:r>
      <w:r w:rsidR="00DF0689">
        <w:rPr>
          <w:rFonts w:ascii="Times New Roman" w:hAnsi="Times New Roman" w:cs="Times New Roman"/>
          <w:sz w:val="24"/>
          <w:szCs w:val="24"/>
        </w:rPr>
        <w:fldChar w:fldCharType="begin" w:fldLock="1"/>
      </w:r>
      <w:r w:rsidR="00CD55C3">
        <w:rPr>
          <w:rFonts w:ascii="Times New Roman" w:hAnsi="Times New Roman" w:cs="Times New Roman"/>
          <w:sz w:val="24"/>
          <w:szCs w:val="24"/>
        </w:rPr>
        <w:instrText>ADDIN CSL_CITATION {"citationItems":[{"id":"ITEM-1","itemData":{"author":[{"dropping-particle":"","family":"Treynor","given":"Jack L.","non-dropping-particle":"","parse-names":false,"suffix":""},{"dropping-particle":"","family":"Mazuy","given":"Kay K.","non-dropping-particle":"","parse-names":false,"suffix":""}],"id":"ITEM-1","issued":{"date-parts":[["1966"]]},"title":"Can mutual funds outguess the market? Harvard Business Review 44","type":"article-journal"},"uris":["http://www.mendeley.com/documents/?uuid=4506f6f3-63c0-345c-b797-9cd20c22a34c"]}],"mendeley":{"formattedCitation":"(Treynor &amp; Mazuy, 1966)","plainTextFormattedCitation":"(Treynor &amp; Mazuy, 1966)","previouslyFormattedCitation":"(Treynor &amp; Mazuy, 1966)"},"properties":{"noteIndex":0},"schema":"https://github.com/citation-style-language/schema/raw/master/csl-citation.json"}</w:instrText>
      </w:r>
      <w:r w:rsidR="00DF0689">
        <w:rPr>
          <w:rFonts w:ascii="Times New Roman" w:hAnsi="Times New Roman" w:cs="Times New Roman"/>
          <w:sz w:val="24"/>
          <w:szCs w:val="24"/>
        </w:rPr>
        <w:fldChar w:fldCharType="separate"/>
      </w:r>
      <w:r w:rsidR="00DF0689" w:rsidRPr="00DF0689">
        <w:rPr>
          <w:rFonts w:ascii="Times New Roman" w:hAnsi="Times New Roman" w:cs="Times New Roman"/>
          <w:noProof/>
          <w:sz w:val="24"/>
          <w:szCs w:val="24"/>
        </w:rPr>
        <w:t>(Treynor &amp; Mazuy, 1966)</w:t>
      </w:r>
      <w:r w:rsidR="00DF0689">
        <w:rPr>
          <w:rFonts w:ascii="Times New Roman" w:hAnsi="Times New Roman" w:cs="Times New Roman"/>
          <w:sz w:val="24"/>
          <w:szCs w:val="24"/>
        </w:rPr>
        <w:fldChar w:fldCharType="end"/>
      </w:r>
      <w:r w:rsidR="00154EC2">
        <w:rPr>
          <w:rFonts w:ascii="Times New Roman" w:hAnsi="Times New Roman" w:cs="Times New Roman"/>
          <w:sz w:val="24"/>
          <w:szCs w:val="24"/>
        </w:rPr>
        <w:t xml:space="preserve">, </w:t>
      </w:r>
      <w:proofErr w:type="spellStart"/>
      <w:r w:rsidR="00314638">
        <w:rPr>
          <w:rFonts w:ascii="Times New Roman" w:hAnsi="Times New Roman" w:cs="Times New Roman"/>
          <w:sz w:val="24"/>
          <w:szCs w:val="24"/>
        </w:rPr>
        <w:t>Sortino</w:t>
      </w:r>
      <w:proofErr w:type="spellEnd"/>
      <w:r w:rsidR="00314638">
        <w:rPr>
          <w:rFonts w:ascii="Times New Roman" w:hAnsi="Times New Roman" w:cs="Times New Roman"/>
          <w:sz w:val="24"/>
          <w:szCs w:val="24"/>
        </w:rPr>
        <w:t xml:space="preserve"> </w:t>
      </w:r>
      <w:r w:rsidR="00D26BBE">
        <w:rPr>
          <w:rFonts w:ascii="Times New Roman" w:hAnsi="Times New Roman" w:cs="Times New Roman"/>
          <w:sz w:val="24"/>
          <w:szCs w:val="24"/>
        </w:rPr>
        <w:fldChar w:fldCharType="begin" w:fldLock="1"/>
      </w:r>
      <w:r w:rsidR="00D26BBE">
        <w:rPr>
          <w:rFonts w:ascii="Times New Roman" w:hAnsi="Times New Roman" w:cs="Times New Roman"/>
          <w:sz w:val="24"/>
          <w:szCs w:val="24"/>
        </w:rPr>
        <w:instrText>ADDIN CSL_CITATION {"citationItems":[{"id":"ITEM-1","itemData":{"DOI":"10.3905/joi.3.3.59","ISSN":"1068-0896","abstract":"This study updates prior studies and presents new evidence on the predictability of stock market returns. It examines the ability of two earnings yields to predict one- through 10-year real S&amp;P 500 returns for 1881-2008 and 1953-2008. The upshot is that, as of year-end 2008, stock prospects look better than they have since at least the early 1990s. Based on evidence from Shillers (2000) model and a variant of that model, long-horizon stock prospects appear to be in line with historical averages, where stocks significantly outperform Treasury bonds and bills. Finally, this study discusses investment implications and applications of this research.","author":[{"dropping-particle":"","family":"Sortino","given":"Frank A.","non-dropping-particle":"","parse-names":false,"suffix":""},{"dropping-particle":"","family":"Price","given":"Lee N.","non-dropping-particle":"","parse-names":false,"suffix":""}],"container-title":"The Journal of Investing","id":"ITEM-1","issued":{"date-parts":[["1994"]]},"title":"Performance Measurement in a Downside Risk Framework","type":"article-journal"},"uris":["http://www.mendeley.com/documents/?uuid=75a38e13-f3ad-4cc4-85a4-c891e7d6bb3f"]}],"mendeley":{"formattedCitation":"(Sortino &amp; Price, 1994)","plainTextFormattedCitation":"(Sortino &amp; Price, 1994)","previouslyFormattedCitation":"(Sortino &amp; Price, 1994)"},"properties":{"noteIndex":0},"schema":"https://github.com/citation-style-language/schema/raw/master/csl-citation.json"}</w:instrText>
      </w:r>
      <w:r w:rsidR="00D26BBE">
        <w:rPr>
          <w:rFonts w:ascii="Times New Roman" w:hAnsi="Times New Roman" w:cs="Times New Roman"/>
          <w:sz w:val="24"/>
          <w:szCs w:val="24"/>
        </w:rPr>
        <w:fldChar w:fldCharType="separate"/>
      </w:r>
      <w:r w:rsidR="00D26BBE" w:rsidRPr="00D26BBE">
        <w:rPr>
          <w:rFonts w:ascii="Times New Roman" w:hAnsi="Times New Roman" w:cs="Times New Roman"/>
          <w:noProof/>
          <w:sz w:val="24"/>
          <w:szCs w:val="24"/>
        </w:rPr>
        <w:t>(Sortino &amp; Price, 1994)</w:t>
      </w:r>
      <w:r w:rsidR="00D26BBE">
        <w:rPr>
          <w:rFonts w:ascii="Times New Roman" w:hAnsi="Times New Roman" w:cs="Times New Roman"/>
          <w:sz w:val="24"/>
          <w:szCs w:val="24"/>
        </w:rPr>
        <w:fldChar w:fldCharType="end"/>
      </w:r>
      <w:r w:rsidR="00314638">
        <w:rPr>
          <w:rFonts w:ascii="Times New Roman" w:hAnsi="Times New Roman" w:cs="Times New Roman"/>
          <w:sz w:val="24"/>
          <w:szCs w:val="24"/>
        </w:rPr>
        <w:t xml:space="preserve">, </w:t>
      </w:r>
      <w:r w:rsidR="003A5BD9">
        <w:rPr>
          <w:rFonts w:ascii="Times New Roman" w:hAnsi="Times New Roman" w:cs="Times New Roman"/>
          <w:sz w:val="24"/>
          <w:szCs w:val="24"/>
        </w:rPr>
        <w:t xml:space="preserve"> and </w:t>
      </w:r>
      <w:r w:rsidR="00314638">
        <w:rPr>
          <w:rFonts w:ascii="Times New Roman" w:hAnsi="Times New Roman" w:cs="Times New Roman"/>
          <w:sz w:val="24"/>
          <w:szCs w:val="24"/>
        </w:rPr>
        <w:t>Information</w:t>
      </w:r>
      <w:r w:rsidR="00D26BBE">
        <w:rPr>
          <w:rFonts w:ascii="Times New Roman" w:hAnsi="Times New Roman" w:cs="Times New Roman"/>
          <w:sz w:val="24"/>
          <w:szCs w:val="24"/>
        </w:rPr>
        <w:t xml:space="preserve"> ratios</w:t>
      </w:r>
      <w:r w:rsidR="00154EC2">
        <w:rPr>
          <w:rFonts w:ascii="Times New Roman" w:hAnsi="Times New Roman" w:cs="Times New Roman"/>
          <w:sz w:val="24"/>
          <w:szCs w:val="24"/>
        </w:rPr>
        <w:t>.</w:t>
      </w:r>
      <w:r w:rsidR="00D415F6">
        <w:rPr>
          <w:rFonts w:ascii="Times New Roman" w:hAnsi="Times New Roman" w:cs="Times New Roman"/>
          <w:sz w:val="24"/>
          <w:szCs w:val="24"/>
        </w:rPr>
        <w:t xml:space="preserve"> T</w:t>
      </w:r>
      <w:r w:rsidR="00D26BBE">
        <w:rPr>
          <w:rFonts w:ascii="Times New Roman" w:hAnsi="Times New Roman" w:cs="Times New Roman"/>
          <w:sz w:val="24"/>
          <w:szCs w:val="24"/>
        </w:rPr>
        <w:t xml:space="preserve">he adjusted Sharpe ratio is based on </w:t>
      </w:r>
      <w:r w:rsidR="00D26BBE">
        <w:rPr>
          <w:rFonts w:ascii="Times New Roman" w:hAnsi="Times New Roman" w:cs="Times New Roman"/>
          <w:sz w:val="24"/>
          <w:szCs w:val="24"/>
        </w:rPr>
        <w:fldChar w:fldCharType="begin" w:fldLock="1"/>
      </w:r>
      <w:r w:rsidR="009C1B33">
        <w:rPr>
          <w:rFonts w:ascii="Times New Roman" w:hAnsi="Times New Roman" w:cs="Times New Roman"/>
          <w:sz w:val="24"/>
          <w:szCs w:val="24"/>
        </w:rPr>
        <w:instrText>ADDIN CSL_CITATION {"citationItems":[{"id":"ITEM-1","itemData":{"DOI":"10.1086/294846","ISSN":"0021-9398","abstract":"The article focuses on mutual fund performance. Within the last few years considerable progress has been made in three closely related areas the theory of portfolio selection, the theory of the pricing of capital assets under conditions of risk, and the general behavior of stock-market prices. Results obtained in all three areas are relevant for evaluating mutual fund performance. Unfortunately, few of the studies of mutual funds have taken advantage of the substantial backlog of theoretical and empirical material made available by recent studies in these related areas. Drawing on results obtained in the field of portfolio analysis, economist Jack L. Treynor has suggested a new predictor of mutual fund performance, one that differs from virtually all those used previously by incorporating the volatiity of a fund's return in a simple yet meaningful manner. This paper attempts to extend Treynor's work by subjecting his proposed measure to empirical test in order to evaluate its predictive ability.","author":[{"dropping-particle":"","family":"Sharpe","given":"William F.","non-dropping-particle":"","parse-names":false,"suffix":""}],"container-title":"The Journal of Business","id":"ITEM-1","issued":{"date-parts":[["1966"]]},"title":"Mutual Fund Performance","type":"article-journal"},"uris":["http://www.mendeley.com/documents/?uuid=f3b0d4f9-7685-4780-bf9f-865265033413"]}],"mendeley":{"formattedCitation":"(Sharpe, 1966)","manualFormatting":"Sharpe (1966)","plainTextFormattedCitation":"(Sharpe, 1966)","previouslyFormattedCitation":"(Sharpe, 1966)"},"properties":{"noteIndex":0},"schema":"https://github.com/citation-style-language/schema/raw/master/csl-citation.json"}</w:instrText>
      </w:r>
      <w:r w:rsidR="00D26BBE">
        <w:rPr>
          <w:rFonts w:ascii="Times New Roman" w:hAnsi="Times New Roman" w:cs="Times New Roman"/>
          <w:sz w:val="24"/>
          <w:szCs w:val="24"/>
        </w:rPr>
        <w:fldChar w:fldCharType="separate"/>
      </w:r>
      <w:r w:rsidR="00D26BBE" w:rsidRPr="00D26BBE">
        <w:rPr>
          <w:rFonts w:ascii="Times New Roman" w:hAnsi="Times New Roman" w:cs="Times New Roman"/>
          <w:noProof/>
          <w:sz w:val="24"/>
          <w:szCs w:val="24"/>
        </w:rPr>
        <w:t>Sharpe</w:t>
      </w:r>
      <w:r w:rsidR="00A8263B">
        <w:rPr>
          <w:rFonts w:ascii="Times New Roman" w:hAnsi="Times New Roman" w:cs="Times New Roman"/>
          <w:noProof/>
          <w:sz w:val="24"/>
          <w:szCs w:val="24"/>
        </w:rPr>
        <w:t xml:space="preserve"> (1</w:t>
      </w:r>
      <w:r w:rsidR="00D26BBE" w:rsidRPr="00D26BBE">
        <w:rPr>
          <w:rFonts w:ascii="Times New Roman" w:hAnsi="Times New Roman" w:cs="Times New Roman"/>
          <w:noProof/>
          <w:sz w:val="24"/>
          <w:szCs w:val="24"/>
        </w:rPr>
        <w:t>966)</w:t>
      </w:r>
      <w:r w:rsidR="00D26BBE">
        <w:rPr>
          <w:rFonts w:ascii="Times New Roman" w:hAnsi="Times New Roman" w:cs="Times New Roman"/>
          <w:sz w:val="24"/>
          <w:szCs w:val="24"/>
        </w:rPr>
        <w:fldChar w:fldCharType="end"/>
      </w:r>
      <w:r w:rsidR="00D26BBE">
        <w:rPr>
          <w:rFonts w:ascii="Times New Roman" w:hAnsi="Times New Roman" w:cs="Times New Roman"/>
          <w:sz w:val="24"/>
          <w:szCs w:val="24"/>
        </w:rPr>
        <w:t xml:space="preserve"> </w:t>
      </w:r>
      <w:r w:rsidR="00137F51">
        <w:rPr>
          <w:rFonts w:ascii="Times New Roman" w:hAnsi="Times New Roman" w:cs="Times New Roman"/>
          <w:sz w:val="24"/>
          <w:szCs w:val="24"/>
        </w:rPr>
        <w:t xml:space="preserve">and modified to </w:t>
      </w:r>
      <w:r w:rsidR="00154EC2">
        <w:rPr>
          <w:rFonts w:ascii="Times New Roman" w:hAnsi="Times New Roman" w:cs="Times New Roman"/>
          <w:sz w:val="24"/>
          <w:szCs w:val="24"/>
        </w:rPr>
        <w:t xml:space="preserve">by </w:t>
      </w:r>
      <w:r w:rsidR="00154EC2" w:rsidRPr="004144ED">
        <w:rPr>
          <w:rFonts w:ascii="Times New Roman" w:hAnsi="Times New Roman" w:cs="Times New Roman"/>
          <w:sz w:val="24"/>
          <w:szCs w:val="24"/>
        </w:rPr>
        <w:fldChar w:fldCharType="begin" w:fldLock="1"/>
      </w:r>
      <w:r w:rsidR="009C1B33">
        <w:rPr>
          <w:rFonts w:ascii="Times New Roman" w:hAnsi="Times New Roman" w:cs="Times New Roman"/>
          <w:sz w:val="24"/>
          <w:szCs w:val="24"/>
        </w:rPr>
        <w:instrText>ADDIN CSL_CITATION {"citationItems":[{"id":"ITEM-1","itemData":{"abstract":"Can the new investable hedge fund indices (IHF) enhance the performance of optimal passive portfolios made of equities and bonds? How do they compare to funds of hedge funds (FoHF) as well as to other alternative investments such as commodities and volatility? The conclusions depend crucially on forecasts of future expected excess returns for all assets as well as a careful conditioning of the data to reflect trading costs and remove unrealistic serial correlations. A naÃ¯ve forecast based on recent historical performance leads to no allocations to either IHF or FoHF, a result explained by the performance of equities and commodities and limited diversification effects from hedge funds. Yet a forecast based on market equilibrium returns for all main asset classes but hedge funds, which are kept at their historical level, leads to the opposite result with optimal portfolios almost exclusively invested in hedge funds. Both conclusions are unrealistic and unstable. More reasonable allocations are obtained with the Black-Litterman (BL) approach to combining subjective views with equilibrium returns. Then both hedge funds instruments play a significant role in optimal passive portfolios if their expected excess returns are at least 1%. Long volatility positions are also likely to be attractive. However the BL approach can also be criticised.","author":[{"dropping-particle":"","family":"Pezier","given":"Jacques","non-dropping-particle":"","parse-names":false,"suffix":""},{"dropping-particle":"","family":"White","given":"Anthony","non-dropping-particle":"","parse-names":false,"suffix":""}],"container-title":"ICMA Centre Discussion Papers in Finance","id":"ITEM-1","issued":{"date-parts":[["2006"]]},"page":"1-32","publisher":"Henley Business School, Reading University","title":"The Relative Merits of Investable Hedge Fund Indices and of Funds of Hedge Funds in Optimal Passive Portfolios","type":"article-journal"},"uris":["http://www.mendeley.com/documents/?uuid=f0968498-0f4a-4636-8534-deb468846b71"]}],"mendeley":{"formattedCitation":"(Pezier &amp; White, 2006)","manualFormatting":"Pezier and White (2006)","plainTextFormattedCitation":"(Pezier &amp; White, 2006)","previouslyFormattedCitation":"(Pezier &amp; White, 2006)"},"properties":{"noteIndex":0},"schema":"https://github.com/citation-style-language/schema/raw/master/csl-citation.json"}</w:instrText>
      </w:r>
      <w:r w:rsidR="00154EC2" w:rsidRPr="004144ED">
        <w:rPr>
          <w:rFonts w:ascii="Times New Roman" w:hAnsi="Times New Roman" w:cs="Times New Roman"/>
          <w:sz w:val="24"/>
          <w:szCs w:val="24"/>
        </w:rPr>
        <w:fldChar w:fldCharType="separate"/>
      </w:r>
      <w:r w:rsidR="00154EC2" w:rsidRPr="004144ED">
        <w:rPr>
          <w:rFonts w:ascii="Times New Roman" w:hAnsi="Times New Roman" w:cs="Times New Roman"/>
          <w:noProof/>
          <w:sz w:val="24"/>
          <w:szCs w:val="24"/>
        </w:rPr>
        <w:t xml:space="preserve">Pezier </w:t>
      </w:r>
      <w:r w:rsidR="00A8263B">
        <w:rPr>
          <w:rFonts w:ascii="Times New Roman" w:hAnsi="Times New Roman" w:cs="Times New Roman"/>
          <w:noProof/>
          <w:sz w:val="24"/>
          <w:szCs w:val="24"/>
        </w:rPr>
        <w:t>and</w:t>
      </w:r>
      <w:r w:rsidR="00154EC2" w:rsidRPr="004144ED">
        <w:rPr>
          <w:rFonts w:ascii="Times New Roman" w:hAnsi="Times New Roman" w:cs="Times New Roman"/>
          <w:noProof/>
          <w:sz w:val="24"/>
          <w:szCs w:val="24"/>
        </w:rPr>
        <w:t xml:space="preserve"> White</w:t>
      </w:r>
      <w:r w:rsidR="00A8263B">
        <w:rPr>
          <w:rFonts w:ascii="Times New Roman" w:hAnsi="Times New Roman" w:cs="Times New Roman"/>
          <w:noProof/>
          <w:sz w:val="24"/>
          <w:szCs w:val="24"/>
        </w:rPr>
        <w:t xml:space="preserve"> (</w:t>
      </w:r>
      <w:r w:rsidR="00154EC2" w:rsidRPr="004144ED">
        <w:rPr>
          <w:rFonts w:ascii="Times New Roman" w:hAnsi="Times New Roman" w:cs="Times New Roman"/>
          <w:noProof/>
          <w:sz w:val="24"/>
          <w:szCs w:val="24"/>
        </w:rPr>
        <w:t>2006)</w:t>
      </w:r>
      <w:r w:rsidR="00154EC2" w:rsidRPr="004144ED">
        <w:rPr>
          <w:rFonts w:ascii="Times New Roman" w:hAnsi="Times New Roman" w:cs="Times New Roman"/>
          <w:sz w:val="24"/>
          <w:szCs w:val="24"/>
        </w:rPr>
        <w:fldChar w:fldCharType="end"/>
      </w:r>
      <w:r w:rsidR="00137F51">
        <w:rPr>
          <w:rFonts w:ascii="Times New Roman" w:hAnsi="Times New Roman" w:cs="Times New Roman"/>
          <w:sz w:val="24"/>
          <w:szCs w:val="24"/>
        </w:rPr>
        <w:t xml:space="preserve"> to account for </w:t>
      </w:r>
      <w:r w:rsidR="00B57663">
        <w:rPr>
          <w:rFonts w:ascii="Times New Roman" w:hAnsi="Times New Roman" w:cs="Times New Roman"/>
          <w:sz w:val="24"/>
          <w:szCs w:val="24"/>
        </w:rPr>
        <w:t xml:space="preserve">non-normality of returns. </w:t>
      </w:r>
      <w:r w:rsidR="00660BE6">
        <w:rPr>
          <w:rFonts w:ascii="Times New Roman" w:hAnsi="Times New Roman" w:cs="Times New Roman"/>
          <w:sz w:val="24"/>
          <w:szCs w:val="24"/>
        </w:rPr>
        <w:t>Few modifications have been proposed for information ratio</w:t>
      </w:r>
      <w:r>
        <w:rPr>
          <w:rFonts w:ascii="Times New Roman" w:hAnsi="Times New Roman" w:cs="Times New Roman"/>
          <w:sz w:val="24"/>
          <w:szCs w:val="24"/>
        </w:rPr>
        <w:t>;</w:t>
      </w:r>
      <w:r w:rsidR="00660BE6">
        <w:rPr>
          <w:rFonts w:ascii="Times New Roman" w:hAnsi="Times New Roman" w:cs="Times New Roman"/>
          <w:sz w:val="24"/>
          <w:szCs w:val="24"/>
        </w:rPr>
        <w:t xml:space="preserve"> however, </w:t>
      </w:r>
      <w:r w:rsidR="00660BE6">
        <w:rPr>
          <w:rFonts w:ascii="Times New Roman" w:hAnsi="Times New Roman" w:cs="Times New Roman"/>
          <w:sz w:val="24"/>
          <w:szCs w:val="24"/>
        </w:rPr>
        <w:fldChar w:fldCharType="begin" w:fldLock="1"/>
      </w:r>
      <w:r w:rsidR="009C1B33">
        <w:rPr>
          <w:rFonts w:ascii="Times New Roman" w:hAnsi="Times New Roman" w:cs="Times New Roman"/>
          <w:sz w:val="24"/>
          <w:szCs w:val="24"/>
        </w:rPr>
        <w:instrText>ADDIN CSL_CITATION {"citationItems":[{"id":"ITEM-1","itemData":{"DOI":"10.2469/faj.v54.n4.2196","ISSN":"0015198X","abstract":"Despite the widespread use of information ratios to gauge the performance of active money managers, confusion persists over how to calculate an information ratio, how to interpret it, and what constitutes a \"good\" one. The argument here is that the simplest form and interpretation of the ratio is the most useful for investors. This article clarifies the relationship between an information ratio and a t-statistic, compares four methods of annualizing an information ratio, and presents the empirical evidence on the distribution of information ratios by style, which provides a context in which to examine manager performance.","author":[{"dropping-particle":"","family":"Goodwin","given":"Thomas H.","non-dropping-particle":"","parse-names":false,"suffix":""}],"container-title":"Financial Analysts Journal","id":"ITEM-1","issued":{"date-parts":[["1998"]]},"title":"The information ratio","type":"article-journal"},"uris":["http://www.mendeley.com/documents/?uuid=5192024c-2660-40de-b563-9e6f7a2cef03"]}],"mendeley":{"formattedCitation":"(Goodwin, 1998)","manualFormatting":"Goodwin (1998)","plainTextFormattedCitation":"(Goodwin, 1998)","previouslyFormattedCitation":"(Goodwin, 1998)"},"properties":{"noteIndex":0},"schema":"https://github.com/citation-style-language/schema/raw/master/csl-citation.json"}</w:instrText>
      </w:r>
      <w:r w:rsidR="00660BE6">
        <w:rPr>
          <w:rFonts w:ascii="Times New Roman" w:hAnsi="Times New Roman" w:cs="Times New Roman"/>
          <w:sz w:val="24"/>
          <w:szCs w:val="24"/>
        </w:rPr>
        <w:fldChar w:fldCharType="separate"/>
      </w:r>
      <w:r w:rsidR="00660BE6" w:rsidRPr="00660BE6">
        <w:rPr>
          <w:rFonts w:ascii="Times New Roman" w:hAnsi="Times New Roman" w:cs="Times New Roman"/>
          <w:noProof/>
          <w:sz w:val="24"/>
          <w:szCs w:val="24"/>
        </w:rPr>
        <w:t xml:space="preserve">Goodwin </w:t>
      </w:r>
      <w:r w:rsidR="00A8263B">
        <w:rPr>
          <w:rFonts w:ascii="Times New Roman" w:hAnsi="Times New Roman" w:cs="Times New Roman"/>
          <w:noProof/>
          <w:sz w:val="24"/>
          <w:szCs w:val="24"/>
        </w:rPr>
        <w:t>(</w:t>
      </w:r>
      <w:r w:rsidR="00660BE6" w:rsidRPr="00660BE6">
        <w:rPr>
          <w:rFonts w:ascii="Times New Roman" w:hAnsi="Times New Roman" w:cs="Times New Roman"/>
          <w:noProof/>
          <w:sz w:val="24"/>
          <w:szCs w:val="24"/>
        </w:rPr>
        <w:t>1998)</w:t>
      </w:r>
      <w:r w:rsidR="00660BE6">
        <w:rPr>
          <w:rFonts w:ascii="Times New Roman" w:hAnsi="Times New Roman" w:cs="Times New Roman"/>
          <w:sz w:val="24"/>
          <w:szCs w:val="24"/>
        </w:rPr>
        <w:fldChar w:fldCharType="end"/>
      </w:r>
      <w:r w:rsidR="00660BE6">
        <w:rPr>
          <w:rFonts w:ascii="Times New Roman" w:hAnsi="Times New Roman" w:cs="Times New Roman"/>
          <w:sz w:val="24"/>
          <w:szCs w:val="24"/>
        </w:rPr>
        <w:t xml:space="preserve"> noted that the ratio in its s</w:t>
      </w:r>
      <w:r w:rsidR="00A56394">
        <w:rPr>
          <w:rFonts w:ascii="Times New Roman" w:hAnsi="Times New Roman" w:cs="Times New Roman"/>
          <w:sz w:val="24"/>
          <w:szCs w:val="24"/>
        </w:rPr>
        <w:t>implest form is most useful for funds’ comparison.</w:t>
      </w:r>
      <w:r w:rsidR="00660BE6">
        <w:rPr>
          <w:rFonts w:ascii="Times New Roman" w:hAnsi="Times New Roman" w:cs="Times New Roman"/>
          <w:sz w:val="24"/>
          <w:szCs w:val="24"/>
        </w:rPr>
        <w:t xml:space="preserve"> </w:t>
      </w:r>
      <w:r w:rsidR="002D5A2A">
        <w:rPr>
          <w:rFonts w:ascii="Times New Roman" w:hAnsi="Times New Roman" w:cs="Times New Roman"/>
          <w:sz w:val="24"/>
          <w:szCs w:val="24"/>
        </w:rPr>
        <w:t xml:space="preserve">We supplement these ratios by calculating Jenson’s alpha </w:t>
      </w:r>
      <w:r w:rsidR="002D5A2A">
        <w:rPr>
          <w:rFonts w:ascii="Times New Roman" w:hAnsi="Times New Roman" w:cs="Times New Roman"/>
          <w:sz w:val="24"/>
          <w:szCs w:val="24"/>
        </w:rPr>
        <w:fldChar w:fldCharType="begin" w:fldLock="1"/>
      </w:r>
      <w:r w:rsidR="002D5A2A">
        <w:rPr>
          <w:rFonts w:ascii="Times New Roman" w:hAnsi="Times New Roman" w:cs="Times New Roman"/>
          <w:sz w:val="24"/>
          <w:szCs w:val="24"/>
        </w:rPr>
        <w:instrText>ADDIN CSL_CITATION {"citationItems":[{"id":"ITEM-1","itemData":{"DOI":"10.2307/2325404","ISSN":"00221082","abstract":"In this paper I derive a risk-adjusted measure of portfolio performance (now known as \"Jensen's Alpha\") that estimates how much a manager's forecasting ability contributes to the fund's returns. The measure is based on the theory of the pricing of capital assets by Sharpe (1964), Lintner (1965a) and Treynor (Undated). I apply the measure to estimate the predictive ability of 115 mutual fund managers in the period 1945-1964—that is their ability to earn returns which are higher than those we would expect given the level of risk of each of the portfolios. The foundations of the model and the properties of the performance measure suggested here are discussed in Section II. The evidence on mutual fund performance indicates not only that these 115 mutual funds were on average not able to predict security prices well enough to outperform a buy-the-market-and-hold policy, but also that there is very little evidence that any individual fund was able to do significantly better than that which we expected from mere random chance. It is also important to note that these conclusions hold even when we measure the fund returns gross of management expenses (that is assume their bookkeeping, research, and other expenses except brokerage commissions were obtained free). Thus on average the funds apparently were not quite successful enough in their trading activities to recoup even their brokerage expenses.","author":[{"dropping-particle":"","family":"Jensen","given":"Michael C.","non-dropping-particle":"","parse-names":false,"suffix":""}],"container-title":"The Journal of Finance","id":"ITEM-1","issued":{"date-parts":[["1968"]]},"title":"The Performance of Mutual Funds in the Period 1945-1964","type":"article-journal"},"uris":["http://www.mendeley.com/documents/?uuid=1a526439-6a27-4b2c-980f-a516a8360713"]}],"mendeley":{"formattedCitation":"(Jensen, 1968)","plainTextFormattedCitation":"(Jensen, 1968)","previouslyFormattedCitation":"(Jensen, 1968)"},"properties":{"noteIndex":0},"schema":"https://github.com/citation-style-language/schema/raw/master/csl-citation.json"}</w:instrText>
      </w:r>
      <w:r w:rsidR="002D5A2A">
        <w:rPr>
          <w:rFonts w:ascii="Times New Roman" w:hAnsi="Times New Roman" w:cs="Times New Roman"/>
          <w:sz w:val="24"/>
          <w:szCs w:val="24"/>
        </w:rPr>
        <w:fldChar w:fldCharType="separate"/>
      </w:r>
      <w:r w:rsidR="002D5A2A" w:rsidRPr="002D5A2A">
        <w:rPr>
          <w:rFonts w:ascii="Times New Roman" w:hAnsi="Times New Roman" w:cs="Times New Roman"/>
          <w:noProof/>
          <w:sz w:val="24"/>
          <w:szCs w:val="24"/>
        </w:rPr>
        <w:t>(Jensen, 1968)</w:t>
      </w:r>
      <w:r w:rsidR="002D5A2A">
        <w:rPr>
          <w:rFonts w:ascii="Times New Roman" w:hAnsi="Times New Roman" w:cs="Times New Roman"/>
          <w:sz w:val="24"/>
          <w:szCs w:val="24"/>
        </w:rPr>
        <w:fldChar w:fldCharType="end"/>
      </w:r>
      <w:r w:rsidR="002D5A2A">
        <w:rPr>
          <w:rFonts w:ascii="Times New Roman" w:hAnsi="Times New Roman" w:cs="Times New Roman"/>
          <w:sz w:val="24"/>
          <w:szCs w:val="24"/>
        </w:rPr>
        <w:t xml:space="preserve"> using </w:t>
      </w:r>
      <w:r>
        <w:rPr>
          <w:rFonts w:ascii="Times New Roman" w:hAnsi="Times New Roman" w:cs="Times New Roman"/>
          <w:sz w:val="24"/>
          <w:szCs w:val="24"/>
        </w:rPr>
        <w:t xml:space="preserve">an </w:t>
      </w:r>
      <w:r w:rsidR="002D5A2A">
        <w:rPr>
          <w:rFonts w:ascii="Times New Roman" w:hAnsi="Times New Roman" w:cs="Times New Roman"/>
          <w:sz w:val="24"/>
          <w:szCs w:val="24"/>
        </w:rPr>
        <w:t xml:space="preserve">asset pricing framework of </w:t>
      </w:r>
      <w:r w:rsidR="002D5A2A">
        <w:rPr>
          <w:rFonts w:ascii="Times New Roman" w:hAnsi="Times New Roman" w:cs="Times New Roman"/>
          <w:sz w:val="24"/>
          <w:szCs w:val="24"/>
        </w:rPr>
        <w:fldChar w:fldCharType="begin" w:fldLock="1"/>
      </w:r>
      <w:r w:rsidR="009C1B33">
        <w:rPr>
          <w:rFonts w:ascii="Times New Roman" w:hAnsi="Times New Roman" w:cs="Times New Roman"/>
          <w:sz w:val="24"/>
          <w:szCs w:val="24"/>
        </w:rPr>
        <w:instrText>ADDIN CSL_CITATION {"citationItems":[{"id":"ITEM-1","itemData":{"DOI":"10.2307/2329112","ISSN":"00221082","abstract":"Two easily measured variables, size and book-to-market equity, combine to capture the cross-sectional variation in average stock returns associated with market beta, size, leverage, book-to-market equity, and earnings-price ratios. Moreover, when the tests allow for variation in beta that is unrelated to size, the relation between market beta and average return is flat, even when beta is the only explanatory variable.","author":[{"dropping-particle":"","family":"Fama","given":"Eugene F.","non-dropping-particle":"","parse-names":false,"suffix":""},{"dropping-particle":"","family":"French","given":"Kenneth R.","non-dropping-particle":"","parse-names":false,"suffix":""}],"container-title":"The Journal of Finance","id":"ITEM-1","issued":{"date-parts":[["1992"]]},"title":"The Cross-Section of Expected Stock Returns","type":"article-journal"},"uris":["http://www.mendeley.com/documents/?uuid=b8e6122c-d3f0-46a1-a0c8-e907bbd09f4b"]}],"mendeley":{"formattedCitation":"(Fama &amp; French, 1992)","manualFormatting":"Fama and French (1992)","plainTextFormattedCitation":"(Fama &amp; French, 1992)","previouslyFormattedCitation":"(Fama &amp; French, 1992)"},"properties":{"noteIndex":0},"schema":"https://github.com/citation-style-language/schema/raw/master/csl-citation.json"}</w:instrText>
      </w:r>
      <w:r w:rsidR="002D5A2A">
        <w:rPr>
          <w:rFonts w:ascii="Times New Roman" w:hAnsi="Times New Roman" w:cs="Times New Roman"/>
          <w:sz w:val="24"/>
          <w:szCs w:val="24"/>
        </w:rPr>
        <w:fldChar w:fldCharType="separate"/>
      </w:r>
      <w:r w:rsidR="002D5A2A" w:rsidRPr="002D5A2A">
        <w:rPr>
          <w:rFonts w:ascii="Times New Roman" w:hAnsi="Times New Roman" w:cs="Times New Roman"/>
          <w:noProof/>
          <w:sz w:val="24"/>
          <w:szCs w:val="24"/>
        </w:rPr>
        <w:t xml:space="preserve">Fama </w:t>
      </w:r>
      <w:r w:rsidR="00A8263B">
        <w:rPr>
          <w:rFonts w:ascii="Times New Roman" w:hAnsi="Times New Roman" w:cs="Times New Roman"/>
          <w:noProof/>
          <w:sz w:val="24"/>
          <w:szCs w:val="24"/>
        </w:rPr>
        <w:t>and</w:t>
      </w:r>
      <w:r w:rsidR="002D5A2A" w:rsidRPr="002D5A2A">
        <w:rPr>
          <w:rFonts w:ascii="Times New Roman" w:hAnsi="Times New Roman" w:cs="Times New Roman"/>
          <w:noProof/>
          <w:sz w:val="24"/>
          <w:szCs w:val="24"/>
        </w:rPr>
        <w:t xml:space="preserve"> French</w:t>
      </w:r>
      <w:r w:rsidR="00A8263B">
        <w:rPr>
          <w:rFonts w:ascii="Times New Roman" w:hAnsi="Times New Roman" w:cs="Times New Roman"/>
          <w:noProof/>
          <w:sz w:val="24"/>
          <w:szCs w:val="24"/>
        </w:rPr>
        <w:t xml:space="preserve"> (</w:t>
      </w:r>
      <w:r w:rsidR="002D5A2A" w:rsidRPr="002D5A2A">
        <w:rPr>
          <w:rFonts w:ascii="Times New Roman" w:hAnsi="Times New Roman" w:cs="Times New Roman"/>
          <w:noProof/>
          <w:sz w:val="24"/>
          <w:szCs w:val="24"/>
        </w:rPr>
        <w:t>1992)</w:t>
      </w:r>
      <w:r w:rsidR="002D5A2A">
        <w:rPr>
          <w:rFonts w:ascii="Times New Roman" w:hAnsi="Times New Roman" w:cs="Times New Roman"/>
          <w:sz w:val="24"/>
          <w:szCs w:val="24"/>
        </w:rPr>
        <w:fldChar w:fldCharType="end"/>
      </w:r>
      <w:r w:rsidR="002D5A2A">
        <w:rPr>
          <w:rFonts w:ascii="Times New Roman" w:hAnsi="Times New Roman" w:cs="Times New Roman"/>
          <w:sz w:val="24"/>
          <w:szCs w:val="24"/>
        </w:rPr>
        <w:t xml:space="preserve"> and augmented by </w:t>
      </w:r>
      <w:r w:rsidR="002D5A2A">
        <w:rPr>
          <w:rFonts w:ascii="Times New Roman" w:hAnsi="Times New Roman" w:cs="Times New Roman"/>
          <w:sz w:val="24"/>
          <w:szCs w:val="24"/>
        </w:rPr>
        <w:fldChar w:fldCharType="begin" w:fldLock="1"/>
      </w:r>
      <w:r w:rsidR="009C1B33">
        <w:rPr>
          <w:rFonts w:ascii="Times New Roman" w:hAnsi="Times New Roman" w:cs="Times New Roman"/>
          <w:sz w:val="24"/>
          <w:szCs w:val="24"/>
        </w:rPr>
        <w:instrText>ADDIN CSL_CITATION {"citationItems":[{"id":"ITEM-1","itemData":{"DOI":"10.1111/j.1540-6261.1997.tb03808.x","ISSN":"00221082","abstract":"Using a sample free of survivor bias, I demonstrate that common factors in stock returns and investment expenses almost completely explain persistence in equity mutual funds' mean and risk-adjusted returns. Hendricks, Patel and Zeckhauser's (1993) \"hot hands\" result is mostly driven by the one-year momentum effect of Jegadeesh and Titman (1993), but individual funds do not earn higher returns from following the momentum strategy in stocks. The only significant persistence not explained is concentrated in strong underperformance by the worst-return mutual funds. The results do not support the existence of skilled or informed mutual fund portfolio managers.","author":[{"dropping-particle":"","family":"Carhart","given":"Mark M.","non-dropping-particle":"","parse-names":false,"suffix":""}],"container-title":"Journal of Finance","id":"ITEM-1","issued":{"date-parts":[["1997"]]},"title":"On persistence in mutual fund performance","type":"article-journal"},"uris":["http://www.mendeley.com/documents/?uuid=f680ba72-126a-4bc9-a6c3-b1bd53db3d82"]}],"mendeley":{"formattedCitation":"(Carhart, 1997)","manualFormatting":"Carhart (1997)","plainTextFormattedCitation":"(Carhart, 1997)","previouslyFormattedCitation":"(Carhart, 1997)"},"properties":{"noteIndex":0},"schema":"https://github.com/citation-style-language/schema/raw/master/csl-citation.json"}</w:instrText>
      </w:r>
      <w:r w:rsidR="002D5A2A">
        <w:rPr>
          <w:rFonts w:ascii="Times New Roman" w:hAnsi="Times New Roman" w:cs="Times New Roman"/>
          <w:sz w:val="24"/>
          <w:szCs w:val="24"/>
        </w:rPr>
        <w:fldChar w:fldCharType="separate"/>
      </w:r>
      <w:r w:rsidR="002D5A2A" w:rsidRPr="002D5A2A">
        <w:rPr>
          <w:rFonts w:ascii="Times New Roman" w:hAnsi="Times New Roman" w:cs="Times New Roman"/>
          <w:noProof/>
          <w:sz w:val="24"/>
          <w:szCs w:val="24"/>
        </w:rPr>
        <w:t>Carhart</w:t>
      </w:r>
      <w:r w:rsidR="00A8263B">
        <w:rPr>
          <w:rFonts w:ascii="Times New Roman" w:hAnsi="Times New Roman" w:cs="Times New Roman"/>
          <w:noProof/>
          <w:sz w:val="24"/>
          <w:szCs w:val="24"/>
        </w:rPr>
        <w:t xml:space="preserve"> (</w:t>
      </w:r>
      <w:r w:rsidR="002D5A2A" w:rsidRPr="002D5A2A">
        <w:rPr>
          <w:rFonts w:ascii="Times New Roman" w:hAnsi="Times New Roman" w:cs="Times New Roman"/>
          <w:noProof/>
          <w:sz w:val="24"/>
          <w:szCs w:val="24"/>
        </w:rPr>
        <w:t>1997)</w:t>
      </w:r>
      <w:r w:rsidR="002D5A2A">
        <w:rPr>
          <w:rFonts w:ascii="Times New Roman" w:hAnsi="Times New Roman" w:cs="Times New Roman"/>
          <w:sz w:val="24"/>
          <w:szCs w:val="24"/>
        </w:rPr>
        <w:fldChar w:fldCharType="end"/>
      </w:r>
      <w:r w:rsidR="002D5A2A">
        <w:rPr>
          <w:rFonts w:ascii="Times New Roman" w:hAnsi="Times New Roman" w:cs="Times New Roman"/>
          <w:sz w:val="24"/>
          <w:szCs w:val="24"/>
        </w:rPr>
        <w:t xml:space="preserve">. </w:t>
      </w:r>
      <w:r w:rsidR="00DA74AD">
        <w:rPr>
          <w:rFonts w:ascii="Times New Roman" w:hAnsi="Times New Roman" w:cs="Times New Roman"/>
          <w:sz w:val="24"/>
          <w:szCs w:val="24"/>
        </w:rPr>
        <w:t xml:space="preserve">The fixed effect </w:t>
      </w:r>
      <w:r w:rsidR="00B2074F">
        <w:rPr>
          <w:rFonts w:ascii="Times New Roman" w:hAnsi="Times New Roman" w:cs="Times New Roman"/>
          <w:sz w:val="24"/>
          <w:szCs w:val="24"/>
        </w:rPr>
        <w:t>panel representation of this will be</w:t>
      </w:r>
      <w:r w:rsidR="00D66A92">
        <w:rPr>
          <w:rFonts w:ascii="Times New Roman" w:hAnsi="Times New Roman" w:cs="Times New Roman"/>
          <w:sz w:val="24"/>
          <w:szCs w:val="24"/>
        </w:rPr>
        <w:t>:</w:t>
      </w:r>
    </w:p>
    <w:p w14:paraId="0AF60E62" w14:textId="4F08B31A" w:rsidR="0005018E" w:rsidRDefault="00B45FE7" w:rsidP="00D66A92">
      <w:pPr>
        <w:spacing w:after="0" w:line="480" w:lineRule="auto"/>
        <w:ind w:firstLine="720"/>
        <w:jc w:val="both"/>
        <w:rPr>
          <w:rFonts w:ascii="Times New Roman" w:hAnsi="Times New Roman" w:cs="Times New Roman"/>
          <w:sz w:val="24"/>
          <w:szCs w:val="24"/>
        </w:rPr>
      </w:pPr>
      <w:r w:rsidRPr="00713C47">
        <w:rPr>
          <w:rFonts w:ascii="Times New Roman" w:hAnsi="Times New Roman" w:cs="Times New Roman"/>
          <w:position w:val="-14"/>
          <w:sz w:val="24"/>
          <w:szCs w:val="24"/>
        </w:rPr>
        <w:object w:dxaOrig="6039" w:dyaOrig="380" w14:anchorId="30597DBF">
          <v:shape id="_x0000_i1026" type="#_x0000_t75" style="width:302pt;height:19pt" o:ole="">
            <v:imagedata r:id="rId10" o:title=""/>
          </v:shape>
          <o:OLEObject Type="Embed" ProgID="Equation.3" ShapeID="_x0000_i1026" DrawAspect="Content" ObjectID="_1660133812" r:id="rId11"/>
        </w:object>
      </w:r>
      <w:proofErr w:type="gramStart"/>
      <w:r w:rsidR="00FE5FE8">
        <w:rPr>
          <w:rFonts w:ascii="Times New Roman" w:hAnsi="Times New Roman" w:cs="Times New Roman"/>
          <w:sz w:val="24"/>
          <w:szCs w:val="24"/>
        </w:rPr>
        <w:t xml:space="preserve">,   </w:t>
      </w:r>
      <w:proofErr w:type="gramEnd"/>
      <w:r w:rsidR="00FE5FE8">
        <w:rPr>
          <w:rFonts w:ascii="Times New Roman" w:hAnsi="Times New Roman" w:cs="Times New Roman"/>
          <w:sz w:val="24"/>
          <w:szCs w:val="24"/>
        </w:rPr>
        <w:t xml:space="preserve">                                 (2)</w:t>
      </w:r>
    </w:p>
    <w:p w14:paraId="60B57B1E" w14:textId="6A48345E" w:rsidR="00FE5FE8" w:rsidRDefault="005D0E15" w:rsidP="00FE0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006E25A4">
        <w:rPr>
          <w:rFonts w:ascii="Times New Roman" w:hAnsi="Times New Roman" w:cs="Times New Roman"/>
          <w:sz w:val="24"/>
          <w:szCs w:val="24"/>
        </w:rPr>
        <w:t>here</w:t>
      </w:r>
      <w:r>
        <w:rPr>
          <w:rFonts w:ascii="Times New Roman" w:hAnsi="Times New Roman" w:cs="Times New Roman"/>
          <w:sz w:val="24"/>
          <w:szCs w:val="24"/>
        </w:rPr>
        <w:t xml:space="preserve"> R</w:t>
      </w:r>
      <w:r w:rsidRPr="005D0E15">
        <w:rPr>
          <w:rFonts w:ascii="Times New Roman" w:hAnsi="Times New Roman" w:cs="Times New Roman"/>
          <w:sz w:val="24"/>
          <w:szCs w:val="24"/>
          <w:vertAlign w:val="subscript"/>
        </w:rPr>
        <w:t>X</w:t>
      </w:r>
      <w:r>
        <w:rPr>
          <w:rFonts w:ascii="Times New Roman" w:hAnsi="Times New Roman" w:cs="Times New Roman"/>
          <w:sz w:val="24"/>
          <w:szCs w:val="24"/>
        </w:rPr>
        <w:t xml:space="preserve"> is (</w:t>
      </w:r>
      <w:r w:rsidR="006E25A4">
        <w:rPr>
          <w:rFonts w:ascii="Times New Roman" w:hAnsi="Times New Roman" w:cs="Times New Roman"/>
          <w:sz w:val="24"/>
          <w:szCs w:val="24"/>
        </w:rPr>
        <w:t>n x t</w:t>
      </w:r>
      <w:r>
        <w:rPr>
          <w:rFonts w:ascii="Times New Roman" w:hAnsi="Times New Roman" w:cs="Times New Roman"/>
          <w:sz w:val="24"/>
          <w:szCs w:val="24"/>
        </w:rPr>
        <w:t>) vector of</w:t>
      </w:r>
      <w:r w:rsidR="006E25A4">
        <w:rPr>
          <w:rFonts w:ascii="Times New Roman" w:hAnsi="Times New Roman" w:cs="Times New Roman"/>
          <w:sz w:val="24"/>
          <w:szCs w:val="24"/>
        </w:rPr>
        <w:t xml:space="preserve"> funds’ </w:t>
      </w:r>
      <w:r w:rsidR="00120944">
        <w:rPr>
          <w:rFonts w:ascii="Times New Roman" w:hAnsi="Times New Roman" w:cs="Times New Roman"/>
          <w:sz w:val="24"/>
          <w:szCs w:val="24"/>
        </w:rPr>
        <w:t xml:space="preserve">NAV based </w:t>
      </w:r>
      <w:r w:rsidR="006E25A4">
        <w:rPr>
          <w:rFonts w:ascii="Times New Roman" w:hAnsi="Times New Roman" w:cs="Times New Roman"/>
          <w:sz w:val="24"/>
          <w:szCs w:val="24"/>
        </w:rPr>
        <w:t>return</w:t>
      </w:r>
      <w:r w:rsidR="00120944">
        <w:rPr>
          <w:rFonts w:ascii="Times New Roman" w:hAnsi="Times New Roman" w:cs="Times New Roman"/>
          <w:sz w:val="24"/>
          <w:szCs w:val="24"/>
        </w:rPr>
        <w:t>s</w:t>
      </w:r>
      <w:r w:rsidR="006E25A4">
        <w:rPr>
          <w:rFonts w:ascii="Times New Roman" w:hAnsi="Times New Roman" w:cs="Times New Roman"/>
          <w:sz w:val="24"/>
          <w:szCs w:val="24"/>
        </w:rPr>
        <w:t xml:space="preserve"> in group</w:t>
      </w:r>
      <w:r w:rsidR="0094345B">
        <w:rPr>
          <w:rFonts w:ascii="Times New Roman" w:hAnsi="Times New Roman" w:cs="Times New Roman"/>
          <w:sz w:val="24"/>
          <w:szCs w:val="24"/>
        </w:rPr>
        <w:t xml:space="preserve"> </w:t>
      </w:r>
      <w:proofErr w:type="spellStart"/>
      <w:r w:rsidR="0094345B" w:rsidRPr="0094345B">
        <w:rPr>
          <w:rFonts w:ascii="Times New Roman" w:hAnsi="Times New Roman" w:cs="Times New Roman"/>
          <w:i/>
          <w:sz w:val="24"/>
          <w:szCs w:val="24"/>
        </w:rPr>
        <w:t>i</w:t>
      </w:r>
      <w:proofErr w:type="spellEnd"/>
      <w:r w:rsidR="006E25A4">
        <w:rPr>
          <w:rFonts w:ascii="Times New Roman" w:hAnsi="Times New Roman" w:cs="Times New Roman"/>
          <w:sz w:val="24"/>
          <w:szCs w:val="24"/>
        </w:rPr>
        <w:t xml:space="preserve"> of HCE, R</w:t>
      </w:r>
      <w:r w:rsidR="006E25A4" w:rsidRPr="00446ACB">
        <w:rPr>
          <w:rFonts w:ascii="Times New Roman" w:hAnsi="Times New Roman" w:cs="Times New Roman"/>
          <w:sz w:val="24"/>
          <w:szCs w:val="24"/>
          <w:vertAlign w:val="subscript"/>
        </w:rPr>
        <w:t>f</w:t>
      </w:r>
      <w:r w:rsidR="006E25A4">
        <w:rPr>
          <w:rFonts w:ascii="Times New Roman" w:hAnsi="Times New Roman" w:cs="Times New Roman"/>
          <w:sz w:val="24"/>
          <w:szCs w:val="24"/>
        </w:rPr>
        <w:t xml:space="preserve"> represent</w:t>
      </w:r>
      <w:r w:rsidR="000F687D">
        <w:rPr>
          <w:rFonts w:ascii="Times New Roman" w:hAnsi="Times New Roman" w:cs="Times New Roman"/>
          <w:sz w:val="24"/>
          <w:szCs w:val="24"/>
        </w:rPr>
        <w:t>s</w:t>
      </w:r>
      <w:r w:rsidR="006E25A4">
        <w:rPr>
          <w:rFonts w:ascii="Times New Roman" w:hAnsi="Times New Roman" w:cs="Times New Roman"/>
          <w:sz w:val="24"/>
          <w:szCs w:val="24"/>
        </w:rPr>
        <w:t xml:space="preserve"> the risk</w:t>
      </w:r>
      <w:r w:rsidR="000F687D">
        <w:rPr>
          <w:rFonts w:ascii="Times New Roman" w:hAnsi="Times New Roman" w:cs="Times New Roman"/>
          <w:sz w:val="24"/>
          <w:szCs w:val="24"/>
        </w:rPr>
        <w:t>-</w:t>
      </w:r>
      <w:r w:rsidR="006E25A4">
        <w:rPr>
          <w:rFonts w:ascii="Times New Roman" w:hAnsi="Times New Roman" w:cs="Times New Roman"/>
          <w:sz w:val="24"/>
          <w:szCs w:val="24"/>
        </w:rPr>
        <w:t>free rate, R</w:t>
      </w:r>
      <w:r w:rsidR="006E25A4" w:rsidRPr="00446ACB">
        <w:rPr>
          <w:rFonts w:ascii="Times New Roman" w:hAnsi="Times New Roman" w:cs="Times New Roman"/>
          <w:sz w:val="24"/>
          <w:szCs w:val="24"/>
          <w:vertAlign w:val="subscript"/>
        </w:rPr>
        <w:t>m</w:t>
      </w:r>
      <w:r w:rsidR="006E25A4">
        <w:rPr>
          <w:rFonts w:ascii="Times New Roman" w:hAnsi="Times New Roman" w:cs="Times New Roman"/>
          <w:sz w:val="24"/>
          <w:szCs w:val="24"/>
        </w:rPr>
        <w:t xml:space="preserve"> – R</w:t>
      </w:r>
      <w:r w:rsidR="006E25A4" w:rsidRPr="00446ACB">
        <w:rPr>
          <w:rFonts w:ascii="Times New Roman" w:hAnsi="Times New Roman" w:cs="Times New Roman"/>
          <w:sz w:val="24"/>
          <w:szCs w:val="24"/>
          <w:vertAlign w:val="subscript"/>
        </w:rPr>
        <w:t>f</w:t>
      </w:r>
      <w:r w:rsidR="006E25A4">
        <w:rPr>
          <w:rFonts w:ascii="Times New Roman" w:hAnsi="Times New Roman" w:cs="Times New Roman"/>
          <w:sz w:val="24"/>
          <w:szCs w:val="24"/>
        </w:rPr>
        <w:t xml:space="preserve"> is the market risk premium, </w:t>
      </w:r>
      <w:r w:rsidR="006E25A4" w:rsidRPr="00446ACB">
        <w:rPr>
          <w:rFonts w:ascii="Times New Roman" w:hAnsi="Times New Roman" w:cs="Times New Roman"/>
          <w:i/>
          <w:sz w:val="24"/>
          <w:szCs w:val="24"/>
        </w:rPr>
        <w:t>SMB</w:t>
      </w:r>
      <w:r w:rsidR="006E25A4">
        <w:rPr>
          <w:rFonts w:ascii="Times New Roman" w:hAnsi="Times New Roman" w:cs="Times New Roman"/>
          <w:sz w:val="24"/>
          <w:szCs w:val="24"/>
        </w:rPr>
        <w:t xml:space="preserve"> represent</w:t>
      </w:r>
      <w:r w:rsidR="000F687D">
        <w:rPr>
          <w:rFonts w:ascii="Times New Roman" w:hAnsi="Times New Roman" w:cs="Times New Roman"/>
          <w:sz w:val="24"/>
          <w:szCs w:val="24"/>
        </w:rPr>
        <w:t>s</w:t>
      </w:r>
      <w:r w:rsidR="006E25A4">
        <w:rPr>
          <w:rFonts w:ascii="Times New Roman" w:hAnsi="Times New Roman" w:cs="Times New Roman"/>
          <w:sz w:val="24"/>
          <w:szCs w:val="24"/>
        </w:rPr>
        <w:t xml:space="preserve"> size premium, </w:t>
      </w:r>
      <w:r w:rsidR="006E25A4" w:rsidRPr="00446ACB">
        <w:rPr>
          <w:rFonts w:ascii="Times New Roman" w:hAnsi="Times New Roman" w:cs="Times New Roman"/>
          <w:i/>
          <w:sz w:val="24"/>
          <w:szCs w:val="24"/>
        </w:rPr>
        <w:t>HML</w:t>
      </w:r>
      <w:r w:rsidR="006E25A4">
        <w:rPr>
          <w:rFonts w:ascii="Times New Roman" w:hAnsi="Times New Roman" w:cs="Times New Roman"/>
          <w:sz w:val="24"/>
          <w:szCs w:val="24"/>
        </w:rPr>
        <w:t xml:space="preserve"> and </w:t>
      </w:r>
      <w:r w:rsidR="006E25A4" w:rsidRPr="00446ACB">
        <w:rPr>
          <w:rFonts w:ascii="Times New Roman" w:hAnsi="Times New Roman" w:cs="Times New Roman"/>
          <w:i/>
          <w:sz w:val="24"/>
          <w:szCs w:val="24"/>
        </w:rPr>
        <w:t>MoM</w:t>
      </w:r>
      <w:r w:rsidR="006E25A4">
        <w:rPr>
          <w:rFonts w:ascii="Times New Roman" w:hAnsi="Times New Roman" w:cs="Times New Roman"/>
          <w:sz w:val="24"/>
          <w:szCs w:val="24"/>
        </w:rPr>
        <w:t xml:space="preserve"> respectively reflect value and m</w:t>
      </w:r>
      <w:r w:rsidR="00446ACB">
        <w:rPr>
          <w:rFonts w:ascii="Times New Roman" w:hAnsi="Times New Roman" w:cs="Times New Roman"/>
          <w:sz w:val="24"/>
          <w:szCs w:val="24"/>
        </w:rPr>
        <w:t>omentum factors. The R</w:t>
      </w:r>
      <w:r w:rsidR="00446ACB" w:rsidRPr="00446ACB">
        <w:rPr>
          <w:rFonts w:ascii="Times New Roman" w:hAnsi="Times New Roman" w:cs="Times New Roman"/>
          <w:sz w:val="24"/>
          <w:szCs w:val="24"/>
          <w:vertAlign w:val="subscript"/>
        </w:rPr>
        <w:t>f</w:t>
      </w:r>
      <w:r w:rsidR="000F687D">
        <w:rPr>
          <w:rFonts w:ascii="Times New Roman" w:hAnsi="Times New Roman" w:cs="Times New Roman"/>
          <w:sz w:val="24"/>
          <w:szCs w:val="24"/>
        </w:rPr>
        <w:t>, as well as risk premia,</w:t>
      </w:r>
      <w:r w:rsidR="00446ACB">
        <w:rPr>
          <w:rFonts w:ascii="Times New Roman" w:hAnsi="Times New Roman" w:cs="Times New Roman"/>
          <w:sz w:val="24"/>
          <w:szCs w:val="24"/>
        </w:rPr>
        <w:t xml:space="preserve"> are of the form (1 x t). </w:t>
      </w:r>
      <w:r w:rsidR="00B45FE7">
        <w:rPr>
          <w:rFonts w:ascii="Times New Roman" w:hAnsi="Times New Roman" w:cs="Times New Roman"/>
          <w:sz w:val="24"/>
          <w:szCs w:val="24"/>
        </w:rPr>
        <w:t xml:space="preserve">Jensen’s alpha is represented by </w:t>
      </w:r>
      <w:r w:rsidR="00B45FE7" w:rsidRPr="0094345B">
        <w:rPr>
          <w:rFonts w:ascii="Times New Roman" w:hAnsi="Times New Roman" w:cs="Times New Roman"/>
          <w:i/>
          <w:sz w:val="24"/>
          <w:szCs w:val="24"/>
        </w:rPr>
        <w:t>α</w:t>
      </w:r>
      <w:r w:rsidR="000F687D">
        <w:rPr>
          <w:rFonts w:ascii="Times New Roman" w:hAnsi="Times New Roman" w:cs="Times New Roman"/>
          <w:i/>
          <w:sz w:val="24"/>
          <w:szCs w:val="24"/>
        </w:rPr>
        <w:t>,</w:t>
      </w:r>
      <w:r w:rsidR="00B45FE7">
        <w:rPr>
          <w:rFonts w:ascii="Times New Roman" w:hAnsi="Times New Roman" w:cs="Times New Roman"/>
          <w:sz w:val="24"/>
          <w:szCs w:val="24"/>
        </w:rPr>
        <w:t xml:space="preserve"> while </w:t>
      </w:r>
      <w:r w:rsidR="00B45FE7" w:rsidRPr="0094345B">
        <w:rPr>
          <w:rFonts w:ascii="Times New Roman" w:hAnsi="Times New Roman" w:cs="Times New Roman"/>
          <w:i/>
          <w:sz w:val="24"/>
          <w:szCs w:val="24"/>
        </w:rPr>
        <w:t>β</w:t>
      </w:r>
      <w:r w:rsidR="00B45FE7">
        <w:rPr>
          <w:rFonts w:ascii="Times New Roman" w:hAnsi="Times New Roman" w:cs="Times New Roman"/>
          <w:sz w:val="24"/>
          <w:szCs w:val="24"/>
        </w:rPr>
        <w:t xml:space="preserve">, </w:t>
      </w:r>
      <w:r w:rsidR="00B45FE7" w:rsidRPr="0094345B">
        <w:rPr>
          <w:rFonts w:ascii="Times New Roman" w:hAnsi="Times New Roman" w:cs="Times New Roman"/>
          <w:i/>
          <w:sz w:val="24"/>
          <w:szCs w:val="24"/>
        </w:rPr>
        <w:t>s</w:t>
      </w:r>
      <w:r w:rsidR="00B45FE7">
        <w:rPr>
          <w:rFonts w:ascii="Times New Roman" w:hAnsi="Times New Roman" w:cs="Times New Roman"/>
          <w:sz w:val="24"/>
          <w:szCs w:val="24"/>
        </w:rPr>
        <w:t xml:space="preserve">, </w:t>
      </w:r>
      <w:r w:rsidR="00B45FE7" w:rsidRPr="0094345B">
        <w:rPr>
          <w:rFonts w:ascii="Times New Roman" w:hAnsi="Times New Roman" w:cs="Times New Roman"/>
          <w:i/>
          <w:sz w:val="24"/>
          <w:szCs w:val="24"/>
        </w:rPr>
        <w:t>h</w:t>
      </w:r>
      <w:r w:rsidR="000F687D">
        <w:rPr>
          <w:rFonts w:ascii="Times New Roman" w:hAnsi="Times New Roman" w:cs="Times New Roman"/>
          <w:i/>
          <w:sz w:val="24"/>
          <w:szCs w:val="24"/>
        </w:rPr>
        <w:t>,</w:t>
      </w:r>
      <w:r w:rsidR="00B45FE7">
        <w:rPr>
          <w:rFonts w:ascii="Times New Roman" w:hAnsi="Times New Roman" w:cs="Times New Roman"/>
          <w:sz w:val="24"/>
          <w:szCs w:val="24"/>
        </w:rPr>
        <w:t xml:space="preserve"> and </w:t>
      </w:r>
      <w:proofErr w:type="spellStart"/>
      <w:r w:rsidR="00B45FE7" w:rsidRPr="0094345B">
        <w:rPr>
          <w:rFonts w:ascii="Times New Roman" w:hAnsi="Times New Roman" w:cs="Times New Roman"/>
          <w:i/>
          <w:sz w:val="24"/>
          <w:szCs w:val="24"/>
        </w:rPr>
        <w:t>w</w:t>
      </w:r>
      <w:proofErr w:type="spellEnd"/>
      <w:r w:rsidR="00B45FE7">
        <w:rPr>
          <w:rFonts w:ascii="Times New Roman" w:hAnsi="Times New Roman" w:cs="Times New Roman"/>
          <w:sz w:val="24"/>
          <w:szCs w:val="24"/>
        </w:rPr>
        <w:t xml:space="preserve"> are risk loadings.</w:t>
      </w:r>
      <w:r w:rsidR="002158B1">
        <w:rPr>
          <w:rFonts w:ascii="Times New Roman" w:hAnsi="Times New Roman" w:cs="Times New Roman"/>
          <w:sz w:val="24"/>
          <w:szCs w:val="24"/>
        </w:rPr>
        <w:t xml:space="preserve"> We use Euro 5 </w:t>
      </w:r>
      <w:r w:rsidR="000C7F7F">
        <w:rPr>
          <w:rFonts w:ascii="Times New Roman" w:hAnsi="Times New Roman" w:cs="Times New Roman"/>
          <w:sz w:val="24"/>
          <w:szCs w:val="24"/>
        </w:rPr>
        <w:t>years’</w:t>
      </w:r>
      <w:r w:rsidR="002158B1">
        <w:rPr>
          <w:rFonts w:ascii="Times New Roman" w:hAnsi="Times New Roman" w:cs="Times New Roman"/>
          <w:sz w:val="24"/>
          <w:szCs w:val="24"/>
        </w:rPr>
        <w:t xml:space="preserve"> government benchmark bond yield as </w:t>
      </w:r>
      <w:r w:rsidR="000F687D">
        <w:rPr>
          <w:rFonts w:ascii="Times New Roman" w:hAnsi="Times New Roman" w:cs="Times New Roman"/>
          <w:sz w:val="24"/>
          <w:szCs w:val="24"/>
        </w:rPr>
        <w:t xml:space="preserve">the </w:t>
      </w:r>
      <w:r w:rsidR="002158B1">
        <w:rPr>
          <w:rFonts w:ascii="Times New Roman" w:hAnsi="Times New Roman" w:cs="Times New Roman"/>
          <w:sz w:val="24"/>
          <w:szCs w:val="24"/>
        </w:rPr>
        <w:t>risk</w:t>
      </w:r>
      <w:r w:rsidR="000F687D">
        <w:rPr>
          <w:rFonts w:ascii="Times New Roman" w:hAnsi="Times New Roman" w:cs="Times New Roman"/>
          <w:sz w:val="24"/>
          <w:szCs w:val="24"/>
        </w:rPr>
        <w:t>-</w:t>
      </w:r>
      <w:r w:rsidR="002158B1">
        <w:rPr>
          <w:rFonts w:ascii="Times New Roman" w:hAnsi="Times New Roman" w:cs="Times New Roman"/>
          <w:sz w:val="24"/>
          <w:szCs w:val="24"/>
        </w:rPr>
        <w:t xml:space="preserve">free rate, </w:t>
      </w:r>
      <w:r w:rsidR="00697EC4">
        <w:rPr>
          <w:rFonts w:ascii="Times New Roman" w:hAnsi="Times New Roman" w:cs="Times New Roman"/>
          <w:sz w:val="24"/>
          <w:szCs w:val="24"/>
        </w:rPr>
        <w:t xml:space="preserve">European </w:t>
      </w:r>
      <w:r w:rsidR="002158B1">
        <w:rPr>
          <w:rFonts w:ascii="Times New Roman" w:hAnsi="Times New Roman" w:cs="Times New Roman"/>
          <w:sz w:val="24"/>
          <w:szCs w:val="24"/>
        </w:rPr>
        <w:t>SMB, HML</w:t>
      </w:r>
      <w:r w:rsidR="000F687D">
        <w:rPr>
          <w:rFonts w:ascii="Times New Roman" w:hAnsi="Times New Roman" w:cs="Times New Roman"/>
          <w:sz w:val="24"/>
          <w:szCs w:val="24"/>
        </w:rPr>
        <w:t>,</w:t>
      </w:r>
      <w:r w:rsidR="002158B1">
        <w:rPr>
          <w:rFonts w:ascii="Times New Roman" w:hAnsi="Times New Roman" w:cs="Times New Roman"/>
          <w:sz w:val="24"/>
          <w:szCs w:val="24"/>
        </w:rPr>
        <w:t xml:space="preserve"> and MoM factors are</w:t>
      </w:r>
      <w:r w:rsidR="000C7F7F">
        <w:rPr>
          <w:rFonts w:ascii="Times New Roman" w:hAnsi="Times New Roman" w:cs="Times New Roman"/>
          <w:sz w:val="24"/>
          <w:szCs w:val="24"/>
        </w:rPr>
        <w:t xml:space="preserve"> </w:t>
      </w:r>
      <w:r w:rsidR="00B27F9B">
        <w:rPr>
          <w:rFonts w:ascii="Times New Roman" w:hAnsi="Times New Roman" w:cs="Times New Roman"/>
          <w:sz w:val="24"/>
          <w:szCs w:val="24"/>
        </w:rPr>
        <w:t xml:space="preserve">extracted </w:t>
      </w:r>
      <w:r w:rsidR="000C7F7F">
        <w:rPr>
          <w:rFonts w:ascii="Times New Roman" w:hAnsi="Times New Roman" w:cs="Times New Roman"/>
          <w:sz w:val="24"/>
          <w:szCs w:val="24"/>
        </w:rPr>
        <w:t xml:space="preserve">from </w:t>
      </w:r>
      <w:r w:rsidR="00B27F9B">
        <w:rPr>
          <w:rFonts w:ascii="Times New Roman" w:hAnsi="Times New Roman" w:cs="Times New Roman"/>
          <w:sz w:val="24"/>
          <w:szCs w:val="24"/>
        </w:rPr>
        <w:t xml:space="preserve">the </w:t>
      </w:r>
      <w:r w:rsidR="002964AE">
        <w:rPr>
          <w:rFonts w:ascii="Times New Roman" w:hAnsi="Times New Roman" w:cs="Times New Roman"/>
          <w:sz w:val="24"/>
          <w:szCs w:val="24"/>
        </w:rPr>
        <w:t>data library of Kenneth R French</w:t>
      </w:r>
      <w:r w:rsidR="006400B1">
        <w:rPr>
          <w:rStyle w:val="FootnoteReference"/>
          <w:rFonts w:ascii="Times New Roman" w:hAnsi="Times New Roman" w:cs="Times New Roman"/>
          <w:sz w:val="24"/>
          <w:szCs w:val="24"/>
        </w:rPr>
        <w:footnoteReference w:id="2"/>
      </w:r>
      <w:r w:rsidR="005F53D9">
        <w:rPr>
          <w:rFonts w:ascii="Times New Roman" w:hAnsi="Times New Roman" w:cs="Times New Roman"/>
          <w:sz w:val="24"/>
          <w:szCs w:val="24"/>
        </w:rPr>
        <w:t xml:space="preserve">. </w:t>
      </w:r>
      <w:r w:rsidR="00F6213E">
        <w:rPr>
          <w:rFonts w:ascii="Times New Roman" w:hAnsi="Times New Roman" w:cs="Times New Roman"/>
          <w:sz w:val="24"/>
          <w:szCs w:val="24"/>
        </w:rPr>
        <w:t>For information ratio</w:t>
      </w:r>
      <w:r w:rsidR="00C9318D">
        <w:rPr>
          <w:rFonts w:ascii="Times New Roman" w:hAnsi="Times New Roman" w:cs="Times New Roman"/>
          <w:sz w:val="24"/>
          <w:szCs w:val="24"/>
        </w:rPr>
        <w:t>, we use S&amp;P Europe 350</w:t>
      </w:r>
      <w:r w:rsidR="00C9318D">
        <w:rPr>
          <w:rStyle w:val="FootnoteReference"/>
          <w:rFonts w:ascii="Times New Roman" w:hAnsi="Times New Roman" w:cs="Times New Roman"/>
          <w:sz w:val="24"/>
          <w:szCs w:val="24"/>
        </w:rPr>
        <w:footnoteReference w:id="3"/>
      </w:r>
      <w:r w:rsidR="00C9318D">
        <w:rPr>
          <w:rFonts w:ascii="Times New Roman" w:hAnsi="Times New Roman" w:cs="Times New Roman"/>
          <w:sz w:val="24"/>
          <w:szCs w:val="24"/>
        </w:rPr>
        <w:t xml:space="preserve"> as </w:t>
      </w:r>
      <w:r w:rsidR="000F687D">
        <w:rPr>
          <w:rFonts w:ascii="Times New Roman" w:hAnsi="Times New Roman" w:cs="Times New Roman"/>
          <w:sz w:val="24"/>
          <w:szCs w:val="24"/>
        </w:rPr>
        <w:t xml:space="preserve">the </w:t>
      </w:r>
      <w:r w:rsidR="00C9318D">
        <w:rPr>
          <w:rFonts w:ascii="Times New Roman" w:hAnsi="Times New Roman" w:cs="Times New Roman"/>
          <w:sz w:val="24"/>
          <w:szCs w:val="24"/>
        </w:rPr>
        <w:t>benchmark.</w:t>
      </w:r>
    </w:p>
    <w:p w14:paraId="63C12939" w14:textId="294ACCD4" w:rsidR="00BF2C52" w:rsidRPr="00CA2447" w:rsidRDefault="00E3078F" w:rsidP="00FE07C4">
      <w:pPr>
        <w:spacing w:after="0" w:line="480" w:lineRule="auto"/>
        <w:jc w:val="both"/>
        <w:rPr>
          <w:rFonts w:ascii="Times New Roman" w:hAnsi="Times New Roman" w:cs="Times New Roman"/>
          <w:color w:val="FF0000"/>
          <w:sz w:val="24"/>
          <w:szCs w:val="24"/>
        </w:rPr>
      </w:pPr>
      <w:r w:rsidRPr="00CA2447">
        <w:rPr>
          <w:rFonts w:ascii="Times New Roman" w:hAnsi="Times New Roman" w:cs="Times New Roman"/>
          <w:color w:val="FF0000"/>
          <w:sz w:val="24"/>
          <w:szCs w:val="24"/>
        </w:rPr>
        <w:t>2.2</w:t>
      </w:r>
      <w:r w:rsidRPr="00CA2447">
        <w:rPr>
          <w:rFonts w:ascii="Times New Roman" w:hAnsi="Times New Roman" w:cs="Times New Roman"/>
          <w:color w:val="FF0000"/>
          <w:sz w:val="24"/>
          <w:szCs w:val="24"/>
        </w:rPr>
        <w:tab/>
      </w:r>
      <w:r w:rsidR="00C7098A" w:rsidRPr="00CA2447">
        <w:rPr>
          <w:rFonts w:ascii="Times New Roman" w:hAnsi="Times New Roman" w:cs="Times New Roman"/>
          <w:color w:val="FF0000"/>
          <w:sz w:val="24"/>
          <w:szCs w:val="24"/>
        </w:rPr>
        <w:t>Event Study Methodology</w:t>
      </w:r>
    </w:p>
    <w:p w14:paraId="7DDB8CB3" w14:textId="67119E4E" w:rsidR="002754B4" w:rsidRDefault="00C7098A" w:rsidP="00FE07C4">
      <w:pPr>
        <w:spacing w:after="0" w:line="480" w:lineRule="auto"/>
        <w:jc w:val="both"/>
        <w:rPr>
          <w:rFonts w:ascii="Times New Roman" w:hAnsi="Times New Roman" w:cs="Times New Roman"/>
          <w:color w:val="FF0000"/>
          <w:sz w:val="24"/>
          <w:szCs w:val="24"/>
        </w:rPr>
      </w:pPr>
      <w:r w:rsidRPr="00CA2447">
        <w:rPr>
          <w:rFonts w:ascii="Times New Roman" w:hAnsi="Times New Roman" w:cs="Times New Roman"/>
          <w:color w:val="FF0000"/>
          <w:sz w:val="24"/>
          <w:szCs w:val="24"/>
        </w:rPr>
        <w:tab/>
      </w:r>
      <w:r w:rsidR="009C1B33">
        <w:rPr>
          <w:rFonts w:ascii="Times New Roman" w:hAnsi="Times New Roman" w:cs="Times New Roman"/>
          <w:color w:val="FF0000"/>
          <w:sz w:val="24"/>
          <w:szCs w:val="24"/>
        </w:rPr>
        <w:t xml:space="preserve">Given the relevance of HCE, we expect that there should be a performance differential in pre Covid-19 and the outbreak periods. </w:t>
      </w:r>
      <w:bookmarkStart w:id="0" w:name="_Hlk49520390"/>
      <w:r w:rsidR="009C1B33">
        <w:rPr>
          <w:rFonts w:ascii="Times New Roman" w:hAnsi="Times New Roman" w:cs="Times New Roman"/>
          <w:color w:val="FF0000"/>
          <w:sz w:val="24"/>
          <w:szCs w:val="24"/>
        </w:rPr>
        <w:t>To evaluate this</w:t>
      </w:r>
      <w:r w:rsidR="002754B4">
        <w:rPr>
          <w:rFonts w:ascii="Times New Roman" w:hAnsi="Times New Roman" w:cs="Times New Roman"/>
          <w:color w:val="FF0000"/>
          <w:sz w:val="24"/>
          <w:szCs w:val="24"/>
        </w:rPr>
        <w:t>,</w:t>
      </w:r>
      <w:r w:rsidR="009C1B33">
        <w:rPr>
          <w:rFonts w:ascii="Times New Roman" w:hAnsi="Times New Roman" w:cs="Times New Roman"/>
          <w:color w:val="FF0000"/>
          <w:sz w:val="24"/>
          <w:szCs w:val="24"/>
        </w:rPr>
        <w:t xml:space="preserve"> we use a</w:t>
      </w:r>
      <w:r w:rsidR="002754B4">
        <w:rPr>
          <w:rFonts w:ascii="Times New Roman" w:hAnsi="Times New Roman" w:cs="Times New Roman"/>
          <w:color w:val="FF0000"/>
          <w:sz w:val="24"/>
          <w:szCs w:val="24"/>
        </w:rPr>
        <w:t xml:space="preserve"> CAPM based</w:t>
      </w:r>
      <w:r w:rsidR="009C1B33">
        <w:rPr>
          <w:rFonts w:ascii="Times New Roman" w:hAnsi="Times New Roman" w:cs="Times New Roman"/>
          <w:color w:val="FF0000"/>
          <w:sz w:val="24"/>
          <w:szCs w:val="24"/>
        </w:rPr>
        <w:t xml:space="preserve"> event study methodology similar to that of </w:t>
      </w:r>
      <w:r w:rsidR="009C1B33">
        <w:rPr>
          <w:rFonts w:ascii="Times New Roman" w:hAnsi="Times New Roman" w:cs="Times New Roman"/>
          <w:color w:val="FF0000"/>
          <w:sz w:val="24"/>
          <w:szCs w:val="24"/>
        </w:rPr>
        <w:fldChar w:fldCharType="begin" w:fldLock="1"/>
      </w:r>
      <w:r w:rsidR="009C1B33">
        <w:rPr>
          <w:rFonts w:ascii="Times New Roman" w:hAnsi="Times New Roman" w:cs="Times New Roman"/>
          <w:color w:val="FF0000"/>
          <w:sz w:val="24"/>
          <w:szCs w:val="24"/>
        </w:rPr>
        <w:instrText>ADDIN CSL_CITATION {"citationItems":[{"id":"ITEM-1","itemData":{"DOI":"10.1080/1351847X.2011.601668","ISSN":"1351-847X","abstract":"Following a global wave of consolidation in the banking industry, this study analyses 132 mergers and acquisitions (M&amp;As) involving banks in emerging markets in Asia and Latin America between 1998 and 2009.An event study measures the change in shareholder value for acquirers and targets; and a multivariate regression identifies the drivers of the change in shareholder value for acquirers. On average M&amp;As create shareholder value for target firms, while acquirer firms do not lose shareholder value. Geographical diversification creates shareholder value for acquirers. Acquirer shareholders benefit from the acquisition of underperforming targets; from transactions settled by cash rather than exchange of equity; and from government-instigated M&amp;A transactions. © 2012 Taylor &amp; Francis.","author":[{"dropping-particle":"","family":"Goddard","given":"John","non-dropping-particle":"","parse-names":false,"suffix":""},{"dropping-particle":"","family":"Molyneux","given":"Philip","non-dropping-particle":"","parse-names":false,"suffix":""},{"dropping-particle":"","family":"Zhou","given":"Tim","non-dropping-particle":"","parse-names":false,"suffix":""}],"container-title":"The European Journal of Finance","id":"ITEM-1","issue":"5","issued":{"date-parts":[["2012","5"]]},"page":"419-438","publisher":" Routledge ","title":"Bank mergers and acquisitions in emerging markets: evidence from Asia and Latin America","type":"article-journal","volume":"18"},"uris":["http://www.mendeley.com/documents/?uuid=f5d20184-f240-4d3f-8026-b874c370a854"]}],"mendeley":{"formattedCitation":"(Goddard et al., 2012)","manualFormatting":"Goddard et al., (2012)","plainTextFormattedCitation":"(Goddard et al., 2012)","previouslyFormattedCitation":"(Goddard et al., 2012)"},"properties":{"noteIndex":0},"schema":"https://github.com/citation-style-language/schema/raw/master/csl-citation.json"}</w:instrText>
      </w:r>
      <w:r w:rsidR="009C1B33">
        <w:rPr>
          <w:rFonts w:ascii="Times New Roman" w:hAnsi="Times New Roman" w:cs="Times New Roman"/>
          <w:color w:val="FF0000"/>
          <w:sz w:val="24"/>
          <w:szCs w:val="24"/>
        </w:rPr>
        <w:fldChar w:fldCharType="separate"/>
      </w:r>
      <w:r w:rsidR="009C1B33" w:rsidRPr="009C1B33">
        <w:rPr>
          <w:rFonts w:ascii="Times New Roman" w:hAnsi="Times New Roman" w:cs="Times New Roman"/>
          <w:noProof/>
          <w:color w:val="FF0000"/>
          <w:sz w:val="24"/>
          <w:szCs w:val="24"/>
        </w:rPr>
        <w:t xml:space="preserve">Goddard et al., </w:t>
      </w:r>
      <w:r w:rsidR="009C1B33">
        <w:rPr>
          <w:rFonts w:ascii="Times New Roman" w:hAnsi="Times New Roman" w:cs="Times New Roman"/>
          <w:noProof/>
          <w:color w:val="FF0000"/>
          <w:sz w:val="24"/>
          <w:szCs w:val="24"/>
        </w:rPr>
        <w:t>(</w:t>
      </w:r>
      <w:r w:rsidR="009C1B33" w:rsidRPr="009C1B33">
        <w:rPr>
          <w:rFonts w:ascii="Times New Roman" w:hAnsi="Times New Roman" w:cs="Times New Roman"/>
          <w:noProof/>
          <w:color w:val="FF0000"/>
          <w:sz w:val="24"/>
          <w:szCs w:val="24"/>
        </w:rPr>
        <w:t>2012)</w:t>
      </w:r>
      <w:r w:rsidR="009C1B33">
        <w:rPr>
          <w:rFonts w:ascii="Times New Roman" w:hAnsi="Times New Roman" w:cs="Times New Roman"/>
          <w:color w:val="FF0000"/>
          <w:sz w:val="24"/>
          <w:szCs w:val="24"/>
        </w:rPr>
        <w:fldChar w:fldCharType="end"/>
      </w:r>
      <w:r w:rsidR="009C1B33">
        <w:rPr>
          <w:rFonts w:ascii="Times New Roman" w:hAnsi="Times New Roman" w:cs="Times New Roman"/>
          <w:color w:val="FF0000"/>
          <w:sz w:val="24"/>
          <w:szCs w:val="24"/>
        </w:rPr>
        <w:t xml:space="preserve"> and </w:t>
      </w:r>
      <w:r w:rsidR="009C1B33">
        <w:rPr>
          <w:rFonts w:ascii="Times New Roman" w:hAnsi="Times New Roman" w:cs="Times New Roman"/>
          <w:color w:val="FF0000"/>
          <w:sz w:val="24"/>
          <w:szCs w:val="24"/>
        </w:rPr>
        <w:fldChar w:fldCharType="begin" w:fldLock="1"/>
      </w:r>
      <w:r w:rsidR="00634F34">
        <w:rPr>
          <w:rFonts w:ascii="Times New Roman" w:hAnsi="Times New Roman" w:cs="Times New Roman"/>
          <w:color w:val="FF0000"/>
          <w:sz w:val="24"/>
          <w:szCs w:val="24"/>
        </w:rPr>
        <w:instrText>ADDIN CSL_CITATION {"citationItems":[{"id":"ITEM-1","itemData":{"DOI":"10.1016/j.frl.2020.101657","ISSN":"15446123","author":[{"dropping-particle":"","family":"Mirza","given":"Nawazish","non-dropping-particle":"","parse-names":false,"suffix":""},{"dropping-particle":"","family":"Naqvi","given":"Bushra","non-dropping-particle":"","parse-names":false,"suffix":""},{"dropping-particle":"","family":"Rahat","given":"Birjees","non-dropping-particle":"","parse-names":false,"suffix":""},{"dropping-particle":"","family":"Rizvi","given":"Syed Kumail Abbas","non-dropping-particle":"","parse-names":false,"suffix":""}],"container-title":"Finance Research Letters","id":"ITEM-1","issued":{"date-parts":[["2020","6","18"]]},"page":"101657","publisher":"Elsevier","title":"Price Reaction, Volatility Timing and Funds’ Performance during Covid-19","type":"article-journal"},"uris":["http://www.mendeley.com/documents/?uuid=0e3b9f16-a1d9-392a-a55c-ff2a041867e2"]}],"mendeley":{"formattedCitation":"(Mirza et al., 2020)","manualFormatting":"Mirza et al., (2020)","plainTextFormattedCitation":"(Mirza et al., 2020)","previouslyFormattedCitation":"(Mirza et al., 2020)"},"properties":{"noteIndex":0},"schema":"https://github.com/citation-style-language/schema/raw/master/csl-citation.json"}</w:instrText>
      </w:r>
      <w:r w:rsidR="009C1B33">
        <w:rPr>
          <w:rFonts w:ascii="Times New Roman" w:hAnsi="Times New Roman" w:cs="Times New Roman"/>
          <w:color w:val="FF0000"/>
          <w:sz w:val="24"/>
          <w:szCs w:val="24"/>
        </w:rPr>
        <w:fldChar w:fldCharType="separate"/>
      </w:r>
      <w:r w:rsidR="009C1B33" w:rsidRPr="009C1B33">
        <w:rPr>
          <w:rFonts w:ascii="Times New Roman" w:hAnsi="Times New Roman" w:cs="Times New Roman"/>
          <w:noProof/>
          <w:color w:val="FF0000"/>
          <w:sz w:val="24"/>
          <w:szCs w:val="24"/>
        </w:rPr>
        <w:t xml:space="preserve">Mirza et al., </w:t>
      </w:r>
      <w:r w:rsidR="009C1B33">
        <w:rPr>
          <w:rFonts w:ascii="Times New Roman" w:hAnsi="Times New Roman" w:cs="Times New Roman"/>
          <w:noProof/>
          <w:color w:val="FF0000"/>
          <w:sz w:val="24"/>
          <w:szCs w:val="24"/>
        </w:rPr>
        <w:t>(</w:t>
      </w:r>
      <w:r w:rsidR="009C1B33" w:rsidRPr="009C1B33">
        <w:rPr>
          <w:rFonts w:ascii="Times New Roman" w:hAnsi="Times New Roman" w:cs="Times New Roman"/>
          <w:noProof/>
          <w:color w:val="FF0000"/>
          <w:sz w:val="24"/>
          <w:szCs w:val="24"/>
        </w:rPr>
        <w:t>2020)</w:t>
      </w:r>
      <w:r w:rsidR="009C1B33">
        <w:rPr>
          <w:rFonts w:ascii="Times New Roman" w:hAnsi="Times New Roman" w:cs="Times New Roman"/>
          <w:color w:val="FF0000"/>
          <w:sz w:val="24"/>
          <w:szCs w:val="24"/>
        </w:rPr>
        <w:fldChar w:fldCharType="end"/>
      </w:r>
      <w:r w:rsidR="009C1B33">
        <w:rPr>
          <w:rFonts w:ascii="Times New Roman" w:hAnsi="Times New Roman" w:cs="Times New Roman"/>
          <w:color w:val="FF0000"/>
          <w:sz w:val="24"/>
          <w:szCs w:val="24"/>
        </w:rPr>
        <w:t>.</w:t>
      </w:r>
      <w:r w:rsidR="002754B4">
        <w:rPr>
          <w:rFonts w:ascii="Times New Roman" w:hAnsi="Times New Roman" w:cs="Times New Roman"/>
          <w:color w:val="FF0000"/>
          <w:sz w:val="24"/>
          <w:szCs w:val="24"/>
        </w:rPr>
        <w:t xml:space="preserve"> The mean and variance functional form of GARCH (1,1) </w:t>
      </w:r>
      <w:bookmarkEnd w:id="0"/>
      <w:r w:rsidR="002754B4">
        <w:rPr>
          <w:rFonts w:ascii="Times New Roman" w:hAnsi="Times New Roman" w:cs="Times New Roman"/>
          <w:color w:val="FF0000"/>
          <w:sz w:val="24"/>
          <w:szCs w:val="24"/>
        </w:rPr>
        <w:t>will be as follows</w:t>
      </w:r>
    </w:p>
    <w:p w14:paraId="5CED961F" w14:textId="71226A7B" w:rsidR="004328E8" w:rsidRPr="003876B1" w:rsidRDefault="004328E8" w:rsidP="004328E8">
      <w:pPr>
        <w:spacing w:after="0" w:line="360" w:lineRule="auto"/>
        <w:jc w:val="both"/>
        <w:rPr>
          <w:rFonts w:ascii="Times New Roman" w:hAnsi="Times New Roman" w:cs="Times New Roman"/>
          <w:color w:val="FF0000"/>
          <w:sz w:val="24"/>
          <w:szCs w:val="24"/>
        </w:rPr>
      </w:pPr>
      <w:r w:rsidRPr="003876B1">
        <w:rPr>
          <w:rFonts w:ascii="Times New Roman" w:hAnsi="Times New Roman" w:cs="Times New Roman"/>
          <w:noProof/>
          <w:color w:val="FF0000"/>
          <w:position w:val="-14"/>
          <w:sz w:val="24"/>
          <w:szCs w:val="24"/>
        </w:rPr>
        <w:object w:dxaOrig="3840" w:dyaOrig="380" w14:anchorId="14951483">
          <v:shape id="_x0000_i1027" type="#_x0000_t75" alt="" style="width:193pt;height:19.5pt" o:ole="">
            <v:imagedata r:id="rId12" o:title=""/>
          </v:shape>
          <o:OLEObject Type="Embed" ProgID="Equation.3" ShapeID="_x0000_i1027" DrawAspect="Content" ObjectID="_1660133813" r:id="rId13"/>
        </w:object>
      </w:r>
      <w:r w:rsidRPr="003876B1">
        <w:rPr>
          <w:rFonts w:ascii="Times New Roman" w:hAnsi="Times New Roman" w:cs="Times New Roman"/>
          <w:color w:val="FF0000"/>
          <w:sz w:val="24"/>
          <w:szCs w:val="24"/>
        </w:rPr>
        <w:t xml:space="preserve">   with </w:t>
      </w:r>
      <w:r w:rsidRPr="003876B1">
        <w:rPr>
          <w:rFonts w:ascii="Times New Roman" w:hAnsi="Times New Roman" w:cs="Times New Roman"/>
          <w:noProof/>
          <w:color w:val="FF0000"/>
          <w:position w:val="-12"/>
          <w:sz w:val="24"/>
          <w:szCs w:val="24"/>
        </w:rPr>
        <w:object w:dxaOrig="1219" w:dyaOrig="360" w14:anchorId="3640AC53">
          <v:shape id="_x0000_i1028" type="#_x0000_t75" alt="" style="width:60.5pt;height:18pt;mso-width-percent:0;mso-height-percent:0;mso-width-percent:0;mso-height-percent:0" o:ole="">
            <v:imagedata r:id="rId14" o:title=""/>
          </v:shape>
          <o:OLEObject Type="Embed" ProgID="Equation.3" ShapeID="_x0000_i1028" DrawAspect="Content" ObjectID="_1660133814" r:id="rId15"/>
        </w:object>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t>…</w:t>
      </w:r>
      <w:proofErr w:type="gramStart"/>
      <w:r w:rsidRPr="003876B1">
        <w:rPr>
          <w:rFonts w:ascii="Times New Roman" w:hAnsi="Times New Roman" w:cs="Times New Roman"/>
          <w:color w:val="FF0000"/>
          <w:sz w:val="24"/>
          <w:szCs w:val="24"/>
        </w:rPr>
        <w:t>…(</w:t>
      </w:r>
      <w:proofErr w:type="gramEnd"/>
      <w:r w:rsidRPr="003876B1">
        <w:rPr>
          <w:rFonts w:ascii="Times New Roman" w:hAnsi="Times New Roman" w:cs="Times New Roman"/>
          <w:color w:val="FF0000"/>
          <w:sz w:val="24"/>
          <w:szCs w:val="24"/>
        </w:rPr>
        <w:t>3)</w:t>
      </w:r>
    </w:p>
    <w:p w14:paraId="21A5050C" w14:textId="4E43DACD" w:rsidR="004328E8" w:rsidRPr="003876B1" w:rsidRDefault="004328E8" w:rsidP="004328E8">
      <w:pPr>
        <w:spacing w:after="0" w:line="360" w:lineRule="auto"/>
        <w:jc w:val="both"/>
        <w:rPr>
          <w:rFonts w:ascii="Times New Roman" w:hAnsi="Times New Roman" w:cs="Times New Roman"/>
          <w:color w:val="FF0000"/>
          <w:sz w:val="24"/>
          <w:szCs w:val="24"/>
        </w:rPr>
      </w:pPr>
      <w:r w:rsidRPr="003876B1">
        <w:rPr>
          <w:rFonts w:ascii="Times New Roman" w:hAnsi="Times New Roman" w:cs="Times New Roman"/>
          <w:noProof/>
          <w:color w:val="FF0000"/>
          <w:position w:val="-12"/>
          <w:sz w:val="24"/>
          <w:szCs w:val="24"/>
        </w:rPr>
        <w:object w:dxaOrig="2860" w:dyaOrig="380" w14:anchorId="6A1FB19C">
          <v:shape id="_x0000_i1029" type="#_x0000_t75" alt="" style="width:143.5pt;height:19.5pt;mso-width-percent:0;mso-height-percent:0;mso-width-percent:0;mso-height-percent:0" o:ole="">
            <v:imagedata r:id="rId16" o:title=""/>
          </v:shape>
          <o:OLEObject Type="Embed" ProgID="Equation.3" ShapeID="_x0000_i1029" DrawAspect="Content" ObjectID="_1660133815" r:id="rId17"/>
        </w:object>
      </w:r>
      <w:r w:rsidRPr="003876B1">
        <w:rPr>
          <w:rFonts w:ascii="Times New Roman" w:hAnsi="Times New Roman" w:cs="Times New Roman"/>
          <w:color w:val="FF0000"/>
          <w:sz w:val="24"/>
          <w:szCs w:val="24"/>
        </w:rPr>
        <w:t xml:space="preserve"> </w:t>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r>
      <w:r w:rsidRPr="003876B1">
        <w:rPr>
          <w:rFonts w:ascii="Times New Roman" w:hAnsi="Times New Roman" w:cs="Times New Roman"/>
          <w:color w:val="FF0000"/>
          <w:sz w:val="24"/>
          <w:szCs w:val="24"/>
        </w:rPr>
        <w:tab/>
        <w:t>…… (4)</w:t>
      </w:r>
    </w:p>
    <w:p w14:paraId="66A90A1A" w14:textId="2D96B75B" w:rsidR="004328E8" w:rsidRPr="003876B1" w:rsidRDefault="004328E8" w:rsidP="005B3699">
      <w:pPr>
        <w:spacing w:after="0" w:line="480" w:lineRule="auto"/>
        <w:jc w:val="both"/>
        <w:rPr>
          <w:rFonts w:ascii="Times New Roman" w:hAnsi="Times New Roman" w:cs="Times New Roman"/>
          <w:color w:val="FF0000"/>
          <w:sz w:val="24"/>
          <w:szCs w:val="24"/>
        </w:rPr>
      </w:pPr>
      <w:proofErr w:type="spellStart"/>
      <w:r w:rsidRPr="003876B1">
        <w:rPr>
          <w:rFonts w:ascii="Times New Roman" w:hAnsi="Times New Roman" w:cs="Times New Roman"/>
          <w:i/>
          <w:color w:val="FF0000"/>
          <w:sz w:val="24"/>
          <w:szCs w:val="24"/>
        </w:rPr>
        <w:t>R</w:t>
      </w:r>
      <w:r w:rsidRPr="003876B1">
        <w:rPr>
          <w:rFonts w:ascii="Times New Roman" w:hAnsi="Times New Roman" w:cs="Times New Roman"/>
          <w:i/>
          <w:color w:val="FF0000"/>
          <w:sz w:val="24"/>
          <w:szCs w:val="24"/>
          <w:vertAlign w:val="subscript"/>
        </w:rPr>
        <w:t>it</w:t>
      </w:r>
      <w:proofErr w:type="spellEnd"/>
      <w:r w:rsidRPr="003876B1">
        <w:rPr>
          <w:rFonts w:ascii="Times New Roman" w:hAnsi="Times New Roman" w:cs="Times New Roman"/>
          <w:color w:val="FF0000"/>
          <w:sz w:val="24"/>
          <w:szCs w:val="24"/>
        </w:rPr>
        <w:t xml:space="preserve"> is the intraday fund return, </w:t>
      </w:r>
      <w:proofErr w:type="spellStart"/>
      <w:r w:rsidRPr="003876B1">
        <w:rPr>
          <w:rFonts w:ascii="Times New Roman" w:hAnsi="Times New Roman" w:cs="Times New Roman"/>
          <w:i/>
          <w:color w:val="FF0000"/>
          <w:sz w:val="24"/>
          <w:szCs w:val="24"/>
        </w:rPr>
        <w:t>R</w:t>
      </w:r>
      <w:r w:rsidRPr="003876B1">
        <w:rPr>
          <w:rFonts w:ascii="Times New Roman" w:hAnsi="Times New Roman" w:cs="Times New Roman"/>
          <w:i/>
          <w:color w:val="FF0000"/>
          <w:sz w:val="24"/>
          <w:szCs w:val="24"/>
          <w:vertAlign w:val="subscript"/>
        </w:rPr>
        <w:t>mt</w:t>
      </w:r>
      <w:proofErr w:type="spellEnd"/>
      <w:r w:rsidRPr="003876B1">
        <w:rPr>
          <w:rFonts w:ascii="Times New Roman" w:hAnsi="Times New Roman" w:cs="Times New Roman"/>
          <w:color w:val="FF0000"/>
          <w:sz w:val="24"/>
          <w:szCs w:val="24"/>
        </w:rPr>
        <w:t xml:space="preserve"> corresponds to the returns on S&amp;P Europe 350, </w:t>
      </w:r>
      <w:proofErr w:type="spellStart"/>
      <w:r w:rsidRPr="003876B1">
        <w:rPr>
          <w:rFonts w:ascii="Times New Roman" w:hAnsi="Times New Roman" w:cs="Times New Roman"/>
          <w:i/>
          <w:color w:val="FF0000"/>
          <w:sz w:val="24"/>
          <w:szCs w:val="24"/>
        </w:rPr>
        <w:t>R</w:t>
      </w:r>
      <w:r w:rsidRPr="003876B1">
        <w:rPr>
          <w:rFonts w:ascii="Times New Roman" w:hAnsi="Times New Roman" w:cs="Times New Roman"/>
          <w:i/>
          <w:color w:val="FF0000"/>
          <w:sz w:val="24"/>
          <w:szCs w:val="24"/>
          <w:vertAlign w:val="subscript"/>
        </w:rPr>
        <w:t>ft</w:t>
      </w:r>
      <w:proofErr w:type="spellEnd"/>
      <w:r w:rsidRPr="003876B1">
        <w:rPr>
          <w:rFonts w:ascii="Times New Roman" w:hAnsi="Times New Roman" w:cs="Times New Roman"/>
          <w:color w:val="FF0000"/>
          <w:sz w:val="24"/>
          <w:szCs w:val="24"/>
        </w:rPr>
        <w:t xml:space="preserve"> is the risk</w:t>
      </w:r>
      <w:r w:rsidR="003876B1" w:rsidRPr="003876B1">
        <w:rPr>
          <w:rFonts w:ascii="Times New Roman" w:hAnsi="Times New Roman" w:cs="Times New Roman"/>
          <w:color w:val="FF0000"/>
          <w:sz w:val="24"/>
          <w:szCs w:val="24"/>
        </w:rPr>
        <w:t>-</w:t>
      </w:r>
      <w:r w:rsidRPr="003876B1">
        <w:rPr>
          <w:rFonts w:ascii="Times New Roman" w:hAnsi="Times New Roman" w:cs="Times New Roman"/>
          <w:color w:val="FF0000"/>
          <w:sz w:val="24"/>
          <w:szCs w:val="24"/>
        </w:rPr>
        <w:t xml:space="preserve">free rate. </w:t>
      </w:r>
      <w:bookmarkStart w:id="1" w:name="_Hlk49520475"/>
      <w:r w:rsidRPr="003876B1">
        <w:rPr>
          <w:rFonts w:ascii="Times New Roman" w:hAnsi="Times New Roman" w:cs="Times New Roman"/>
          <w:color w:val="FF0000"/>
          <w:sz w:val="24"/>
          <w:szCs w:val="24"/>
        </w:rPr>
        <w:t xml:space="preserve">We define </w:t>
      </w:r>
      <w:proofErr w:type="spellStart"/>
      <w:r w:rsidRPr="003876B1">
        <w:rPr>
          <w:rFonts w:ascii="Times New Roman" w:hAnsi="Times New Roman" w:cs="Times New Roman"/>
          <w:i/>
          <w:color w:val="FF0000"/>
          <w:sz w:val="24"/>
          <w:szCs w:val="24"/>
        </w:rPr>
        <w:t>D</w:t>
      </w:r>
      <w:r w:rsidRPr="003876B1">
        <w:rPr>
          <w:rFonts w:ascii="Times New Roman" w:hAnsi="Times New Roman" w:cs="Times New Roman"/>
          <w:i/>
          <w:color w:val="FF0000"/>
          <w:sz w:val="24"/>
          <w:szCs w:val="24"/>
          <w:vertAlign w:val="subscript"/>
        </w:rPr>
        <w:t>it</w:t>
      </w:r>
      <w:proofErr w:type="spellEnd"/>
      <w:r w:rsidRPr="003876B1">
        <w:rPr>
          <w:rFonts w:ascii="Times New Roman" w:hAnsi="Times New Roman" w:cs="Times New Roman"/>
          <w:color w:val="FF0000"/>
          <w:sz w:val="24"/>
          <w:szCs w:val="24"/>
        </w:rPr>
        <w:t xml:space="preserve"> as the dummy variable with t = 1</w:t>
      </w:r>
      <w:r w:rsidR="003876B1" w:rsidRPr="003876B1">
        <w:rPr>
          <w:rFonts w:ascii="Times New Roman" w:hAnsi="Times New Roman" w:cs="Times New Roman"/>
          <w:color w:val="FF0000"/>
          <w:sz w:val="24"/>
          <w:szCs w:val="24"/>
        </w:rPr>
        <w:t>;</w:t>
      </w:r>
      <w:r w:rsidRPr="003876B1">
        <w:rPr>
          <w:rFonts w:ascii="Times New Roman" w:hAnsi="Times New Roman" w:cs="Times New Roman"/>
          <w:color w:val="FF0000"/>
          <w:sz w:val="24"/>
          <w:szCs w:val="24"/>
        </w:rPr>
        <w:t xml:space="preserve"> if </w:t>
      </w:r>
      <w:proofErr w:type="spellStart"/>
      <w:r w:rsidRPr="003876B1">
        <w:rPr>
          <w:rFonts w:ascii="Times New Roman" w:hAnsi="Times New Roman" w:cs="Times New Roman"/>
          <w:color w:val="FF0000"/>
          <w:sz w:val="24"/>
          <w:szCs w:val="24"/>
        </w:rPr>
        <w:t>t</w:t>
      </w:r>
      <w:proofErr w:type="spellEnd"/>
      <w:r w:rsidRPr="003876B1">
        <w:rPr>
          <w:rFonts w:ascii="Times New Roman" w:hAnsi="Times New Roman" w:cs="Times New Roman"/>
          <w:color w:val="FF0000"/>
          <w:sz w:val="24"/>
          <w:szCs w:val="24"/>
        </w:rPr>
        <w:t xml:space="preserve"> falls during </w:t>
      </w:r>
      <w:r w:rsidR="003876B1" w:rsidRPr="003876B1">
        <w:rPr>
          <w:rFonts w:ascii="Times New Roman" w:hAnsi="Times New Roman" w:cs="Times New Roman"/>
          <w:color w:val="FF0000"/>
          <w:sz w:val="24"/>
          <w:szCs w:val="24"/>
        </w:rPr>
        <w:t xml:space="preserve">the </w:t>
      </w:r>
      <w:r w:rsidRPr="003876B1">
        <w:rPr>
          <w:rFonts w:ascii="Times New Roman" w:hAnsi="Times New Roman" w:cs="Times New Roman"/>
          <w:color w:val="FF0000"/>
          <w:sz w:val="24"/>
          <w:szCs w:val="24"/>
        </w:rPr>
        <w:t>C</w:t>
      </w:r>
      <w:r w:rsidR="00945608">
        <w:rPr>
          <w:rFonts w:ascii="Times New Roman" w:hAnsi="Times New Roman" w:cs="Times New Roman"/>
          <w:color w:val="FF0000"/>
          <w:sz w:val="24"/>
          <w:szCs w:val="24"/>
        </w:rPr>
        <w:t>OVID</w:t>
      </w:r>
      <w:r w:rsidRPr="003876B1">
        <w:rPr>
          <w:rFonts w:ascii="Times New Roman" w:hAnsi="Times New Roman" w:cs="Times New Roman"/>
          <w:color w:val="FF0000"/>
          <w:sz w:val="24"/>
          <w:szCs w:val="24"/>
        </w:rPr>
        <w:t>-19 outbreak</w:t>
      </w:r>
      <w:r w:rsidR="00780D05" w:rsidRPr="003876B1">
        <w:rPr>
          <w:rFonts w:ascii="Times New Roman" w:hAnsi="Times New Roman" w:cs="Times New Roman"/>
          <w:color w:val="FF0000"/>
          <w:sz w:val="24"/>
          <w:szCs w:val="24"/>
        </w:rPr>
        <w:t xml:space="preserve"> (</w:t>
      </w:r>
      <w:r w:rsidR="003876B1" w:rsidRPr="003876B1">
        <w:rPr>
          <w:rFonts w:ascii="Times New Roman" w:hAnsi="Times New Roman" w:cs="Times New Roman"/>
          <w:color w:val="FF0000"/>
          <w:sz w:val="24"/>
          <w:szCs w:val="24"/>
        </w:rPr>
        <w:t>entir</w:t>
      </w:r>
      <w:r w:rsidR="00780D05" w:rsidRPr="003876B1">
        <w:rPr>
          <w:rFonts w:ascii="Times New Roman" w:hAnsi="Times New Roman" w:cs="Times New Roman"/>
          <w:color w:val="FF0000"/>
          <w:sz w:val="24"/>
          <w:szCs w:val="24"/>
        </w:rPr>
        <w:t>e period as well as for each stage)</w:t>
      </w:r>
      <w:bookmarkEnd w:id="1"/>
      <w:r w:rsidRPr="003876B1">
        <w:rPr>
          <w:rFonts w:ascii="Times New Roman" w:hAnsi="Times New Roman" w:cs="Times New Roman"/>
          <w:color w:val="FF0000"/>
          <w:sz w:val="24"/>
          <w:szCs w:val="24"/>
        </w:rPr>
        <w:t xml:space="preserve">, </w:t>
      </w:r>
      <w:r w:rsidRPr="003876B1">
        <w:rPr>
          <w:rFonts w:ascii="Times New Roman" w:hAnsi="Times New Roman" w:cs="Times New Roman"/>
          <w:i/>
          <w:color w:val="FF0000"/>
          <w:sz w:val="24"/>
          <w:szCs w:val="24"/>
        </w:rPr>
        <w:t>h</w:t>
      </w:r>
      <w:r w:rsidRPr="003876B1">
        <w:rPr>
          <w:rFonts w:ascii="Times New Roman" w:hAnsi="Times New Roman" w:cs="Times New Roman"/>
          <w:i/>
          <w:color w:val="FF0000"/>
          <w:sz w:val="24"/>
          <w:szCs w:val="24"/>
          <w:vertAlign w:val="subscript"/>
        </w:rPr>
        <w:t>it</w:t>
      </w:r>
      <w:r w:rsidRPr="003876B1">
        <w:rPr>
          <w:rFonts w:ascii="Times New Roman" w:hAnsi="Times New Roman" w:cs="Times New Roman"/>
          <w:color w:val="FF0000"/>
          <w:sz w:val="24"/>
          <w:szCs w:val="24"/>
        </w:rPr>
        <w:t xml:space="preserve"> is the fund’s conditional variance, and </w:t>
      </w:r>
      <w:proofErr w:type="spellStart"/>
      <w:r w:rsidRPr="003876B1">
        <w:rPr>
          <w:rFonts w:ascii="Times New Roman" w:hAnsi="Times New Roman" w:cs="Times New Roman"/>
          <w:i/>
          <w:color w:val="FF0000"/>
          <w:sz w:val="24"/>
          <w:szCs w:val="24"/>
        </w:rPr>
        <w:t>e</w:t>
      </w:r>
      <w:r w:rsidRPr="003876B1">
        <w:rPr>
          <w:rFonts w:ascii="Times New Roman" w:hAnsi="Times New Roman" w:cs="Times New Roman"/>
          <w:i/>
          <w:color w:val="FF0000"/>
          <w:sz w:val="24"/>
          <w:szCs w:val="24"/>
          <w:vertAlign w:val="subscript"/>
        </w:rPr>
        <w:t>it</w:t>
      </w:r>
      <w:proofErr w:type="spellEnd"/>
      <w:r w:rsidRPr="003876B1">
        <w:rPr>
          <w:rFonts w:ascii="Times New Roman" w:hAnsi="Times New Roman" w:cs="Times New Roman"/>
          <w:color w:val="FF0000"/>
          <w:sz w:val="24"/>
          <w:szCs w:val="24"/>
        </w:rPr>
        <w:t xml:space="preserve"> is random error. We represent estimated parameters as </w:t>
      </w:r>
      <w:r w:rsidRPr="003876B1">
        <w:rPr>
          <w:rFonts w:ascii="Times New Roman" w:hAnsi="Times New Roman" w:cs="Times New Roman"/>
          <w:i/>
          <w:color w:val="FF0000"/>
          <w:sz w:val="24"/>
          <w:szCs w:val="24"/>
        </w:rPr>
        <w:t>α</w:t>
      </w:r>
      <w:proofErr w:type="spellStart"/>
      <w:r w:rsidRPr="003876B1">
        <w:rPr>
          <w:rFonts w:ascii="Times New Roman" w:hAnsi="Times New Roman" w:cs="Times New Roman"/>
          <w:i/>
          <w:color w:val="FF0000"/>
          <w:sz w:val="24"/>
          <w:szCs w:val="24"/>
          <w:vertAlign w:val="subscript"/>
        </w:rPr>
        <w:t>i</w:t>
      </w:r>
      <w:proofErr w:type="spellEnd"/>
      <w:r w:rsidRPr="003876B1">
        <w:rPr>
          <w:rFonts w:ascii="Times New Roman" w:hAnsi="Times New Roman" w:cs="Times New Roman"/>
          <w:color w:val="FF0000"/>
          <w:sz w:val="24"/>
          <w:szCs w:val="24"/>
        </w:rPr>
        <w:t xml:space="preserve">, </w:t>
      </w:r>
      <w:r w:rsidRPr="003876B1">
        <w:rPr>
          <w:rFonts w:ascii="Times New Roman" w:hAnsi="Times New Roman" w:cs="Times New Roman"/>
          <w:i/>
          <w:color w:val="FF0000"/>
          <w:sz w:val="24"/>
          <w:szCs w:val="24"/>
        </w:rPr>
        <w:t>β</w:t>
      </w:r>
      <w:proofErr w:type="spellStart"/>
      <w:r w:rsidRPr="003876B1">
        <w:rPr>
          <w:rFonts w:ascii="Times New Roman" w:hAnsi="Times New Roman" w:cs="Times New Roman"/>
          <w:i/>
          <w:color w:val="FF0000"/>
          <w:sz w:val="24"/>
          <w:szCs w:val="24"/>
          <w:vertAlign w:val="subscript"/>
        </w:rPr>
        <w:t>i</w:t>
      </w:r>
      <w:proofErr w:type="spellEnd"/>
      <w:r w:rsidRPr="003876B1">
        <w:rPr>
          <w:rFonts w:ascii="Times New Roman" w:hAnsi="Times New Roman" w:cs="Times New Roman"/>
          <w:color w:val="FF0000"/>
          <w:sz w:val="24"/>
          <w:szCs w:val="24"/>
        </w:rPr>
        <w:t xml:space="preserve">, </w:t>
      </w:r>
      <w:proofErr w:type="spellStart"/>
      <w:r w:rsidRPr="003876B1">
        <w:rPr>
          <w:rFonts w:ascii="Times New Roman" w:hAnsi="Times New Roman" w:cs="Times New Roman"/>
          <w:i/>
          <w:color w:val="FF0000"/>
          <w:sz w:val="24"/>
          <w:szCs w:val="24"/>
        </w:rPr>
        <w:t>ϕ</w:t>
      </w:r>
      <w:r w:rsidRPr="003876B1">
        <w:rPr>
          <w:rFonts w:ascii="Times New Roman" w:hAnsi="Times New Roman" w:cs="Times New Roman"/>
          <w:i/>
          <w:color w:val="FF0000"/>
          <w:sz w:val="24"/>
          <w:szCs w:val="24"/>
          <w:vertAlign w:val="subscript"/>
        </w:rPr>
        <w:t>i</w:t>
      </w:r>
      <w:proofErr w:type="spellEnd"/>
      <w:r w:rsidRPr="003876B1">
        <w:rPr>
          <w:rFonts w:ascii="Times New Roman" w:hAnsi="Times New Roman" w:cs="Times New Roman"/>
          <w:color w:val="FF0000"/>
          <w:sz w:val="24"/>
          <w:szCs w:val="24"/>
        </w:rPr>
        <w:t xml:space="preserve">, </w:t>
      </w:r>
      <w:r w:rsidRPr="003876B1">
        <w:rPr>
          <w:rFonts w:ascii="Times New Roman" w:hAnsi="Times New Roman" w:cs="Times New Roman"/>
          <w:i/>
          <w:color w:val="FF0000"/>
          <w:sz w:val="24"/>
          <w:szCs w:val="24"/>
        </w:rPr>
        <w:t>c</w:t>
      </w:r>
      <w:r w:rsidRPr="003876B1">
        <w:rPr>
          <w:rFonts w:ascii="Times New Roman" w:hAnsi="Times New Roman" w:cs="Times New Roman"/>
          <w:i/>
          <w:color w:val="FF0000"/>
          <w:sz w:val="24"/>
          <w:szCs w:val="24"/>
          <w:vertAlign w:val="subscript"/>
        </w:rPr>
        <w:t>i</w:t>
      </w:r>
      <w:r w:rsidRPr="003876B1">
        <w:rPr>
          <w:rFonts w:ascii="Times New Roman" w:hAnsi="Times New Roman" w:cs="Times New Roman"/>
          <w:color w:val="FF0000"/>
          <w:sz w:val="24"/>
          <w:szCs w:val="24"/>
        </w:rPr>
        <w:t xml:space="preserve">, </w:t>
      </w:r>
      <w:r w:rsidRPr="003876B1">
        <w:rPr>
          <w:rFonts w:ascii="Times New Roman" w:hAnsi="Times New Roman" w:cs="Times New Roman"/>
          <w:i/>
          <w:color w:val="FF0000"/>
          <w:sz w:val="24"/>
          <w:szCs w:val="24"/>
        </w:rPr>
        <w:t>a</w:t>
      </w:r>
      <w:r w:rsidRPr="003876B1">
        <w:rPr>
          <w:rFonts w:ascii="Times New Roman" w:hAnsi="Times New Roman" w:cs="Times New Roman"/>
          <w:i/>
          <w:color w:val="FF0000"/>
          <w:sz w:val="24"/>
          <w:szCs w:val="24"/>
          <w:vertAlign w:val="subscript"/>
        </w:rPr>
        <w:t>i</w:t>
      </w:r>
      <w:r w:rsidRPr="003876B1">
        <w:rPr>
          <w:rFonts w:ascii="Times New Roman" w:hAnsi="Times New Roman" w:cs="Times New Roman"/>
          <w:color w:val="FF0000"/>
          <w:sz w:val="24"/>
          <w:szCs w:val="24"/>
        </w:rPr>
        <w:t xml:space="preserve">, </w:t>
      </w:r>
      <w:r w:rsidRPr="003876B1">
        <w:rPr>
          <w:rFonts w:ascii="Times New Roman" w:hAnsi="Times New Roman" w:cs="Times New Roman"/>
          <w:i/>
          <w:color w:val="FF0000"/>
          <w:sz w:val="24"/>
          <w:szCs w:val="24"/>
        </w:rPr>
        <w:t>b</w:t>
      </w:r>
      <w:r w:rsidRPr="003876B1">
        <w:rPr>
          <w:rFonts w:ascii="Times New Roman" w:hAnsi="Times New Roman" w:cs="Times New Roman"/>
          <w:i/>
          <w:color w:val="FF0000"/>
          <w:sz w:val="24"/>
          <w:szCs w:val="24"/>
          <w:vertAlign w:val="subscript"/>
        </w:rPr>
        <w:t>i</w:t>
      </w:r>
      <w:r w:rsidR="003876B1" w:rsidRPr="003876B1">
        <w:rPr>
          <w:rFonts w:ascii="Times New Roman" w:hAnsi="Times New Roman" w:cs="Times New Roman"/>
          <w:i/>
          <w:color w:val="FF0000"/>
          <w:sz w:val="24"/>
          <w:szCs w:val="24"/>
          <w:vertAlign w:val="subscript"/>
        </w:rPr>
        <w:t>,</w:t>
      </w:r>
      <w:r w:rsidRPr="003876B1">
        <w:rPr>
          <w:rFonts w:ascii="Times New Roman" w:hAnsi="Times New Roman" w:cs="Times New Roman"/>
          <w:color w:val="FF0000"/>
          <w:sz w:val="24"/>
          <w:szCs w:val="24"/>
        </w:rPr>
        <w:t xml:space="preserve"> and </w:t>
      </w:r>
      <w:proofErr w:type="spellStart"/>
      <w:r w:rsidRPr="003876B1">
        <w:rPr>
          <w:rFonts w:ascii="Times New Roman" w:hAnsi="Times New Roman" w:cs="Times New Roman"/>
          <w:i/>
          <w:color w:val="FF0000"/>
          <w:sz w:val="24"/>
          <w:szCs w:val="24"/>
        </w:rPr>
        <w:t>δ</w:t>
      </w:r>
      <w:r w:rsidRPr="003876B1">
        <w:rPr>
          <w:rFonts w:ascii="Times New Roman" w:hAnsi="Times New Roman" w:cs="Times New Roman"/>
          <w:i/>
          <w:color w:val="FF0000"/>
          <w:sz w:val="24"/>
          <w:szCs w:val="24"/>
          <w:vertAlign w:val="subscript"/>
        </w:rPr>
        <w:t>i</w:t>
      </w:r>
      <w:proofErr w:type="spellEnd"/>
      <w:r w:rsidRPr="003876B1">
        <w:rPr>
          <w:rFonts w:ascii="Times New Roman" w:hAnsi="Times New Roman" w:cs="Times New Roman"/>
          <w:color w:val="FF0000"/>
          <w:sz w:val="24"/>
          <w:szCs w:val="24"/>
        </w:rPr>
        <w:t xml:space="preserve"> (errors in variables). The cumulative abnormal returns (CARs) are estimated </w:t>
      </w:r>
      <w:r w:rsidR="00780D05" w:rsidRPr="003876B1">
        <w:rPr>
          <w:rFonts w:ascii="Times New Roman" w:hAnsi="Times New Roman" w:cs="Times New Roman"/>
          <w:color w:val="FF0000"/>
          <w:sz w:val="24"/>
          <w:szCs w:val="24"/>
        </w:rPr>
        <w:t>through</w:t>
      </w:r>
      <w:r w:rsidRPr="003876B1">
        <w:rPr>
          <w:rFonts w:ascii="Times New Roman" w:hAnsi="Times New Roman" w:cs="Times New Roman"/>
          <w:color w:val="FF0000"/>
          <w:sz w:val="24"/>
          <w:szCs w:val="24"/>
        </w:rPr>
        <w:t xml:space="preserve"> coefficient </w:t>
      </w:r>
      <w:proofErr w:type="spellStart"/>
      <w:r w:rsidRPr="003876B1">
        <w:rPr>
          <w:rFonts w:ascii="Times New Roman" w:hAnsi="Times New Roman" w:cs="Times New Roman"/>
          <w:i/>
          <w:color w:val="FF0000"/>
          <w:sz w:val="24"/>
          <w:szCs w:val="24"/>
        </w:rPr>
        <w:t>τ</w:t>
      </w:r>
      <w:r w:rsidRPr="003876B1">
        <w:rPr>
          <w:rFonts w:ascii="Times New Roman" w:hAnsi="Times New Roman" w:cs="Times New Roman"/>
          <w:i/>
          <w:color w:val="FF0000"/>
          <w:sz w:val="24"/>
          <w:szCs w:val="24"/>
          <w:vertAlign w:val="subscript"/>
        </w:rPr>
        <w:t>i</w:t>
      </w:r>
      <w:proofErr w:type="spellEnd"/>
      <w:r w:rsidRPr="003876B1">
        <w:rPr>
          <w:rFonts w:ascii="Times New Roman" w:hAnsi="Times New Roman" w:cs="Times New Roman"/>
          <w:color w:val="FF0000"/>
          <w:sz w:val="24"/>
          <w:szCs w:val="24"/>
        </w:rPr>
        <w:t>.</w:t>
      </w:r>
      <w:r w:rsidR="00780D05" w:rsidRPr="003876B1">
        <w:rPr>
          <w:rFonts w:ascii="Times New Roman" w:hAnsi="Times New Roman" w:cs="Times New Roman"/>
          <w:color w:val="FF0000"/>
          <w:sz w:val="24"/>
          <w:szCs w:val="24"/>
        </w:rPr>
        <w:t xml:space="preserve"> </w:t>
      </w:r>
      <w:r w:rsidR="003876B1" w:rsidRPr="003876B1">
        <w:rPr>
          <w:rFonts w:ascii="Times New Roman" w:hAnsi="Times New Roman" w:cs="Times New Roman"/>
          <w:color w:val="FF0000"/>
          <w:sz w:val="24"/>
          <w:szCs w:val="24"/>
        </w:rPr>
        <w:t xml:space="preserve">For this analysis, we </w:t>
      </w:r>
      <w:r w:rsidR="003876B1" w:rsidRPr="003876B1">
        <w:rPr>
          <w:rFonts w:ascii="Times New Roman" w:hAnsi="Times New Roman" w:cs="Times New Roman"/>
          <w:color w:val="FF0000"/>
          <w:sz w:val="24"/>
          <w:szCs w:val="24"/>
        </w:rPr>
        <w:lastRenderedPageBreak/>
        <w:t>include pre C</w:t>
      </w:r>
      <w:r w:rsidR="00945608">
        <w:rPr>
          <w:rFonts w:ascii="Times New Roman" w:hAnsi="Times New Roman" w:cs="Times New Roman"/>
          <w:color w:val="FF0000"/>
          <w:sz w:val="24"/>
          <w:szCs w:val="24"/>
        </w:rPr>
        <w:t>OVID</w:t>
      </w:r>
      <w:r w:rsidR="003876B1" w:rsidRPr="003876B1">
        <w:rPr>
          <w:rFonts w:ascii="Times New Roman" w:hAnsi="Times New Roman" w:cs="Times New Roman"/>
          <w:color w:val="FF0000"/>
          <w:sz w:val="24"/>
          <w:szCs w:val="24"/>
        </w:rPr>
        <w:t>-19 data from January 1</w:t>
      </w:r>
      <w:r w:rsidR="003876B1" w:rsidRPr="003876B1">
        <w:rPr>
          <w:rFonts w:ascii="Times New Roman" w:hAnsi="Times New Roman" w:cs="Times New Roman"/>
          <w:color w:val="FF0000"/>
          <w:sz w:val="24"/>
          <w:szCs w:val="24"/>
          <w:vertAlign w:val="superscript"/>
        </w:rPr>
        <w:t>st,</w:t>
      </w:r>
      <w:r w:rsidR="003876B1" w:rsidRPr="003876B1">
        <w:rPr>
          <w:rFonts w:ascii="Times New Roman" w:hAnsi="Times New Roman" w:cs="Times New Roman"/>
          <w:color w:val="FF0000"/>
          <w:sz w:val="24"/>
          <w:szCs w:val="24"/>
        </w:rPr>
        <w:t xml:space="preserve"> 2019, while for C</w:t>
      </w:r>
      <w:r w:rsidR="00945608">
        <w:rPr>
          <w:rFonts w:ascii="Times New Roman" w:hAnsi="Times New Roman" w:cs="Times New Roman"/>
          <w:color w:val="FF0000"/>
          <w:sz w:val="24"/>
          <w:szCs w:val="24"/>
        </w:rPr>
        <w:t>OVID</w:t>
      </w:r>
      <w:r w:rsidR="003876B1" w:rsidRPr="003876B1">
        <w:rPr>
          <w:rFonts w:ascii="Times New Roman" w:hAnsi="Times New Roman" w:cs="Times New Roman"/>
          <w:color w:val="FF0000"/>
          <w:sz w:val="24"/>
          <w:szCs w:val="24"/>
        </w:rPr>
        <w:t xml:space="preserve">-19, the sample period and stages are the same as specified earlier. </w:t>
      </w:r>
      <w:r w:rsidRPr="003876B1">
        <w:rPr>
          <w:rFonts w:ascii="Times New Roman" w:hAnsi="Times New Roman" w:cs="Times New Roman"/>
          <w:color w:val="FF0000"/>
          <w:sz w:val="24"/>
          <w:szCs w:val="24"/>
        </w:rPr>
        <w:t xml:space="preserve"> </w:t>
      </w:r>
    </w:p>
    <w:p w14:paraId="2D410A10" w14:textId="2777A406" w:rsidR="00747152" w:rsidRPr="00985BA9" w:rsidRDefault="00747152" w:rsidP="00FE07C4">
      <w:pPr>
        <w:spacing w:after="0" w:line="480" w:lineRule="auto"/>
        <w:jc w:val="both"/>
        <w:rPr>
          <w:rFonts w:ascii="Times New Roman" w:hAnsi="Times New Roman" w:cs="Times New Roman"/>
          <w:b/>
          <w:sz w:val="24"/>
          <w:szCs w:val="24"/>
        </w:rPr>
      </w:pPr>
      <w:r w:rsidRPr="00985BA9">
        <w:rPr>
          <w:rFonts w:ascii="Times New Roman" w:hAnsi="Times New Roman" w:cs="Times New Roman"/>
          <w:b/>
          <w:sz w:val="24"/>
          <w:szCs w:val="24"/>
        </w:rPr>
        <w:t xml:space="preserve">3. </w:t>
      </w:r>
      <w:r w:rsidRPr="00985BA9">
        <w:rPr>
          <w:rFonts w:ascii="Times New Roman" w:hAnsi="Times New Roman" w:cs="Times New Roman"/>
          <w:b/>
          <w:sz w:val="24"/>
          <w:szCs w:val="24"/>
        </w:rPr>
        <w:tab/>
        <w:t>Results and Discussion</w:t>
      </w:r>
    </w:p>
    <w:p w14:paraId="332BCB53" w14:textId="1AD08164" w:rsidR="00D1554E" w:rsidRDefault="00747152" w:rsidP="00FE0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52842">
        <w:rPr>
          <w:rFonts w:ascii="Times New Roman" w:hAnsi="Times New Roman" w:cs="Times New Roman"/>
          <w:sz w:val="24"/>
          <w:szCs w:val="24"/>
        </w:rPr>
        <w:t>The descriptive statistics on HCE</w:t>
      </w:r>
      <w:r w:rsidR="004A071B">
        <w:rPr>
          <w:rFonts w:ascii="Times New Roman" w:hAnsi="Times New Roman" w:cs="Times New Roman"/>
          <w:sz w:val="24"/>
          <w:szCs w:val="24"/>
        </w:rPr>
        <w:t xml:space="preserve"> </w:t>
      </w:r>
      <w:r w:rsidR="00730E93">
        <w:rPr>
          <w:rFonts w:ascii="Times New Roman" w:hAnsi="Times New Roman" w:cs="Times New Roman"/>
          <w:sz w:val="24"/>
          <w:szCs w:val="24"/>
        </w:rPr>
        <w:t>before</w:t>
      </w:r>
      <w:r w:rsidR="004A071B">
        <w:rPr>
          <w:rFonts w:ascii="Times New Roman" w:hAnsi="Times New Roman" w:cs="Times New Roman"/>
          <w:sz w:val="24"/>
          <w:szCs w:val="24"/>
        </w:rPr>
        <w:t xml:space="preserve"> the outbreak</w:t>
      </w:r>
      <w:r w:rsidR="00052842">
        <w:rPr>
          <w:rFonts w:ascii="Times New Roman" w:hAnsi="Times New Roman" w:cs="Times New Roman"/>
          <w:sz w:val="24"/>
          <w:szCs w:val="24"/>
        </w:rPr>
        <w:t xml:space="preserve"> </w:t>
      </w:r>
      <w:r w:rsidR="00FE5FE8">
        <w:rPr>
          <w:rFonts w:ascii="Times New Roman" w:hAnsi="Times New Roman" w:cs="Times New Roman"/>
          <w:sz w:val="24"/>
          <w:szCs w:val="24"/>
        </w:rPr>
        <w:t xml:space="preserve">is </w:t>
      </w:r>
      <w:r w:rsidR="00052842">
        <w:rPr>
          <w:rFonts w:ascii="Times New Roman" w:hAnsi="Times New Roman" w:cs="Times New Roman"/>
          <w:sz w:val="24"/>
          <w:szCs w:val="24"/>
        </w:rPr>
        <w:t xml:space="preserve">presented in </w:t>
      </w:r>
      <w:r w:rsidR="00FE5FE8">
        <w:rPr>
          <w:rFonts w:ascii="Times New Roman" w:hAnsi="Times New Roman" w:cs="Times New Roman"/>
          <w:sz w:val="24"/>
          <w:szCs w:val="24"/>
        </w:rPr>
        <w:t>T</w:t>
      </w:r>
      <w:r w:rsidR="00052842">
        <w:rPr>
          <w:rFonts w:ascii="Times New Roman" w:hAnsi="Times New Roman" w:cs="Times New Roman"/>
          <w:sz w:val="24"/>
          <w:szCs w:val="24"/>
        </w:rPr>
        <w:t>able 4.</w:t>
      </w:r>
      <w:r w:rsidR="007F1086">
        <w:rPr>
          <w:rFonts w:ascii="Times New Roman" w:hAnsi="Times New Roman" w:cs="Times New Roman"/>
          <w:sz w:val="24"/>
          <w:szCs w:val="24"/>
        </w:rPr>
        <w:t xml:space="preserve"> </w:t>
      </w:r>
      <w:r w:rsidR="008426F8">
        <w:rPr>
          <w:rFonts w:ascii="Times New Roman" w:hAnsi="Times New Roman" w:cs="Times New Roman"/>
          <w:sz w:val="24"/>
          <w:szCs w:val="24"/>
        </w:rPr>
        <w:t xml:space="preserve">In the </w:t>
      </w:r>
      <w:r w:rsidR="00FE5FE8">
        <w:rPr>
          <w:rFonts w:ascii="Times New Roman" w:hAnsi="Times New Roman" w:cs="Times New Roman"/>
          <w:sz w:val="24"/>
          <w:szCs w:val="24"/>
        </w:rPr>
        <w:t xml:space="preserve">full </w:t>
      </w:r>
      <w:r w:rsidR="008426F8">
        <w:rPr>
          <w:rFonts w:ascii="Times New Roman" w:hAnsi="Times New Roman" w:cs="Times New Roman"/>
          <w:sz w:val="24"/>
          <w:szCs w:val="24"/>
        </w:rPr>
        <w:t xml:space="preserve">sample, the </w:t>
      </w:r>
      <w:r w:rsidR="00AC5B39">
        <w:rPr>
          <w:rFonts w:ascii="Times New Roman" w:hAnsi="Times New Roman" w:cs="Times New Roman"/>
          <w:sz w:val="24"/>
          <w:szCs w:val="24"/>
        </w:rPr>
        <w:t xml:space="preserve">average </w:t>
      </w:r>
      <w:r w:rsidR="008426F8">
        <w:rPr>
          <w:rFonts w:ascii="Times New Roman" w:hAnsi="Times New Roman" w:cs="Times New Roman"/>
          <w:sz w:val="24"/>
          <w:szCs w:val="24"/>
        </w:rPr>
        <w:t>value</w:t>
      </w:r>
      <w:r w:rsidR="00AC5B39">
        <w:rPr>
          <w:rFonts w:ascii="Times New Roman" w:hAnsi="Times New Roman" w:cs="Times New Roman"/>
          <w:sz w:val="24"/>
          <w:szCs w:val="24"/>
        </w:rPr>
        <w:t>s</w:t>
      </w:r>
      <w:r w:rsidR="008426F8">
        <w:rPr>
          <w:rFonts w:ascii="Times New Roman" w:hAnsi="Times New Roman" w:cs="Times New Roman"/>
          <w:sz w:val="24"/>
          <w:szCs w:val="24"/>
        </w:rPr>
        <w:t xml:space="preserve"> </w:t>
      </w:r>
      <w:r w:rsidR="00AC5B39">
        <w:rPr>
          <w:rFonts w:ascii="Times New Roman" w:hAnsi="Times New Roman" w:cs="Times New Roman"/>
          <w:sz w:val="24"/>
          <w:szCs w:val="24"/>
        </w:rPr>
        <w:t>range</w:t>
      </w:r>
      <w:r w:rsidR="008426F8">
        <w:rPr>
          <w:rFonts w:ascii="Times New Roman" w:hAnsi="Times New Roman" w:cs="Times New Roman"/>
          <w:sz w:val="24"/>
          <w:szCs w:val="24"/>
        </w:rPr>
        <w:t xml:space="preserve"> from 0.86 (low) to 6.29 (high)</w:t>
      </w:r>
      <w:r w:rsidR="00730E93">
        <w:rPr>
          <w:rFonts w:ascii="Times New Roman" w:hAnsi="Times New Roman" w:cs="Times New Roman"/>
          <w:sz w:val="24"/>
          <w:szCs w:val="24"/>
        </w:rPr>
        <w:t>,</w:t>
      </w:r>
      <w:r w:rsidR="00047C59">
        <w:rPr>
          <w:rFonts w:ascii="Times New Roman" w:hAnsi="Times New Roman" w:cs="Times New Roman"/>
          <w:sz w:val="24"/>
          <w:szCs w:val="24"/>
        </w:rPr>
        <w:t xml:space="preserve"> representing a significant differen</w:t>
      </w:r>
      <w:r w:rsidR="00730E93">
        <w:rPr>
          <w:rFonts w:ascii="Times New Roman" w:hAnsi="Times New Roman" w:cs="Times New Roman"/>
          <w:sz w:val="24"/>
          <w:szCs w:val="24"/>
        </w:rPr>
        <w:t>ce</w:t>
      </w:r>
      <w:r w:rsidR="00047C59">
        <w:rPr>
          <w:rFonts w:ascii="Times New Roman" w:hAnsi="Times New Roman" w:cs="Times New Roman"/>
          <w:sz w:val="24"/>
          <w:szCs w:val="24"/>
        </w:rPr>
        <w:t xml:space="preserve"> between the extreme categories</w:t>
      </w:r>
      <w:r w:rsidR="008426F8">
        <w:rPr>
          <w:rFonts w:ascii="Times New Roman" w:hAnsi="Times New Roman" w:cs="Times New Roman"/>
          <w:sz w:val="24"/>
          <w:szCs w:val="24"/>
        </w:rPr>
        <w:t>.</w:t>
      </w:r>
      <w:r w:rsidR="001418D5">
        <w:rPr>
          <w:rFonts w:ascii="Times New Roman" w:hAnsi="Times New Roman" w:cs="Times New Roman"/>
          <w:sz w:val="24"/>
          <w:szCs w:val="24"/>
        </w:rPr>
        <w:t xml:space="preserve"> </w:t>
      </w:r>
      <w:r w:rsidR="00A26384">
        <w:rPr>
          <w:rFonts w:ascii="Times New Roman" w:hAnsi="Times New Roman" w:cs="Times New Roman"/>
          <w:sz w:val="24"/>
          <w:szCs w:val="24"/>
        </w:rPr>
        <w:t xml:space="preserve">There are some interesting observations across the countries. </w:t>
      </w:r>
      <w:r w:rsidR="006D42D9">
        <w:rPr>
          <w:rFonts w:ascii="Times New Roman" w:hAnsi="Times New Roman" w:cs="Times New Roman"/>
          <w:sz w:val="24"/>
          <w:szCs w:val="24"/>
        </w:rPr>
        <w:t>In the low HCE category</w:t>
      </w:r>
      <w:r w:rsidR="00556695">
        <w:rPr>
          <w:rFonts w:ascii="Times New Roman" w:hAnsi="Times New Roman" w:cs="Times New Roman"/>
          <w:sz w:val="24"/>
          <w:szCs w:val="24"/>
        </w:rPr>
        <w:t xml:space="preserve">, Spanish equity funds have </w:t>
      </w:r>
      <w:r w:rsidR="00F75EFA">
        <w:rPr>
          <w:rFonts w:ascii="Times New Roman" w:hAnsi="Times New Roman" w:cs="Times New Roman"/>
          <w:sz w:val="24"/>
          <w:szCs w:val="24"/>
        </w:rPr>
        <w:t xml:space="preserve">minimum </w:t>
      </w:r>
      <w:r w:rsidR="00BE6943">
        <w:rPr>
          <w:rFonts w:ascii="Times New Roman" w:hAnsi="Times New Roman" w:cs="Times New Roman"/>
          <w:sz w:val="24"/>
          <w:szCs w:val="24"/>
        </w:rPr>
        <w:t>efficiency (0.68)</w:t>
      </w:r>
      <w:r w:rsidR="00AC5B39">
        <w:rPr>
          <w:rFonts w:ascii="Times New Roman" w:hAnsi="Times New Roman" w:cs="Times New Roman"/>
          <w:sz w:val="24"/>
          <w:szCs w:val="24"/>
        </w:rPr>
        <w:t>.</w:t>
      </w:r>
      <w:r w:rsidR="00BE6943">
        <w:rPr>
          <w:rFonts w:ascii="Times New Roman" w:hAnsi="Times New Roman" w:cs="Times New Roman"/>
          <w:sz w:val="24"/>
          <w:szCs w:val="24"/>
        </w:rPr>
        <w:t xml:space="preserve"> </w:t>
      </w:r>
      <w:r w:rsidR="004F209E">
        <w:rPr>
          <w:rFonts w:ascii="Times New Roman" w:hAnsi="Times New Roman" w:cs="Times New Roman"/>
          <w:sz w:val="24"/>
          <w:szCs w:val="24"/>
        </w:rPr>
        <w:t xml:space="preserve">Among the high HCE classification, equity funds </w:t>
      </w:r>
      <w:r w:rsidR="00C16D1E">
        <w:rPr>
          <w:rFonts w:ascii="Times New Roman" w:hAnsi="Times New Roman" w:cs="Times New Roman"/>
          <w:sz w:val="24"/>
          <w:szCs w:val="24"/>
        </w:rPr>
        <w:t>in</w:t>
      </w:r>
      <w:r w:rsidR="004F209E">
        <w:rPr>
          <w:rFonts w:ascii="Times New Roman" w:hAnsi="Times New Roman" w:cs="Times New Roman"/>
          <w:sz w:val="24"/>
          <w:szCs w:val="24"/>
        </w:rPr>
        <w:t xml:space="preserve"> Belgium</w:t>
      </w:r>
      <w:r w:rsidR="00C16D1E">
        <w:rPr>
          <w:rFonts w:ascii="Times New Roman" w:hAnsi="Times New Roman" w:cs="Times New Roman"/>
          <w:sz w:val="24"/>
          <w:szCs w:val="24"/>
        </w:rPr>
        <w:t xml:space="preserve"> are at the bottom. </w:t>
      </w:r>
      <w:r w:rsidR="00C47186">
        <w:rPr>
          <w:rFonts w:ascii="Times New Roman" w:hAnsi="Times New Roman" w:cs="Times New Roman"/>
          <w:sz w:val="24"/>
          <w:szCs w:val="24"/>
        </w:rPr>
        <w:t xml:space="preserve">The funds based in Germany and France </w:t>
      </w:r>
      <w:r w:rsidR="00AC5B39">
        <w:rPr>
          <w:rFonts w:ascii="Times New Roman" w:hAnsi="Times New Roman" w:cs="Times New Roman"/>
          <w:sz w:val="24"/>
          <w:szCs w:val="24"/>
        </w:rPr>
        <w:t xml:space="preserve">represent </w:t>
      </w:r>
      <w:r w:rsidR="00730E93">
        <w:rPr>
          <w:rFonts w:ascii="Times New Roman" w:hAnsi="Times New Roman" w:cs="Times New Roman"/>
          <w:sz w:val="24"/>
          <w:szCs w:val="24"/>
        </w:rPr>
        <w:t xml:space="preserve">the </w:t>
      </w:r>
      <w:r w:rsidR="00AC5B39">
        <w:rPr>
          <w:rFonts w:ascii="Times New Roman" w:hAnsi="Times New Roman" w:cs="Times New Roman"/>
          <w:sz w:val="24"/>
          <w:szCs w:val="24"/>
        </w:rPr>
        <w:t>best efficiency across all categories</w:t>
      </w:r>
      <w:r w:rsidR="00047C59">
        <w:rPr>
          <w:rFonts w:ascii="Times New Roman" w:hAnsi="Times New Roman" w:cs="Times New Roman"/>
          <w:sz w:val="24"/>
          <w:szCs w:val="24"/>
        </w:rPr>
        <w:t xml:space="preserve"> of HCE</w:t>
      </w:r>
      <w:r w:rsidR="00AC5B39">
        <w:rPr>
          <w:rFonts w:ascii="Times New Roman" w:hAnsi="Times New Roman" w:cs="Times New Roman"/>
          <w:sz w:val="24"/>
          <w:szCs w:val="24"/>
        </w:rPr>
        <w:t xml:space="preserve"> from low to high.</w:t>
      </w:r>
    </w:p>
    <w:p w14:paraId="3223FBE1" w14:textId="77777777" w:rsidR="006D1CB9" w:rsidRDefault="006D1CB9" w:rsidP="002F75D4">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[Insert Table 4 about here]</w:t>
      </w:r>
    </w:p>
    <w:p w14:paraId="437301C7" w14:textId="2D896207" w:rsidR="00A8263B" w:rsidRDefault="006D1CB9" w:rsidP="00A826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w:t>
      </w:r>
      <w:r w:rsidR="00730E93">
        <w:rPr>
          <w:rFonts w:ascii="Times New Roman" w:hAnsi="Times New Roman" w:cs="Times New Roman"/>
          <w:sz w:val="24"/>
          <w:szCs w:val="24"/>
        </w:rPr>
        <w:t>f</w:t>
      </w:r>
      <w:r w:rsidR="006503C4">
        <w:rPr>
          <w:rFonts w:ascii="Times New Roman" w:hAnsi="Times New Roman" w:cs="Times New Roman"/>
          <w:sz w:val="24"/>
          <w:szCs w:val="24"/>
        </w:rPr>
        <w:t xml:space="preserve"> different risk</w:t>
      </w:r>
      <w:r w:rsidR="00730E93">
        <w:rPr>
          <w:rFonts w:ascii="Times New Roman" w:hAnsi="Times New Roman" w:cs="Times New Roman"/>
          <w:sz w:val="24"/>
          <w:szCs w:val="24"/>
        </w:rPr>
        <w:t>-</w:t>
      </w:r>
      <w:r w:rsidR="006503C4">
        <w:rPr>
          <w:rFonts w:ascii="Times New Roman" w:hAnsi="Times New Roman" w:cs="Times New Roman"/>
          <w:sz w:val="24"/>
          <w:szCs w:val="24"/>
        </w:rPr>
        <w:t xml:space="preserve">adjusted measures are presented in </w:t>
      </w:r>
      <w:r w:rsidR="00ED28A4">
        <w:rPr>
          <w:rFonts w:ascii="Times New Roman" w:hAnsi="Times New Roman" w:cs="Times New Roman"/>
          <w:sz w:val="24"/>
          <w:szCs w:val="24"/>
        </w:rPr>
        <w:t>T</w:t>
      </w:r>
      <w:r w:rsidR="006503C4">
        <w:rPr>
          <w:rFonts w:ascii="Times New Roman" w:hAnsi="Times New Roman" w:cs="Times New Roman"/>
          <w:sz w:val="24"/>
          <w:szCs w:val="24"/>
        </w:rPr>
        <w:t>able 5.</w:t>
      </w:r>
      <w:r w:rsidR="002F75D4">
        <w:rPr>
          <w:rFonts w:ascii="Times New Roman" w:hAnsi="Times New Roman" w:cs="Times New Roman"/>
          <w:sz w:val="24"/>
          <w:szCs w:val="24"/>
        </w:rPr>
        <w:t xml:space="preserve"> The funds with </w:t>
      </w:r>
      <w:r w:rsidR="0095425A">
        <w:rPr>
          <w:rFonts w:ascii="Times New Roman" w:hAnsi="Times New Roman" w:cs="Times New Roman"/>
          <w:sz w:val="24"/>
          <w:szCs w:val="24"/>
        </w:rPr>
        <w:t xml:space="preserve">higher </w:t>
      </w:r>
      <w:r w:rsidR="002F75D4">
        <w:rPr>
          <w:rFonts w:ascii="Times New Roman" w:hAnsi="Times New Roman" w:cs="Times New Roman"/>
          <w:sz w:val="24"/>
          <w:szCs w:val="24"/>
        </w:rPr>
        <w:t xml:space="preserve">HCE </w:t>
      </w:r>
      <w:r w:rsidR="0095425A">
        <w:rPr>
          <w:rFonts w:ascii="Times New Roman" w:hAnsi="Times New Roman" w:cs="Times New Roman"/>
          <w:sz w:val="24"/>
          <w:szCs w:val="24"/>
        </w:rPr>
        <w:t xml:space="preserve">outperform their counterparts with lower HCE for the </w:t>
      </w:r>
      <w:r w:rsidR="00730E93">
        <w:rPr>
          <w:rFonts w:ascii="Times New Roman" w:hAnsi="Times New Roman" w:cs="Times New Roman"/>
          <w:sz w:val="24"/>
          <w:szCs w:val="24"/>
        </w:rPr>
        <w:t>entir</w:t>
      </w:r>
      <w:r w:rsidR="0095425A">
        <w:rPr>
          <w:rFonts w:ascii="Times New Roman" w:hAnsi="Times New Roman" w:cs="Times New Roman"/>
          <w:sz w:val="24"/>
          <w:szCs w:val="24"/>
        </w:rPr>
        <w:t xml:space="preserve">e period. The funds that are included in </w:t>
      </w:r>
      <w:r w:rsidR="00730E93">
        <w:rPr>
          <w:rFonts w:ascii="Times New Roman" w:hAnsi="Times New Roman" w:cs="Times New Roman"/>
          <w:sz w:val="24"/>
          <w:szCs w:val="24"/>
        </w:rPr>
        <w:t xml:space="preserve">the </w:t>
      </w:r>
      <w:r w:rsidR="0095425A">
        <w:rPr>
          <w:rFonts w:ascii="Times New Roman" w:hAnsi="Times New Roman" w:cs="Times New Roman"/>
          <w:sz w:val="24"/>
          <w:szCs w:val="24"/>
        </w:rPr>
        <w:t xml:space="preserve">two lowest ranks of HCE have </w:t>
      </w:r>
      <w:r w:rsidR="00666496">
        <w:rPr>
          <w:rFonts w:ascii="Times New Roman" w:hAnsi="Times New Roman" w:cs="Times New Roman"/>
          <w:sz w:val="24"/>
          <w:szCs w:val="24"/>
        </w:rPr>
        <w:t>negativ</w:t>
      </w:r>
      <w:r w:rsidR="0095425A">
        <w:rPr>
          <w:rFonts w:ascii="Times New Roman" w:hAnsi="Times New Roman" w:cs="Times New Roman"/>
          <w:sz w:val="24"/>
          <w:szCs w:val="24"/>
        </w:rPr>
        <w:t>e risk</w:t>
      </w:r>
      <w:r w:rsidR="00730E93">
        <w:rPr>
          <w:rFonts w:ascii="Times New Roman" w:hAnsi="Times New Roman" w:cs="Times New Roman"/>
          <w:sz w:val="24"/>
          <w:szCs w:val="24"/>
        </w:rPr>
        <w:t>-</w:t>
      </w:r>
      <w:r w:rsidR="0095425A">
        <w:rPr>
          <w:rFonts w:ascii="Times New Roman" w:hAnsi="Times New Roman" w:cs="Times New Roman"/>
          <w:sz w:val="24"/>
          <w:szCs w:val="24"/>
        </w:rPr>
        <w:t xml:space="preserve">adjusted returns. This has been consistent </w:t>
      </w:r>
      <w:r w:rsidR="00797FC6">
        <w:rPr>
          <w:rFonts w:ascii="Times New Roman" w:hAnsi="Times New Roman" w:cs="Times New Roman"/>
          <w:sz w:val="24"/>
          <w:szCs w:val="24"/>
        </w:rPr>
        <w:t>when the risk is defined as total risk (Sharpe), systematic risk (Treynor), downside risk (</w:t>
      </w:r>
      <w:proofErr w:type="spellStart"/>
      <w:r w:rsidR="00797FC6">
        <w:rPr>
          <w:rFonts w:ascii="Times New Roman" w:hAnsi="Times New Roman" w:cs="Times New Roman"/>
          <w:sz w:val="24"/>
          <w:szCs w:val="24"/>
        </w:rPr>
        <w:t>Sortino</w:t>
      </w:r>
      <w:proofErr w:type="spellEnd"/>
      <w:r w:rsidR="00797FC6">
        <w:rPr>
          <w:rFonts w:ascii="Times New Roman" w:hAnsi="Times New Roman" w:cs="Times New Roman"/>
          <w:sz w:val="24"/>
          <w:szCs w:val="24"/>
        </w:rPr>
        <w:t>)</w:t>
      </w:r>
      <w:r w:rsidR="00666496">
        <w:rPr>
          <w:rFonts w:ascii="Times New Roman" w:hAnsi="Times New Roman" w:cs="Times New Roman"/>
          <w:sz w:val="24"/>
          <w:szCs w:val="24"/>
        </w:rPr>
        <w:t>,</w:t>
      </w:r>
      <w:r w:rsidR="00797FC6">
        <w:rPr>
          <w:rFonts w:ascii="Times New Roman" w:hAnsi="Times New Roman" w:cs="Times New Roman"/>
          <w:sz w:val="24"/>
          <w:szCs w:val="24"/>
        </w:rPr>
        <w:t xml:space="preserve"> or tracking error (Information ratio).</w:t>
      </w:r>
      <w:r w:rsidR="003B4FA3">
        <w:rPr>
          <w:rFonts w:ascii="Times New Roman" w:hAnsi="Times New Roman" w:cs="Times New Roman"/>
          <w:sz w:val="24"/>
          <w:szCs w:val="24"/>
        </w:rPr>
        <w:t xml:space="preserve"> Our Sharpe ratio for lowest HCE funds is -0.075 (Treynor -0.04, </w:t>
      </w:r>
      <w:proofErr w:type="spellStart"/>
      <w:r w:rsidR="003B4FA3">
        <w:rPr>
          <w:rFonts w:ascii="Times New Roman" w:hAnsi="Times New Roman" w:cs="Times New Roman"/>
          <w:sz w:val="24"/>
          <w:szCs w:val="24"/>
        </w:rPr>
        <w:t>Sortino</w:t>
      </w:r>
      <w:proofErr w:type="spellEnd"/>
      <w:r w:rsidR="003B4FA3">
        <w:rPr>
          <w:rFonts w:ascii="Times New Roman" w:hAnsi="Times New Roman" w:cs="Times New Roman"/>
          <w:sz w:val="24"/>
          <w:szCs w:val="24"/>
        </w:rPr>
        <w:t xml:space="preserve"> </w:t>
      </w:r>
      <w:r w:rsidR="006C6C12">
        <w:rPr>
          <w:rFonts w:ascii="Times New Roman" w:hAnsi="Times New Roman" w:cs="Times New Roman"/>
          <w:sz w:val="24"/>
          <w:szCs w:val="24"/>
        </w:rPr>
        <w:t>0.005</w:t>
      </w:r>
      <w:r w:rsidR="003B4FA3">
        <w:rPr>
          <w:rFonts w:ascii="Times New Roman" w:hAnsi="Times New Roman" w:cs="Times New Roman"/>
          <w:sz w:val="24"/>
          <w:szCs w:val="24"/>
        </w:rPr>
        <w:t>, IR -0.0105)</w:t>
      </w:r>
      <w:r w:rsidR="00666496">
        <w:rPr>
          <w:rFonts w:ascii="Times New Roman" w:hAnsi="Times New Roman" w:cs="Times New Roman"/>
          <w:sz w:val="24"/>
          <w:szCs w:val="24"/>
        </w:rPr>
        <w:t>,</w:t>
      </w:r>
      <w:r w:rsidR="003B4FA3">
        <w:rPr>
          <w:rFonts w:ascii="Times New Roman" w:hAnsi="Times New Roman" w:cs="Times New Roman"/>
          <w:sz w:val="24"/>
          <w:szCs w:val="24"/>
        </w:rPr>
        <w:t xml:space="preserve"> while for the </w:t>
      </w:r>
      <w:r w:rsidR="00666496">
        <w:rPr>
          <w:rFonts w:ascii="Times New Roman" w:hAnsi="Times New Roman" w:cs="Times New Roman"/>
          <w:sz w:val="24"/>
          <w:szCs w:val="24"/>
        </w:rPr>
        <w:t>top</w:t>
      </w:r>
      <w:r w:rsidR="003B4FA3">
        <w:rPr>
          <w:rFonts w:ascii="Times New Roman" w:hAnsi="Times New Roman" w:cs="Times New Roman"/>
          <w:sz w:val="24"/>
          <w:szCs w:val="24"/>
        </w:rPr>
        <w:t xml:space="preserve"> HCE category</w:t>
      </w:r>
      <w:r w:rsidR="00666496">
        <w:rPr>
          <w:rFonts w:ascii="Times New Roman" w:hAnsi="Times New Roman" w:cs="Times New Roman"/>
          <w:sz w:val="24"/>
          <w:szCs w:val="24"/>
        </w:rPr>
        <w:t>,</w:t>
      </w:r>
      <w:r w:rsidR="003B4FA3">
        <w:rPr>
          <w:rFonts w:ascii="Times New Roman" w:hAnsi="Times New Roman" w:cs="Times New Roman"/>
          <w:sz w:val="24"/>
          <w:szCs w:val="24"/>
        </w:rPr>
        <w:t xml:space="preserve"> it is 0.033 </w:t>
      </w:r>
      <w:r w:rsidR="006C6C12">
        <w:rPr>
          <w:rFonts w:ascii="Times New Roman" w:hAnsi="Times New Roman" w:cs="Times New Roman"/>
          <w:sz w:val="24"/>
          <w:szCs w:val="24"/>
        </w:rPr>
        <w:t xml:space="preserve">(Treynor 0.017, </w:t>
      </w:r>
      <w:proofErr w:type="spellStart"/>
      <w:r w:rsidR="006C6C12">
        <w:rPr>
          <w:rFonts w:ascii="Times New Roman" w:hAnsi="Times New Roman" w:cs="Times New Roman"/>
          <w:sz w:val="24"/>
          <w:szCs w:val="24"/>
        </w:rPr>
        <w:t>Sortino</w:t>
      </w:r>
      <w:proofErr w:type="spellEnd"/>
      <w:r w:rsidR="006C6C12">
        <w:rPr>
          <w:rFonts w:ascii="Times New Roman" w:hAnsi="Times New Roman" w:cs="Times New Roman"/>
          <w:sz w:val="24"/>
          <w:szCs w:val="24"/>
        </w:rPr>
        <w:t>, IR 0.002).</w:t>
      </w:r>
      <w:r w:rsidR="005D6830">
        <w:rPr>
          <w:rFonts w:ascii="Times New Roman" w:hAnsi="Times New Roman" w:cs="Times New Roman"/>
          <w:sz w:val="24"/>
          <w:szCs w:val="24"/>
        </w:rPr>
        <w:t xml:space="preserve"> These results are mostly significant at 1% and 5% level of significance.</w:t>
      </w:r>
      <w:r w:rsidR="006C6C12">
        <w:rPr>
          <w:rFonts w:ascii="Times New Roman" w:hAnsi="Times New Roman" w:cs="Times New Roman"/>
          <w:sz w:val="24"/>
          <w:szCs w:val="24"/>
        </w:rPr>
        <w:t xml:space="preserve"> </w:t>
      </w:r>
      <w:r w:rsidR="00D251FA">
        <w:rPr>
          <w:rFonts w:ascii="Times New Roman" w:hAnsi="Times New Roman" w:cs="Times New Roman"/>
          <w:sz w:val="24"/>
          <w:szCs w:val="24"/>
        </w:rPr>
        <w:t>An interesting observation is the performance of funds across</w:t>
      </w:r>
      <w:r w:rsidR="006C6C12">
        <w:rPr>
          <w:rFonts w:ascii="Times New Roman" w:hAnsi="Times New Roman" w:cs="Times New Roman"/>
          <w:sz w:val="24"/>
          <w:szCs w:val="24"/>
        </w:rPr>
        <w:t xml:space="preserve"> the</w:t>
      </w:r>
      <w:r w:rsidR="00D251FA">
        <w:rPr>
          <w:rFonts w:ascii="Times New Roman" w:hAnsi="Times New Roman" w:cs="Times New Roman"/>
          <w:sz w:val="24"/>
          <w:szCs w:val="24"/>
        </w:rPr>
        <w:t xml:space="preserve"> </w:t>
      </w:r>
      <w:r w:rsidR="001729B2">
        <w:rPr>
          <w:rFonts w:ascii="Times New Roman" w:hAnsi="Times New Roman" w:cs="Times New Roman"/>
          <w:sz w:val="24"/>
          <w:szCs w:val="24"/>
        </w:rPr>
        <w:t xml:space="preserve">HCE ranks. As we move from lower to higher HCE, </w:t>
      </w:r>
      <w:r w:rsidR="00DD7FFC">
        <w:rPr>
          <w:rFonts w:ascii="Times New Roman" w:hAnsi="Times New Roman" w:cs="Times New Roman"/>
          <w:sz w:val="24"/>
          <w:szCs w:val="24"/>
        </w:rPr>
        <w:t>the performance of funds improve significantly</w:t>
      </w:r>
      <w:r w:rsidR="00476115">
        <w:rPr>
          <w:rFonts w:ascii="Times New Roman" w:hAnsi="Times New Roman" w:cs="Times New Roman"/>
          <w:sz w:val="24"/>
          <w:szCs w:val="24"/>
        </w:rPr>
        <w:t>. This remain</w:t>
      </w:r>
      <w:r w:rsidR="00666496">
        <w:rPr>
          <w:rFonts w:ascii="Times New Roman" w:hAnsi="Times New Roman" w:cs="Times New Roman"/>
          <w:sz w:val="24"/>
          <w:szCs w:val="24"/>
        </w:rPr>
        <w:t>s</w:t>
      </w:r>
      <w:r w:rsidR="00476115">
        <w:rPr>
          <w:rFonts w:ascii="Times New Roman" w:hAnsi="Times New Roman" w:cs="Times New Roman"/>
          <w:sz w:val="24"/>
          <w:szCs w:val="24"/>
        </w:rPr>
        <w:t xml:space="preserve"> robust across </w:t>
      </w:r>
      <w:r w:rsidR="003B4FA3">
        <w:rPr>
          <w:rFonts w:ascii="Times New Roman" w:hAnsi="Times New Roman" w:cs="Times New Roman"/>
          <w:sz w:val="24"/>
          <w:szCs w:val="24"/>
        </w:rPr>
        <w:t>all</w:t>
      </w:r>
      <w:r w:rsidR="006C6C12">
        <w:rPr>
          <w:rFonts w:ascii="Times New Roman" w:hAnsi="Times New Roman" w:cs="Times New Roman"/>
          <w:sz w:val="24"/>
          <w:szCs w:val="24"/>
        </w:rPr>
        <w:t xml:space="preserve"> metrics and indicate</w:t>
      </w:r>
      <w:r w:rsidR="00666496">
        <w:rPr>
          <w:rFonts w:ascii="Times New Roman" w:hAnsi="Times New Roman" w:cs="Times New Roman"/>
          <w:sz w:val="24"/>
          <w:szCs w:val="24"/>
        </w:rPr>
        <w:t>s</w:t>
      </w:r>
      <w:r w:rsidR="006C6C12">
        <w:rPr>
          <w:rFonts w:ascii="Times New Roman" w:hAnsi="Times New Roman" w:cs="Times New Roman"/>
          <w:sz w:val="24"/>
          <w:szCs w:val="24"/>
        </w:rPr>
        <w:t xml:space="preserve"> the relevance of HCE towards </w:t>
      </w:r>
      <w:r w:rsidR="00666496">
        <w:rPr>
          <w:rFonts w:ascii="Times New Roman" w:hAnsi="Times New Roman" w:cs="Times New Roman"/>
          <w:sz w:val="24"/>
          <w:szCs w:val="24"/>
        </w:rPr>
        <w:t xml:space="preserve">the </w:t>
      </w:r>
      <w:r w:rsidR="006C6C12">
        <w:rPr>
          <w:rFonts w:ascii="Times New Roman" w:hAnsi="Times New Roman" w:cs="Times New Roman"/>
          <w:sz w:val="24"/>
          <w:szCs w:val="24"/>
        </w:rPr>
        <w:t>performance of equity funds.</w:t>
      </w:r>
    </w:p>
    <w:p w14:paraId="2982C094" w14:textId="00708685" w:rsidR="00820911" w:rsidRDefault="00A8263B" w:rsidP="00A826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B4FA3">
        <w:rPr>
          <w:rFonts w:ascii="Times New Roman" w:hAnsi="Times New Roman" w:cs="Times New Roman"/>
          <w:sz w:val="24"/>
          <w:szCs w:val="24"/>
        </w:rPr>
        <w:t>able</w:t>
      </w:r>
      <w:r>
        <w:rPr>
          <w:rFonts w:ascii="Times New Roman" w:hAnsi="Times New Roman" w:cs="Times New Roman"/>
          <w:sz w:val="24"/>
          <w:szCs w:val="24"/>
        </w:rPr>
        <w:t xml:space="preserve"> 5</w:t>
      </w:r>
      <w:r w:rsidR="003B4FA3">
        <w:rPr>
          <w:rFonts w:ascii="Times New Roman" w:hAnsi="Times New Roman" w:cs="Times New Roman"/>
          <w:sz w:val="24"/>
          <w:szCs w:val="24"/>
        </w:rPr>
        <w:t xml:space="preserve"> also present</w:t>
      </w:r>
      <w:r w:rsidR="00666496">
        <w:rPr>
          <w:rFonts w:ascii="Times New Roman" w:hAnsi="Times New Roman" w:cs="Times New Roman"/>
          <w:sz w:val="24"/>
          <w:szCs w:val="24"/>
        </w:rPr>
        <w:t>s</w:t>
      </w:r>
      <w:r w:rsidR="003B4FA3">
        <w:rPr>
          <w:rFonts w:ascii="Times New Roman" w:hAnsi="Times New Roman" w:cs="Times New Roman"/>
          <w:sz w:val="24"/>
          <w:szCs w:val="24"/>
        </w:rPr>
        <w:t xml:space="preserve"> </w:t>
      </w:r>
      <w:r w:rsidR="00666496">
        <w:rPr>
          <w:rFonts w:ascii="Times New Roman" w:hAnsi="Times New Roman" w:cs="Times New Roman"/>
          <w:sz w:val="24"/>
          <w:szCs w:val="24"/>
        </w:rPr>
        <w:t xml:space="preserve">the </w:t>
      </w:r>
      <w:r w:rsidR="003B4FA3">
        <w:rPr>
          <w:rFonts w:ascii="Times New Roman" w:hAnsi="Times New Roman" w:cs="Times New Roman"/>
          <w:sz w:val="24"/>
          <w:szCs w:val="24"/>
        </w:rPr>
        <w:t>results for the three stages of</w:t>
      </w:r>
      <w:r w:rsidR="00ED28A4">
        <w:rPr>
          <w:rFonts w:ascii="Times New Roman" w:hAnsi="Times New Roman" w:cs="Times New Roman"/>
          <w:sz w:val="24"/>
          <w:szCs w:val="24"/>
        </w:rPr>
        <w:t xml:space="preserve"> the</w:t>
      </w:r>
      <w:r w:rsidR="003B4FA3">
        <w:rPr>
          <w:rFonts w:ascii="Times New Roman" w:hAnsi="Times New Roman" w:cs="Times New Roman"/>
          <w:sz w:val="24"/>
          <w:szCs w:val="24"/>
        </w:rPr>
        <w:t xml:space="preserve"> </w:t>
      </w:r>
      <w:r w:rsidR="00ED28A4">
        <w:rPr>
          <w:rFonts w:ascii="Times New Roman" w:hAnsi="Times New Roman" w:cs="Times New Roman"/>
          <w:sz w:val="24"/>
          <w:szCs w:val="24"/>
        </w:rPr>
        <w:t>COVID</w:t>
      </w:r>
      <w:r w:rsidR="003B4FA3">
        <w:rPr>
          <w:rFonts w:ascii="Times New Roman" w:hAnsi="Times New Roman" w:cs="Times New Roman"/>
          <w:sz w:val="24"/>
          <w:szCs w:val="24"/>
        </w:rPr>
        <w:t>-19</w:t>
      </w:r>
      <w:r w:rsidR="00ED28A4">
        <w:rPr>
          <w:rFonts w:ascii="Times New Roman" w:hAnsi="Times New Roman" w:cs="Times New Roman"/>
          <w:sz w:val="24"/>
          <w:szCs w:val="24"/>
        </w:rPr>
        <w:t xml:space="preserve"> crisis</w:t>
      </w:r>
      <w:r w:rsidR="006C6C12">
        <w:rPr>
          <w:rFonts w:ascii="Times New Roman" w:hAnsi="Times New Roman" w:cs="Times New Roman"/>
          <w:sz w:val="24"/>
          <w:szCs w:val="24"/>
        </w:rPr>
        <w:t xml:space="preserve">. During </w:t>
      </w:r>
      <w:r w:rsidR="00666496">
        <w:rPr>
          <w:rFonts w:ascii="Times New Roman" w:hAnsi="Times New Roman" w:cs="Times New Roman"/>
          <w:sz w:val="24"/>
          <w:szCs w:val="24"/>
        </w:rPr>
        <w:t>phas</w:t>
      </w:r>
      <w:r w:rsidR="006C6C12">
        <w:rPr>
          <w:rFonts w:ascii="Times New Roman" w:hAnsi="Times New Roman" w:cs="Times New Roman"/>
          <w:sz w:val="24"/>
          <w:szCs w:val="24"/>
        </w:rPr>
        <w:t>e 1</w:t>
      </w:r>
      <w:r>
        <w:rPr>
          <w:rFonts w:ascii="Times New Roman" w:hAnsi="Times New Roman" w:cs="Times New Roman"/>
          <w:sz w:val="24"/>
          <w:szCs w:val="24"/>
        </w:rPr>
        <w:t xml:space="preserve"> of the pandemic</w:t>
      </w:r>
      <w:r w:rsidR="006C6C12">
        <w:rPr>
          <w:rFonts w:ascii="Times New Roman" w:hAnsi="Times New Roman" w:cs="Times New Roman"/>
          <w:sz w:val="24"/>
          <w:szCs w:val="24"/>
        </w:rPr>
        <w:t xml:space="preserve">, all funds </w:t>
      </w:r>
      <w:r w:rsidR="00FC7695">
        <w:rPr>
          <w:rFonts w:ascii="Times New Roman" w:hAnsi="Times New Roman" w:cs="Times New Roman"/>
          <w:sz w:val="24"/>
          <w:szCs w:val="24"/>
        </w:rPr>
        <w:t>demonstrated</w:t>
      </w:r>
      <w:r w:rsidR="006C6C12">
        <w:rPr>
          <w:rFonts w:ascii="Times New Roman" w:hAnsi="Times New Roman" w:cs="Times New Roman"/>
          <w:sz w:val="24"/>
          <w:szCs w:val="24"/>
        </w:rPr>
        <w:t xml:space="preserve"> positive performance</w:t>
      </w:r>
      <w:r w:rsidR="00666496">
        <w:rPr>
          <w:rFonts w:ascii="Times New Roman" w:hAnsi="Times New Roman" w:cs="Times New Roman"/>
          <w:sz w:val="24"/>
          <w:szCs w:val="24"/>
        </w:rPr>
        <w:t>,</w:t>
      </w:r>
      <w:r w:rsidR="00FC7695">
        <w:rPr>
          <w:rFonts w:ascii="Times New Roman" w:hAnsi="Times New Roman" w:cs="Times New Roman"/>
          <w:sz w:val="24"/>
          <w:szCs w:val="24"/>
        </w:rPr>
        <w:t xml:space="preserve"> </w:t>
      </w:r>
      <w:r w:rsidR="005646E4">
        <w:rPr>
          <w:rFonts w:ascii="Times New Roman" w:hAnsi="Times New Roman" w:cs="Times New Roman"/>
          <w:sz w:val="24"/>
          <w:szCs w:val="24"/>
        </w:rPr>
        <w:t>which is plausible because</w:t>
      </w:r>
      <w:r w:rsidR="00666496">
        <w:rPr>
          <w:rFonts w:ascii="Times New Roman" w:hAnsi="Times New Roman" w:cs="Times New Roman"/>
          <w:sz w:val="24"/>
          <w:szCs w:val="24"/>
        </w:rPr>
        <w:t>,</w:t>
      </w:r>
      <w:r w:rsidR="005646E4">
        <w:rPr>
          <w:rFonts w:ascii="Times New Roman" w:hAnsi="Times New Roman" w:cs="Times New Roman"/>
          <w:sz w:val="24"/>
          <w:szCs w:val="24"/>
        </w:rPr>
        <w:t xml:space="preserve"> at that time</w:t>
      </w:r>
      <w:r w:rsidR="00666496">
        <w:rPr>
          <w:rFonts w:ascii="Times New Roman" w:hAnsi="Times New Roman" w:cs="Times New Roman"/>
          <w:sz w:val="24"/>
          <w:szCs w:val="24"/>
        </w:rPr>
        <w:t>,</w:t>
      </w:r>
      <w:r w:rsidR="005646E4">
        <w:rPr>
          <w:rFonts w:ascii="Times New Roman" w:hAnsi="Times New Roman" w:cs="Times New Roman"/>
          <w:sz w:val="24"/>
          <w:szCs w:val="24"/>
        </w:rPr>
        <w:t xml:space="preserve"> none of the countries in our sample were</w:t>
      </w:r>
      <w:r w:rsidR="0042787B">
        <w:rPr>
          <w:rFonts w:ascii="Times New Roman" w:hAnsi="Times New Roman" w:cs="Times New Roman"/>
          <w:sz w:val="24"/>
          <w:szCs w:val="24"/>
        </w:rPr>
        <w:t xml:space="preserve"> significantly</w:t>
      </w:r>
      <w:r w:rsidR="005646E4">
        <w:rPr>
          <w:rFonts w:ascii="Times New Roman" w:hAnsi="Times New Roman" w:cs="Times New Roman"/>
          <w:sz w:val="24"/>
          <w:szCs w:val="24"/>
        </w:rPr>
        <w:t xml:space="preserve"> impacted. The contagion was mostly contained within China and </w:t>
      </w:r>
      <w:r w:rsidR="00820911">
        <w:rPr>
          <w:rFonts w:ascii="Times New Roman" w:hAnsi="Times New Roman" w:cs="Times New Roman"/>
          <w:sz w:val="24"/>
          <w:szCs w:val="24"/>
        </w:rPr>
        <w:t xml:space="preserve">some countries in </w:t>
      </w:r>
      <w:r w:rsidR="00666496">
        <w:rPr>
          <w:rFonts w:ascii="Times New Roman" w:hAnsi="Times New Roman" w:cs="Times New Roman"/>
          <w:sz w:val="24"/>
          <w:szCs w:val="24"/>
        </w:rPr>
        <w:t xml:space="preserve">the </w:t>
      </w:r>
      <w:r w:rsidR="00820911">
        <w:rPr>
          <w:rFonts w:ascii="Times New Roman" w:hAnsi="Times New Roman" w:cs="Times New Roman"/>
          <w:sz w:val="24"/>
          <w:szCs w:val="24"/>
        </w:rPr>
        <w:t xml:space="preserve">Asia Pacific. In terms of HCE, the funds in the </w:t>
      </w:r>
      <w:r w:rsidR="00820911">
        <w:rPr>
          <w:rFonts w:ascii="Times New Roman" w:hAnsi="Times New Roman" w:cs="Times New Roman"/>
          <w:sz w:val="24"/>
          <w:szCs w:val="24"/>
        </w:rPr>
        <w:lastRenderedPageBreak/>
        <w:t>high category remai</w:t>
      </w:r>
      <w:r w:rsidR="005D6830">
        <w:rPr>
          <w:rFonts w:ascii="Times New Roman" w:hAnsi="Times New Roman" w:cs="Times New Roman"/>
          <w:sz w:val="24"/>
          <w:szCs w:val="24"/>
        </w:rPr>
        <w:t>ned dominant during this period</w:t>
      </w:r>
      <w:r w:rsidR="00666496">
        <w:rPr>
          <w:rFonts w:ascii="Times New Roman" w:hAnsi="Times New Roman" w:cs="Times New Roman"/>
          <w:sz w:val="24"/>
          <w:szCs w:val="24"/>
        </w:rPr>
        <w:t>,</w:t>
      </w:r>
      <w:r w:rsidR="005D6830">
        <w:rPr>
          <w:rFonts w:ascii="Times New Roman" w:hAnsi="Times New Roman" w:cs="Times New Roman"/>
          <w:sz w:val="24"/>
          <w:szCs w:val="24"/>
        </w:rPr>
        <w:t xml:space="preserve"> while for the funds with low HCE</w:t>
      </w:r>
      <w:r w:rsidR="00666496">
        <w:rPr>
          <w:rFonts w:ascii="Times New Roman" w:hAnsi="Times New Roman" w:cs="Times New Roman"/>
          <w:sz w:val="24"/>
          <w:szCs w:val="24"/>
        </w:rPr>
        <w:t>,</w:t>
      </w:r>
      <w:r w:rsidR="005D6830">
        <w:rPr>
          <w:rFonts w:ascii="Times New Roman" w:hAnsi="Times New Roman" w:cs="Times New Roman"/>
          <w:sz w:val="24"/>
          <w:szCs w:val="24"/>
        </w:rPr>
        <w:t xml:space="preserve"> risk</w:t>
      </w:r>
      <w:r w:rsidR="00666496">
        <w:rPr>
          <w:rFonts w:ascii="Times New Roman" w:hAnsi="Times New Roman" w:cs="Times New Roman"/>
          <w:sz w:val="24"/>
          <w:szCs w:val="24"/>
        </w:rPr>
        <w:t>-</w:t>
      </w:r>
      <w:r w:rsidR="005D6830">
        <w:rPr>
          <w:rFonts w:ascii="Times New Roman" w:hAnsi="Times New Roman" w:cs="Times New Roman"/>
          <w:sz w:val="24"/>
          <w:szCs w:val="24"/>
        </w:rPr>
        <w:t>adjusted returns were lower</w:t>
      </w:r>
      <w:r w:rsidR="00666496">
        <w:rPr>
          <w:rFonts w:ascii="Times New Roman" w:hAnsi="Times New Roman" w:cs="Times New Roman"/>
          <w:sz w:val="24"/>
          <w:szCs w:val="24"/>
        </w:rPr>
        <w:t>,</w:t>
      </w:r>
      <w:r w:rsidR="005D6830">
        <w:rPr>
          <w:rFonts w:ascii="Times New Roman" w:hAnsi="Times New Roman" w:cs="Times New Roman"/>
          <w:sz w:val="24"/>
          <w:szCs w:val="24"/>
        </w:rPr>
        <w:t xml:space="preserve"> albeit positive.</w:t>
      </w:r>
    </w:p>
    <w:p w14:paraId="1822BF71" w14:textId="77777777" w:rsidR="004C2000" w:rsidRDefault="00820911" w:rsidP="00FE0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67E1E">
        <w:rPr>
          <w:rFonts w:ascii="Times New Roman" w:hAnsi="Times New Roman" w:cs="Times New Roman"/>
          <w:sz w:val="24"/>
          <w:szCs w:val="24"/>
        </w:rPr>
        <w:tab/>
      </w:r>
      <w:r w:rsidR="00167E1E">
        <w:rPr>
          <w:rFonts w:ascii="Times New Roman" w:hAnsi="Times New Roman" w:cs="Times New Roman"/>
          <w:sz w:val="24"/>
          <w:szCs w:val="24"/>
        </w:rPr>
        <w:tab/>
      </w:r>
      <w:r w:rsidR="00167E1E">
        <w:rPr>
          <w:rFonts w:ascii="Times New Roman" w:hAnsi="Times New Roman" w:cs="Times New Roman"/>
          <w:sz w:val="24"/>
          <w:szCs w:val="24"/>
        </w:rPr>
        <w:tab/>
      </w:r>
      <w:r w:rsidR="00167E1E">
        <w:rPr>
          <w:rFonts w:ascii="Times New Roman" w:hAnsi="Times New Roman" w:cs="Times New Roman"/>
          <w:sz w:val="24"/>
          <w:szCs w:val="24"/>
        </w:rPr>
        <w:tab/>
        <w:t>[Insert table 5 about here]</w:t>
      </w:r>
    </w:p>
    <w:p w14:paraId="08170515" w14:textId="33A29CA9" w:rsidR="005B2F49" w:rsidRDefault="00666496" w:rsidP="004C2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820911">
        <w:rPr>
          <w:rFonts w:ascii="Times New Roman" w:hAnsi="Times New Roman" w:cs="Times New Roman"/>
          <w:sz w:val="24"/>
          <w:szCs w:val="24"/>
        </w:rPr>
        <w:t>tage 2</w:t>
      </w:r>
      <w:r w:rsidR="00A8263B">
        <w:rPr>
          <w:rFonts w:ascii="Times New Roman" w:hAnsi="Times New Roman" w:cs="Times New Roman"/>
          <w:sz w:val="24"/>
          <w:szCs w:val="24"/>
        </w:rPr>
        <w:t xml:space="preserve"> of our analysis presents the results for </w:t>
      </w:r>
      <w:r w:rsidR="00820911">
        <w:rPr>
          <w:rFonts w:ascii="Times New Roman" w:hAnsi="Times New Roman" w:cs="Times New Roman"/>
          <w:sz w:val="24"/>
          <w:szCs w:val="24"/>
        </w:rPr>
        <w:t>the mo</w:t>
      </w:r>
      <w:r w:rsidR="005D6830">
        <w:rPr>
          <w:rFonts w:ascii="Times New Roman" w:hAnsi="Times New Roman" w:cs="Times New Roman"/>
          <w:sz w:val="24"/>
          <w:szCs w:val="24"/>
        </w:rPr>
        <w:t xml:space="preserve">st devastating period </w:t>
      </w:r>
      <w:r w:rsidR="00A8263B">
        <w:rPr>
          <w:rFonts w:ascii="Times New Roman" w:hAnsi="Times New Roman" w:cs="Times New Roman"/>
          <w:sz w:val="24"/>
          <w:szCs w:val="24"/>
        </w:rPr>
        <w:t>of COVID-19 in</w:t>
      </w:r>
      <w:r w:rsidR="005D683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D6830">
        <w:rPr>
          <w:rFonts w:ascii="Times New Roman" w:hAnsi="Times New Roman" w:cs="Times New Roman"/>
          <w:sz w:val="24"/>
          <w:szCs w:val="24"/>
        </w:rPr>
        <w:t xml:space="preserve">EU. This </w:t>
      </w:r>
      <w:r>
        <w:rPr>
          <w:rFonts w:ascii="Times New Roman" w:hAnsi="Times New Roman" w:cs="Times New Roman"/>
          <w:sz w:val="24"/>
          <w:szCs w:val="24"/>
        </w:rPr>
        <w:t>wa</w:t>
      </w:r>
      <w:r w:rsidR="005D6830">
        <w:rPr>
          <w:rFonts w:ascii="Times New Roman" w:hAnsi="Times New Roman" w:cs="Times New Roman"/>
          <w:sz w:val="24"/>
          <w:szCs w:val="24"/>
        </w:rPr>
        <w:t>s when Europe became the new epicenter of the disease</w:t>
      </w:r>
      <w:r>
        <w:rPr>
          <w:rFonts w:ascii="Times New Roman" w:hAnsi="Times New Roman" w:cs="Times New Roman"/>
          <w:sz w:val="24"/>
          <w:szCs w:val="24"/>
        </w:rPr>
        <w:t>,</w:t>
      </w:r>
      <w:r w:rsidR="005D6830">
        <w:rPr>
          <w:rFonts w:ascii="Times New Roman" w:hAnsi="Times New Roman" w:cs="Times New Roman"/>
          <w:sz w:val="24"/>
          <w:szCs w:val="24"/>
        </w:rPr>
        <w:t xml:space="preserve"> and financial systems across member states came under stress.</w:t>
      </w:r>
      <w:r w:rsidR="00820911">
        <w:rPr>
          <w:rFonts w:ascii="Times New Roman" w:hAnsi="Times New Roman" w:cs="Times New Roman"/>
          <w:sz w:val="24"/>
          <w:szCs w:val="24"/>
        </w:rPr>
        <w:t xml:space="preserve"> </w:t>
      </w:r>
      <w:r w:rsidR="00A8263B">
        <w:rPr>
          <w:rFonts w:ascii="Times New Roman" w:hAnsi="Times New Roman" w:cs="Times New Roman"/>
          <w:sz w:val="24"/>
          <w:szCs w:val="24"/>
        </w:rPr>
        <w:t>We</w:t>
      </w:r>
      <w:r w:rsidR="00820911">
        <w:rPr>
          <w:rFonts w:ascii="Times New Roman" w:hAnsi="Times New Roman" w:cs="Times New Roman"/>
          <w:sz w:val="24"/>
          <w:szCs w:val="24"/>
        </w:rPr>
        <w:t xml:space="preserve"> can </w:t>
      </w:r>
      <w:r w:rsidR="00A8263B">
        <w:rPr>
          <w:rFonts w:ascii="Times New Roman" w:hAnsi="Times New Roman" w:cs="Times New Roman"/>
          <w:sz w:val="24"/>
          <w:szCs w:val="24"/>
        </w:rPr>
        <w:t>observe</w:t>
      </w:r>
      <w:r w:rsidR="00820911">
        <w:rPr>
          <w:rFonts w:ascii="Times New Roman" w:hAnsi="Times New Roman" w:cs="Times New Roman"/>
          <w:sz w:val="24"/>
          <w:szCs w:val="24"/>
        </w:rPr>
        <w:t xml:space="preserve"> that funds in three out of five HCE categories plunged into </w:t>
      </w:r>
      <w:r>
        <w:rPr>
          <w:rFonts w:ascii="Times New Roman" w:hAnsi="Times New Roman" w:cs="Times New Roman"/>
          <w:sz w:val="24"/>
          <w:szCs w:val="24"/>
        </w:rPr>
        <w:t xml:space="preserve">the </w:t>
      </w:r>
      <w:r w:rsidR="00820911">
        <w:rPr>
          <w:rFonts w:ascii="Times New Roman" w:hAnsi="Times New Roman" w:cs="Times New Roman"/>
          <w:sz w:val="24"/>
          <w:szCs w:val="24"/>
        </w:rPr>
        <w:t>negative</w:t>
      </w:r>
      <w:r w:rsidR="00214C31">
        <w:rPr>
          <w:rFonts w:ascii="Times New Roman" w:hAnsi="Times New Roman" w:cs="Times New Roman"/>
          <w:sz w:val="24"/>
          <w:szCs w:val="24"/>
        </w:rPr>
        <w:t xml:space="preserve"> zone.</w:t>
      </w:r>
      <w:r w:rsidR="004C70B8">
        <w:rPr>
          <w:rFonts w:ascii="Times New Roman" w:hAnsi="Times New Roman" w:cs="Times New Roman"/>
          <w:sz w:val="24"/>
          <w:szCs w:val="24"/>
        </w:rPr>
        <w:t xml:space="preserve"> These low to medium HCE categories represent 60% of our total sample.</w:t>
      </w:r>
      <w:r w:rsidR="00214C31">
        <w:rPr>
          <w:rFonts w:ascii="Times New Roman" w:hAnsi="Times New Roman" w:cs="Times New Roman"/>
          <w:sz w:val="24"/>
          <w:szCs w:val="24"/>
        </w:rPr>
        <w:t xml:space="preserve"> The two </w:t>
      </w:r>
      <w:r w:rsidR="004C70B8">
        <w:rPr>
          <w:rFonts w:ascii="Times New Roman" w:hAnsi="Times New Roman" w:cs="Times New Roman"/>
          <w:sz w:val="24"/>
          <w:szCs w:val="24"/>
        </w:rPr>
        <w:t>classifications</w:t>
      </w:r>
      <w:r w:rsidR="00214C31">
        <w:rPr>
          <w:rFonts w:ascii="Times New Roman" w:hAnsi="Times New Roman" w:cs="Times New Roman"/>
          <w:sz w:val="24"/>
          <w:szCs w:val="24"/>
        </w:rPr>
        <w:t xml:space="preserve"> that have funds with high HCE continued to resist</w:t>
      </w:r>
      <w:r>
        <w:rPr>
          <w:rFonts w:ascii="Times New Roman" w:hAnsi="Times New Roman" w:cs="Times New Roman"/>
          <w:sz w:val="24"/>
          <w:szCs w:val="24"/>
        </w:rPr>
        <w:t>,</w:t>
      </w:r>
      <w:r w:rsidR="00214C31">
        <w:rPr>
          <w:rFonts w:ascii="Times New Roman" w:hAnsi="Times New Roman" w:cs="Times New Roman"/>
          <w:sz w:val="24"/>
          <w:szCs w:val="24"/>
        </w:rPr>
        <w:t xml:space="preserve"> and for </w:t>
      </w:r>
      <w:r w:rsidR="000F1338">
        <w:rPr>
          <w:rFonts w:ascii="Times New Roman" w:hAnsi="Times New Roman" w:cs="Times New Roman"/>
          <w:sz w:val="24"/>
          <w:szCs w:val="24"/>
        </w:rPr>
        <w:t>these</w:t>
      </w:r>
      <w:r>
        <w:rPr>
          <w:rFonts w:ascii="Times New Roman" w:hAnsi="Times New Roman" w:cs="Times New Roman"/>
          <w:sz w:val="24"/>
          <w:szCs w:val="24"/>
        </w:rPr>
        <w:t>,</w:t>
      </w:r>
      <w:r w:rsidR="00214C31">
        <w:rPr>
          <w:rFonts w:ascii="Times New Roman" w:hAnsi="Times New Roman" w:cs="Times New Roman"/>
          <w:sz w:val="24"/>
          <w:szCs w:val="24"/>
        </w:rPr>
        <w:t xml:space="preserve"> we observe a Sharpe ratio of 0.023 and 0.0125. </w:t>
      </w:r>
      <w:r w:rsidR="00A8263B">
        <w:rPr>
          <w:rFonts w:ascii="Times New Roman" w:hAnsi="Times New Roman" w:cs="Times New Roman"/>
          <w:sz w:val="24"/>
          <w:szCs w:val="24"/>
        </w:rPr>
        <w:t xml:space="preserve">These results demonstrate </w:t>
      </w:r>
      <w:r>
        <w:rPr>
          <w:rFonts w:ascii="Times New Roman" w:hAnsi="Times New Roman" w:cs="Times New Roman"/>
          <w:sz w:val="24"/>
          <w:szCs w:val="24"/>
        </w:rPr>
        <w:t xml:space="preserve">the </w:t>
      </w:r>
      <w:r w:rsidR="00A8263B">
        <w:rPr>
          <w:rFonts w:ascii="Times New Roman" w:hAnsi="Times New Roman" w:cs="Times New Roman"/>
          <w:sz w:val="24"/>
          <w:szCs w:val="24"/>
        </w:rPr>
        <w:t>better coping ability of fund with higher HCE.</w:t>
      </w:r>
    </w:p>
    <w:p w14:paraId="762A9E7D" w14:textId="5D8DA809" w:rsidR="00F80413" w:rsidRDefault="000F1338" w:rsidP="005B2F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stage 3</w:t>
      </w:r>
      <w:r w:rsidR="00A8263B">
        <w:rPr>
          <w:rFonts w:ascii="Times New Roman" w:hAnsi="Times New Roman" w:cs="Times New Roman"/>
          <w:sz w:val="24"/>
          <w:szCs w:val="24"/>
        </w:rPr>
        <w:t>, in the final subperiod analyzed</w:t>
      </w:r>
      <w:r>
        <w:rPr>
          <w:rFonts w:ascii="Times New Roman" w:hAnsi="Times New Roman" w:cs="Times New Roman"/>
          <w:sz w:val="24"/>
          <w:szCs w:val="24"/>
        </w:rPr>
        <w:t>, the curve flattened</w:t>
      </w:r>
      <w:r w:rsidR="004C70B8">
        <w:rPr>
          <w:rFonts w:ascii="Times New Roman" w:hAnsi="Times New Roman" w:cs="Times New Roman"/>
          <w:sz w:val="24"/>
          <w:szCs w:val="24"/>
        </w:rPr>
        <w:t xml:space="preserve"> with regression in </w:t>
      </w:r>
      <w:r w:rsidR="00666496">
        <w:rPr>
          <w:rFonts w:ascii="Times New Roman" w:hAnsi="Times New Roman" w:cs="Times New Roman"/>
          <w:sz w:val="24"/>
          <w:szCs w:val="24"/>
        </w:rPr>
        <w:t xml:space="preserve">the </w:t>
      </w:r>
      <w:r w:rsidR="004C70B8">
        <w:rPr>
          <w:rFonts w:ascii="Times New Roman" w:hAnsi="Times New Roman" w:cs="Times New Roman"/>
          <w:sz w:val="24"/>
          <w:szCs w:val="24"/>
        </w:rPr>
        <w:t xml:space="preserve">growth of new and hospitalized cases. </w:t>
      </w:r>
      <w:r w:rsidR="005B2F49">
        <w:rPr>
          <w:rFonts w:ascii="Times New Roman" w:hAnsi="Times New Roman" w:cs="Times New Roman"/>
          <w:sz w:val="24"/>
          <w:szCs w:val="24"/>
        </w:rPr>
        <w:t xml:space="preserve">This enabled the states to revive the economic activity resulting in moderate improvement in </w:t>
      </w:r>
      <w:r w:rsidR="00A76ACD">
        <w:rPr>
          <w:rFonts w:ascii="Times New Roman" w:hAnsi="Times New Roman" w:cs="Times New Roman"/>
          <w:sz w:val="24"/>
          <w:szCs w:val="24"/>
        </w:rPr>
        <w:t xml:space="preserve">the </w:t>
      </w:r>
      <w:r w:rsidR="005B2F49">
        <w:rPr>
          <w:rFonts w:ascii="Times New Roman" w:hAnsi="Times New Roman" w:cs="Times New Roman"/>
          <w:sz w:val="24"/>
          <w:szCs w:val="24"/>
        </w:rPr>
        <w:t>financial market. We observe this impact with modest</w:t>
      </w:r>
      <w:r>
        <w:rPr>
          <w:rFonts w:ascii="Times New Roman" w:hAnsi="Times New Roman" w:cs="Times New Roman"/>
          <w:sz w:val="24"/>
          <w:szCs w:val="24"/>
        </w:rPr>
        <w:t xml:space="preserve"> </w:t>
      </w:r>
      <w:r w:rsidR="005B2F49">
        <w:rPr>
          <w:rFonts w:ascii="Times New Roman" w:hAnsi="Times New Roman" w:cs="Times New Roman"/>
          <w:sz w:val="24"/>
          <w:szCs w:val="24"/>
        </w:rPr>
        <w:t>amelioration</w:t>
      </w:r>
      <w:r>
        <w:rPr>
          <w:rFonts w:ascii="Times New Roman" w:hAnsi="Times New Roman" w:cs="Times New Roman"/>
          <w:sz w:val="24"/>
          <w:szCs w:val="24"/>
        </w:rPr>
        <w:t xml:space="preserve"> in funds’ </w:t>
      </w:r>
      <w:r w:rsidR="005B2F49">
        <w:rPr>
          <w:rFonts w:ascii="Times New Roman" w:hAnsi="Times New Roman" w:cs="Times New Roman"/>
          <w:sz w:val="24"/>
          <w:szCs w:val="24"/>
        </w:rPr>
        <w:t>risk</w:t>
      </w:r>
      <w:r w:rsidR="00A76ACD">
        <w:rPr>
          <w:rFonts w:ascii="Times New Roman" w:hAnsi="Times New Roman" w:cs="Times New Roman"/>
          <w:sz w:val="24"/>
          <w:szCs w:val="24"/>
        </w:rPr>
        <w:t>-</w:t>
      </w:r>
      <w:r w:rsidR="005B2F49">
        <w:rPr>
          <w:rFonts w:ascii="Times New Roman" w:hAnsi="Times New Roman" w:cs="Times New Roman"/>
          <w:sz w:val="24"/>
          <w:szCs w:val="24"/>
        </w:rPr>
        <w:t>adjusted returns</w:t>
      </w:r>
      <w:r>
        <w:rPr>
          <w:rFonts w:ascii="Times New Roman" w:hAnsi="Times New Roman" w:cs="Times New Roman"/>
          <w:sz w:val="24"/>
          <w:szCs w:val="24"/>
        </w:rPr>
        <w:t>. The influence of HCE remained consistent</w:t>
      </w:r>
      <w:r w:rsidR="00A76ACD">
        <w:rPr>
          <w:rFonts w:ascii="Times New Roman" w:hAnsi="Times New Roman" w:cs="Times New Roman"/>
          <w:sz w:val="24"/>
          <w:szCs w:val="24"/>
        </w:rPr>
        <w:t>,</w:t>
      </w:r>
      <w:r>
        <w:rPr>
          <w:rFonts w:ascii="Times New Roman" w:hAnsi="Times New Roman" w:cs="Times New Roman"/>
          <w:sz w:val="24"/>
          <w:szCs w:val="24"/>
        </w:rPr>
        <w:t xml:space="preserve"> and </w:t>
      </w:r>
      <w:r w:rsidR="00D77994">
        <w:rPr>
          <w:rFonts w:ascii="Times New Roman" w:hAnsi="Times New Roman" w:cs="Times New Roman"/>
          <w:sz w:val="24"/>
          <w:szCs w:val="24"/>
        </w:rPr>
        <w:t>funds that are ranked higher in terms of HCE continued to perform better on all estimates.</w:t>
      </w:r>
      <w:r w:rsidR="005B2F49">
        <w:rPr>
          <w:rFonts w:ascii="Times New Roman" w:hAnsi="Times New Roman" w:cs="Times New Roman"/>
          <w:sz w:val="24"/>
          <w:szCs w:val="24"/>
        </w:rPr>
        <w:t xml:space="preserve"> The Sharpe and Treynor ratio for low HCE funds w</w:t>
      </w:r>
      <w:r w:rsidR="00A76ACD">
        <w:rPr>
          <w:rFonts w:ascii="Times New Roman" w:hAnsi="Times New Roman" w:cs="Times New Roman"/>
          <w:sz w:val="24"/>
          <w:szCs w:val="24"/>
        </w:rPr>
        <w:t>as</w:t>
      </w:r>
      <w:r w:rsidR="005B2F49">
        <w:rPr>
          <w:rFonts w:ascii="Times New Roman" w:hAnsi="Times New Roman" w:cs="Times New Roman"/>
          <w:sz w:val="24"/>
          <w:szCs w:val="24"/>
        </w:rPr>
        <w:t xml:space="preserve"> -0.0255 and -0.0160</w:t>
      </w:r>
      <w:r w:rsidR="00A76ACD">
        <w:rPr>
          <w:rFonts w:ascii="Times New Roman" w:hAnsi="Times New Roman" w:cs="Times New Roman"/>
          <w:sz w:val="24"/>
          <w:szCs w:val="24"/>
        </w:rPr>
        <w:t>,</w:t>
      </w:r>
      <w:r w:rsidR="005B2F49">
        <w:rPr>
          <w:rFonts w:ascii="Times New Roman" w:hAnsi="Times New Roman" w:cs="Times New Roman"/>
          <w:sz w:val="24"/>
          <w:szCs w:val="24"/>
        </w:rPr>
        <w:t xml:space="preserve"> respectively</w:t>
      </w:r>
      <w:r w:rsidR="00A76ACD">
        <w:rPr>
          <w:rFonts w:ascii="Times New Roman" w:hAnsi="Times New Roman" w:cs="Times New Roman"/>
          <w:sz w:val="24"/>
          <w:szCs w:val="24"/>
        </w:rPr>
        <w:t>,</w:t>
      </w:r>
      <w:r w:rsidR="005B2F49">
        <w:rPr>
          <w:rFonts w:ascii="Times New Roman" w:hAnsi="Times New Roman" w:cs="Times New Roman"/>
          <w:sz w:val="24"/>
          <w:szCs w:val="24"/>
        </w:rPr>
        <w:t xml:space="preserve"> that increased to 0.0006 and 0.0003 for </w:t>
      </w:r>
      <w:r w:rsidR="0041555A">
        <w:rPr>
          <w:rFonts w:ascii="Times New Roman" w:hAnsi="Times New Roman" w:cs="Times New Roman"/>
          <w:sz w:val="24"/>
          <w:szCs w:val="24"/>
        </w:rPr>
        <w:t xml:space="preserve">medium HCE funds. Finally, for high HCE funds, the estimated Sharpe and Treynor ratios are 0.026 and 0.0134. </w:t>
      </w:r>
      <w:r w:rsidR="005B2F49">
        <w:rPr>
          <w:rFonts w:ascii="Times New Roman" w:hAnsi="Times New Roman" w:cs="Times New Roman"/>
          <w:sz w:val="24"/>
          <w:szCs w:val="24"/>
        </w:rPr>
        <w:t xml:space="preserve"> </w:t>
      </w:r>
      <w:r w:rsidR="00DE7B25">
        <w:rPr>
          <w:rFonts w:ascii="Times New Roman" w:hAnsi="Times New Roman" w:cs="Times New Roman"/>
          <w:sz w:val="24"/>
          <w:szCs w:val="24"/>
        </w:rPr>
        <w:t xml:space="preserve"> </w:t>
      </w:r>
      <w:r w:rsidR="009B10F0">
        <w:rPr>
          <w:rFonts w:ascii="Times New Roman" w:hAnsi="Times New Roman" w:cs="Times New Roman"/>
          <w:sz w:val="24"/>
          <w:szCs w:val="24"/>
        </w:rPr>
        <w:t xml:space="preserve">These results are clear evidence of the fact </w:t>
      </w:r>
      <w:r w:rsidR="00D14D64">
        <w:rPr>
          <w:rFonts w:ascii="Times New Roman" w:hAnsi="Times New Roman" w:cs="Times New Roman"/>
          <w:sz w:val="24"/>
          <w:szCs w:val="24"/>
        </w:rPr>
        <w:t>t</w:t>
      </w:r>
      <w:r w:rsidR="00FF190C">
        <w:rPr>
          <w:rFonts w:ascii="Times New Roman" w:hAnsi="Times New Roman" w:cs="Times New Roman"/>
          <w:sz w:val="24"/>
          <w:szCs w:val="24"/>
        </w:rPr>
        <w:t xml:space="preserve">hat funds </w:t>
      </w:r>
      <w:r w:rsidR="00F37636">
        <w:rPr>
          <w:rFonts w:ascii="Times New Roman" w:hAnsi="Times New Roman" w:cs="Times New Roman"/>
          <w:sz w:val="24"/>
          <w:szCs w:val="24"/>
        </w:rPr>
        <w:t xml:space="preserve">earn </w:t>
      </w:r>
      <w:r w:rsidR="00110421">
        <w:rPr>
          <w:rFonts w:ascii="Times New Roman" w:hAnsi="Times New Roman" w:cs="Times New Roman"/>
          <w:sz w:val="24"/>
          <w:szCs w:val="24"/>
        </w:rPr>
        <w:t>excess</w:t>
      </w:r>
      <w:r w:rsidR="00F37636">
        <w:rPr>
          <w:rFonts w:ascii="Times New Roman" w:hAnsi="Times New Roman" w:cs="Times New Roman"/>
          <w:sz w:val="24"/>
          <w:szCs w:val="24"/>
        </w:rPr>
        <w:t xml:space="preserve"> returns </w:t>
      </w:r>
      <w:r w:rsidR="00A76ACD">
        <w:rPr>
          <w:rFonts w:ascii="Times New Roman" w:hAnsi="Times New Roman" w:cs="Times New Roman"/>
          <w:sz w:val="24"/>
          <w:szCs w:val="24"/>
        </w:rPr>
        <w:t>based on</w:t>
      </w:r>
      <w:r w:rsidR="00F37636">
        <w:rPr>
          <w:rFonts w:ascii="Times New Roman" w:hAnsi="Times New Roman" w:cs="Times New Roman"/>
          <w:sz w:val="24"/>
          <w:szCs w:val="24"/>
        </w:rPr>
        <w:t xml:space="preserve"> human capital efficiency</w:t>
      </w:r>
      <w:r w:rsidR="00A76ACD">
        <w:rPr>
          <w:rFonts w:ascii="Times New Roman" w:hAnsi="Times New Roman" w:cs="Times New Roman"/>
          <w:sz w:val="24"/>
          <w:szCs w:val="24"/>
        </w:rPr>
        <w:t>,</w:t>
      </w:r>
      <w:r w:rsidR="00F37636">
        <w:rPr>
          <w:rFonts w:ascii="Times New Roman" w:hAnsi="Times New Roman" w:cs="Times New Roman"/>
          <w:sz w:val="24"/>
          <w:szCs w:val="24"/>
        </w:rPr>
        <w:t xml:space="preserve"> and</w:t>
      </w:r>
      <w:r w:rsidR="0041555A">
        <w:rPr>
          <w:rFonts w:ascii="Times New Roman" w:hAnsi="Times New Roman" w:cs="Times New Roman"/>
          <w:sz w:val="24"/>
          <w:szCs w:val="24"/>
        </w:rPr>
        <w:t xml:space="preserve"> higher HCE translates into higher risk</w:t>
      </w:r>
      <w:r w:rsidR="00A76ACD">
        <w:rPr>
          <w:rFonts w:ascii="Times New Roman" w:hAnsi="Times New Roman" w:cs="Times New Roman"/>
          <w:sz w:val="24"/>
          <w:szCs w:val="24"/>
        </w:rPr>
        <w:t>-</w:t>
      </w:r>
      <w:r w:rsidR="0041555A">
        <w:rPr>
          <w:rFonts w:ascii="Times New Roman" w:hAnsi="Times New Roman" w:cs="Times New Roman"/>
          <w:sz w:val="24"/>
          <w:szCs w:val="24"/>
        </w:rPr>
        <w:t>adjusted returns.</w:t>
      </w:r>
      <w:r w:rsidR="00F37636">
        <w:rPr>
          <w:rFonts w:ascii="Times New Roman" w:hAnsi="Times New Roman" w:cs="Times New Roman"/>
          <w:sz w:val="24"/>
          <w:szCs w:val="24"/>
        </w:rPr>
        <w:t xml:space="preserve"> </w:t>
      </w:r>
    </w:p>
    <w:p w14:paraId="5C0F1386" w14:textId="3C85BC13" w:rsidR="002F543D" w:rsidRDefault="00F80413" w:rsidP="00FE0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55E59">
        <w:rPr>
          <w:rFonts w:ascii="Times New Roman" w:hAnsi="Times New Roman" w:cs="Times New Roman"/>
          <w:sz w:val="24"/>
          <w:szCs w:val="24"/>
        </w:rPr>
        <w:t xml:space="preserve">We present results on Jensen’s alpha with four factors specification </w:t>
      </w:r>
      <w:r w:rsidR="009D2C6F">
        <w:rPr>
          <w:rFonts w:ascii="Times New Roman" w:hAnsi="Times New Roman" w:cs="Times New Roman"/>
          <w:sz w:val="24"/>
          <w:szCs w:val="24"/>
        </w:rPr>
        <w:t xml:space="preserve">in </w:t>
      </w:r>
      <w:r w:rsidR="00110421">
        <w:rPr>
          <w:rFonts w:ascii="Times New Roman" w:hAnsi="Times New Roman" w:cs="Times New Roman"/>
          <w:sz w:val="24"/>
          <w:szCs w:val="24"/>
        </w:rPr>
        <w:t>T</w:t>
      </w:r>
      <w:r w:rsidR="009D2C6F">
        <w:rPr>
          <w:rFonts w:ascii="Times New Roman" w:hAnsi="Times New Roman" w:cs="Times New Roman"/>
          <w:sz w:val="24"/>
          <w:szCs w:val="24"/>
        </w:rPr>
        <w:t>able 6.</w:t>
      </w:r>
      <w:r w:rsidR="0041555A">
        <w:rPr>
          <w:rFonts w:ascii="Times New Roman" w:hAnsi="Times New Roman" w:cs="Times New Roman"/>
          <w:sz w:val="24"/>
          <w:szCs w:val="24"/>
        </w:rPr>
        <w:t xml:space="preserve"> For the </w:t>
      </w:r>
      <w:r w:rsidR="00A76ACD">
        <w:rPr>
          <w:rFonts w:ascii="Times New Roman" w:hAnsi="Times New Roman" w:cs="Times New Roman"/>
          <w:sz w:val="24"/>
          <w:szCs w:val="24"/>
        </w:rPr>
        <w:t>entir</w:t>
      </w:r>
      <w:r w:rsidR="0041555A">
        <w:rPr>
          <w:rFonts w:ascii="Times New Roman" w:hAnsi="Times New Roman" w:cs="Times New Roman"/>
          <w:sz w:val="24"/>
          <w:szCs w:val="24"/>
        </w:rPr>
        <w:t>e period</w:t>
      </w:r>
      <w:r w:rsidR="00A76ACD">
        <w:rPr>
          <w:rFonts w:ascii="Times New Roman" w:hAnsi="Times New Roman" w:cs="Times New Roman"/>
          <w:sz w:val="24"/>
          <w:szCs w:val="24"/>
        </w:rPr>
        <w:t>,</w:t>
      </w:r>
      <w:r w:rsidR="0041555A">
        <w:rPr>
          <w:rFonts w:ascii="Times New Roman" w:hAnsi="Times New Roman" w:cs="Times New Roman"/>
          <w:sz w:val="24"/>
          <w:szCs w:val="24"/>
        </w:rPr>
        <w:t xml:space="preserve"> we report negative </w:t>
      </w:r>
      <w:r w:rsidR="00766DB8">
        <w:rPr>
          <w:rFonts w:ascii="Times New Roman" w:hAnsi="Times New Roman" w:cs="Times New Roman"/>
          <w:sz w:val="24"/>
          <w:szCs w:val="24"/>
        </w:rPr>
        <w:t>alpha</w:t>
      </w:r>
      <w:r w:rsidR="002D1216">
        <w:rPr>
          <w:rFonts w:ascii="Times New Roman" w:hAnsi="Times New Roman" w:cs="Times New Roman"/>
          <w:sz w:val="24"/>
          <w:szCs w:val="24"/>
        </w:rPr>
        <w:t>s</w:t>
      </w:r>
      <w:r w:rsidR="0041555A">
        <w:rPr>
          <w:rFonts w:ascii="Times New Roman" w:hAnsi="Times New Roman" w:cs="Times New Roman"/>
          <w:sz w:val="24"/>
          <w:szCs w:val="24"/>
        </w:rPr>
        <w:t xml:space="preserve"> for low HCE funds. </w:t>
      </w:r>
      <w:r w:rsidR="00DD713B">
        <w:rPr>
          <w:rFonts w:ascii="Times New Roman" w:hAnsi="Times New Roman" w:cs="Times New Roman"/>
          <w:sz w:val="24"/>
          <w:szCs w:val="24"/>
        </w:rPr>
        <w:t xml:space="preserve">The </w:t>
      </w:r>
      <w:r w:rsidR="00766DB8">
        <w:rPr>
          <w:rFonts w:ascii="Times New Roman" w:hAnsi="Times New Roman" w:cs="Times New Roman"/>
          <w:sz w:val="24"/>
          <w:szCs w:val="24"/>
        </w:rPr>
        <w:t>excess returns are</w:t>
      </w:r>
      <w:r w:rsidR="00DD713B">
        <w:rPr>
          <w:rFonts w:ascii="Times New Roman" w:hAnsi="Times New Roman" w:cs="Times New Roman"/>
          <w:sz w:val="24"/>
          <w:szCs w:val="24"/>
        </w:rPr>
        <w:t xml:space="preserve"> positive</w:t>
      </w:r>
      <w:r w:rsidR="004146CA">
        <w:rPr>
          <w:rFonts w:ascii="Times New Roman" w:hAnsi="Times New Roman" w:cs="Times New Roman"/>
          <w:sz w:val="24"/>
          <w:szCs w:val="24"/>
        </w:rPr>
        <w:t xml:space="preserve"> for funds with mid to high HCE</w:t>
      </w:r>
      <w:r w:rsidR="00D430E2">
        <w:rPr>
          <w:rFonts w:ascii="Times New Roman" w:hAnsi="Times New Roman" w:cs="Times New Roman"/>
          <w:sz w:val="24"/>
          <w:szCs w:val="24"/>
        </w:rPr>
        <w:t xml:space="preserve">. We observe </w:t>
      </w:r>
      <w:r w:rsidR="00A76ACD">
        <w:rPr>
          <w:rFonts w:ascii="Times New Roman" w:hAnsi="Times New Roman" w:cs="Times New Roman"/>
          <w:sz w:val="24"/>
          <w:szCs w:val="24"/>
        </w:rPr>
        <w:t xml:space="preserve">a </w:t>
      </w:r>
      <w:r w:rsidR="00D430E2">
        <w:rPr>
          <w:rFonts w:ascii="Times New Roman" w:hAnsi="Times New Roman" w:cs="Times New Roman"/>
          <w:sz w:val="24"/>
          <w:szCs w:val="24"/>
        </w:rPr>
        <w:t>maximum alpha of 0.0396 in the most human capital</w:t>
      </w:r>
      <w:r w:rsidR="00A76ACD">
        <w:rPr>
          <w:rFonts w:ascii="Times New Roman" w:hAnsi="Times New Roman" w:cs="Times New Roman"/>
          <w:sz w:val="24"/>
          <w:szCs w:val="24"/>
        </w:rPr>
        <w:t>-</w:t>
      </w:r>
      <w:r w:rsidR="00D430E2">
        <w:rPr>
          <w:rFonts w:ascii="Times New Roman" w:hAnsi="Times New Roman" w:cs="Times New Roman"/>
          <w:sz w:val="24"/>
          <w:szCs w:val="24"/>
        </w:rPr>
        <w:t>efficient funds,</w:t>
      </w:r>
      <w:r w:rsidR="004146CA">
        <w:rPr>
          <w:rFonts w:ascii="Times New Roman" w:hAnsi="Times New Roman" w:cs="Times New Roman"/>
          <w:sz w:val="24"/>
          <w:szCs w:val="24"/>
        </w:rPr>
        <w:t xml:space="preserve"> signifying </w:t>
      </w:r>
      <w:r w:rsidR="004D1D05">
        <w:rPr>
          <w:rFonts w:ascii="Times New Roman" w:hAnsi="Times New Roman" w:cs="Times New Roman"/>
          <w:sz w:val="24"/>
          <w:szCs w:val="24"/>
        </w:rPr>
        <w:t xml:space="preserve">that </w:t>
      </w:r>
      <w:r w:rsidR="00766DB8">
        <w:rPr>
          <w:rFonts w:ascii="Times New Roman" w:hAnsi="Times New Roman" w:cs="Times New Roman"/>
          <w:sz w:val="24"/>
          <w:szCs w:val="24"/>
        </w:rPr>
        <w:t>superior funds’ performance</w:t>
      </w:r>
      <w:r w:rsidR="004D1D05">
        <w:rPr>
          <w:rFonts w:ascii="Times New Roman" w:hAnsi="Times New Roman" w:cs="Times New Roman"/>
          <w:sz w:val="24"/>
          <w:szCs w:val="24"/>
        </w:rPr>
        <w:t xml:space="preserve"> </w:t>
      </w:r>
      <w:r w:rsidR="00766DB8">
        <w:rPr>
          <w:rFonts w:ascii="Times New Roman" w:hAnsi="Times New Roman" w:cs="Times New Roman"/>
          <w:sz w:val="24"/>
          <w:szCs w:val="24"/>
        </w:rPr>
        <w:t>is</w:t>
      </w:r>
      <w:r w:rsidR="004D1D05">
        <w:rPr>
          <w:rFonts w:ascii="Times New Roman" w:hAnsi="Times New Roman" w:cs="Times New Roman"/>
          <w:sz w:val="24"/>
          <w:szCs w:val="24"/>
        </w:rPr>
        <w:t xml:space="preserve"> associated with human capital </w:t>
      </w:r>
      <w:r w:rsidR="004D1D05">
        <w:rPr>
          <w:rFonts w:ascii="Times New Roman" w:hAnsi="Times New Roman" w:cs="Times New Roman"/>
          <w:sz w:val="24"/>
          <w:szCs w:val="24"/>
        </w:rPr>
        <w:lastRenderedPageBreak/>
        <w:t>efficiency.</w:t>
      </w:r>
      <w:r w:rsidR="009A7F2B">
        <w:rPr>
          <w:rFonts w:ascii="Times New Roman" w:hAnsi="Times New Roman" w:cs="Times New Roman"/>
          <w:sz w:val="24"/>
          <w:szCs w:val="24"/>
        </w:rPr>
        <w:t xml:space="preserve"> The stage</w:t>
      </w:r>
      <w:r w:rsidR="00A76ACD">
        <w:rPr>
          <w:rFonts w:ascii="Times New Roman" w:hAnsi="Times New Roman" w:cs="Times New Roman"/>
          <w:sz w:val="24"/>
          <w:szCs w:val="24"/>
        </w:rPr>
        <w:t>-</w:t>
      </w:r>
      <w:r w:rsidR="009A7F2B">
        <w:rPr>
          <w:rFonts w:ascii="Times New Roman" w:hAnsi="Times New Roman" w:cs="Times New Roman"/>
          <w:sz w:val="24"/>
          <w:szCs w:val="24"/>
        </w:rPr>
        <w:t xml:space="preserve">wise results are </w:t>
      </w:r>
      <w:proofErr w:type="gramStart"/>
      <w:r w:rsidR="009A7F2B">
        <w:rPr>
          <w:rFonts w:ascii="Times New Roman" w:hAnsi="Times New Roman" w:cs="Times New Roman"/>
          <w:sz w:val="24"/>
          <w:szCs w:val="24"/>
        </w:rPr>
        <w:t>similar to</w:t>
      </w:r>
      <w:proofErr w:type="gramEnd"/>
      <w:r w:rsidR="009A7F2B">
        <w:rPr>
          <w:rFonts w:ascii="Times New Roman" w:hAnsi="Times New Roman" w:cs="Times New Roman"/>
          <w:sz w:val="24"/>
          <w:szCs w:val="24"/>
        </w:rPr>
        <w:t xml:space="preserve"> </w:t>
      </w:r>
      <w:r w:rsidR="001E6943">
        <w:rPr>
          <w:rFonts w:ascii="Times New Roman" w:hAnsi="Times New Roman" w:cs="Times New Roman"/>
          <w:sz w:val="24"/>
          <w:szCs w:val="24"/>
        </w:rPr>
        <w:t>our findings on risk</w:t>
      </w:r>
      <w:r w:rsidR="00A76ACD">
        <w:rPr>
          <w:rFonts w:ascii="Times New Roman" w:hAnsi="Times New Roman" w:cs="Times New Roman"/>
          <w:sz w:val="24"/>
          <w:szCs w:val="24"/>
        </w:rPr>
        <w:t>-</w:t>
      </w:r>
      <w:r w:rsidR="001E6943">
        <w:rPr>
          <w:rFonts w:ascii="Times New Roman" w:hAnsi="Times New Roman" w:cs="Times New Roman"/>
          <w:sz w:val="24"/>
          <w:szCs w:val="24"/>
        </w:rPr>
        <w:t>adjusted performance with higher HCE funds dominating across the three period</w:t>
      </w:r>
      <w:r w:rsidR="00110421">
        <w:rPr>
          <w:rFonts w:ascii="Times New Roman" w:hAnsi="Times New Roman" w:cs="Times New Roman"/>
          <w:sz w:val="24"/>
          <w:szCs w:val="24"/>
        </w:rPr>
        <w:t>s</w:t>
      </w:r>
      <w:r w:rsidR="001E6943">
        <w:rPr>
          <w:rFonts w:ascii="Times New Roman" w:hAnsi="Times New Roman" w:cs="Times New Roman"/>
          <w:sz w:val="24"/>
          <w:szCs w:val="24"/>
        </w:rPr>
        <w:t xml:space="preserve">. The low HCE funds showed positive alpha in stage 1 </w:t>
      </w:r>
      <w:r w:rsidR="003A6D50">
        <w:rPr>
          <w:rFonts w:ascii="Times New Roman" w:hAnsi="Times New Roman" w:cs="Times New Roman"/>
          <w:sz w:val="24"/>
          <w:szCs w:val="24"/>
        </w:rPr>
        <w:t xml:space="preserve">but became negative in later stages. For high HCE funds, the alpha consistently remained positive (and max) across the three periods. </w:t>
      </w:r>
    </w:p>
    <w:p w14:paraId="496CEE18" w14:textId="6DCC6F9C" w:rsidR="00167E1E" w:rsidRDefault="00167E1E" w:rsidP="00167E1E">
      <w:pPr>
        <w:ind w:left="2880" w:firstLine="720"/>
        <w:rPr>
          <w:rFonts w:ascii="Times New Roman" w:hAnsi="Times New Roman" w:cs="Times New Roman"/>
          <w:sz w:val="24"/>
          <w:szCs w:val="24"/>
        </w:rPr>
      </w:pPr>
      <w:r>
        <w:rPr>
          <w:rFonts w:ascii="Times New Roman" w:hAnsi="Times New Roman" w:cs="Times New Roman"/>
          <w:sz w:val="24"/>
          <w:szCs w:val="24"/>
        </w:rPr>
        <w:t>[Insert table 6 about here]</w:t>
      </w:r>
    </w:p>
    <w:p w14:paraId="64892B5A" w14:textId="184C13F6" w:rsidR="00F25CCC" w:rsidRDefault="007C2C12" w:rsidP="00EB1D14">
      <w:pPr>
        <w:spacing w:after="0" w:line="480" w:lineRule="auto"/>
        <w:jc w:val="both"/>
        <w:rPr>
          <w:rFonts w:ascii="Times New Roman" w:hAnsi="Times New Roman" w:cs="Times New Roman"/>
          <w:color w:val="FF0000"/>
          <w:sz w:val="24"/>
          <w:szCs w:val="24"/>
        </w:rPr>
      </w:pPr>
      <w:r>
        <w:rPr>
          <w:rFonts w:ascii="Times New Roman" w:hAnsi="Times New Roman" w:cs="Times New Roman"/>
          <w:b/>
          <w:bCs/>
          <w:sz w:val="24"/>
          <w:szCs w:val="24"/>
        </w:rPr>
        <w:tab/>
      </w:r>
      <w:r w:rsidRPr="00F25CCC">
        <w:rPr>
          <w:rFonts w:ascii="Times New Roman" w:hAnsi="Times New Roman" w:cs="Times New Roman"/>
          <w:bCs/>
          <w:color w:val="FF0000"/>
          <w:sz w:val="24"/>
          <w:szCs w:val="24"/>
        </w:rPr>
        <w:t xml:space="preserve">The results </w:t>
      </w:r>
      <w:bookmarkStart w:id="2" w:name="_Hlk49520566"/>
      <w:r w:rsidRPr="00F25CCC">
        <w:rPr>
          <w:rFonts w:ascii="Times New Roman" w:hAnsi="Times New Roman" w:cs="Times New Roman"/>
          <w:bCs/>
          <w:color w:val="FF0000"/>
          <w:sz w:val="24"/>
          <w:szCs w:val="24"/>
        </w:rPr>
        <w:t xml:space="preserve">for GARCH (1,1) and </w:t>
      </w:r>
      <w:r w:rsidR="006922D8" w:rsidRPr="00F25CCC">
        <w:rPr>
          <w:rFonts w:ascii="Times New Roman" w:hAnsi="Times New Roman" w:cs="Times New Roman"/>
          <w:bCs/>
          <w:color w:val="FF0000"/>
          <w:sz w:val="24"/>
          <w:szCs w:val="24"/>
        </w:rPr>
        <w:t>ARCH LM</w:t>
      </w:r>
      <w:r w:rsidRPr="00F25CCC">
        <w:rPr>
          <w:rFonts w:ascii="Times New Roman" w:hAnsi="Times New Roman" w:cs="Times New Roman"/>
          <w:bCs/>
          <w:color w:val="FF0000"/>
          <w:sz w:val="24"/>
          <w:szCs w:val="24"/>
        </w:rPr>
        <w:t xml:space="preserve"> </w:t>
      </w:r>
      <w:bookmarkEnd w:id="2"/>
      <w:r w:rsidRPr="00F25CCC">
        <w:rPr>
          <w:rFonts w:ascii="Times New Roman" w:hAnsi="Times New Roman" w:cs="Times New Roman"/>
          <w:bCs/>
          <w:color w:val="FF0000"/>
          <w:sz w:val="24"/>
          <w:szCs w:val="24"/>
        </w:rPr>
        <w:t xml:space="preserve">are presented in table 7. </w:t>
      </w:r>
      <w:r w:rsidR="006922D8" w:rsidRPr="00F25CCC">
        <w:rPr>
          <w:rFonts w:ascii="Times New Roman" w:hAnsi="Times New Roman" w:cs="Times New Roman"/>
          <w:bCs/>
          <w:color w:val="FF0000"/>
          <w:sz w:val="24"/>
          <w:szCs w:val="24"/>
        </w:rPr>
        <w:t>The ARCH L</w:t>
      </w:r>
      <w:r w:rsidR="00CD55C3" w:rsidRPr="00F25CCC">
        <w:rPr>
          <w:rFonts w:ascii="Times New Roman" w:hAnsi="Times New Roman" w:cs="Times New Roman"/>
          <w:bCs/>
          <w:color w:val="FF0000"/>
          <w:sz w:val="24"/>
          <w:szCs w:val="24"/>
        </w:rPr>
        <w:t>M statistics indicate the incidence of ARCH effects for the estimation period and validates the choice of GARCH (1,1) (</w:t>
      </w:r>
      <w:r w:rsidR="00CD55C3" w:rsidRPr="00F25CCC">
        <w:rPr>
          <w:rFonts w:ascii="Times New Roman" w:hAnsi="Times New Roman" w:cs="Times New Roman"/>
          <w:bCs/>
          <w:color w:val="FF0000"/>
          <w:sz w:val="24"/>
          <w:szCs w:val="24"/>
        </w:rPr>
        <w:fldChar w:fldCharType="begin" w:fldLock="1"/>
      </w:r>
      <w:r w:rsidR="005259C3">
        <w:rPr>
          <w:rFonts w:ascii="Times New Roman" w:hAnsi="Times New Roman" w:cs="Times New Roman"/>
          <w:bCs/>
          <w:color w:val="FF0000"/>
          <w:sz w:val="24"/>
          <w:szCs w:val="24"/>
        </w:rPr>
        <w:instrText>ADDIN CSL_CITATION {"citationItems":[{"id":"ITEM-1","itemData":{"DOI":"10.1002/jae.800","ISSN":"08837252","abstract":"We compare 330 ARCH-type models in terms of their ability to describe the conditional variance. The models are compared out-of-sample using DM-$ exchange rate data and IBM return data, where the latter is based on a new data set of realized variance. We find no evidence that a GARCH(1,1) is outperformed by more sophisticated models in our analysis of exchange rates, whereas the GARCH(1,1) is clearly inferior to models that can accommodate a leverage effect in our analysis of IBM returns. The models are compared with the test for superior predictive ability (SPA) and the reality check for data snooping (RC). Our empirical results show that the RC lacks power to an extent that makes it unable to distinguish 'good' and 'bad' models in our analysis. Copyright © 2005 John Wiley &amp; Sons, Ltd.","author":[{"dropping-particle":"","family":"Hansen","given":"Peter R.","non-dropping-particle":"","parse-names":false,"suffix":""},{"dropping-particle":"","family":"Lunde","given":"Asger","non-dropping-particle":"","parse-names":false,"suffix":""}],"container-title":"Journal of Applied Econometrics","id":"ITEM-1","issue":"7","issued":{"date-parts":[["2005","12"]]},"page":"873-889","publisher":"John Wiley &amp; Sons, Ltd","title":"A forecast comparison of volatility models: Does anything beat a GARCH(1,1)?","type":"article-journal","volume":"20"},"uris":["http://www.mendeley.com/documents/?uuid=cbceb9eb-e71e-47de-98df-67f8b313ce58"]}],"mendeley":{"formattedCitation":"(Hansen &amp; Lunde, 2005)","manualFormatting":"Hansen &amp; Lunde, 2005)","plainTextFormattedCitation":"(Hansen &amp; Lunde, 2005)","previouslyFormattedCitation":"(Hansen &amp; Lunde, 2005)"},"properties":{"noteIndex":0},"schema":"https://github.com/citation-style-language/schema/raw/master/csl-citation.json"}</w:instrText>
      </w:r>
      <w:r w:rsidR="00CD55C3" w:rsidRPr="00F25CCC">
        <w:rPr>
          <w:rFonts w:ascii="Times New Roman" w:hAnsi="Times New Roman" w:cs="Times New Roman"/>
          <w:bCs/>
          <w:color w:val="FF0000"/>
          <w:sz w:val="24"/>
          <w:szCs w:val="24"/>
        </w:rPr>
        <w:fldChar w:fldCharType="separate"/>
      </w:r>
      <w:r w:rsidR="00CD55C3" w:rsidRPr="00F25CCC">
        <w:rPr>
          <w:rFonts w:ascii="Times New Roman" w:hAnsi="Times New Roman" w:cs="Times New Roman"/>
          <w:bCs/>
          <w:noProof/>
          <w:color w:val="FF0000"/>
          <w:sz w:val="24"/>
          <w:szCs w:val="24"/>
        </w:rPr>
        <w:t>Hansen &amp; Lunde, 2005)</w:t>
      </w:r>
      <w:r w:rsidR="00CD55C3" w:rsidRPr="00F25CCC">
        <w:rPr>
          <w:rFonts w:ascii="Times New Roman" w:hAnsi="Times New Roman" w:cs="Times New Roman"/>
          <w:bCs/>
          <w:color w:val="FF0000"/>
          <w:sz w:val="24"/>
          <w:szCs w:val="24"/>
        </w:rPr>
        <w:fldChar w:fldCharType="end"/>
      </w:r>
      <w:r w:rsidR="00CD55C3" w:rsidRPr="00F25CCC">
        <w:rPr>
          <w:rFonts w:ascii="Times New Roman" w:hAnsi="Times New Roman" w:cs="Times New Roman"/>
          <w:bCs/>
          <w:color w:val="FF0000"/>
          <w:sz w:val="24"/>
          <w:szCs w:val="24"/>
        </w:rPr>
        <w:t>.</w:t>
      </w:r>
      <w:r w:rsidR="00E50412" w:rsidRPr="00F25CCC">
        <w:rPr>
          <w:rFonts w:ascii="Times New Roman" w:hAnsi="Times New Roman" w:cs="Times New Roman"/>
          <w:bCs/>
          <w:color w:val="FF0000"/>
          <w:sz w:val="24"/>
          <w:szCs w:val="24"/>
        </w:rPr>
        <w:t xml:space="preserve"> </w:t>
      </w:r>
      <w:r w:rsidR="001A3C99" w:rsidRPr="00F25CCC">
        <w:rPr>
          <w:rFonts w:ascii="Times New Roman" w:hAnsi="Times New Roman" w:cs="Times New Roman"/>
          <w:bCs/>
          <w:color w:val="FF0000"/>
          <w:sz w:val="24"/>
          <w:szCs w:val="24"/>
        </w:rPr>
        <w:t>The CARs for the pre-C</w:t>
      </w:r>
      <w:r w:rsidR="003F0CDE">
        <w:rPr>
          <w:rFonts w:ascii="Times New Roman" w:hAnsi="Times New Roman" w:cs="Times New Roman"/>
          <w:bCs/>
          <w:color w:val="FF0000"/>
          <w:sz w:val="24"/>
          <w:szCs w:val="24"/>
        </w:rPr>
        <w:t>OVID</w:t>
      </w:r>
      <w:r w:rsidR="001A3C99" w:rsidRPr="00F25CCC">
        <w:rPr>
          <w:rFonts w:ascii="Times New Roman" w:hAnsi="Times New Roman" w:cs="Times New Roman"/>
          <w:bCs/>
          <w:color w:val="FF0000"/>
          <w:sz w:val="24"/>
          <w:szCs w:val="24"/>
        </w:rPr>
        <w:t xml:space="preserve"> and entire C</w:t>
      </w:r>
      <w:r w:rsidR="003F0CDE">
        <w:rPr>
          <w:rFonts w:ascii="Times New Roman" w:hAnsi="Times New Roman" w:cs="Times New Roman"/>
          <w:bCs/>
          <w:color w:val="FF0000"/>
          <w:sz w:val="24"/>
          <w:szCs w:val="24"/>
        </w:rPr>
        <w:t>OVID</w:t>
      </w:r>
      <w:r w:rsidR="001A3C99" w:rsidRPr="00F25CCC">
        <w:rPr>
          <w:rFonts w:ascii="Times New Roman" w:hAnsi="Times New Roman" w:cs="Times New Roman"/>
          <w:bCs/>
          <w:color w:val="FF0000"/>
          <w:sz w:val="24"/>
          <w:szCs w:val="24"/>
        </w:rPr>
        <w:t xml:space="preserve"> period as well as stage-wise assessment</w:t>
      </w:r>
      <w:r w:rsidR="003D397C" w:rsidRPr="00F25CCC">
        <w:rPr>
          <w:rFonts w:ascii="Times New Roman" w:hAnsi="Times New Roman" w:cs="Times New Roman"/>
          <w:bCs/>
          <w:color w:val="FF0000"/>
          <w:sz w:val="24"/>
          <w:szCs w:val="24"/>
        </w:rPr>
        <w:t>, support the relevance of HCE. During the pre-C</w:t>
      </w:r>
      <w:r w:rsidR="003F0CDE">
        <w:rPr>
          <w:rFonts w:ascii="Times New Roman" w:hAnsi="Times New Roman" w:cs="Times New Roman"/>
          <w:bCs/>
          <w:color w:val="FF0000"/>
          <w:sz w:val="24"/>
          <w:szCs w:val="24"/>
        </w:rPr>
        <w:t>OVID</w:t>
      </w:r>
      <w:r w:rsidR="003D397C" w:rsidRPr="00F25CCC">
        <w:rPr>
          <w:rFonts w:ascii="Times New Roman" w:hAnsi="Times New Roman" w:cs="Times New Roman"/>
          <w:bCs/>
          <w:color w:val="FF0000"/>
          <w:sz w:val="24"/>
          <w:szCs w:val="24"/>
        </w:rPr>
        <w:t xml:space="preserve"> period, the funds in </w:t>
      </w:r>
      <w:r w:rsidR="00E60FB1" w:rsidRPr="00F25CCC">
        <w:rPr>
          <w:rFonts w:ascii="Times New Roman" w:hAnsi="Times New Roman" w:cs="Times New Roman"/>
          <w:bCs/>
          <w:color w:val="FF0000"/>
          <w:sz w:val="24"/>
          <w:szCs w:val="24"/>
        </w:rPr>
        <w:t xml:space="preserve">the </w:t>
      </w:r>
      <w:r w:rsidR="003D397C" w:rsidRPr="00F25CCC">
        <w:rPr>
          <w:rFonts w:ascii="Times New Roman" w:hAnsi="Times New Roman" w:cs="Times New Roman"/>
          <w:bCs/>
          <w:color w:val="FF0000"/>
          <w:sz w:val="24"/>
          <w:szCs w:val="24"/>
        </w:rPr>
        <w:t>top two HCE categor</w:t>
      </w:r>
      <w:r w:rsidR="00E60FB1" w:rsidRPr="00F25CCC">
        <w:rPr>
          <w:rFonts w:ascii="Times New Roman" w:hAnsi="Times New Roman" w:cs="Times New Roman"/>
          <w:bCs/>
          <w:color w:val="FF0000"/>
          <w:sz w:val="24"/>
          <w:szCs w:val="24"/>
        </w:rPr>
        <w:t>ies</w:t>
      </w:r>
      <w:r w:rsidR="003D397C" w:rsidRPr="00F25CCC">
        <w:rPr>
          <w:rFonts w:ascii="Times New Roman" w:hAnsi="Times New Roman" w:cs="Times New Roman"/>
          <w:bCs/>
          <w:color w:val="FF0000"/>
          <w:sz w:val="24"/>
          <w:szCs w:val="24"/>
        </w:rPr>
        <w:t xml:space="preserve"> show positive abnormal returns while all other funds have negative CARs. This trend continues during the outbreak with positive CARs for higher HCE funds. The most interesting</w:t>
      </w:r>
      <w:r w:rsidR="00E60FB1" w:rsidRPr="00F25CCC">
        <w:rPr>
          <w:rFonts w:ascii="Times New Roman" w:hAnsi="Times New Roman" w:cs="Times New Roman"/>
          <w:bCs/>
          <w:color w:val="FF0000"/>
          <w:sz w:val="24"/>
          <w:szCs w:val="24"/>
        </w:rPr>
        <w:t xml:space="preserve"> observation here is that funds in the </w:t>
      </w:r>
      <w:r w:rsidR="004C3919" w:rsidRPr="00F25CCC">
        <w:rPr>
          <w:rFonts w:ascii="Times New Roman" w:hAnsi="Times New Roman" w:cs="Times New Roman"/>
          <w:bCs/>
          <w:color w:val="FF0000"/>
          <w:sz w:val="24"/>
          <w:szCs w:val="24"/>
        </w:rPr>
        <w:t>top</w:t>
      </w:r>
      <w:r w:rsidR="00E60FB1" w:rsidRPr="00F25CCC">
        <w:rPr>
          <w:rFonts w:ascii="Times New Roman" w:hAnsi="Times New Roman" w:cs="Times New Roman"/>
          <w:bCs/>
          <w:color w:val="FF0000"/>
          <w:sz w:val="24"/>
          <w:szCs w:val="24"/>
        </w:rPr>
        <w:t xml:space="preserve"> HCE category demonstrate </w:t>
      </w:r>
      <w:r w:rsidR="004C3919" w:rsidRPr="00F25CCC">
        <w:rPr>
          <w:rFonts w:ascii="Times New Roman" w:hAnsi="Times New Roman" w:cs="Times New Roman"/>
          <w:bCs/>
          <w:color w:val="FF0000"/>
          <w:sz w:val="24"/>
          <w:szCs w:val="24"/>
        </w:rPr>
        <w:t>higher</w:t>
      </w:r>
      <w:r w:rsidR="00E60FB1" w:rsidRPr="00F25CCC">
        <w:rPr>
          <w:rFonts w:ascii="Times New Roman" w:hAnsi="Times New Roman" w:cs="Times New Roman"/>
          <w:bCs/>
          <w:color w:val="FF0000"/>
          <w:sz w:val="24"/>
          <w:szCs w:val="24"/>
        </w:rPr>
        <w:t xml:space="preserve"> CARs during the pandemic compared to the pre-C</w:t>
      </w:r>
      <w:r w:rsidR="003F0CDE">
        <w:rPr>
          <w:rFonts w:ascii="Times New Roman" w:hAnsi="Times New Roman" w:cs="Times New Roman"/>
          <w:bCs/>
          <w:color w:val="FF0000"/>
          <w:sz w:val="24"/>
          <w:szCs w:val="24"/>
        </w:rPr>
        <w:t>OVID</w:t>
      </w:r>
      <w:bookmarkStart w:id="3" w:name="_GoBack"/>
      <w:bookmarkEnd w:id="3"/>
      <w:r w:rsidR="00E60FB1" w:rsidRPr="00F25CCC">
        <w:rPr>
          <w:rFonts w:ascii="Times New Roman" w:hAnsi="Times New Roman" w:cs="Times New Roman"/>
          <w:bCs/>
          <w:color w:val="FF0000"/>
          <w:sz w:val="24"/>
          <w:szCs w:val="24"/>
        </w:rPr>
        <w:t xml:space="preserve"> abnormal returns.</w:t>
      </w:r>
      <w:r w:rsidR="004C3919" w:rsidRPr="00F25CCC">
        <w:rPr>
          <w:rFonts w:ascii="Times New Roman" w:hAnsi="Times New Roman" w:cs="Times New Roman"/>
          <w:bCs/>
          <w:color w:val="FF0000"/>
          <w:sz w:val="24"/>
          <w:szCs w:val="24"/>
        </w:rPr>
        <w:t xml:space="preserve"> </w:t>
      </w:r>
      <w:r w:rsidR="00B02AE9" w:rsidRPr="00F25CCC">
        <w:rPr>
          <w:rFonts w:ascii="Times New Roman" w:hAnsi="Times New Roman" w:cs="Times New Roman"/>
          <w:bCs/>
          <w:color w:val="FF0000"/>
          <w:sz w:val="24"/>
          <w:szCs w:val="24"/>
        </w:rPr>
        <w:t xml:space="preserve">This suggests a </w:t>
      </w:r>
      <w:r w:rsidR="00770D23" w:rsidRPr="00F25CCC">
        <w:rPr>
          <w:rFonts w:ascii="Times New Roman" w:hAnsi="Times New Roman" w:cs="Times New Roman"/>
          <w:bCs/>
          <w:color w:val="FF0000"/>
          <w:sz w:val="24"/>
          <w:szCs w:val="24"/>
        </w:rPr>
        <w:t>vital</w:t>
      </w:r>
      <w:r w:rsidR="00B02AE9" w:rsidRPr="00F25CCC">
        <w:rPr>
          <w:rFonts w:ascii="Times New Roman" w:hAnsi="Times New Roman" w:cs="Times New Roman"/>
          <w:bCs/>
          <w:color w:val="FF0000"/>
          <w:sz w:val="24"/>
          <w:szCs w:val="24"/>
        </w:rPr>
        <w:t xml:space="preserve"> role of HCE for </w:t>
      </w:r>
      <w:proofErr w:type="spellStart"/>
      <w:r w:rsidR="00B02AE9" w:rsidRPr="00F25CCC">
        <w:rPr>
          <w:rFonts w:ascii="Times New Roman" w:hAnsi="Times New Roman" w:cs="Times New Roman"/>
          <w:bCs/>
          <w:color w:val="FF0000"/>
          <w:sz w:val="24"/>
          <w:szCs w:val="24"/>
        </w:rPr>
        <w:t>funds</w:t>
      </w:r>
      <w:proofErr w:type="spellEnd"/>
      <w:r w:rsidR="00B02AE9" w:rsidRPr="00F25CCC">
        <w:rPr>
          <w:rFonts w:ascii="Times New Roman" w:hAnsi="Times New Roman" w:cs="Times New Roman"/>
          <w:bCs/>
          <w:color w:val="FF0000"/>
          <w:sz w:val="24"/>
          <w:szCs w:val="24"/>
        </w:rPr>
        <w:t xml:space="preserve"> performance amidst economic </w:t>
      </w:r>
      <w:proofErr w:type="spellStart"/>
      <w:r w:rsidR="00B02AE9" w:rsidRPr="00F25CCC">
        <w:rPr>
          <w:rFonts w:ascii="Times New Roman" w:hAnsi="Times New Roman" w:cs="Times New Roman"/>
          <w:bCs/>
          <w:color w:val="FF0000"/>
          <w:sz w:val="24"/>
          <w:szCs w:val="24"/>
        </w:rPr>
        <w:t>turmoils</w:t>
      </w:r>
      <w:proofErr w:type="spellEnd"/>
      <w:r w:rsidR="00B02AE9" w:rsidRPr="00F25CCC">
        <w:rPr>
          <w:rFonts w:ascii="Times New Roman" w:hAnsi="Times New Roman" w:cs="Times New Roman"/>
          <w:bCs/>
          <w:color w:val="FF0000"/>
          <w:sz w:val="24"/>
          <w:szCs w:val="24"/>
        </w:rPr>
        <w:t>.</w:t>
      </w:r>
      <w:r w:rsidR="00770D23" w:rsidRPr="00F25CCC">
        <w:rPr>
          <w:rFonts w:ascii="Times New Roman" w:hAnsi="Times New Roman" w:cs="Times New Roman"/>
          <w:bCs/>
          <w:color w:val="FF0000"/>
          <w:sz w:val="24"/>
          <w:szCs w:val="24"/>
        </w:rPr>
        <w:t xml:space="preserve"> During each of the three stages, the high ranked HCE funds report superior abnormal returns compared to their counterparts with lower HCE. For stage 1, there are positive CARs for all funds</w:t>
      </w:r>
      <w:r w:rsidR="00382599" w:rsidRPr="00F25CCC">
        <w:rPr>
          <w:rFonts w:ascii="Times New Roman" w:hAnsi="Times New Roman" w:cs="Times New Roman"/>
          <w:bCs/>
          <w:color w:val="FF0000"/>
          <w:sz w:val="24"/>
          <w:szCs w:val="24"/>
        </w:rPr>
        <w:t>,</w:t>
      </w:r>
      <w:r w:rsidR="00770D23" w:rsidRPr="00F25CCC">
        <w:rPr>
          <w:rFonts w:ascii="Times New Roman" w:hAnsi="Times New Roman" w:cs="Times New Roman"/>
          <w:bCs/>
          <w:color w:val="FF0000"/>
          <w:sz w:val="24"/>
          <w:szCs w:val="24"/>
        </w:rPr>
        <w:t xml:space="preserve"> while as the health crisis deepens in stage</w:t>
      </w:r>
      <w:r w:rsidR="00382599" w:rsidRPr="00F25CCC">
        <w:rPr>
          <w:rFonts w:ascii="Times New Roman" w:hAnsi="Times New Roman" w:cs="Times New Roman"/>
          <w:bCs/>
          <w:color w:val="FF0000"/>
          <w:sz w:val="24"/>
          <w:szCs w:val="24"/>
        </w:rPr>
        <w:t>s</w:t>
      </w:r>
      <w:r w:rsidR="00770D23" w:rsidRPr="00F25CCC">
        <w:rPr>
          <w:rFonts w:ascii="Times New Roman" w:hAnsi="Times New Roman" w:cs="Times New Roman"/>
          <w:bCs/>
          <w:color w:val="FF0000"/>
          <w:sz w:val="24"/>
          <w:szCs w:val="24"/>
        </w:rPr>
        <w:t xml:space="preserve"> 2 and 3, only </w:t>
      </w:r>
      <w:r w:rsidR="00382599" w:rsidRPr="00F25CCC">
        <w:rPr>
          <w:rFonts w:ascii="Times New Roman" w:hAnsi="Times New Roman" w:cs="Times New Roman"/>
          <w:bCs/>
          <w:color w:val="FF0000"/>
          <w:sz w:val="24"/>
          <w:szCs w:val="24"/>
        </w:rPr>
        <w:t xml:space="preserve">the </w:t>
      </w:r>
      <w:r w:rsidR="00770D23" w:rsidRPr="00F25CCC">
        <w:rPr>
          <w:rFonts w:ascii="Times New Roman" w:hAnsi="Times New Roman" w:cs="Times New Roman"/>
          <w:bCs/>
          <w:color w:val="FF0000"/>
          <w:sz w:val="24"/>
          <w:szCs w:val="24"/>
        </w:rPr>
        <w:t xml:space="preserve">top two HCE categories of funds could sustain positive </w:t>
      </w:r>
      <w:r w:rsidR="00382599" w:rsidRPr="00F25CCC">
        <w:rPr>
          <w:rFonts w:ascii="Times New Roman" w:hAnsi="Times New Roman" w:cs="Times New Roman"/>
          <w:bCs/>
          <w:color w:val="FF0000"/>
          <w:sz w:val="24"/>
          <w:szCs w:val="24"/>
        </w:rPr>
        <w:t xml:space="preserve">CARs. </w:t>
      </w:r>
      <w:r w:rsidR="00EB1D14" w:rsidRPr="00F25CCC">
        <w:rPr>
          <w:rFonts w:ascii="Times New Roman" w:hAnsi="Times New Roman" w:cs="Times New Roman"/>
          <w:color w:val="FF0000"/>
          <w:sz w:val="24"/>
          <w:szCs w:val="24"/>
        </w:rPr>
        <w:t>These findings suggest that human capital efficiency is central in shaping up a fund’s performance and helps in enduring resilience in turbulent times.</w:t>
      </w:r>
    </w:p>
    <w:p w14:paraId="30618FA9" w14:textId="5DAB1A0E" w:rsidR="00EB1D14" w:rsidRPr="00F25CCC" w:rsidRDefault="00F25CCC" w:rsidP="00F25CCC">
      <w:pPr>
        <w:spacing w:after="0" w:line="480" w:lineRule="auto"/>
        <w:ind w:left="2880"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[Insert Table 7 about here]</w:t>
      </w:r>
      <w:r w:rsidR="00EB1D14" w:rsidRPr="00F25CCC">
        <w:rPr>
          <w:rFonts w:ascii="Times New Roman" w:hAnsi="Times New Roman" w:cs="Times New Roman"/>
          <w:color w:val="FF0000"/>
          <w:sz w:val="24"/>
          <w:szCs w:val="24"/>
        </w:rPr>
        <w:t xml:space="preserve"> </w:t>
      </w:r>
    </w:p>
    <w:p w14:paraId="246A0722" w14:textId="392DE2C6" w:rsidR="00D66A92" w:rsidRDefault="00D66A92" w:rsidP="00EB1D14">
      <w:pPr>
        <w:spacing w:after="0" w:line="480" w:lineRule="auto"/>
        <w:jc w:val="both"/>
        <w:rPr>
          <w:rFonts w:ascii="Times New Roman" w:hAnsi="Times New Roman" w:cs="Times New Roman"/>
          <w:b/>
          <w:bCs/>
          <w:sz w:val="24"/>
          <w:szCs w:val="24"/>
        </w:rPr>
      </w:pPr>
      <w:r w:rsidRPr="00D66A92">
        <w:rPr>
          <w:rFonts w:ascii="Times New Roman" w:hAnsi="Times New Roman" w:cs="Times New Roman"/>
          <w:b/>
          <w:bCs/>
          <w:sz w:val="24"/>
          <w:szCs w:val="24"/>
        </w:rPr>
        <w:t xml:space="preserve">4. Conclusion </w:t>
      </w:r>
    </w:p>
    <w:p w14:paraId="0B3EA348" w14:textId="76436A47" w:rsidR="004B5315" w:rsidRPr="00B10A21" w:rsidRDefault="004B5315" w:rsidP="00FE3110">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sidR="00FE3110" w:rsidRPr="00110421">
        <w:rPr>
          <w:rFonts w:ascii="Times New Roman" w:hAnsi="Times New Roman" w:cs="Times New Roman"/>
          <w:bCs/>
          <w:sz w:val="24"/>
          <w:szCs w:val="24"/>
        </w:rPr>
        <w:t>The performance of mutual funds is dependent on the investment strategies employed by the portfolio managers</w:t>
      </w:r>
      <w:r w:rsidR="0080048A" w:rsidRPr="00110421">
        <w:rPr>
          <w:rFonts w:ascii="Times New Roman" w:hAnsi="Times New Roman" w:cs="Times New Roman"/>
          <w:bCs/>
          <w:sz w:val="24"/>
          <w:szCs w:val="24"/>
        </w:rPr>
        <w:t>. These managers</w:t>
      </w:r>
      <w:r w:rsidR="00FE3110" w:rsidRPr="00110421">
        <w:rPr>
          <w:rFonts w:ascii="Times New Roman" w:hAnsi="Times New Roman" w:cs="Times New Roman"/>
          <w:bCs/>
          <w:sz w:val="24"/>
          <w:szCs w:val="24"/>
        </w:rPr>
        <w:t xml:space="preserve"> represent the human </w:t>
      </w:r>
      <w:r w:rsidR="002D5D26" w:rsidRPr="00110421">
        <w:rPr>
          <w:rFonts w:ascii="Times New Roman" w:hAnsi="Times New Roman" w:cs="Times New Roman"/>
          <w:bCs/>
          <w:sz w:val="24"/>
          <w:szCs w:val="24"/>
        </w:rPr>
        <w:t>capital</w:t>
      </w:r>
      <w:r w:rsidR="00FE3110" w:rsidRPr="00110421">
        <w:rPr>
          <w:rFonts w:ascii="Times New Roman" w:hAnsi="Times New Roman" w:cs="Times New Roman"/>
          <w:bCs/>
          <w:sz w:val="24"/>
          <w:szCs w:val="24"/>
        </w:rPr>
        <w:t xml:space="preserve"> of a fund</w:t>
      </w:r>
      <w:r w:rsidR="00A76ACD">
        <w:rPr>
          <w:rFonts w:ascii="Times New Roman" w:hAnsi="Times New Roman" w:cs="Times New Roman"/>
          <w:bCs/>
          <w:sz w:val="24"/>
          <w:szCs w:val="24"/>
        </w:rPr>
        <w:t>,</w:t>
      </w:r>
      <w:r w:rsidR="00FE3110" w:rsidRPr="00110421">
        <w:rPr>
          <w:rFonts w:ascii="Times New Roman" w:hAnsi="Times New Roman" w:cs="Times New Roman"/>
          <w:bCs/>
          <w:sz w:val="24"/>
          <w:szCs w:val="24"/>
        </w:rPr>
        <w:t xml:space="preserve"> and investment in this resource contributes towards human capital efficiency.</w:t>
      </w:r>
      <w:r w:rsidR="007D7F2A" w:rsidRPr="00110421">
        <w:rPr>
          <w:rFonts w:ascii="Times New Roman" w:hAnsi="Times New Roman" w:cs="Times New Roman"/>
          <w:bCs/>
          <w:sz w:val="24"/>
          <w:szCs w:val="24"/>
        </w:rPr>
        <w:t xml:space="preserve"> Consequently, this efficiency sh</w:t>
      </w:r>
      <w:r w:rsidR="007F30CB" w:rsidRPr="00110421">
        <w:rPr>
          <w:rFonts w:ascii="Times New Roman" w:hAnsi="Times New Roman" w:cs="Times New Roman"/>
          <w:bCs/>
          <w:sz w:val="24"/>
          <w:szCs w:val="24"/>
        </w:rPr>
        <w:t xml:space="preserve">ould </w:t>
      </w:r>
      <w:r w:rsidR="007F30CB" w:rsidRPr="00110421">
        <w:rPr>
          <w:rFonts w:ascii="Times New Roman" w:hAnsi="Times New Roman" w:cs="Times New Roman"/>
          <w:bCs/>
          <w:sz w:val="24"/>
          <w:szCs w:val="24"/>
        </w:rPr>
        <w:lastRenderedPageBreak/>
        <w:t>translate into a performance</w:t>
      </w:r>
      <w:r w:rsidR="00F959A6" w:rsidRPr="00110421">
        <w:rPr>
          <w:rFonts w:ascii="Times New Roman" w:hAnsi="Times New Roman" w:cs="Times New Roman"/>
          <w:bCs/>
          <w:sz w:val="24"/>
          <w:szCs w:val="24"/>
        </w:rPr>
        <w:t xml:space="preserve"> </w:t>
      </w:r>
      <w:r w:rsidR="00A76ACD">
        <w:rPr>
          <w:rFonts w:ascii="Times New Roman" w:hAnsi="Times New Roman" w:cs="Times New Roman"/>
          <w:bCs/>
          <w:sz w:val="24"/>
          <w:szCs w:val="24"/>
        </w:rPr>
        <w:t>that</w:t>
      </w:r>
      <w:r w:rsidR="00F959A6" w:rsidRPr="00110421">
        <w:rPr>
          <w:rFonts w:ascii="Times New Roman" w:hAnsi="Times New Roman" w:cs="Times New Roman"/>
          <w:bCs/>
          <w:sz w:val="24"/>
          <w:szCs w:val="24"/>
        </w:rPr>
        <w:t xml:space="preserve"> should vary according to the level of human capital ef</w:t>
      </w:r>
      <w:r w:rsidR="0064005E" w:rsidRPr="00110421">
        <w:rPr>
          <w:rFonts w:ascii="Times New Roman" w:hAnsi="Times New Roman" w:cs="Times New Roman"/>
          <w:bCs/>
          <w:sz w:val="24"/>
          <w:szCs w:val="24"/>
        </w:rPr>
        <w:t>ficiency. The C</w:t>
      </w:r>
      <w:r w:rsidR="00110421" w:rsidRPr="00110421">
        <w:rPr>
          <w:rFonts w:ascii="Times New Roman" w:hAnsi="Times New Roman" w:cs="Times New Roman"/>
          <w:bCs/>
          <w:sz w:val="24"/>
          <w:szCs w:val="24"/>
        </w:rPr>
        <w:t>OVID</w:t>
      </w:r>
      <w:r w:rsidR="0064005E" w:rsidRPr="00110421">
        <w:rPr>
          <w:rFonts w:ascii="Times New Roman" w:hAnsi="Times New Roman" w:cs="Times New Roman"/>
          <w:bCs/>
          <w:sz w:val="24"/>
          <w:szCs w:val="24"/>
        </w:rPr>
        <w:t xml:space="preserve">-19 </w:t>
      </w:r>
      <w:r w:rsidR="00EE285C" w:rsidRPr="00110421">
        <w:rPr>
          <w:rFonts w:ascii="Times New Roman" w:hAnsi="Times New Roman" w:cs="Times New Roman"/>
          <w:bCs/>
          <w:sz w:val="24"/>
          <w:szCs w:val="24"/>
        </w:rPr>
        <w:t>is</w:t>
      </w:r>
      <w:r w:rsidR="0064005E" w:rsidRPr="00110421">
        <w:rPr>
          <w:rFonts w:ascii="Times New Roman" w:hAnsi="Times New Roman" w:cs="Times New Roman"/>
          <w:bCs/>
          <w:sz w:val="24"/>
          <w:szCs w:val="24"/>
        </w:rPr>
        <w:t xml:space="preserve"> an unfortunate but unique opportunity to </w:t>
      </w:r>
      <w:r w:rsidR="00203358" w:rsidRPr="00110421">
        <w:rPr>
          <w:rFonts w:ascii="Times New Roman" w:hAnsi="Times New Roman" w:cs="Times New Roman"/>
          <w:bCs/>
          <w:sz w:val="24"/>
          <w:szCs w:val="24"/>
        </w:rPr>
        <w:t>evaluate</w:t>
      </w:r>
      <w:r w:rsidR="00EE285C" w:rsidRPr="00110421">
        <w:rPr>
          <w:rFonts w:ascii="Times New Roman" w:hAnsi="Times New Roman" w:cs="Times New Roman"/>
          <w:bCs/>
          <w:sz w:val="24"/>
          <w:szCs w:val="24"/>
        </w:rPr>
        <w:t xml:space="preserve"> the impact of human capital efficiency </w:t>
      </w:r>
      <w:r w:rsidR="00110421" w:rsidRPr="00110421">
        <w:rPr>
          <w:rFonts w:ascii="Times New Roman" w:hAnsi="Times New Roman" w:cs="Times New Roman"/>
          <w:bCs/>
          <w:sz w:val="24"/>
          <w:szCs w:val="24"/>
        </w:rPr>
        <w:t xml:space="preserve">(HCE) </w:t>
      </w:r>
      <w:r w:rsidR="00EE285C" w:rsidRPr="00110421">
        <w:rPr>
          <w:rFonts w:ascii="Times New Roman" w:hAnsi="Times New Roman" w:cs="Times New Roman"/>
          <w:bCs/>
          <w:sz w:val="24"/>
          <w:szCs w:val="24"/>
        </w:rPr>
        <w:t>on funds’ performance</w:t>
      </w:r>
      <w:r w:rsidR="00DF51F4" w:rsidRPr="00110421">
        <w:rPr>
          <w:rFonts w:ascii="Times New Roman" w:hAnsi="Times New Roman" w:cs="Times New Roman"/>
          <w:bCs/>
          <w:sz w:val="24"/>
          <w:szCs w:val="24"/>
        </w:rPr>
        <w:t xml:space="preserve"> during </w:t>
      </w:r>
      <w:r w:rsidR="00A76ACD">
        <w:rPr>
          <w:rFonts w:ascii="Times New Roman" w:hAnsi="Times New Roman" w:cs="Times New Roman"/>
          <w:bCs/>
          <w:sz w:val="24"/>
          <w:szCs w:val="24"/>
        </w:rPr>
        <w:t xml:space="preserve">a </w:t>
      </w:r>
      <w:r w:rsidR="00DF51F4" w:rsidRPr="00110421">
        <w:rPr>
          <w:rFonts w:ascii="Times New Roman" w:hAnsi="Times New Roman" w:cs="Times New Roman"/>
          <w:bCs/>
          <w:sz w:val="24"/>
          <w:szCs w:val="24"/>
        </w:rPr>
        <w:t>period of extreme stress</w:t>
      </w:r>
      <w:r w:rsidR="00EE285C" w:rsidRPr="00110421">
        <w:rPr>
          <w:rFonts w:ascii="Times New Roman" w:hAnsi="Times New Roman" w:cs="Times New Roman"/>
          <w:bCs/>
          <w:sz w:val="24"/>
          <w:szCs w:val="24"/>
        </w:rPr>
        <w:t xml:space="preserve">. We analyze this by sorting equity funds </w:t>
      </w:r>
      <w:r w:rsidR="00110421" w:rsidRPr="00110421">
        <w:rPr>
          <w:rFonts w:ascii="Times New Roman" w:hAnsi="Times New Roman" w:cs="Times New Roman"/>
          <w:bCs/>
          <w:sz w:val="24"/>
          <w:szCs w:val="24"/>
        </w:rPr>
        <w:t>based on their</w:t>
      </w:r>
      <w:r w:rsidR="00EE285C" w:rsidRPr="00110421">
        <w:rPr>
          <w:rFonts w:ascii="Times New Roman" w:hAnsi="Times New Roman" w:cs="Times New Roman"/>
          <w:bCs/>
          <w:sz w:val="24"/>
          <w:szCs w:val="24"/>
        </w:rPr>
        <w:t xml:space="preserve"> </w:t>
      </w:r>
      <w:r w:rsidR="00110421" w:rsidRPr="00110421">
        <w:rPr>
          <w:rFonts w:ascii="Times New Roman" w:hAnsi="Times New Roman" w:cs="Times New Roman"/>
          <w:bCs/>
          <w:sz w:val="24"/>
          <w:szCs w:val="24"/>
        </w:rPr>
        <w:t>HCE</w:t>
      </w:r>
      <w:r w:rsidR="00EE285C" w:rsidRPr="00110421">
        <w:rPr>
          <w:rFonts w:ascii="Times New Roman" w:hAnsi="Times New Roman" w:cs="Times New Roman"/>
          <w:bCs/>
          <w:sz w:val="24"/>
          <w:szCs w:val="24"/>
        </w:rPr>
        <w:t xml:space="preserve"> and ranking them in five categories </w:t>
      </w:r>
      <w:r w:rsidR="00110421" w:rsidRPr="00110421">
        <w:rPr>
          <w:rFonts w:ascii="Times New Roman" w:hAnsi="Times New Roman" w:cs="Times New Roman"/>
          <w:bCs/>
          <w:sz w:val="24"/>
          <w:szCs w:val="24"/>
        </w:rPr>
        <w:t>from</w:t>
      </w:r>
      <w:r w:rsidR="00EE285C" w:rsidRPr="00110421">
        <w:rPr>
          <w:rFonts w:ascii="Times New Roman" w:hAnsi="Times New Roman" w:cs="Times New Roman"/>
          <w:bCs/>
          <w:sz w:val="24"/>
          <w:szCs w:val="24"/>
        </w:rPr>
        <w:t xml:space="preserve"> high to low. </w:t>
      </w:r>
      <w:r w:rsidR="00203358" w:rsidRPr="00110421">
        <w:rPr>
          <w:rFonts w:ascii="Times New Roman" w:hAnsi="Times New Roman" w:cs="Times New Roman"/>
          <w:bCs/>
          <w:sz w:val="24"/>
          <w:szCs w:val="24"/>
        </w:rPr>
        <w:t xml:space="preserve">The comparative performance is assessed across these categories. Our results </w:t>
      </w:r>
      <w:r w:rsidR="004812F3" w:rsidRPr="00110421">
        <w:rPr>
          <w:rFonts w:ascii="Times New Roman" w:hAnsi="Times New Roman" w:cs="Times New Roman"/>
          <w:bCs/>
          <w:sz w:val="24"/>
          <w:szCs w:val="24"/>
        </w:rPr>
        <w:t>suggest</w:t>
      </w:r>
      <w:r w:rsidR="00203358" w:rsidRPr="00110421">
        <w:rPr>
          <w:rFonts w:ascii="Times New Roman" w:hAnsi="Times New Roman" w:cs="Times New Roman"/>
          <w:bCs/>
          <w:sz w:val="24"/>
          <w:szCs w:val="24"/>
        </w:rPr>
        <w:t xml:space="preserve"> that during the </w:t>
      </w:r>
      <w:r w:rsidR="008B595A" w:rsidRPr="00110421">
        <w:rPr>
          <w:rFonts w:ascii="Times New Roman" w:hAnsi="Times New Roman" w:cs="Times New Roman"/>
          <w:bCs/>
          <w:sz w:val="24"/>
          <w:szCs w:val="24"/>
        </w:rPr>
        <w:t>C</w:t>
      </w:r>
      <w:r w:rsidR="00110421" w:rsidRPr="00110421">
        <w:rPr>
          <w:rFonts w:ascii="Times New Roman" w:hAnsi="Times New Roman" w:cs="Times New Roman"/>
          <w:bCs/>
          <w:sz w:val="24"/>
          <w:szCs w:val="24"/>
        </w:rPr>
        <w:t>OVID</w:t>
      </w:r>
      <w:r w:rsidR="008B595A" w:rsidRPr="00110421">
        <w:rPr>
          <w:rFonts w:ascii="Times New Roman" w:hAnsi="Times New Roman" w:cs="Times New Roman"/>
          <w:bCs/>
          <w:sz w:val="24"/>
          <w:szCs w:val="24"/>
        </w:rPr>
        <w:t>-19</w:t>
      </w:r>
      <w:r w:rsidR="00110421" w:rsidRPr="00110421">
        <w:rPr>
          <w:rFonts w:ascii="Times New Roman" w:hAnsi="Times New Roman" w:cs="Times New Roman"/>
          <w:bCs/>
          <w:sz w:val="24"/>
          <w:szCs w:val="24"/>
        </w:rPr>
        <w:t xml:space="preserve"> outbreak</w:t>
      </w:r>
      <w:r w:rsidR="008B595A" w:rsidRPr="00110421">
        <w:rPr>
          <w:rFonts w:ascii="Times New Roman" w:hAnsi="Times New Roman" w:cs="Times New Roman"/>
          <w:bCs/>
          <w:sz w:val="24"/>
          <w:szCs w:val="24"/>
        </w:rPr>
        <w:t xml:space="preserve">, </w:t>
      </w:r>
      <w:r w:rsidR="009C6E8A" w:rsidRPr="00110421">
        <w:rPr>
          <w:rFonts w:ascii="Times New Roman" w:hAnsi="Times New Roman" w:cs="Times New Roman"/>
          <w:bCs/>
          <w:sz w:val="24"/>
          <w:szCs w:val="24"/>
        </w:rPr>
        <w:t xml:space="preserve">the equity funds </w:t>
      </w:r>
      <w:r w:rsidR="001A78C4" w:rsidRPr="00110421">
        <w:rPr>
          <w:rFonts w:ascii="Times New Roman" w:hAnsi="Times New Roman" w:cs="Times New Roman"/>
          <w:bCs/>
          <w:sz w:val="24"/>
          <w:szCs w:val="24"/>
        </w:rPr>
        <w:t>that were ranked high</w:t>
      </w:r>
      <w:r w:rsidR="00110421" w:rsidRPr="00110421">
        <w:rPr>
          <w:rFonts w:ascii="Times New Roman" w:hAnsi="Times New Roman" w:cs="Times New Roman"/>
          <w:bCs/>
          <w:sz w:val="24"/>
          <w:szCs w:val="24"/>
        </w:rPr>
        <w:t>er</w:t>
      </w:r>
      <w:r w:rsidR="001A78C4" w:rsidRPr="00110421">
        <w:rPr>
          <w:rFonts w:ascii="Times New Roman" w:hAnsi="Times New Roman" w:cs="Times New Roman"/>
          <w:bCs/>
          <w:sz w:val="24"/>
          <w:szCs w:val="24"/>
        </w:rPr>
        <w:t xml:space="preserve"> in human capital efficiency o</w:t>
      </w:r>
      <w:r w:rsidR="004812F3" w:rsidRPr="00110421">
        <w:rPr>
          <w:rFonts w:ascii="Times New Roman" w:hAnsi="Times New Roman" w:cs="Times New Roman"/>
          <w:bCs/>
          <w:sz w:val="24"/>
          <w:szCs w:val="24"/>
        </w:rPr>
        <w:t>utperformed their counterparts. The analysis for different stages of the outbreak reveal</w:t>
      </w:r>
      <w:r w:rsidR="00110421" w:rsidRPr="00110421">
        <w:rPr>
          <w:rFonts w:ascii="Times New Roman" w:hAnsi="Times New Roman" w:cs="Times New Roman"/>
          <w:bCs/>
          <w:sz w:val="24"/>
          <w:szCs w:val="24"/>
        </w:rPr>
        <w:t>ed</w:t>
      </w:r>
      <w:r w:rsidR="004812F3" w:rsidRPr="00110421">
        <w:rPr>
          <w:rFonts w:ascii="Times New Roman" w:hAnsi="Times New Roman" w:cs="Times New Roman"/>
          <w:bCs/>
          <w:sz w:val="24"/>
          <w:szCs w:val="24"/>
        </w:rPr>
        <w:t xml:space="preserve"> some interesting </w:t>
      </w:r>
      <w:r w:rsidR="00EE36F8" w:rsidRPr="00110421">
        <w:rPr>
          <w:rFonts w:ascii="Times New Roman" w:hAnsi="Times New Roman" w:cs="Times New Roman"/>
          <w:bCs/>
          <w:sz w:val="24"/>
          <w:szCs w:val="24"/>
        </w:rPr>
        <w:t>findings. As</w:t>
      </w:r>
      <w:r w:rsidR="00764948" w:rsidRPr="00110421">
        <w:rPr>
          <w:rFonts w:ascii="Times New Roman" w:hAnsi="Times New Roman" w:cs="Times New Roman"/>
          <w:bCs/>
          <w:sz w:val="24"/>
          <w:szCs w:val="24"/>
        </w:rPr>
        <w:t xml:space="preserve"> the contagion peaks in </w:t>
      </w:r>
      <w:r w:rsidR="00A76ACD">
        <w:rPr>
          <w:rFonts w:ascii="Times New Roman" w:hAnsi="Times New Roman" w:cs="Times New Roman"/>
          <w:bCs/>
          <w:sz w:val="24"/>
          <w:szCs w:val="24"/>
        </w:rPr>
        <w:t xml:space="preserve">the </w:t>
      </w:r>
      <w:r w:rsidR="00764948" w:rsidRPr="00110421">
        <w:rPr>
          <w:rFonts w:ascii="Times New Roman" w:hAnsi="Times New Roman" w:cs="Times New Roman"/>
          <w:bCs/>
          <w:sz w:val="24"/>
          <w:szCs w:val="24"/>
        </w:rPr>
        <w:t>EU, most funds showed negative returns and Jensen’s alpha. However, even during this stage</w:t>
      </w:r>
      <w:r w:rsidR="00A76ACD">
        <w:rPr>
          <w:rFonts w:ascii="Times New Roman" w:hAnsi="Times New Roman" w:cs="Times New Roman"/>
          <w:bCs/>
          <w:sz w:val="24"/>
          <w:szCs w:val="24"/>
        </w:rPr>
        <w:t>,</w:t>
      </w:r>
      <w:r w:rsidR="00764948" w:rsidRPr="00110421">
        <w:rPr>
          <w:rFonts w:ascii="Times New Roman" w:hAnsi="Times New Roman" w:cs="Times New Roman"/>
          <w:bCs/>
          <w:sz w:val="24"/>
          <w:szCs w:val="24"/>
        </w:rPr>
        <w:t xml:space="preserve"> the funds with higher HCE continued to demonstrate resilience with significant positive risk</w:t>
      </w:r>
      <w:r w:rsidR="00A76ACD">
        <w:rPr>
          <w:rFonts w:ascii="Times New Roman" w:hAnsi="Times New Roman" w:cs="Times New Roman"/>
          <w:bCs/>
          <w:sz w:val="24"/>
          <w:szCs w:val="24"/>
        </w:rPr>
        <w:t>-</w:t>
      </w:r>
      <w:r w:rsidR="00764948" w:rsidRPr="00110421">
        <w:rPr>
          <w:rFonts w:ascii="Times New Roman" w:hAnsi="Times New Roman" w:cs="Times New Roman"/>
          <w:bCs/>
          <w:sz w:val="24"/>
          <w:szCs w:val="24"/>
        </w:rPr>
        <w:t>adjusted returns as well as Jensen’s alpha.</w:t>
      </w:r>
      <w:r w:rsidR="00F72A76">
        <w:rPr>
          <w:rFonts w:ascii="Times New Roman" w:hAnsi="Times New Roman" w:cs="Times New Roman"/>
          <w:bCs/>
          <w:sz w:val="24"/>
          <w:szCs w:val="24"/>
        </w:rPr>
        <w:t xml:space="preserve"> </w:t>
      </w:r>
      <w:r w:rsidR="00F72A76" w:rsidRPr="00E43819">
        <w:rPr>
          <w:rFonts w:ascii="Times New Roman" w:hAnsi="Times New Roman" w:cs="Times New Roman"/>
          <w:bCs/>
          <w:color w:val="FF0000"/>
          <w:sz w:val="24"/>
          <w:szCs w:val="24"/>
        </w:rPr>
        <w:t>Our analysis of abnormal returns confirm</w:t>
      </w:r>
      <w:r w:rsidR="00E43819" w:rsidRPr="00E43819">
        <w:rPr>
          <w:rFonts w:ascii="Times New Roman" w:hAnsi="Times New Roman" w:cs="Times New Roman"/>
          <w:bCs/>
          <w:color w:val="FF0000"/>
          <w:sz w:val="24"/>
          <w:szCs w:val="24"/>
        </w:rPr>
        <w:t>s</w:t>
      </w:r>
      <w:r w:rsidR="00F72A76" w:rsidRPr="00E43819">
        <w:rPr>
          <w:rFonts w:ascii="Times New Roman" w:hAnsi="Times New Roman" w:cs="Times New Roman"/>
          <w:bCs/>
          <w:color w:val="FF0000"/>
          <w:sz w:val="24"/>
          <w:szCs w:val="24"/>
        </w:rPr>
        <w:t xml:space="preserve"> the importance of HCE as</w:t>
      </w:r>
      <w:r w:rsidR="00E43819" w:rsidRPr="00E43819">
        <w:rPr>
          <w:rFonts w:ascii="Times New Roman" w:hAnsi="Times New Roman" w:cs="Times New Roman"/>
          <w:bCs/>
          <w:color w:val="FF0000"/>
          <w:sz w:val="24"/>
          <w:szCs w:val="24"/>
        </w:rPr>
        <w:t xml:space="preserve"> funds in higher HCE category demonstrated superior abnormal returns for pre C</w:t>
      </w:r>
      <w:r w:rsidR="004B6081">
        <w:rPr>
          <w:rFonts w:ascii="Times New Roman" w:hAnsi="Times New Roman" w:cs="Times New Roman"/>
          <w:bCs/>
          <w:color w:val="FF0000"/>
          <w:sz w:val="24"/>
          <w:szCs w:val="24"/>
        </w:rPr>
        <w:t>OVID</w:t>
      </w:r>
      <w:r w:rsidR="00E43819" w:rsidRPr="00E43819">
        <w:rPr>
          <w:rFonts w:ascii="Times New Roman" w:hAnsi="Times New Roman" w:cs="Times New Roman"/>
          <w:bCs/>
          <w:color w:val="FF0000"/>
          <w:sz w:val="24"/>
          <w:szCs w:val="24"/>
        </w:rPr>
        <w:t>-19 period as well as during the outbreak.</w:t>
      </w:r>
      <w:r w:rsidR="00F72A76" w:rsidRPr="00E43819">
        <w:rPr>
          <w:rFonts w:ascii="Times New Roman" w:hAnsi="Times New Roman" w:cs="Times New Roman"/>
          <w:bCs/>
          <w:color w:val="FF0000"/>
          <w:sz w:val="24"/>
          <w:szCs w:val="24"/>
        </w:rPr>
        <w:t xml:space="preserve"> </w:t>
      </w:r>
      <w:r w:rsidR="00DF51F4" w:rsidRPr="00110421">
        <w:rPr>
          <w:rFonts w:ascii="Times New Roman" w:hAnsi="Times New Roman" w:cs="Times New Roman"/>
          <w:bCs/>
          <w:sz w:val="24"/>
          <w:szCs w:val="24"/>
        </w:rPr>
        <w:t xml:space="preserve"> We conclude that mutual</w:t>
      </w:r>
      <w:r w:rsidR="00663209" w:rsidRPr="00110421">
        <w:rPr>
          <w:rFonts w:ascii="Times New Roman" w:hAnsi="Times New Roman" w:cs="Times New Roman"/>
          <w:bCs/>
          <w:sz w:val="24"/>
          <w:szCs w:val="24"/>
        </w:rPr>
        <w:t xml:space="preserve"> funds </w:t>
      </w:r>
      <w:r w:rsidR="00B846C0" w:rsidRPr="00110421">
        <w:rPr>
          <w:rFonts w:ascii="Times New Roman" w:hAnsi="Times New Roman" w:cs="Times New Roman"/>
          <w:bCs/>
          <w:sz w:val="24"/>
          <w:szCs w:val="24"/>
        </w:rPr>
        <w:t xml:space="preserve">should concentrate </w:t>
      </w:r>
      <w:r w:rsidR="0066456E" w:rsidRPr="00110421">
        <w:rPr>
          <w:rFonts w:ascii="Times New Roman" w:hAnsi="Times New Roman" w:cs="Times New Roman"/>
          <w:bCs/>
          <w:sz w:val="24"/>
          <w:szCs w:val="24"/>
        </w:rPr>
        <w:t>on investing in human capital as resulting efficiency leads to robust performance during periods marked with uncertainties and turmoil.</w:t>
      </w:r>
      <w:r w:rsidR="0066456E">
        <w:rPr>
          <w:rFonts w:ascii="Times New Roman" w:hAnsi="Times New Roman" w:cs="Times New Roman"/>
          <w:bCs/>
          <w:sz w:val="24"/>
          <w:szCs w:val="24"/>
        </w:rPr>
        <w:t xml:space="preserve">    </w:t>
      </w:r>
      <w:r w:rsidR="00DF51F4">
        <w:rPr>
          <w:rFonts w:ascii="Times New Roman" w:hAnsi="Times New Roman" w:cs="Times New Roman"/>
          <w:bCs/>
          <w:sz w:val="24"/>
          <w:szCs w:val="24"/>
        </w:rPr>
        <w:t xml:space="preserve"> </w:t>
      </w:r>
      <w:r w:rsidR="00764948">
        <w:rPr>
          <w:rFonts w:ascii="Times New Roman" w:hAnsi="Times New Roman" w:cs="Times New Roman"/>
          <w:bCs/>
          <w:sz w:val="24"/>
          <w:szCs w:val="24"/>
        </w:rPr>
        <w:t xml:space="preserve">  </w:t>
      </w:r>
      <w:r w:rsidR="004812F3">
        <w:rPr>
          <w:rFonts w:ascii="Times New Roman" w:hAnsi="Times New Roman" w:cs="Times New Roman"/>
          <w:bCs/>
          <w:sz w:val="24"/>
          <w:szCs w:val="24"/>
        </w:rPr>
        <w:t xml:space="preserve">    </w:t>
      </w:r>
      <w:r w:rsidR="00203358">
        <w:rPr>
          <w:rFonts w:ascii="Times New Roman" w:hAnsi="Times New Roman" w:cs="Times New Roman"/>
          <w:bCs/>
          <w:sz w:val="24"/>
          <w:szCs w:val="24"/>
        </w:rPr>
        <w:t xml:space="preserve">  </w:t>
      </w:r>
      <w:r w:rsidR="00EE285C">
        <w:rPr>
          <w:rFonts w:ascii="Times New Roman" w:hAnsi="Times New Roman" w:cs="Times New Roman"/>
          <w:bCs/>
          <w:sz w:val="24"/>
          <w:szCs w:val="24"/>
        </w:rPr>
        <w:t xml:space="preserve">   </w:t>
      </w:r>
      <w:r w:rsidR="00B5308B">
        <w:rPr>
          <w:rFonts w:ascii="Times New Roman" w:hAnsi="Times New Roman" w:cs="Times New Roman"/>
          <w:bCs/>
          <w:sz w:val="24"/>
          <w:szCs w:val="24"/>
        </w:rPr>
        <w:t xml:space="preserve"> </w:t>
      </w:r>
      <w:r w:rsidR="00F959A6">
        <w:rPr>
          <w:rFonts w:ascii="Times New Roman" w:hAnsi="Times New Roman" w:cs="Times New Roman"/>
          <w:bCs/>
          <w:sz w:val="24"/>
          <w:szCs w:val="24"/>
        </w:rPr>
        <w:t xml:space="preserve"> </w:t>
      </w:r>
      <w:r w:rsidR="007D7F2A">
        <w:rPr>
          <w:rFonts w:ascii="Times New Roman" w:hAnsi="Times New Roman" w:cs="Times New Roman"/>
          <w:bCs/>
          <w:sz w:val="24"/>
          <w:szCs w:val="24"/>
        </w:rPr>
        <w:t xml:space="preserve">  </w:t>
      </w:r>
      <w:r w:rsidR="0080048A">
        <w:rPr>
          <w:rFonts w:ascii="Times New Roman" w:hAnsi="Times New Roman" w:cs="Times New Roman"/>
          <w:bCs/>
          <w:sz w:val="24"/>
          <w:szCs w:val="24"/>
        </w:rPr>
        <w:t xml:space="preserve"> </w:t>
      </w:r>
      <w:r w:rsidR="00FE3110">
        <w:rPr>
          <w:rFonts w:ascii="Times New Roman" w:hAnsi="Times New Roman" w:cs="Times New Roman"/>
          <w:bCs/>
          <w:sz w:val="24"/>
          <w:szCs w:val="24"/>
        </w:rPr>
        <w:t xml:space="preserve">   </w:t>
      </w:r>
      <w:r w:rsidR="00B10A21">
        <w:rPr>
          <w:rFonts w:ascii="Times New Roman" w:hAnsi="Times New Roman" w:cs="Times New Roman"/>
          <w:bCs/>
          <w:sz w:val="24"/>
          <w:szCs w:val="24"/>
        </w:rPr>
        <w:t xml:space="preserve"> </w:t>
      </w:r>
    </w:p>
    <w:p w14:paraId="72F6F691" w14:textId="77777777" w:rsidR="00167E1E" w:rsidRDefault="00167E1E" w:rsidP="00FE31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5E0F71" w14:textId="6FD87C12" w:rsidR="00D85E58" w:rsidRDefault="00D85E58">
      <w:pPr>
        <w:rPr>
          <w:rFonts w:ascii="Times New Roman" w:hAnsi="Times New Roman" w:cs="Times New Roman"/>
          <w:b/>
          <w:sz w:val="24"/>
          <w:szCs w:val="24"/>
        </w:rPr>
      </w:pPr>
      <w:r w:rsidRPr="00D85E58">
        <w:rPr>
          <w:rFonts w:ascii="Times New Roman" w:hAnsi="Times New Roman" w:cs="Times New Roman"/>
          <w:b/>
          <w:sz w:val="24"/>
          <w:szCs w:val="24"/>
        </w:rPr>
        <w:lastRenderedPageBreak/>
        <w:t>References</w:t>
      </w:r>
    </w:p>
    <w:p w14:paraId="236349F7" w14:textId="548699E8"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CA3E59">
        <w:rPr>
          <w:rFonts w:ascii="Times New Roman" w:hAnsi="Times New Roman" w:cs="Times New Roman"/>
          <w:noProof/>
          <w:sz w:val="24"/>
          <w:szCs w:val="24"/>
        </w:rPr>
        <w:t xml:space="preserve">Akhtaruzzaman, M., Boubaker, S., &amp; Sensoy, A. (2020). Financial contagion during COVID–19 crisis. </w:t>
      </w:r>
      <w:r w:rsidRPr="00CA3E59">
        <w:rPr>
          <w:rFonts w:ascii="Times New Roman" w:hAnsi="Times New Roman" w:cs="Times New Roman"/>
          <w:i/>
          <w:iCs/>
          <w:noProof/>
          <w:sz w:val="24"/>
          <w:szCs w:val="24"/>
        </w:rPr>
        <w:t>Finance Research Letters</w:t>
      </w:r>
      <w:r w:rsidRPr="00CA3E59">
        <w:rPr>
          <w:rFonts w:ascii="Times New Roman" w:hAnsi="Times New Roman" w:cs="Times New Roman"/>
          <w:noProof/>
          <w:sz w:val="24"/>
          <w:szCs w:val="24"/>
        </w:rPr>
        <w:t>, 101604. https://doi.org/10.1016/j.frl.2020.101604</w:t>
      </w:r>
    </w:p>
    <w:p w14:paraId="33195562"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Andreu, L., Matallín-Sáez, J. C., &amp; Sarto, J. L. (2018). Mutual fund performance attribution and market timing using portfolio holdings.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57</w:t>
      </w:r>
      <w:r w:rsidRPr="00CA3E59">
        <w:rPr>
          <w:rFonts w:ascii="Times New Roman" w:hAnsi="Times New Roman" w:cs="Times New Roman"/>
          <w:noProof/>
          <w:sz w:val="24"/>
          <w:szCs w:val="24"/>
        </w:rPr>
        <w:t>, 353–370. https://doi.org/10.1016/j.iref.2018.02.003</w:t>
      </w:r>
    </w:p>
    <w:p w14:paraId="6DED6378"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Andreu, L., Sarto, J. L., &amp; Serrano, M. (2019). Risk shifting consequences depending on manager characteristics.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62</w:t>
      </w:r>
      <w:r w:rsidRPr="00CA3E59">
        <w:rPr>
          <w:rFonts w:ascii="Times New Roman" w:hAnsi="Times New Roman" w:cs="Times New Roman"/>
          <w:noProof/>
          <w:sz w:val="24"/>
          <w:szCs w:val="24"/>
        </w:rPr>
        <w:t>, 131–152. https://doi.org/10.1016/j.iref.2019.03.009</w:t>
      </w:r>
    </w:p>
    <w:p w14:paraId="470DEEC0"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Berk, J. B., &amp; van Binsbergen, J. H. (2015). Measuring skill in the mutual fund industry. </w:t>
      </w:r>
      <w:r w:rsidRPr="00CA3E59">
        <w:rPr>
          <w:rFonts w:ascii="Times New Roman" w:hAnsi="Times New Roman" w:cs="Times New Roman"/>
          <w:i/>
          <w:iCs/>
          <w:noProof/>
          <w:sz w:val="24"/>
          <w:szCs w:val="24"/>
        </w:rPr>
        <w:t>Journal of Financial Economics</w:t>
      </w:r>
      <w:r w:rsidRPr="00CA3E59">
        <w:rPr>
          <w:rFonts w:ascii="Times New Roman" w:hAnsi="Times New Roman" w:cs="Times New Roman"/>
          <w:noProof/>
          <w:sz w:val="24"/>
          <w:szCs w:val="24"/>
        </w:rPr>
        <w:t>. https://doi.org/10.1016/j.jfineco.2015.05.002</w:t>
      </w:r>
    </w:p>
    <w:p w14:paraId="7C8D14D6"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Berkowitz, M. K., &amp; Kotowitz, Y. (2002). Managerial quality and the structure of management expenses in the US mutual fund industry.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11</w:t>
      </w:r>
      <w:r w:rsidRPr="00CA3E59">
        <w:rPr>
          <w:rFonts w:ascii="Times New Roman" w:hAnsi="Times New Roman" w:cs="Times New Roman"/>
          <w:noProof/>
          <w:sz w:val="24"/>
          <w:szCs w:val="24"/>
        </w:rPr>
        <w:t>(3), 315–330. https://doi.org/10.1016/S1059-0560(02)00099-0</w:t>
      </w:r>
    </w:p>
    <w:p w14:paraId="4B6554D2"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Cai, B., Cheng, T., &amp; Yan, C. (2018). Time-varying skills (versus luck) in U.S. active mutual funds and hedge funds. </w:t>
      </w:r>
      <w:r w:rsidRPr="00CA3E59">
        <w:rPr>
          <w:rFonts w:ascii="Times New Roman" w:hAnsi="Times New Roman" w:cs="Times New Roman"/>
          <w:i/>
          <w:iCs/>
          <w:noProof/>
          <w:sz w:val="24"/>
          <w:szCs w:val="24"/>
        </w:rPr>
        <w:t>Journal of Empirical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49</w:t>
      </w:r>
      <w:r w:rsidRPr="00CA3E59">
        <w:rPr>
          <w:rFonts w:ascii="Times New Roman" w:hAnsi="Times New Roman" w:cs="Times New Roman"/>
          <w:noProof/>
          <w:sz w:val="24"/>
          <w:szCs w:val="24"/>
        </w:rPr>
        <w:t>, 81–106. https://doi.org/10.1016/j.jempfin.2018.09.001</w:t>
      </w:r>
    </w:p>
    <w:p w14:paraId="0973D888"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Carhart, M. M. (1997). On persistence in mutual fund performance. </w:t>
      </w:r>
      <w:r w:rsidRPr="00CA3E59">
        <w:rPr>
          <w:rFonts w:ascii="Times New Roman" w:hAnsi="Times New Roman" w:cs="Times New Roman"/>
          <w:i/>
          <w:iCs/>
          <w:noProof/>
          <w:sz w:val="24"/>
          <w:szCs w:val="24"/>
        </w:rPr>
        <w:t>Journal of Finance</w:t>
      </w:r>
      <w:r w:rsidRPr="00CA3E59">
        <w:rPr>
          <w:rFonts w:ascii="Times New Roman" w:hAnsi="Times New Roman" w:cs="Times New Roman"/>
          <w:noProof/>
          <w:sz w:val="24"/>
          <w:szCs w:val="24"/>
        </w:rPr>
        <w:t>. https://doi.org/10.1111/j.1540-6261.1997.tb03808.x</w:t>
      </w:r>
    </w:p>
    <w:p w14:paraId="3C467D86"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Corbet, S., Larkin, C., &amp; Lucey, B. (2020). The contagion effects of the COVID-19 pandemic: Evidence from Gold and Cryptocurrencies. </w:t>
      </w:r>
      <w:r w:rsidRPr="00CA3E59">
        <w:rPr>
          <w:rFonts w:ascii="Times New Roman" w:hAnsi="Times New Roman" w:cs="Times New Roman"/>
          <w:i/>
          <w:iCs/>
          <w:noProof/>
          <w:sz w:val="24"/>
          <w:szCs w:val="24"/>
        </w:rPr>
        <w:t>Finance Research Letters</w:t>
      </w:r>
      <w:r w:rsidRPr="00CA3E59">
        <w:rPr>
          <w:rFonts w:ascii="Times New Roman" w:hAnsi="Times New Roman" w:cs="Times New Roman"/>
          <w:noProof/>
          <w:sz w:val="24"/>
          <w:szCs w:val="24"/>
        </w:rPr>
        <w:t>, 101554. https://doi.org/10.1016/j.frl.2020.101554</w:t>
      </w:r>
    </w:p>
    <w:p w14:paraId="774A4648"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Fama, E. F., &amp; French, K. R. (1992). The Cross-Section of Expected Stock Returns. </w:t>
      </w:r>
      <w:r w:rsidRPr="00CA3E59">
        <w:rPr>
          <w:rFonts w:ascii="Times New Roman" w:hAnsi="Times New Roman" w:cs="Times New Roman"/>
          <w:i/>
          <w:iCs/>
          <w:noProof/>
          <w:sz w:val="24"/>
          <w:szCs w:val="24"/>
        </w:rPr>
        <w:t>The Journal of Finance</w:t>
      </w:r>
      <w:r w:rsidRPr="00CA3E59">
        <w:rPr>
          <w:rFonts w:ascii="Times New Roman" w:hAnsi="Times New Roman" w:cs="Times New Roman"/>
          <w:noProof/>
          <w:sz w:val="24"/>
          <w:szCs w:val="24"/>
        </w:rPr>
        <w:t>. https://doi.org/10.2307/2329112</w:t>
      </w:r>
    </w:p>
    <w:p w14:paraId="777738BB"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Fang, H., Shen, C. H., &amp; Lee, Y. H. (2017). The dynamic and asymmetric herding behavior of US equity fund managers in the stock market.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49</w:t>
      </w:r>
      <w:r w:rsidRPr="00CA3E59">
        <w:rPr>
          <w:rFonts w:ascii="Times New Roman" w:hAnsi="Times New Roman" w:cs="Times New Roman"/>
          <w:noProof/>
          <w:sz w:val="24"/>
          <w:szCs w:val="24"/>
        </w:rPr>
        <w:t>, 353–369. https://doi.org/10.1016/j.iref.2016.12.012</w:t>
      </w:r>
    </w:p>
    <w:p w14:paraId="33C85273"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Goddard, J., Molyneux, P., &amp; Zhou, T. (2012). Bank mergers and acquisitions in emerging markets: evidence from Asia and Latin America. </w:t>
      </w:r>
      <w:r w:rsidRPr="00CA3E59">
        <w:rPr>
          <w:rFonts w:ascii="Times New Roman" w:hAnsi="Times New Roman" w:cs="Times New Roman"/>
          <w:i/>
          <w:iCs/>
          <w:noProof/>
          <w:sz w:val="24"/>
          <w:szCs w:val="24"/>
        </w:rPr>
        <w:t>The European Journal of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18</w:t>
      </w:r>
      <w:r w:rsidRPr="00CA3E59">
        <w:rPr>
          <w:rFonts w:ascii="Times New Roman" w:hAnsi="Times New Roman" w:cs="Times New Roman"/>
          <w:noProof/>
          <w:sz w:val="24"/>
          <w:szCs w:val="24"/>
        </w:rPr>
        <w:t>(5), 419–438. https://doi.org/10.1080/1351847X.2011.601668</w:t>
      </w:r>
    </w:p>
    <w:p w14:paraId="270FCAA3"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Goodell, J. W. (2020). COVID-19 and finance: Agendas for future research. </w:t>
      </w:r>
      <w:r w:rsidRPr="00CA3E59">
        <w:rPr>
          <w:rFonts w:ascii="Times New Roman" w:hAnsi="Times New Roman" w:cs="Times New Roman"/>
          <w:i/>
          <w:iCs/>
          <w:noProof/>
          <w:sz w:val="24"/>
          <w:szCs w:val="24"/>
        </w:rPr>
        <w:t>Finance Research Letters</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35</w:t>
      </w:r>
      <w:r w:rsidRPr="00CA3E59">
        <w:rPr>
          <w:rFonts w:ascii="Times New Roman" w:hAnsi="Times New Roman" w:cs="Times New Roman"/>
          <w:noProof/>
          <w:sz w:val="24"/>
          <w:szCs w:val="24"/>
        </w:rPr>
        <w:t>, 101512. https://doi.org/10.1016/j.frl.2020.101512</w:t>
      </w:r>
    </w:p>
    <w:p w14:paraId="23DDA649"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Goodell, J. W., &amp; Goutte, S. (2020). Co-Movement of COVID-19 and Bitcoin: Evidence from Wavelet Coherence Analysis. </w:t>
      </w:r>
      <w:r w:rsidRPr="00CA3E59">
        <w:rPr>
          <w:rFonts w:ascii="Times New Roman" w:hAnsi="Times New Roman" w:cs="Times New Roman"/>
          <w:i/>
          <w:iCs/>
          <w:noProof/>
          <w:sz w:val="24"/>
          <w:szCs w:val="24"/>
        </w:rPr>
        <w:t>SSRN Electronic Journal</w:t>
      </w:r>
      <w:r w:rsidRPr="00CA3E59">
        <w:rPr>
          <w:rFonts w:ascii="Times New Roman" w:hAnsi="Times New Roman" w:cs="Times New Roman"/>
          <w:noProof/>
          <w:sz w:val="24"/>
          <w:szCs w:val="24"/>
        </w:rPr>
        <w:t>. https://doi.org/10.2139/ssrn.3597144</w:t>
      </w:r>
    </w:p>
    <w:p w14:paraId="0940F48C"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Goodell, J. W., &amp; Huynh, T. L. D. (2020). Did Congress trade ahead? Considering the reaction of US industries to COVID-19. </w:t>
      </w:r>
      <w:r w:rsidRPr="00CA3E59">
        <w:rPr>
          <w:rFonts w:ascii="Times New Roman" w:hAnsi="Times New Roman" w:cs="Times New Roman"/>
          <w:i/>
          <w:iCs/>
          <w:noProof/>
          <w:sz w:val="24"/>
          <w:szCs w:val="24"/>
        </w:rPr>
        <w:t>Finance Research Letters</w:t>
      </w:r>
      <w:r w:rsidRPr="00CA3E59">
        <w:rPr>
          <w:rFonts w:ascii="Times New Roman" w:hAnsi="Times New Roman" w:cs="Times New Roman"/>
          <w:noProof/>
          <w:sz w:val="24"/>
          <w:szCs w:val="24"/>
        </w:rPr>
        <w:t>, 101578. https://doi.org/10.1016/j.frl.2020.101578</w:t>
      </w:r>
    </w:p>
    <w:p w14:paraId="1BF250EA"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lastRenderedPageBreak/>
        <w:t xml:space="preserve">Goodwin, T. H. (1998). The information ratio. </w:t>
      </w:r>
      <w:r w:rsidRPr="00CA3E59">
        <w:rPr>
          <w:rFonts w:ascii="Times New Roman" w:hAnsi="Times New Roman" w:cs="Times New Roman"/>
          <w:i/>
          <w:iCs/>
          <w:noProof/>
          <w:sz w:val="24"/>
          <w:szCs w:val="24"/>
        </w:rPr>
        <w:t>Financial Analysts Journal</w:t>
      </w:r>
      <w:r w:rsidRPr="00CA3E59">
        <w:rPr>
          <w:rFonts w:ascii="Times New Roman" w:hAnsi="Times New Roman" w:cs="Times New Roman"/>
          <w:noProof/>
          <w:sz w:val="24"/>
          <w:szCs w:val="24"/>
        </w:rPr>
        <w:t>. https://doi.org/10.2469/faj.v54.n4.2196</w:t>
      </w:r>
    </w:p>
    <w:p w14:paraId="3A16E15F"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Hansen, P. R., &amp; Lunde, A. (2005). A forecast comparison of volatility models: Does anything beat a GARCH(1,1)? </w:t>
      </w:r>
      <w:r w:rsidRPr="00CA3E59">
        <w:rPr>
          <w:rFonts w:ascii="Times New Roman" w:hAnsi="Times New Roman" w:cs="Times New Roman"/>
          <w:i/>
          <w:iCs/>
          <w:noProof/>
          <w:sz w:val="24"/>
          <w:szCs w:val="24"/>
        </w:rPr>
        <w:t>Journal of Applied Econometrics</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20</w:t>
      </w:r>
      <w:r w:rsidRPr="00CA3E59">
        <w:rPr>
          <w:rFonts w:ascii="Times New Roman" w:hAnsi="Times New Roman" w:cs="Times New Roman"/>
          <w:noProof/>
          <w:sz w:val="24"/>
          <w:szCs w:val="24"/>
        </w:rPr>
        <w:t>(7), 873–889. https://doi.org/10.1002/jae.800</w:t>
      </w:r>
    </w:p>
    <w:p w14:paraId="1AD0D47A"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Hitt, M. A., Bierman, L., Shimizu, K., &amp; Kochhar, R. (2001). Direct and moderating effects of human capital on strategy and performance in professional service firms: A resource-based perspective. In </w:t>
      </w:r>
      <w:r w:rsidRPr="00CA3E59">
        <w:rPr>
          <w:rFonts w:ascii="Times New Roman" w:hAnsi="Times New Roman" w:cs="Times New Roman"/>
          <w:i/>
          <w:iCs/>
          <w:noProof/>
          <w:sz w:val="24"/>
          <w:szCs w:val="24"/>
        </w:rPr>
        <w:t>Academy of Management Journal</w:t>
      </w:r>
      <w:r w:rsidRPr="00CA3E59">
        <w:rPr>
          <w:rFonts w:ascii="Times New Roman" w:hAnsi="Times New Roman" w:cs="Times New Roman"/>
          <w:noProof/>
          <w:sz w:val="24"/>
          <w:szCs w:val="24"/>
        </w:rPr>
        <w:t>. https://doi.org/10.2307/3069334</w:t>
      </w:r>
    </w:p>
    <w:p w14:paraId="5874136D"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Huang, R., Pilbeam, K., &amp; Pouliot, W. (2019). Do actively managed US mutual funds produce positive alpha? </w:t>
      </w:r>
      <w:r w:rsidRPr="00CA3E59">
        <w:rPr>
          <w:rFonts w:ascii="Times New Roman" w:hAnsi="Times New Roman" w:cs="Times New Roman"/>
          <w:i/>
          <w:iCs/>
          <w:noProof/>
          <w:sz w:val="24"/>
          <w:szCs w:val="24"/>
        </w:rPr>
        <w:t>Journal of Economic Behavior and Organization</w:t>
      </w:r>
      <w:r w:rsidRPr="00CA3E59">
        <w:rPr>
          <w:rFonts w:ascii="Times New Roman" w:hAnsi="Times New Roman" w:cs="Times New Roman"/>
          <w:noProof/>
          <w:sz w:val="24"/>
          <w:szCs w:val="24"/>
        </w:rPr>
        <w:t>. https://doi.org/10.1016/j.jebo.2019.03.006</w:t>
      </w:r>
    </w:p>
    <w:p w14:paraId="781A24E5"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Jensen, M. C. (1968). The Performance of Mutual Funds in the Period 1945-1964. </w:t>
      </w:r>
      <w:r w:rsidRPr="00CA3E59">
        <w:rPr>
          <w:rFonts w:ascii="Times New Roman" w:hAnsi="Times New Roman" w:cs="Times New Roman"/>
          <w:i/>
          <w:iCs/>
          <w:noProof/>
          <w:sz w:val="24"/>
          <w:szCs w:val="24"/>
        </w:rPr>
        <w:t>The Journal of Finance</w:t>
      </w:r>
      <w:r w:rsidRPr="00CA3E59">
        <w:rPr>
          <w:rFonts w:ascii="Times New Roman" w:hAnsi="Times New Roman" w:cs="Times New Roman"/>
          <w:noProof/>
          <w:sz w:val="24"/>
          <w:szCs w:val="24"/>
        </w:rPr>
        <w:t>. https://doi.org/10.2307/2325404</w:t>
      </w:r>
    </w:p>
    <w:p w14:paraId="1E065F67"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Lopez-Cabrales, A., Valle, R., &amp; Herrero, I. (2006). The contribution of core employees to organizational capabilities and efficiency. </w:t>
      </w:r>
      <w:r w:rsidRPr="00CA3E59">
        <w:rPr>
          <w:rFonts w:ascii="Times New Roman" w:hAnsi="Times New Roman" w:cs="Times New Roman"/>
          <w:i/>
          <w:iCs/>
          <w:noProof/>
          <w:sz w:val="24"/>
          <w:szCs w:val="24"/>
        </w:rPr>
        <w:t>Human Resource Management</w:t>
      </w:r>
      <w:r w:rsidRPr="00CA3E59">
        <w:rPr>
          <w:rFonts w:ascii="Times New Roman" w:hAnsi="Times New Roman" w:cs="Times New Roman"/>
          <w:noProof/>
          <w:sz w:val="24"/>
          <w:szCs w:val="24"/>
        </w:rPr>
        <w:t>. https://doi.org/10.1002/hrm.20094</w:t>
      </w:r>
    </w:p>
    <w:p w14:paraId="7586AFC8"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Mirza, N., Naqvi, B., Rahat, B., &amp; Rizvi, S. K. A. (2020). Price Reaction, Volatility Timing and Funds’ Performance during Covid-19. </w:t>
      </w:r>
      <w:r w:rsidRPr="00CA3E59">
        <w:rPr>
          <w:rFonts w:ascii="Times New Roman" w:hAnsi="Times New Roman" w:cs="Times New Roman"/>
          <w:i/>
          <w:iCs/>
          <w:noProof/>
          <w:sz w:val="24"/>
          <w:szCs w:val="24"/>
        </w:rPr>
        <w:t>Finance Research Letters</w:t>
      </w:r>
      <w:r w:rsidRPr="00CA3E59">
        <w:rPr>
          <w:rFonts w:ascii="Times New Roman" w:hAnsi="Times New Roman" w:cs="Times New Roman"/>
          <w:noProof/>
          <w:sz w:val="24"/>
          <w:szCs w:val="24"/>
        </w:rPr>
        <w:t>, 101657. https://doi.org/10.1016/j.frl.2020.101657</w:t>
      </w:r>
    </w:p>
    <w:p w14:paraId="4B1282CB"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Muñoz, F. (2019). The 'smart money effect’ among socially responsible mutual fund investors.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62</w:t>
      </w:r>
      <w:r w:rsidRPr="00CA3E59">
        <w:rPr>
          <w:rFonts w:ascii="Times New Roman" w:hAnsi="Times New Roman" w:cs="Times New Roman"/>
          <w:noProof/>
          <w:sz w:val="24"/>
          <w:szCs w:val="24"/>
        </w:rPr>
        <w:t>, 160–179. https://doi.org/10.1016/j.iref.2019.03.010</w:t>
      </w:r>
    </w:p>
    <w:p w14:paraId="20307865"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Muñoz, F., Vargas, M., &amp; Vicente, R. (2014). Fund flow bias in market timing skill. Evidence of the clientele effect.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33</w:t>
      </w:r>
      <w:r w:rsidRPr="00CA3E59">
        <w:rPr>
          <w:rFonts w:ascii="Times New Roman" w:hAnsi="Times New Roman" w:cs="Times New Roman"/>
          <w:noProof/>
          <w:sz w:val="24"/>
          <w:szCs w:val="24"/>
        </w:rPr>
        <w:t>, 257–269. https://doi.org/10.1016/j.iref.2014.05.006</w:t>
      </w:r>
    </w:p>
    <w:p w14:paraId="7E877B93"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Nieves, J., &amp; Quintana, A. (2018). Human resource practices and innovation in the hotel industry: The mediating role of human capital. </w:t>
      </w:r>
      <w:r w:rsidRPr="00CA3E59">
        <w:rPr>
          <w:rFonts w:ascii="Times New Roman" w:hAnsi="Times New Roman" w:cs="Times New Roman"/>
          <w:i/>
          <w:iCs/>
          <w:noProof/>
          <w:sz w:val="24"/>
          <w:szCs w:val="24"/>
        </w:rPr>
        <w:t>Tourism and Hospitality Research</w:t>
      </w:r>
      <w:r w:rsidRPr="00CA3E59">
        <w:rPr>
          <w:rFonts w:ascii="Times New Roman" w:hAnsi="Times New Roman" w:cs="Times New Roman"/>
          <w:noProof/>
          <w:sz w:val="24"/>
          <w:szCs w:val="24"/>
        </w:rPr>
        <w:t>. https://doi.org/10.1177/1467358415624137</w:t>
      </w:r>
    </w:p>
    <w:p w14:paraId="2E9CC225"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Pezier, J., &amp; White, A. (2006). The Relative Merits of Investable Hedge Fund Indices and of Funds of Hedge Funds in Optimal Passive Portfolios. </w:t>
      </w:r>
      <w:r w:rsidRPr="00CA3E59">
        <w:rPr>
          <w:rFonts w:ascii="Times New Roman" w:hAnsi="Times New Roman" w:cs="Times New Roman"/>
          <w:i/>
          <w:iCs/>
          <w:noProof/>
          <w:sz w:val="24"/>
          <w:szCs w:val="24"/>
        </w:rPr>
        <w:t>ICMA Centre Discussion Papers in Finance</w:t>
      </w:r>
      <w:r w:rsidRPr="00CA3E59">
        <w:rPr>
          <w:rFonts w:ascii="Times New Roman" w:hAnsi="Times New Roman" w:cs="Times New Roman"/>
          <w:noProof/>
          <w:sz w:val="24"/>
          <w:szCs w:val="24"/>
        </w:rPr>
        <w:t>, 1–32.</w:t>
      </w:r>
    </w:p>
    <w:p w14:paraId="4ED0D623"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Pulic, A. (2000). VAIC - an accounting tool for IC management. </w:t>
      </w:r>
      <w:r w:rsidRPr="00CA3E59">
        <w:rPr>
          <w:rFonts w:ascii="Times New Roman" w:hAnsi="Times New Roman" w:cs="Times New Roman"/>
          <w:i/>
          <w:iCs/>
          <w:noProof/>
          <w:sz w:val="24"/>
          <w:szCs w:val="24"/>
        </w:rPr>
        <w:t>International Journal of Technology Management</w:t>
      </w:r>
      <w:r w:rsidRPr="00CA3E59">
        <w:rPr>
          <w:rFonts w:ascii="Times New Roman" w:hAnsi="Times New Roman" w:cs="Times New Roman"/>
          <w:noProof/>
          <w:sz w:val="24"/>
          <w:szCs w:val="24"/>
        </w:rPr>
        <w:t>. https://doi.org/10.1504/ijtm.2000.002891</w:t>
      </w:r>
    </w:p>
    <w:p w14:paraId="3CB3EE9B"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Pulic, A., &amp; Kolakovic, M. (2003). Value creation efficiency in the new economy. </w:t>
      </w:r>
      <w:r w:rsidRPr="00CA3E59">
        <w:rPr>
          <w:rFonts w:ascii="Times New Roman" w:hAnsi="Times New Roman" w:cs="Times New Roman"/>
          <w:i/>
          <w:iCs/>
          <w:noProof/>
          <w:sz w:val="24"/>
          <w:szCs w:val="24"/>
        </w:rPr>
        <w:t>Global Business and Economics Review</w:t>
      </w:r>
      <w:r w:rsidRPr="00CA3E59">
        <w:rPr>
          <w:rFonts w:ascii="Times New Roman" w:hAnsi="Times New Roman" w:cs="Times New Roman"/>
          <w:noProof/>
          <w:sz w:val="24"/>
          <w:szCs w:val="24"/>
        </w:rPr>
        <w:t>. https://doi.org/10.1504/gber.2003.006201</w:t>
      </w:r>
    </w:p>
    <w:p w14:paraId="5DD58DBE"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Rizvi, S. K. A., Mirza, N., Naqvi, B., &amp; Rahat, B. (2020). Covid-19 and asset management in EU: a preliminary assessment of performance and investment styles. </w:t>
      </w:r>
      <w:r w:rsidRPr="00CA3E59">
        <w:rPr>
          <w:rFonts w:ascii="Times New Roman" w:hAnsi="Times New Roman" w:cs="Times New Roman"/>
          <w:i/>
          <w:iCs/>
          <w:noProof/>
          <w:sz w:val="24"/>
          <w:szCs w:val="24"/>
        </w:rPr>
        <w:t>Journal of Asset Management</w:t>
      </w:r>
      <w:r w:rsidRPr="00CA3E59">
        <w:rPr>
          <w:rFonts w:ascii="Times New Roman" w:hAnsi="Times New Roman" w:cs="Times New Roman"/>
          <w:noProof/>
          <w:sz w:val="24"/>
          <w:szCs w:val="24"/>
        </w:rPr>
        <w:t>, 1–11. https://doi.org/10.1057/s41260-020-00172-3</w:t>
      </w:r>
    </w:p>
    <w:p w14:paraId="64AB9F44"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Sharif, A., Aloui, C., &amp; Yarovaya, L. (2020). COVID-19 pandemic, oil prices, stock market, </w:t>
      </w:r>
      <w:r w:rsidRPr="00CA3E59">
        <w:rPr>
          <w:rFonts w:ascii="Times New Roman" w:hAnsi="Times New Roman" w:cs="Times New Roman"/>
          <w:noProof/>
          <w:sz w:val="24"/>
          <w:szCs w:val="24"/>
        </w:rPr>
        <w:lastRenderedPageBreak/>
        <w:t xml:space="preserve">geopolitical risk and policy uncertainty nexus in the US economy: Fresh evidence from the wavelet-based approach. </w:t>
      </w:r>
      <w:r w:rsidRPr="00CA3E59">
        <w:rPr>
          <w:rFonts w:ascii="Times New Roman" w:hAnsi="Times New Roman" w:cs="Times New Roman"/>
          <w:i/>
          <w:iCs/>
          <w:noProof/>
          <w:sz w:val="24"/>
          <w:szCs w:val="24"/>
        </w:rPr>
        <w:t>International Review of Financial Analysis</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70</w:t>
      </w:r>
      <w:r w:rsidRPr="00CA3E59">
        <w:rPr>
          <w:rFonts w:ascii="Times New Roman" w:hAnsi="Times New Roman" w:cs="Times New Roman"/>
          <w:noProof/>
          <w:sz w:val="24"/>
          <w:szCs w:val="24"/>
        </w:rPr>
        <w:t>, 101496. https://doi.org/10.1016/j.irfa.2020.101496</w:t>
      </w:r>
    </w:p>
    <w:p w14:paraId="2709ED77"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Sharpe, W. F. (1966). Mutual Fund Performance. </w:t>
      </w:r>
      <w:r w:rsidRPr="00CA3E59">
        <w:rPr>
          <w:rFonts w:ascii="Times New Roman" w:hAnsi="Times New Roman" w:cs="Times New Roman"/>
          <w:i/>
          <w:iCs/>
          <w:noProof/>
          <w:sz w:val="24"/>
          <w:szCs w:val="24"/>
        </w:rPr>
        <w:t>The Journal of Business</w:t>
      </w:r>
      <w:r w:rsidRPr="00CA3E59">
        <w:rPr>
          <w:rFonts w:ascii="Times New Roman" w:hAnsi="Times New Roman" w:cs="Times New Roman"/>
          <w:noProof/>
          <w:sz w:val="24"/>
          <w:szCs w:val="24"/>
        </w:rPr>
        <w:t>. https://doi.org/10.1086/294846</w:t>
      </w:r>
    </w:p>
    <w:p w14:paraId="42E7A813"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Sortino, F. A., &amp; Price, L. N. (1994). Performance Measurement in a Downside Risk Framework. </w:t>
      </w:r>
      <w:r w:rsidRPr="00CA3E59">
        <w:rPr>
          <w:rFonts w:ascii="Times New Roman" w:hAnsi="Times New Roman" w:cs="Times New Roman"/>
          <w:i/>
          <w:iCs/>
          <w:noProof/>
          <w:sz w:val="24"/>
          <w:szCs w:val="24"/>
        </w:rPr>
        <w:t>The Journal of Investing</w:t>
      </w:r>
      <w:r w:rsidRPr="00CA3E59">
        <w:rPr>
          <w:rFonts w:ascii="Times New Roman" w:hAnsi="Times New Roman" w:cs="Times New Roman"/>
          <w:noProof/>
          <w:sz w:val="24"/>
          <w:szCs w:val="24"/>
        </w:rPr>
        <w:t>. https://doi.org/10.3905/joi.3.3.59</w:t>
      </w:r>
    </w:p>
    <w:p w14:paraId="4C27C36F"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Treynor, J. L., &amp; Mazuy, K. K. (1966). </w:t>
      </w:r>
      <w:r w:rsidRPr="00CA3E59">
        <w:rPr>
          <w:rFonts w:ascii="Times New Roman" w:hAnsi="Times New Roman" w:cs="Times New Roman"/>
          <w:i/>
          <w:iCs/>
          <w:noProof/>
          <w:sz w:val="24"/>
          <w:szCs w:val="24"/>
        </w:rPr>
        <w:t>Can mutual funds outguess the market? Harvard Business Review 44</w:t>
      </w:r>
      <w:r w:rsidRPr="00CA3E59">
        <w:rPr>
          <w:rFonts w:ascii="Times New Roman" w:hAnsi="Times New Roman" w:cs="Times New Roman"/>
          <w:noProof/>
          <w:sz w:val="24"/>
          <w:szCs w:val="24"/>
        </w:rPr>
        <w:t>.</w:t>
      </w:r>
    </w:p>
    <w:p w14:paraId="2C814DB2"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Wang, Y., &amp; Ko, K. (2017). Implications of fund manager turnover in China. </w:t>
      </w:r>
      <w:r w:rsidRPr="00CA3E59">
        <w:rPr>
          <w:rFonts w:ascii="Times New Roman" w:hAnsi="Times New Roman" w:cs="Times New Roman"/>
          <w:i/>
          <w:iCs/>
          <w:noProof/>
          <w:sz w:val="24"/>
          <w:szCs w:val="24"/>
        </w:rPr>
        <w:t>International Review of Economics and Finance</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51</w:t>
      </w:r>
      <w:r w:rsidRPr="00CA3E59">
        <w:rPr>
          <w:rFonts w:ascii="Times New Roman" w:hAnsi="Times New Roman" w:cs="Times New Roman"/>
          <w:noProof/>
          <w:sz w:val="24"/>
          <w:szCs w:val="24"/>
        </w:rPr>
        <w:t>, 99–106. https://doi.org/10.1016/j.iref.2017.05.004</w:t>
      </w:r>
    </w:p>
    <w:p w14:paraId="778E6D5E"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Yarovaya, L., Brzeszczynski, J., Goodell, J. W., Lucey, B. M., &amp; Lau, C. K. (2020). Rethinking Financial Contagion: Information Transmission Mechanism During the COVID-19 Pandemic. </w:t>
      </w:r>
      <w:r w:rsidRPr="00CA3E59">
        <w:rPr>
          <w:rFonts w:ascii="Times New Roman" w:hAnsi="Times New Roman" w:cs="Times New Roman"/>
          <w:i/>
          <w:iCs/>
          <w:noProof/>
          <w:sz w:val="24"/>
          <w:szCs w:val="24"/>
        </w:rPr>
        <w:t>SSRN Electronic Journal</w:t>
      </w:r>
      <w:r w:rsidRPr="00CA3E59">
        <w:rPr>
          <w:rFonts w:ascii="Times New Roman" w:hAnsi="Times New Roman" w:cs="Times New Roman"/>
          <w:noProof/>
          <w:sz w:val="24"/>
          <w:szCs w:val="24"/>
        </w:rPr>
        <w:t>. https://doi.org/10.2139/ssrn.3602973</w:t>
      </w:r>
    </w:p>
    <w:p w14:paraId="2E06A8D5"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Yarovaya, L., Matkovskyy, R., &amp; Jalan, A. (2020). The Effects of a “Black Swan” Event (COVID-19) on Herding Behavior in Cryptocurrency Markets: Evidence from Cryptocurrency USD, EUR, JPY and KRW Markets. </w:t>
      </w:r>
      <w:r w:rsidRPr="00CA3E59">
        <w:rPr>
          <w:rFonts w:ascii="Times New Roman" w:hAnsi="Times New Roman" w:cs="Times New Roman"/>
          <w:i/>
          <w:iCs/>
          <w:noProof/>
          <w:sz w:val="24"/>
          <w:szCs w:val="24"/>
        </w:rPr>
        <w:t>SSRN Electronic Journal</w:t>
      </w:r>
      <w:r w:rsidRPr="00CA3E59">
        <w:rPr>
          <w:rFonts w:ascii="Times New Roman" w:hAnsi="Times New Roman" w:cs="Times New Roman"/>
          <w:noProof/>
          <w:sz w:val="24"/>
          <w:szCs w:val="24"/>
        </w:rPr>
        <w:t>. https://doi.org/10.2139/ssrn.3586511</w:t>
      </w:r>
    </w:p>
    <w:p w14:paraId="5087CC9E"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szCs w:val="24"/>
        </w:rPr>
      </w:pPr>
      <w:r w:rsidRPr="00CA3E59">
        <w:rPr>
          <w:rFonts w:ascii="Times New Roman" w:hAnsi="Times New Roman" w:cs="Times New Roman"/>
          <w:noProof/>
          <w:sz w:val="24"/>
          <w:szCs w:val="24"/>
        </w:rPr>
        <w:t xml:space="preserve">Yi, L., Liu, Z., He, L., Qin, Z., &amp; Gan, S. (2018). Do Chinese mutual funds time the market? </w:t>
      </w:r>
      <w:r w:rsidRPr="00CA3E59">
        <w:rPr>
          <w:rFonts w:ascii="Times New Roman" w:hAnsi="Times New Roman" w:cs="Times New Roman"/>
          <w:i/>
          <w:iCs/>
          <w:noProof/>
          <w:sz w:val="24"/>
          <w:szCs w:val="24"/>
        </w:rPr>
        <w:t>Pacific Basin Finance Journal</w:t>
      </w:r>
      <w:r w:rsidRPr="00CA3E59">
        <w:rPr>
          <w:rFonts w:ascii="Times New Roman" w:hAnsi="Times New Roman" w:cs="Times New Roman"/>
          <w:noProof/>
          <w:sz w:val="24"/>
          <w:szCs w:val="24"/>
        </w:rPr>
        <w:t xml:space="preserve">, </w:t>
      </w:r>
      <w:r w:rsidRPr="00CA3E59">
        <w:rPr>
          <w:rFonts w:ascii="Times New Roman" w:hAnsi="Times New Roman" w:cs="Times New Roman"/>
          <w:i/>
          <w:iCs/>
          <w:noProof/>
          <w:sz w:val="24"/>
          <w:szCs w:val="24"/>
        </w:rPr>
        <w:t>47</w:t>
      </w:r>
      <w:r w:rsidRPr="00CA3E59">
        <w:rPr>
          <w:rFonts w:ascii="Times New Roman" w:hAnsi="Times New Roman" w:cs="Times New Roman"/>
          <w:noProof/>
          <w:sz w:val="24"/>
          <w:szCs w:val="24"/>
        </w:rPr>
        <w:t>, 1–19. https://doi.org/10.1016/j.pacfin.2017.11.002</w:t>
      </w:r>
    </w:p>
    <w:p w14:paraId="04C1B00E" w14:textId="77777777" w:rsidR="00CA3E59" w:rsidRPr="00CA3E59" w:rsidRDefault="00CA3E59" w:rsidP="00CA3E59">
      <w:pPr>
        <w:widowControl w:val="0"/>
        <w:autoSpaceDE w:val="0"/>
        <w:autoSpaceDN w:val="0"/>
        <w:adjustRightInd w:val="0"/>
        <w:spacing w:line="240" w:lineRule="auto"/>
        <w:ind w:left="480" w:hanging="480"/>
        <w:rPr>
          <w:rFonts w:ascii="Times New Roman" w:hAnsi="Times New Roman" w:cs="Times New Roman"/>
          <w:noProof/>
          <w:sz w:val="24"/>
        </w:rPr>
      </w:pPr>
      <w:r w:rsidRPr="00CA3E59">
        <w:rPr>
          <w:rFonts w:ascii="Times New Roman" w:hAnsi="Times New Roman" w:cs="Times New Roman"/>
          <w:noProof/>
          <w:sz w:val="24"/>
          <w:szCs w:val="24"/>
        </w:rPr>
        <w:t xml:space="preserve">Zhang, D., Hu, M., &amp; Ji, Q. (2020). Financial markets under the global pandemic of COVID-19. </w:t>
      </w:r>
      <w:r w:rsidRPr="00CA3E59">
        <w:rPr>
          <w:rFonts w:ascii="Times New Roman" w:hAnsi="Times New Roman" w:cs="Times New Roman"/>
          <w:i/>
          <w:iCs/>
          <w:noProof/>
          <w:sz w:val="24"/>
          <w:szCs w:val="24"/>
        </w:rPr>
        <w:t>Finance Research Letters</w:t>
      </w:r>
      <w:r w:rsidRPr="00CA3E59">
        <w:rPr>
          <w:rFonts w:ascii="Times New Roman" w:hAnsi="Times New Roman" w:cs="Times New Roman"/>
          <w:noProof/>
          <w:sz w:val="24"/>
          <w:szCs w:val="24"/>
        </w:rPr>
        <w:t>, 101528. https://doi.org/10.1016/j.frl.2020.101528</w:t>
      </w:r>
    </w:p>
    <w:p w14:paraId="5F1CC08A" w14:textId="73C7D6C1" w:rsidR="00CA3E59" w:rsidRPr="00D85E58" w:rsidRDefault="00CA3E59">
      <w:pPr>
        <w:rPr>
          <w:rFonts w:ascii="Times New Roman" w:hAnsi="Times New Roman" w:cs="Times New Roman"/>
          <w:b/>
          <w:sz w:val="24"/>
          <w:szCs w:val="24"/>
        </w:rPr>
      </w:pPr>
      <w:r>
        <w:rPr>
          <w:rFonts w:ascii="Times New Roman" w:hAnsi="Times New Roman" w:cs="Times New Roman"/>
          <w:b/>
          <w:sz w:val="24"/>
          <w:szCs w:val="24"/>
        </w:rPr>
        <w:fldChar w:fldCharType="end"/>
      </w:r>
    </w:p>
    <w:p w14:paraId="7D7B51E8" w14:textId="445AB696" w:rsidR="00446B21" w:rsidRDefault="00E04F62" w:rsidP="004C2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D05">
        <w:rPr>
          <w:rFonts w:ascii="Times New Roman" w:hAnsi="Times New Roman" w:cs="Times New Roman"/>
          <w:sz w:val="24"/>
          <w:szCs w:val="24"/>
        </w:rPr>
        <w:t xml:space="preserve"> </w:t>
      </w:r>
      <w:r w:rsidR="00DD713B">
        <w:rPr>
          <w:rFonts w:ascii="Times New Roman" w:hAnsi="Times New Roman" w:cs="Times New Roman"/>
          <w:sz w:val="24"/>
          <w:szCs w:val="24"/>
        </w:rPr>
        <w:t xml:space="preserve"> </w:t>
      </w:r>
      <w:r w:rsidR="009D2C6F">
        <w:rPr>
          <w:rFonts w:ascii="Times New Roman" w:hAnsi="Times New Roman" w:cs="Times New Roman"/>
          <w:sz w:val="24"/>
          <w:szCs w:val="24"/>
        </w:rPr>
        <w:t xml:space="preserve"> </w:t>
      </w:r>
      <w:r w:rsidR="000F1338">
        <w:rPr>
          <w:rFonts w:ascii="Times New Roman" w:hAnsi="Times New Roman" w:cs="Times New Roman"/>
          <w:sz w:val="24"/>
          <w:szCs w:val="24"/>
        </w:rPr>
        <w:t xml:space="preserve"> </w:t>
      </w:r>
      <w:r w:rsidR="00214C31">
        <w:rPr>
          <w:rFonts w:ascii="Times New Roman" w:hAnsi="Times New Roman" w:cs="Times New Roman"/>
          <w:sz w:val="24"/>
          <w:szCs w:val="24"/>
        </w:rPr>
        <w:t xml:space="preserve"> </w:t>
      </w:r>
      <w:r w:rsidR="00820911">
        <w:rPr>
          <w:rFonts w:ascii="Times New Roman" w:hAnsi="Times New Roman" w:cs="Times New Roman"/>
          <w:sz w:val="24"/>
          <w:szCs w:val="24"/>
        </w:rPr>
        <w:t xml:space="preserve">    </w:t>
      </w:r>
      <w:r w:rsidR="00F103E3">
        <w:rPr>
          <w:rFonts w:ascii="Times New Roman" w:hAnsi="Times New Roman" w:cs="Times New Roman"/>
          <w:sz w:val="24"/>
          <w:szCs w:val="24"/>
        </w:rPr>
        <w:t xml:space="preserve"> </w:t>
      </w:r>
      <w:r w:rsidR="005646E4">
        <w:rPr>
          <w:rFonts w:ascii="Times New Roman" w:hAnsi="Times New Roman" w:cs="Times New Roman"/>
          <w:sz w:val="24"/>
          <w:szCs w:val="24"/>
        </w:rPr>
        <w:t xml:space="preserve"> </w:t>
      </w:r>
      <w:r w:rsidR="00FC7695">
        <w:rPr>
          <w:rFonts w:ascii="Times New Roman" w:hAnsi="Times New Roman" w:cs="Times New Roman"/>
          <w:sz w:val="24"/>
          <w:szCs w:val="24"/>
        </w:rPr>
        <w:t xml:space="preserve"> </w:t>
      </w:r>
      <w:r w:rsidR="006C6C12">
        <w:rPr>
          <w:rFonts w:ascii="Times New Roman" w:hAnsi="Times New Roman" w:cs="Times New Roman"/>
          <w:sz w:val="24"/>
          <w:szCs w:val="24"/>
        </w:rPr>
        <w:t xml:space="preserve">  </w:t>
      </w:r>
      <w:r w:rsidR="006D1CB9">
        <w:rPr>
          <w:rFonts w:ascii="Times New Roman" w:hAnsi="Times New Roman" w:cs="Times New Roman"/>
          <w:sz w:val="24"/>
          <w:szCs w:val="24"/>
        </w:rPr>
        <w:t xml:space="preserve"> </w:t>
      </w:r>
    </w:p>
    <w:p w14:paraId="7F02281D" w14:textId="25B6E3D0" w:rsidR="00314804" w:rsidRPr="005F11C9" w:rsidRDefault="00446B21" w:rsidP="00655A01">
      <w:pPr>
        <w:widowControl w:val="0"/>
        <w:autoSpaceDE w:val="0"/>
        <w:autoSpaceDN w:val="0"/>
        <w:adjustRightInd w:val="0"/>
        <w:spacing w:line="240" w:lineRule="auto"/>
        <w:ind w:left="480" w:hanging="480"/>
        <w:rPr>
          <w:rFonts w:ascii="Times New Roman" w:hAnsi="Times New Roman" w:cs="Times New Roman"/>
          <w:b/>
          <w:sz w:val="24"/>
          <w:szCs w:val="24"/>
        </w:rPr>
      </w:pPr>
      <w:r>
        <w:rPr>
          <w:rFonts w:ascii="Times New Roman" w:hAnsi="Times New Roman" w:cs="Times New Roman"/>
          <w:sz w:val="24"/>
          <w:szCs w:val="24"/>
        </w:rPr>
        <w:br w:type="page"/>
      </w:r>
    </w:p>
    <w:p w14:paraId="10C9E40A" w14:textId="10468EE5" w:rsidR="00314804" w:rsidRPr="002A5DE2" w:rsidRDefault="002A5DE2" w:rsidP="002A5DE2">
      <w:pPr>
        <w:widowControl w:val="0"/>
        <w:autoSpaceDE w:val="0"/>
        <w:autoSpaceDN w:val="0"/>
        <w:adjustRightInd w:val="0"/>
        <w:spacing w:line="240" w:lineRule="auto"/>
        <w:ind w:left="480" w:hanging="480"/>
        <w:jc w:val="center"/>
        <w:rPr>
          <w:rFonts w:ascii="Times New Roman" w:hAnsi="Times New Roman" w:cs="Times New Roman"/>
          <w:b/>
          <w:bCs/>
          <w:sz w:val="24"/>
          <w:szCs w:val="24"/>
        </w:rPr>
      </w:pPr>
      <w:r w:rsidRPr="002A5DE2">
        <w:rPr>
          <w:rFonts w:ascii="Times New Roman" w:hAnsi="Times New Roman" w:cs="Times New Roman"/>
          <w:b/>
          <w:bCs/>
          <w:sz w:val="24"/>
          <w:szCs w:val="24"/>
        </w:rPr>
        <w:lastRenderedPageBreak/>
        <w:t>Table 1: C</w:t>
      </w:r>
      <w:r>
        <w:rPr>
          <w:rFonts w:ascii="Times New Roman" w:hAnsi="Times New Roman" w:cs="Times New Roman"/>
          <w:b/>
          <w:bCs/>
          <w:sz w:val="24"/>
          <w:szCs w:val="24"/>
        </w:rPr>
        <w:t>OVID</w:t>
      </w:r>
      <w:r w:rsidRPr="002A5DE2">
        <w:rPr>
          <w:rFonts w:ascii="Times New Roman" w:hAnsi="Times New Roman" w:cs="Times New Roman"/>
          <w:b/>
          <w:bCs/>
          <w:sz w:val="24"/>
          <w:szCs w:val="24"/>
        </w:rPr>
        <w:t>-19 Statistics for Selected EU Countries</w:t>
      </w:r>
    </w:p>
    <w:tbl>
      <w:tblPr>
        <w:tblW w:w="7080" w:type="dxa"/>
        <w:jc w:val="center"/>
        <w:tblLook w:val="04A0" w:firstRow="1" w:lastRow="0" w:firstColumn="1" w:lastColumn="0" w:noHBand="0" w:noVBand="1"/>
      </w:tblPr>
      <w:tblGrid>
        <w:gridCol w:w="1365"/>
        <w:gridCol w:w="1807"/>
        <w:gridCol w:w="1984"/>
        <w:gridCol w:w="1924"/>
      </w:tblGrid>
      <w:tr w:rsidR="008E3DF6" w:rsidRPr="008E3DF6" w14:paraId="61619D54" w14:textId="77777777" w:rsidTr="002A5DE2">
        <w:trPr>
          <w:trHeight w:val="276"/>
          <w:jc w:val="center"/>
        </w:trPr>
        <w:tc>
          <w:tcPr>
            <w:tcW w:w="7080" w:type="dxa"/>
            <w:gridSpan w:val="4"/>
            <w:tcBorders>
              <w:top w:val="nil"/>
              <w:left w:val="nil"/>
              <w:bottom w:val="nil"/>
              <w:right w:val="nil"/>
            </w:tcBorders>
            <w:shd w:val="clear" w:color="auto" w:fill="auto"/>
            <w:noWrap/>
            <w:vAlign w:val="bottom"/>
          </w:tcPr>
          <w:p w14:paraId="2C3DFEB8" w14:textId="5189921B" w:rsidR="008E3DF6" w:rsidRPr="008E3DF6" w:rsidRDefault="008E3DF6" w:rsidP="008E3DF6">
            <w:pPr>
              <w:spacing w:after="0" w:line="240" w:lineRule="auto"/>
              <w:rPr>
                <w:rFonts w:ascii="Times New Roman" w:eastAsia="Times New Roman" w:hAnsi="Times New Roman" w:cs="Times New Roman"/>
                <w:b/>
                <w:bCs/>
                <w:color w:val="000000"/>
              </w:rPr>
            </w:pPr>
          </w:p>
        </w:tc>
      </w:tr>
      <w:tr w:rsidR="008E3DF6" w:rsidRPr="008E3DF6" w14:paraId="0C2068AF" w14:textId="77777777" w:rsidTr="002A5DE2">
        <w:trPr>
          <w:trHeight w:val="276"/>
          <w:jc w:val="center"/>
        </w:trPr>
        <w:tc>
          <w:tcPr>
            <w:tcW w:w="1365" w:type="dxa"/>
            <w:tcBorders>
              <w:top w:val="single" w:sz="4" w:space="0" w:color="auto"/>
              <w:left w:val="nil"/>
              <w:bottom w:val="single" w:sz="4" w:space="0" w:color="auto"/>
              <w:right w:val="nil"/>
            </w:tcBorders>
            <w:shd w:val="clear" w:color="auto" w:fill="auto"/>
            <w:noWrap/>
            <w:vAlign w:val="bottom"/>
            <w:hideMark/>
          </w:tcPr>
          <w:p w14:paraId="78DD7A1A" w14:textId="77777777" w:rsidR="008E3DF6" w:rsidRPr="008E3DF6" w:rsidRDefault="008E3DF6" w:rsidP="008E3DF6">
            <w:pPr>
              <w:spacing w:after="0" w:line="240" w:lineRule="auto"/>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Country</w:t>
            </w:r>
          </w:p>
        </w:tc>
        <w:tc>
          <w:tcPr>
            <w:tcW w:w="1807" w:type="dxa"/>
            <w:tcBorders>
              <w:top w:val="single" w:sz="4" w:space="0" w:color="auto"/>
              <w:left w:val="nil"/>
              <w:bottom w:val="single" w:sz="4" w:space="0" w:color="auto"/>
              <w:right w:val="nil"/>
            </w:tcBorders>
            <w:shd w:val="clear" w:color="auto" w:fill="auto"/>
            <w:noWrap/>
            <w:vAlign w:val="bottom"/>
            <w:hideMark/>
          </w:tcPr>
          <w:p w14:paraId="63A2286F"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Total Cases</w:t>
            </w:r>
          </w:p>
        </w:tc>
        <w:tc>
          <w:tcPr>
            <w:tcW w:w="1984" w:type="dxa"/>
            <w:tcBorders>
              <w:top w:val="single" w:sz="4" w:space="0" w:color="auto"/>
              <w:left w:val="nil"/>
              <w:bottom w:val="single" w:sz="4" w:space="0" w:color="auto"/>
              <w:right w:val="nil"/>
            </w:tcBorders>
            <w:shd w:val="clear" w:color="auto" w:fill="auto"/>
            <w:noWrap/>
            <w:vAlign w:val="bottom"/>
            <w:hideMark/>
          </w:tcPr>
          <w:p w14:paraId="5EF6273A"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Total Deaths</w:t>
            </w:r>
          </w:p>
        </w:tc>
        <w:tc>
          <w:tcPr>
            <w:tcW w:w="1924" w:type="dxa"/>
            <w:tcBorders>
              <w:top w:val="single" w:sz="4" w:space="0" w:color="auto"/>
              <w:left w:val="nil"/>
              <w:bottom w:val="single" w:sz="4" w:space="0" w:color="auto"/>
              <w:right w:val="nil"/>
            </w:tcBorders>
            <w:shd w:val="clear" w:color="auto" w:fill="auto"/>
            <w:noWrap/>
            <w:vAlign w:val="bottom"/>
            <w:hideMark/>
          </w:tcPr>
          <w:p w14:paraId="244BD468"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Death Rate*</w:t>
            </w:r>
          </w:p>
        </w:tc>
      </w:tr>
      <w:tr w:rsidR="008E3DF6" w:rsidRPr="008E3DF6" w14:paraId="170F9ADE" w14:textId="77777777" w:rsidTr="002A5DE2">
        <w:trPr>
          <w:trHeight w:val="276"/>
          <w:jc w:val="center"/>
        </w:trPr>
        <w:tc>
          <w:tcPr>
            <w:tcW w:w="1365" w:type="dxa"/>
            <w:tcBorders>
              <w:top w:val="nil"/>
              <w:left w:val="nil"/>
              <w:bottom w:val="nil"/>
              <w:right w:val="nil"/>
            </w:tcBorders>
            <w:shd w:val="clear" w:color="auto" w:fill="auto"/>
            <w:noWrap/>
            <w:vAlign w:val="bottom"/>
            <w:hideMark/>
          </w:tcPr>
          <w:p w14:paraId="525CBF50" w14:textId="77777777" w:rsidR="008E3DF6" w:rsidRPr="008E3DF6" w:rsidRDefault="008E3DF6" w:rsidP="008E3DF6">
            <w:pPr>
              <w:spacing w:after="0" w:line="240" w:lineRule="auto"/>
              <w:rPr>
                <w:rFonts w:ascii="Times New Roman" w:eastAsia="Times New Roman" w:hAnsi="Times New Roman" w:cs="Times New Roman"/>
                <w:i/>
                <w:iCs/>
                <w:color w:val="000000"/>
              </w:rPr>
            </w:pPr>
            <w:r w:rsidRPr="008E3DF6">
              <w:rPr>
                <w:rFonts w:ascii="Times New Roman" w:eastAsia="Times New Roman" w:hAnsi="Times New Roman" w:cs="Times New Roman"/>
                <w:i/>
                <w:iCs/>
                <w:color w:val="000000"/>
              </w:rPr>
              <w:t>World</w:t>
            </w:r>
          </w:p>
        </w:tc>
        <w:tc>
          <w:tcPr>
            <w:tcW w:w="1807" w:type="dxa"/>
            <w:tcBorders>
              <w:top w:val="nil"/>
              <w:left w:val="nil"/>
              <w:bottom w:val="nil"/>
              <w:right w:val="nil"/>
            </w:tcBorders>
            <w:shd w:val="clear" w:color="auto" w:fill="auto"/>
            <w:noWrap/>
            <w:vAlign w:val="bottom"/>
            <w:hideMark/>
          </w:tcPr>
          <w:p w14:paraId="4B2453AD" w14:textId="77777777" w:rsidR="008E3DF6" w:rsidRPr="008E3DF6" w:rsidRDefault="008E3DF6" w:rsidP="008E3DF6">
            <w:pPr>
              <w:spacing w:after="0" w:line="240" w:lineRule="auto"/>
              <w:jc w:val="center"/>
              <w:rPr>
                <w:rFonts w:ascii="Times New Roman" w:eastAsia="Times New Roman" w:hAnsi="Times New Roman" w:cs="Times New Roman"/>
                <w:i/>
                <w:iCs/>
                <w:color w:val="000000"/>
              </w:rPr>
            </w:pPr>
            <w:r w:rsidRPr="008E3DF6">
              <w:rPr>
                <w:rFonts w:ascii="Times New Roman" w:eastAsia="Times New Roman" w:hAnsi="Times New Roman" w:cs="Times New Roman"/>
                <w:i/>
                <w:iCs/>
                <w:color w:val="000000"/>
              </w:rPr>
              <w:t>6408816</w:t>
            </w:r>
          </w:p>
        </w:tc>
        <w:tc>
          <w:tcPr>
            <w:tcW w:w="1984" w:type="dxa"/>
            <w:tcBorders>
              <w:top w:val="nil"/>
              <w:left w:val="nil"/>
              <w:bottom w:val="nil"/>
              <w:right w:val="nil"/>
            </w:tcBorders>
            <w:shd w:val="clear" w:color="auto" w:fill="auto"/>
            <w:noWrap/>
            <w:vAlign w:val="bottom"/>
            <w:hideMark/>
          </w:tcPr>
          <w:p w14:paraId="4BAAF81A" w14:textId="77777777" w:rsidR="008E3DF6" w:rsidRPr="008E3DF6" w:rsidRDefault="008E3DF6" w:rsidP="008E3DF6">
            <w:pPr>
              <w:spacing w:after="0" w:line="240" w:lineRule="auto"/>
              <w:jc w:val="center"/>
              <w:rPr>
                <w:rFonts w:ascii="Times New Roman" w:eastAsia="Times New Roman" w:hAnsi="Times New Roman" w:cs="Times New Roman"/>
                <w:i/>
                <w:iCs/>
                <w:color w:val="000000"/>
              </w:rPr>
            </w:pPr>
            <w:r w:rsidRPr="008E3DF6">
              <w:rPr>
                <w:rFonts w:ascii="Times New Roman" w:eastAsia="Times New Roman" w:hAnsi="Times New Roman" w:cs="Times New Roman"/>
                <w:i/>
                <w:iCs/>
                <w:color w:val="000000"/>
              </w:rPr>
              <w:t>378317</w:t>
            </w:r>
          </w:p>
        </w:tc>
        <w:tc>
          <w:tcPr>
            <w:tcW w:w="1924" w:type="dxa"/>
            <w:tcBorders>
              <w:top w:val="nil"/>
              <w:left w:val="nil"/>
              <w:bottom w:val="nil"/>
              <w:right w:val="nil"/>
            </w:tcBorders>
            <w:shd w:val="clear" w:color="auto" w:fill="auto"/>
            <w:noWrap/>
            <w:vAlign w:val="bottom"/>
            <w:hideMark/>
          </w:tcPr>
          <w:p w14:paraId="78FCD8A1" w14:textId="77777777" w:rsidR="008E3DF6" w:rsidRPr="008E3DF6" w:rsidRDefault="008E3DF6" w:rsidP="008E3DF6">
            <w:pPr>
              <w:spacing w:after="0" w:line="240" w:lineRule="auto"/>
              <w:jc w:val="center"/>
              <w:rPr>
                <w:rFonts w:ascii="Times New Roman" w:eastAsia="Times New Roman" w:hAnsi="Times New Roman" w:cs="Times New Roman"/>
                <w:i/>
                <w:iCs/>
                <w:color w:val="000000"/>
              </w:rPr>
            </w:pPr>
            <w:r w:rsidRPr="008E3DF6">
              <w:rPr>
                <w:rFonts w:ascii="Times New Roman" w:eastAsia="Times New Roman" w:hAnsi="Times New Roman" w:cs="Times New Roman"/>
                <w:i/>
                <w:iCs/>
                <w:color w:val="000000"/>
              </w:rPr>
              <w:t>5,90%</w:t>
            </w:r>
          </w:p>
        </w:tc>
      </w:tr>
      <w:tr w:rsidR="008E3DF6" w:rsidRPr="008E3DF6" w14:paraId="17D1E128" w14:textId="77777777" w:rsidTr="002A5DE2">
        <w:trPr>
          <w:trHeight w:val="276"/>
          <w:jc w:val="center"/>
        </w:trPr>
        <w:tc>
          <w:tcPr>
            <w:tcW w:w="1365" w:type="dxa"/>
            <w:tcBorders>
              <w:top w:val="nil"/>
              <w:left w:val="nil"/>
              <w:bottom w:val="nil"/>
              <w:right w:val="nil"/>
            </w:tcBorders>
            <w:shd w:val="clear" w:color="auto" w:fill="auto"/>
            <w:noWrap/>
            <w:vAlign w:val="bottom"/>
            <w:hideMark/>
          </w:tcPr>
          <w:p w14:paraId="4CB4EC39"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Spain</w:t>
            </w:r>
          </w:p>
        </w:tc>
        <w:tc>
          <w:tcPr>
            <w:tcW w:w="1807" w:type="dxa"/>
            <w:tcBorders>
              <w:top w:val="nil"/>
              <w:left w:val="nil"/>
              <w:bottom w:val="nil"/>
              <w:right w:val="nil"/>
            </w:tcBorders>
            <w:shd w:val="clear" w:color="auto" w:fill="auto"/>
            <w:noWrap/>
            <w:vAlign w:val="bottom"/>
            <w:hideMark/>
          </w:tcPr>
          <w:p w14:paraId="53D71BAD"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286718</w:t>
            </w:r>
          </w:p>
        </w:tc>
        <w:tc>
          <w:tcPr>
            <w:tcW w:w="1984" w:type="dxa"/>
            <w:tcBorders>
              <w:top w:val="nil"/>
              <w:left w:val="nil"/>
              <w:bottom w:val="nil"/>
              <w:right w:val="nil"/>
            </w:tcBorders>
            <w:shd w:val="clear" w:color="auto" w:fill="auto"/>
            <w:noWrap/>
            <w:vAlign w:val="bottom"/>
            <w:hideMark/>
          </w:tcPr>
          <w:p w14:paraId="7E4D94EF"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27127</w:t>
            </w:r>
          </w:p>
        </w:tc>
        <w:tc>
          <w:tcPr>
            <w:tcW w:w="1924" w:type="dxa"/>
            <w:tcBorders>
              <w:top w:val="nil"/>
              <w:left w:val="nil"/>
              <w:bottom w:val="nil"/>
              <w:right w:val="nil"/>
            </w:tcBorders>
            <w:shd w:val="clear" w:color="auto" w:fill="auto"/>
            <w:noWrap/>
            <w:vAlign w:val="bottom"/>
            <w:hideMark/>
          </w:tcPr>
          <w:p w14:paraId="015793E8"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9,46%</w:t>
            </w:r>
          </w:p>
        </w:tc>
      </w:tr>
      <w:tr w:rsidR="008E3DF6" w:rsidRPr="008E3DF6" w14:paraId="32474FAF" w14:textId="77777777" w:rsidTr="002A5DE2">
        <w:trPr>
          <w:trHeight w:val="276"/>
          <w:jc w:val="center"/>
        </w:trPr>
        <w:tc>
          <w:tcPr>
            <w:tcW w:w="1365" w:type="dxa"/>
            <w:tcBorders>
              <w:top w:val="nil"/>
              <w:left w:val="nil"/>
              <w:bottom w:val="nil"/>
              <w:right w:val="nil"/>
            </w:tcBorders>
            <w:shd w:val="clear" w:color="auto" w:fill="auto"/>
            <w:noWrap/>
            <w:vAlign w:val="bottom"/>
            <w:hideMark/>
          </w:tcPr>
          <w:p w14:paraId="69B78602"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Italy</w:t>
            </w:r>
          </w:p>
        </w:tc>
        <w:tc>
          <w:tcPr>
            <w:tcW w:w="1807" w:type="dxa"/>
            <w:tcBorders>
              <w:top w:val="nil"/>
              <w:left w:val="nil"/>
              <w:bottom w:val="nil"/>
              <w:right w:val="nil"/>
            </w:tcBorders>
            <w:shd w:val="clear" w:color="auto" w:fill="auto"/>
            <w:noWrap/>
            <w:vAlign w:val="bottom"/>
            <w:hideMark/>
          </w:tcPr>
          <w:p w14:paraId="409CF532"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233197</w:t>
            </w:r>
          </w:p>
        </w:tc>
        <w:tc>
          <w:tcPr>
            <w:tcW w:w="1984" w:type="dxa"/>
            <w:tcBorders>
              <w:top w:val="nil"/>
              <w:left w:val="nil"/>
              <w:bottom w:val="nil"/>
              <w:right w:val="nil"/>
            </w:tcBorders>
            <w:shd w:val="clear" w:color="auto" w:fill="auto"/>
            <w:noWrap/>
            <w:vAlign w:val="bottom"/>
            <w:hideMark/>
          </w:tcPr>
          <w:p w14:paraId="60776810"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33475</w:t>
            </w:r>
          </w:p>
        </w:tc>
        <w:tc>
          <w:tcPr>
            <w:tcW w:w="1924" w:type="dxa"/>
            <w:tcBorders>
              <w:top w:val="nil"/>
              <w:left w:val="nil"/>
              <w:bottom w:val="nil"/>
              <w:right w:val="nil"/>
            </w:tcBorders>
            <w:shd w:val="clear" w:color="auto" w:fill="auto"/>
            <w:noWrap/>
            <w:vAlign w:val="bottom"/>
            <w:hideMark/>
          </w:tcPr>
          <w:p w14:paraId="5FE0130A"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14,35%</w:t>
            </w:r>
          </w:p>
        </w:tc>
      </w:tr>
      <w:tr w:rsidR="008E3DF6" w:rsidRPr="008E3DF6" w14:paraId="31008F08" w14:textId="77777777" w:rsidTr="002A5DE2">
        <w:trPr>
          <w:trHeight w:val="276"/>
          <w:jc w:val="center"/>
        </w:trPr>
        <w:tc>
          <w:tcPr>
            <w:tcW w:w="1365" w:type="dxa"/>
            <w:tcBorders>
              <w:top w:val="nil"/>
              <w:left w:val="nil"/>
              <w:bottom w:val="nil"/>
              <w:right w:val="nil"/>
            </w:tcBorders>
            <w:shd w:val="clear" w:color="auto" w:fill="auto"/>
            <w:noWrap/>
            <w:vAlign w:val="bottom"/>
            <w:hideMark/>
          </w:tcPr>
          <w:p w14:paraId="74C8B95F"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France</w:t>
            </w:r>
          </w:p>
        </w:tc>
        <w:tc>
          <w:tcPr>
            <w:tcW w:w="1807" w:type="dxa"/>
            <w:tcBorders>
              <w:top w:val="nil"/>
              <w:left w:val="nil"/>
              <w:bottom w:val="nil"/>
              <w:right w:val="nil"/>
            </w:tcBorders>
            <w:shd w:val="clear" w:color="auto" w:fill="auto"/>
            <w:noWrap/>
            <w:vAlign w:val="bottom"/>
            <w:hideMark/>
          </w:tcPr>
          <w:p w14:paraId="537C78AE"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189220</w:t>
            </w:r>
          </w:p>
        </w:tc>
        <w:tc>
          <w:tcPr>
            <w:tcW w:w="1984" w:type="dxa"/>
            <w:tcBorders>
              <w:top w:val="nil"/>
              <w:left w:val="nil"/>
              <w:bottom w:val="nil"/>
              <w:right w:val="nil"/>
            </w:tcBorders>
            <w:shd w:val="clear" w:color="auto" w:fill="auto"/>
            <w:noWrap/>
            <w:vAlign w:val="bottom"/>
            <w:hideMark/>
          </w:tcPr>
          <w:p w14:paraId="692E9F1F"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28833</w:t>
            </w:r>
          </w:p>
        </w:tc>
        <w:tc>
          <w:tcPr>
            <w:tcW w:w="1924" w:type="dxa"/>
            <w:tcBorders>
              <w:top w:val="nil"/>
              <w:left w:val="nil"/>
              <w:bottom w:val="nil"/>
              <w:right w:val="nil"/>
            </w:tcBorders>
            <w:shd w:val="clear" w:color="auto" w:fill="auto"/>
            <w:noWrap/>
            <w:vAlign w:val="bottom"/>
            <w:hideMark/>
          </w:tcPr>
          <w:p w14:paraId="3C9B6864"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15,24%</w:t>
            </w:r>
          </w:p>
        </w:tc>
      </w:tr>
      <w:tr w:rsidR="008E3DF6" w:rsidRPr="008E3DF6" w14:paraId="68E5959A" w14:textId="77777777" w:rsidTr="002A5DE2">
        <w:trPr>
          <w:trHeight w:val="276"/>
          <w:jc w:val="center"/>
        </w:trPr>
        <w:tc>
          <w:tcPr>
            <w:tcW w:w="1365" w:type="dxa"/>
            <w:tcBorders>
              <w:top w:val="nil"/>
              <w:left w:val="nil"/>
              <w:bottom w:val="nil"/>
              <w:right w:val="nil"/>
            </w:tcBorders>
            <w:shd w:val="clear" w:color="auto" w:fill="auto"/>
            <w:noWrap/>
            <w:vAlign w:val="bottom"/>
            <w:hideMark/>
          </w:tcPr>
          <w:p w14:paraId="7D7C036A"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Germany</w:t>
            </w:r>
          </w:p>
        </w:tc>
        <w:tc>
          <w:tcPr>
            <w:tcW w:w="1807" w:type="dxa"/>
            <w:tcBorders>
              <w:top w:val="nil"/>
              <w:left w:val="nil"/>
              <w:bottom w:val="nil"/>
              <w:right w:val="nil"/>
            </w:tcBorders>
            <w:shd w:val="clear" w:color="auto" w:fill="auto"/>
            <w:noWrap/>
            <w:vAlign w:val="bottom"/>
            <w:hideMark/>
          </w:tcPr>
          <w:p w14:paraId="199BEDB9"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183898</w:t>
            </w:r>
          </w:p>
        </w:tc>
        <w:tc>
          <w:tcPr>
            <w:tcW w:w="1984" w:type="dxa"/>
            <w:tcBorders>
              <w:top w:val="nil"/>
              <w:left w:val="nil"/>
              <w:bottom w:val="nil"/>
              <w:right w:val="nil"/>
            </w:tcBorders>
            <w:shd w:val="clear" w:color="auto" w:fill="auto"/>
            <w:noWrap/>
            <w:vAlign w:val="bottom"/>
            <w:hideMark/>
          </w:tcPr>
          <w:p w14:paraId="0DFBA18F"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8636</w:t>
            </w:r>
          </w:p>
        </w:tc>
        <w:tc>
          <w:tcPr>
            <w:tcW w:w="1924" w:type="dxa"/>
            <w:tcBorders>
              <w:top w:val="nil"/>
              <w:left w:val="nil"/>
              <w:bottom w:val="nil"/>
              <w:right w:val="nil"/>
            </w:tcBorders>
            <w:shd w:val="clear" w:color="auto" w:fill="auto"/>
            <w:noWrap/>
            <w:vAlign w:val="bottom"/>
            <w:hideMark/>
          </w:tcPr>
          <w:p w14:paraId="0971AC24"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4,70%</w:t>
            </w:r>
          </w:p>
        </w:tc>
      </w:tr>
      <w:tr w:rsidR="008E3DF6" w:rsidRPr="008E3DF6" w14:paraId="0F1A6D29" w14:textId="77777777" w:rsidTr="002A5DE2">
        <w:trPr>
          <w:trHeight w:val="276"/>
          <w:jc w:val="center"/>
        </w:trPr>
        <w:tc>
          <w:tcPr>
            <w:tcW w:w="1365" w:type="dxa"/>
            <w:tcBorders>
              <w:top w:val="nil"/>
              <w:left w:val="nil"/>
              <w:bottom w:val="single" w:sz="4" w:space="0" w:color="auto"/>
              <w:right w:val="nil"/>
            </w:tcBorders>
            <w:shd w:val="clear" w:color="auto" w:fill="auto"/>
            <w:noWrap/>
            <w:vAlign w:val="bottom"/>
            <w:hideMark/>
          </w:tcPr>
          <w:p w14:paraId="4AA91B72"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Belgium</w:t>
            </w:r>
          </w:p>
        </w:tc>
        <w:tc>
          <w:tcPr>
            <w:tcW w:w="1807" w:type="dxa"/>
            <w:tcBorders>
              <w:top w:val="nil"/>
              <w:left w:val="nil"/>
              <w:bottom w:val="single" w:sz="4" w:space="0" w:color="auto"/>
              <w:right w:val="nil"/>
            </w:tcBorders>
            <w:shd w:val="clear" w:color="auto" w:fill="auto"/>
            <w:noWrap/>
            <w:vAlign w:val="bottom"/>
            <w:hideMark/>
          </w:tcPr>
          <w:p w14:paraId="548ED0D6"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58615</w:t>
            </w:r>
          </w:p>
        </w:tc>
        <w:tc>
          <w:tcPr>
            <w:tcW w:w="1984" w:type="dxa"/>
            <w:tcBorders>
              <w:top w:val="nil"/>
              <w:left w:val="nil"/>
              <w:bottom w:val="single" w:sz="4" w:space="0" w:color="auto"/>
              <w:right w:val="nil"/>
            </w:tcBorders>
            <w:shd w:val="clear" w:color="auto" w:fill="auto"/>
            <w:noWrap/>
            <w:vAlign w:val="bottom"/>
            <w:hideMark/>
          </w:tcPr>
          <w:p w14:paraId="05EE7537"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9505</w:t>
            </w:r>
          </w:p>
        </w:tc>
        <w:tc>
          <w:tcPr>
            <w:tcW w:w="1924" w:type="dxa"/>
            <w:tcBorders>
              <w:top w:val="nil"/>
              <w:left w:val="nil"/>
              <w:bottom w:val="single" w:sz="4" w:space="0" w:color="auto"/>
              <w:right w:val="nil"/>
            </w:tcBorders>
            <w:shd w:val="clear" w:color="auto" w:fill="auto"/>
            <w:noWrap/>
            <w:vAlign w:val="bottom"/>
            <w:hideMark/>
          </w:tcPr>
          <w:p w14:paraId="28137FCC"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16,22%</w:t>
            </w:r>
          </w:p>
        </w:tc>
      </w:tr>
      <w:tr w:rsidR="008E3DF6" w:rsidRPr="00C64637" w14:paraId="483792E6" w14:textId="77777777" w:rsidTr="002A5DE2">
        <w:trPr>
          <w:trHeight w:val="276"/>
          <w:jc w:val="center"/>
        </w:trPr>
        <w:tc>
          <w:tcPr>
            <w:tcW w:w="5156" w:type="dxa"/>
            <w:gridSpan w:val="3"/>
            <w:tcBorders>
              <w:top w:val="nil"/>
              <w:left w:val="nil"/>
              <w:bottom w:val="nil"/>
              <w:right w:val="nil"/>
            </w:tcBorders>
            <w:shd w:val="clear" w:color="auto" w:fill="auto"/>
            <w:noWrap/>
            <w:vAlign w:val="bottom"/>
            <w:hideMark/>
          </w:tcPr>
          <w:p w14:paraId="03DA6C47" w14:textId="77777777" w:rsidR="008E3DF6" w:rsidRPr="008E3DF6" w:rsidRDefault="008E3DF6" w:rsidP="008E3DF6">
            <w:pPr>
              <w:spacing w:after="0" w:line="240" w:lineRule="auto"/>
              <w:rPr>
                <w:rFonts w:ascii="Times New Roman" w:eastAsia="Times New Roman" w:hAnsi="Times New Roman" w:cs="Times New Roman"/>
                <w:color w:val="000000"/>
                <w:lang w:val="fr-FR"/>
              </w:rPr>
            </w:pPr>
            <w:proofErr w:type="gramStart"/>
            <w:r w:rsidRPr="008E3DF6">
              <w:rPr>
                <w:rFonts w:ascii="Times New Roman" w:eastAsia="Times New Roman" w:hAnsi="Times New Roman" w:cs="Times New Roman"/>
                <w:color w:val="000000"/>
                <w:lang w:val="fr-FR"/>
              </w:rPr>
              <w:t>Source:</w:t>
            </w:r>
            <w:proofErr w:type="gramEnd"/>
            <w:r w:rsidRPr="008E3DF6">
              <w:rPr>
                <w:rFonts w:ascii="Times New Roman" w:eastAsia="Times New Roman" w:hAnsi="Times New Roman" w:cs="Times New Roman"/>
                <w:color w:val="000000"/>
                <w:lang w:val="fr-FR"/>
              </w:rPr>
              <w:t xml:space="preserve"> https://www.worldometers.info/ </w:t>
            </w:r>
          </w:p>
        </w:tc>
        <w:tc>
          <w:tcPr>
            <w:tcW w:w="1924" w:type="dxa"/>
            <w:tcBorders>
              <w:top w:val="nil"/>
              <w:left w:val="nil"/>
              <w:bottom w:val="nil"/>
              <w:right w:val="nil"/>
            </w:tcBorders>
            <w:shd w:val="clear" w:color="auto" w:fill="auto"/>
            <w:noWrap/>
            <w:vAlign w:val="bottom"/>
            <w:hideMark/>
          </w:tcPr>
          <w:p w14:paraId="6D78A3FA" w14:textId="77777777" w:rsidR="008E3DF6" w:rsidRPr="008E3DF6" w:rsidRDefault="008E3DF6" w:rsidP="008E3DF6">
            <w:pPr>
              <w:spacing w:after="0" w:line="240" w:lineRule="auto"/>
              <w:rPr>
                <w:rFonts w:ascii="Times New Roman" w:eastAsia="Times New Roman" w:hAnsi="Times New Roman" w:cs="Times New Roman"/>
                <w:color w:val="000000"/>
                <w:lang w:val="fr-FR"/>
              </w:rPr>
            </w:pPr>
          </w:p>
        </w:tc>
      </w:tr>
      <w:tr w:rsidR="008E3DF6" w:rsidRPr="008E3DF6" w14:paraId="74699038" w14:textId="77777777" w:rsidTr="002A5DE2">
        <w:trPr>
          <w:trHeight w:val="276"/>
          <w:jc w:val="center"/>
        </w:trPr>
        <w:tc>
          <w:tcPr>
            <w:tcW w:w="3172" w:type="dxa"/>
            <w:gridSpan w:val="2"/>
            <w:tcBorders>
              <w:top w:val="nil"/>
              <w:left w:val="nil"/>
              <w:bottom w:val="nil"/>
              <w:right w:val="nil"/>
            </w:tcBorders>
            <w:shd w:val="clear" w:color="auto" w:fill="auto"/>
            <w:noWrap/>
            <w:vAlign w:val="bottom"/>
            <w:hideMark/>
          </w:tcPr>
          <w:p w14:paraId="170B5CBF"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The data is as on June 2nd, 2020</w:t>
            </w:r>
          </w:p>
        </w:tc>
        <w:tc>
          <w:tcPr>
            <w:tcW w:w="1984" w:type="dxa"/>
            <w:tcBorders>
              <w:top w:val="nil"/>
              <w:left w:val="nil"/>
              <w:bottom w:val="nil"/>
              <w:right w:val="nil"/>
            </w:tcBorders>
            <w:shd w:val="clear" w:color="auto" w:fill="auto"/>
            <w:noWrap/>
            <w:vAlign w:val="bottom"/>
            <w:hideMark/>
          </w:tcPr>
          <w:p w14:paraId="29F1C109" w14:textId="77777777" w:rsidR="008E3DF6" w:rsidRPr="008E3DF6" w:rsidRDefault="008E3DF6" w:rsidP="008E3DF6">
            <w:pPr>
              <w:spacing w:after="0" w:line="240" w:lineRule="auto"/>
              <w:rPr>
                <w:rFonts w:ascii="Times New Roman" w:eastAsia="Times New Roman" w:hAnsi="Times New Roman" w:cs="Times New Roman"/>
                <w:color w:val="000000"/>
              </w:rPr>
            </w:pPr>
          </w:p>
        </w:tc>
        <w:tc>
          <w:tcPr>
            <w:tcW w:w="1924" w:type="dxa"/>
            <w:tcBorders>
              <w:top w:val="nil"/>
              <w:left w:val="nil"/>
              <w:bottom w:val="nil"/>
              <w:right w:val="nil"/>
            </w:tcBorders>
            <w:shd w:val="clear" w:color="auto" w:fill="auto"/>
            <w:noWrap/>
            <w:vAlign w:val="bottom"/>
            <w:hideMark/>
          </w:tcPr>
          <w:p w14:paraId="3A875235" w14:textId="77777777" w:rsidR="008E3DF6" w:rsidRPr="008E3DF6" w:rsidRDefault="008E3DF6" w:rsidP="008E3DF6">
            <w:pPr>
              <w:spacing w:after="0" w:line="240" w:lineRule="auto"/>
              <w:jc w:val="center"/>
              <w:rPr>
                <w:rFonts w:ascii="Times New Roman" w:eastAsia="Times New Roman" w:hAnsi="Times New Roman" w:cs="Times New Roman"/>
                <w:sz w:val="20"/>
                <w:szCs w:val="20"/>
              </w:rPr>
            </w:pPr>
          </w:p>
        </w:tc>
      </w:tr>
      <w:tr w:rsidR="008E3DF6" w:rsidRPr="008E3DF6" w14:paraId="452267C2" w14:textId="77777777" w:rsidTr="002A5DE2">
        <w:trPr>
          <w:trHeight w:val="276"/>
          <w:jc w:val="center"/>
        </w:trPr>
        <w:tc>
          <w:tcPr>
            <w:tcW w:w="5156" w:type="dxa"/>
            <w:gridSpan w:val="3"/>
            <w:tcBorders>
              <w:top w:val="nil"/>
              <w:left w:val="nil"/>
              <w:bottom w:val="nil"/>
              <w:right w:val="nil"/>
            </w:tcBorders>
            <w:shd w:val="clear" w:color="auto" w:fill="auto"/>
            <w:noWrap/>
            <w:vAlign w:val="bottom"/>
            <w:hideMark/>
          </w:tcPr>
          <w:p w14:paraId="10CEB3CD"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*Death Rate is calculated as Total Deaths/Total Cases</w:t>
            </w:r>
          </w:p>
        </w:tc>
        <w:tc>
          <w:tcPr>
            <w:tcW w:w="1924" w:type="dxa"/>
            <w:tcBorders>
              <w:top w:val="nil"/>
              <w:left w:val="nil"/>
              <w:bottom w:val="nil"/>
              <w:right w:val="nil"/>
            </w:tcBorders>
            <w:shd w:val="clear" w:color="auto" w:fill="auto"/>
            <w:noWrap/>
            <w:vAlign w:val="bottom"/>
            <w:hideMark/>
          </w:tcPr>
          <w:p w14:paraId="64D471E6" w14:textId="77777777" w:rsidR="008E3DF6" w:rsidRPr="008E3DF6" w:rsidRDefault="008E3DF6" w:rsidP="008E3DF6">
            <w:pPr>
              <w:spacing w:after="0" w:line="240" w:lineRule="auto"/>
              <w:rPr>
                <w:rFonts w:ascii="Times New Roman" w:eastAsia="Times New Roman" w:hAnsi="Times New Roman" w:cs="Times New Roman"/>
                <w:color w:val="000000"/>
              </w:rPr>
            </w:pPr>
          </w:p>
        </w:tc>
      </w:tr>
    </w:tbl>
    <w:p w14:paraId="53F36A32" w14:textId="77777777" w:rsidR="008E3DF6" w:rsidRDefault="008E3DF6" w:rsidP="00655A01">
      <w:pPr>
        <w:widowControl w:val="0"/>
        <w:autoSpaceDE w:val="0"/>
        <w:autoSpaceDN w:val="0"/>
        <w:adjustRightInd w:val="0"/>
        <w:spacing w:line="240" w:lineRule="auto"/>
        <w:ind w:left="480" w:hanging="480"/>
        <w:rPr>
          <w:rFonts w:ascii="Times New Roman" w:hAnsi="Times New Roman" w:cs="Times New Roman"/>
          <w:sz w:val="24"/>
          <w:szCs w:val="24"/>
        </w:rPr>
      </w:pPr>
    </w:p>
    <w:p w14:paraId="3C3DEF82" w14:textId="6FD34AEF" w:rsidR="008E3DF6" w:rsidRDefault="002A5DE2" w:rsidP="002A5DE2">
      <w:pPr>
        <w:widowControl w:val="0"/>
        <w:autoSpaceDE w:val="0"/>
        <w:autoSpaceDN w:val="0"/>
        <w:adjustRightInd w:val="0"/>
        <w:spacing w:line="240" w:lineRule="auto"/>
        <w:ind w:left="480" w:hanging="480"/>
        <w:jc w:val="center"/>
        <w:rPr>
          <w:rFonts w:ascii="Times New Roman" w:hAnsi="Times New Roman" w:cs="Times New Roman"/>
          <w:sz w:val="24"/>
          <w:szCs w:val="24"/>
        </w:rPr>
      </w:pPr>
      <w:r w:rsidRPr="008E3DF6">
        <w:rPr>
          <w:rFonts w:ascii="Times New Roman" w:eastAsia="Times New Roman" w:hAnsi="Times New Roman" w:cs="Times New Roman"/>
          <w:b/>
          <w:bCs/>
          <w:color w:val="000000"/>
        </w:rPr>
        <w:t>Table 2: Country wise Sample Distribution (Based on HCE)</w:t>
      </w:r>
    </w:p>
    <w:tbl>
      <w:tblPr>
        <w:tblW w:w="8681" w:type="dxa"/>
        <w:jc w:val="center"/>
        <w:tblLook w:val="04A0" w:firstRow="1" w:lastRow="0" w:firstColumn="1" w:lastColumn="0" w:noHBand="0" w:noVBand="1"/>
      </w:tblPr>
      <w:tblGrid>
        <w:gridCol w:w="2166"/>
        <w:gridCol w:w="1138"/>
        <w:gridCol w:w="919"/>
        <w:gridCol w:w="919"/>
        <w:gridCol w:w="919"/>
        <w:gridCol w:w="1263"/>
        <w:gridCol w:w="1357"/>
      </w:tblGrid>
      <w:tr w:rsidR="008E3DF6" w:rsidRPr="008E3DF6" w14:paraId="19072B48" w14:textId="77777777" w:rsidTr="002A5DE2">
        <w:trPr>
          <w:trHeight w:val="288"/>
          <w:jc w:val="center"/>
        </w:trPr>
        <w:tc>
          <w:tcPr>
            <w:tcW w:w="8681" w:type="dxa"/>
            <w:gridSpan w:val="7"/>
            <w:tcBorders>
              <w:top w:val="nil"/>
              <w:left w:val="nil"/>
              <w:bottom w:val="nil"/>
              <w:right w:val="nil"/>
            </w:tcBorders>
            <w:shd w:val="clear" w:color="auto" w:fill="auto"/>
            <w:noWrap/>
            <w:vAlign w:val="bottom"/>
            <w:hideMark/>
          </w:tcPr>
          <w:p w14:paraId="2F1A24EC" w14:textId="0329A609" w:rsidR="008E3DF6" w:rsidRPr="008E3DF6" w:rsidRDefault="008E3DF6" w:rsidP="008E3DF6">
            <w:pPr>
              <w:spacing w:after="0" w:line="240" w:lineRule="auto"/>
              <w:rPr>
                <w:rFonts w:ascii="Times New Roman" w:eastAsia="Times New Roman" w:hAnsi="Times New Roman" w:cs="Times New Roman"/>
                <w:b/>
                <w:bCs/>
                <w:color w:val="000000"/>
              </w:rPr>
            </w:pPr>
          </w:p>
        </w:tc>
      </w:tr>
      <w:tr w:rsidR="008E3DF6" w:rsidRPr="008E3DF6" w14:paraId="68BA4860" w14:textId="77777777" w:rsidTr="002A5DE2">
        <w:trPr>
          <w:trHeight w:val="288"/>
          <w:jc w:val="center"/>
        </w:trPr>
        <w:tc>
          <w:tcPr>
            <w:tcW w:w="2166" w:type="dxa"/>
            <w:tcBorders>
              <w:top w:val="single" w:sz="4" w:space="0" w:color="auto"/>
              <w:left w:val="nil"/>
              <w:bottom w:val="single" w:sz="4" w:space="0" w:color="auto"/>
              <w:right w:val="nil"/>
            </w:tcBorders>
            <w:shd w:val="clear" w:color="auto" w:fill="auto"/>
            <w:noWrap/>
            <w:vAlign w:val="bottom"/>
            <w:hideMark/>
          </w:tcPr>
          <w:p w14:paraId="43142FD0"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 </w:t>
            </w:r>
          </w:p>
        </w:tc>
        <w:tc>
          <w:tcPr>
            <w:tcW w:w="1138" w:type="dxa"/>
            <w:tcBorders>
              <w:top w:val="single" w:sz="4" w:space="0" w:color="auto"/>
              <w:left w:val="nil"/>
              <w:bottom w:val="single" w:sz="4" w:space="0" w:color="auto"/>
              <w:right w:val="nil"/>
            </w:tcBorders>
            <w:shd w:val="clear" w:color="auto" w:fill="auto"/>
            <w:noWrap/>
            <w:vAlign w:val="bottom"/>
            <w:hideMark/>
          </w:tcPr>
          <w:p w14:paraId="787B236A"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Low</w:t>
            </w:r>
          </w:p>
        </w:tc>
        <w:tc>
          <w:tcPr>
            <w:tcW w:w="919" w:type="dxa"/>
            <w:tcBorders>
              <w:top w:val="single" w:sz="4" w:space="0" w:color="auto"/>
              <w:left w:val="nil"/>
              <w:bottom w:val="single" w:sz="4" w:space="0" w:color="auto"/>
              <w:right w:val="nil"/>
            </w:tcBorders>
            <w:shd w:val="clear" w:color="auto" w:fill="auto"/>
            <w:noWrap/>
            <w:vAlign w:val="bottom"/>
            <w:hideMark/>
          </w:tcPr>
          <w:p w14:paraId="270A8615"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2</w:t>
            </w:r>
          </w:p>
        </w:tc>
        <w:tc>
          <w:tcPr>
            <w:tcW w:w="919" w:type="dxa"/>
            <w:tcBorders>
              <w:top w:val="single" w:sz="4" w:space="0" w:color="auto"/>
              <w:left w:val="nil"/>
              <w:bottom w:val="single" w:sz="4" w:space="0" w:color="auto"/>
              <w:right w:val="nil"/>
            </w:tcBorders>
            <w:shd w:val="clear" w:color="auto" w:fill="auto"/>
            <w:noWrap/>
            <w:vAlign w:val="bottom"/>
            <w:hideMark/>
          </w:tcPr>
          <w:p w14:paraId="59C68EBF"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3</w:t>
            </w:r>
          </w:p>
        </w:tc>
        <w:tc>
          <w:tcPr>
            <w:tcW w:w="919" w:type="dxa"/>
            <w:tcBorders>
              <w:top w:val="single" w:sz="4" w:space="0" w:color="auto"/>
              <w:left w:val="nil"/>
              <w:bottom w:val="single" w:sz="4" w:space="0" w:color="auto"/>
              <w:right w:val="nil"/>
            </w:tcBorders>
            <w:shd w:val="clear" w:color="auto" w:fill="auto"/>
            <w:noWrap/>
            <w:vAlign w:val="bottom"/>
            <w:hideMark/>
          </w:tcPr>
          <w:p w14:paraId="315F1B4A"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4</w:t>
            </w:r>
          </w:p>
        </w:tc>
        <w:tc>
          <w:tcPr>
            <w:tcW w:w="1263" w:type="dxa"/>
            <w:tcBorders>
              <w:top w:val="single" w:sz="4" w:space="0" w:color="auto"/>
              <w:left w:val="nil"/>
              <w:bottom w:val="single" w:sz="4" w:space="0" w:color="auto"/>
              <w:right w:val="nil"/>
            </w:tcBorders>
            <w:shd w:val="clear" w:color="auto" w:fill="auto"/>
            <w:noWrap/>
            <w:vAlign w:val="bottom"/>
            <w:hideMark/>
          </w:tcPr>
          <w:p w14:paraId="28A6C0EC"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High</w:t>
            </w:r>
          </w:p>
        </w:tc>
        <w:tc>
          <w:tcPr>
            <w:tcW w:w="1357" w:type="dxa"/>
            <w:tcBorders>
              <w:top w:val="single" w:sz="4" w:space="0" w:color="auto"/>
              <w:left w:val="nil"/>
              <w:bottom w:val="single" w:sz="4" w:space="0" w:color="auto"/>
              <w:right w:val="nil"/>
            </w:tcBorders>
            <w:shd w:val="clear" w:color="auto" w:fill="auto"/>
            <w:noWrap/>
            <w:vAlign w:val="bottom"/>
            <w:hideMark/>
          </w:tcPr>
          <w:p w14:paraId="2043EBD0"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Total</w:t>
            </w:r>
          </w:p>
        </w:tc>
      </w:tr>
      <w:tr w:rsidR="008E3DF6" w:rsidRPr="008E3DF6" w14:paraId="6653C78D" w14:textId="77777777" w:rsidTr="002A5DE2">
        <w:trPr>
          <w:trHeight w:val="288"/>
          <w:jc w:val="center"/>
        </w:trPr>
        <w:tc>
          <w:tcPr>
            <w:tcW w:w="2166" w:type="dxa"/>
            <w:tcBorders>
              <w:top w:val="nil"/>
              <w:left w:val="nil"/>
              <w:bottom w:val="nil"/>
              <w:right w:val="nil"/>
            </w:tcBorders>
            <w:shd w:val="clear" w:color="auto" w:fill="auto"/>
            <w:noWrap/>
            <w:vAlign w:val="bottom"/>
            <w:hideMark/>
          </w:tcPr>
          <w:p w14:paraId="4D778575"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Spain</w:t>
            </w:r>
          </w:p>
        </w:tc>
        <w:tc>
          <w:tcPr>
            <w:tcW w:w="1138" w:type="dxa"/>
            <w:tcBorders>
              <w:top w:val="nil"/>
              <w:left w:val="nil"/>
              <w:bottom w:val="nil"/>
              <w:right w:val="nil"/>
            </w:tcBorders>
            <w:shd w:val="clear" w:color="auto" w:fill="auto"/>
            <w:noWrap/>
            <w:vAlign w:val="bottom"/>
            <w:hideMark/>
          </w:tcPr>
          <w:p w14:paraId="7D47B9A2"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21</w:t>
            </w:r>
          </w:p>
        </w:tc>
        <w:tc>
          <w:tcPr>
            <w:tcW w:w="919" w:type="dxa"/>
            <w:tcBorders>
              <w:top w:val="nil"/>
              <w:left w:val="nil"/>
              <w:bottom w:val="nil"/>
              <w:right w:val="nil"/>
            </w:tcBorders>
            <w:shd w:val="clear" w:color="auto" w:fill="auto"/>
            <w:noWrap/>
            <w:vAlign w:val="bottom"/>
            <w:hideMark/>
          </w:tcPr>
          <w:p w14:paraId="43A97DC7"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26</w:t>
            </w:r>
          </w:p>
        </w:tc>
        <w:tc>
          <w:tcPr>
            <w:tcW w:w="919" w:type="dxa"/>
            <w:tcBorders>
              <w:top w:val="nil"/>
              <w:left w:val="nil"/>
              <w:bottom w:val="nil"/>
              <w:right w:val="nil"/>
            </w:tcBorders>
            <w:shd w:val="clear" w:color="auto" w:fill="auto"/>
            <w:noWrap/>
            <w:vAlign w:val="bottom"/>
            <w:hideMark/>
          </w:tcPr>
          <w:p w14:paraId="584B13EF"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20</w:t>
            </w:r>
          </w:p>
        </w:tc>
        <w:tc>
          <w:tcPr>
            <w:tcW w:w="919" w:type="dxa"/>
            <w:tcBorders>
              <w:top w:val="nil"/>
              <w:left w:val="nil"/>
              <w:bottom w:val="nil"/>
              <w:right w:val="nil"/>
            </w:tcBorders>
            <w:shd w:val="clear" w:color="auto" w:fill="auto"/>
            <w:noWrap/>
            <w:vAlign w:val="bottom"/>
            <w:hideMark/>
          </w:tcPr>
          <w:p w14:paraId="53488D17"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25</w:t>
            </w:r>
          </w:p>
        </w:tc>
        <w:tc>
          <w:tcPr>
            <w:tcW w:w="1263" w:type="dxa"/>
            <w:tcBorders>
              <w:top w:val="nil"/>
              <w:left w:val="nil"/>
              <w:bottom w:val="nil"/>
              <w:right w:val="nil"/>
            </w:tcBorders>
            <w:shd w:val="clear" w:color="auto" w:fill="auto"/>
            <w:noWrap/>
            <w:vAlign w:val="bottom"/>
            <w:hideMark/>
          </w:tcPr>
          <w:p w14:paraId="2159A052"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26</w:t>
            </w:r>
          </w:p>
        </w:tc>
        <w:tc>
          <w:tcPr>
            <w:tcW w:w="1357" w:type="dxa"/>
            <w:tcBorders>
              <w:top w:val="nil"/>
              <w:left w:val="nil"/>
              <w:bottom w:val="nil"/>
              <w:right w:val="nil"/>
            </w:tcBorders>
            <w:shd w:val="clear" w:color="auto" w:fill="auto"/>
            <w:noWrap/>
            <w:vAlign w:val="bottom"/>
            <w:hideMark/>
          </w:tcPr>
          <w:p w14:paraId="06683206"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118</w:t>
            </w:r>
          </w:p>
        </w:tc>
      </w:tr>
      <w:tr w:rsidR="008E3DF6" w:rsidRPr="008E3DF6" w14:paraId="46181E70" w14:textId="77777777" w:rsidTr="002A5DE2">
        <w:trPr>
          <w:trHeight w:val="288"/>
          <w:jc w:val="center"/>
        </w:trPr>
        <w:tc>
          <w:tcPr>
            <w:tcW w:w="2166" w:type="dxa"/>
            <w:tcBorders>
              <w:top w:val="nil"/>
              <w:left w:val="nil"/>
              <w:bottom w:val="nil"/>
              <w:right w:val="nil"/>
            </w:tcBorders>
            <w:shd w:val="clear" w:color="auto" w:fill="auto"/>
            <w:noWrap/>
            <w:vAlign w:val="bottom"/>
            <w:hideMark/>
          </w:tcPr>
          <w:p w14:paraId="371B4EFB"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Italy</w:t>
            </w:r>
          </w:p>
        </w:tc>
        <w:tc>
          <w:tcPr>
            <w:tcW w:w="1138" w:type="dxa"/>
            <w:tcBorders>
              <w:top w:val="nil"/>
              <w:left w:val="nil"/>
              <w:bottom w:val="nil"/>
              <w:right w:val="nil"/>
            </w:tcBorders>
            <w:shd w:val="clear" w:color="auto" w:fill="auto"/>
            <w:noWrap/>
            <w:vAlign w:val="bottom"/>
            <w:hideMark/>
          </w:tcPr>
          <w:p w14:paraId="2DB1B619"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24</w:t>
            </w:r>
          </w:p>
        </w:tc>
        <w:tc>
          <w:tcPr>
            <w:tcW w:w="919" w:type="dxa"/>
            <w:tcBorders>
              <w:top w:val="nil"/>
              <w:left w:val="nil"/>
              <w:bottom w:val="nil"/>
              <w:right w:val="nil"/>
            </w:tcBorders>
            <w:shd w:val="clear" w:color="auto" w:fill="auto"/>
            <w:noWrap/>
            <w:vAlign w:val="bottom"/>
            <w:hideMark/>
          </w:tcPr>
          <w:p w14:paraId="15A3986E"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22</w:t>
            </w:r>
          </w:p>
        </w:tc>
        <w:tc>
          <w:tcPr>
            <w:tcW w:w="919" w:type="dxa"/>
            <w:tcBorders>
              <w:top w:val="nil"/>
              <w:left w:val="nil"/>
              <w:bottom w:val="nil"/>
              <w:right w:val="nil"/>
            </w:tcBorders>
            <w:shd w:val="clear" w:color="auto" w:fill="auto"/>
            <w:noWrap/>
            <w:vAlign w:val="bottom"/>
            <w:hideMark/>
          </w:tcPr>
          <w:p w14:paraId="401B620B"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19</w:t>
            </w:r>
          </w:p>
        </w:tc>
        <w:tc>
          <w:tcPr>
            <w:tcW w:w="919" w:type="dxa"/>
            <w:tcBorders>
              <w:top w:val="nil"/>
              <w:left w:val="nil"/>
              <w:bottom w:val="nil"/>
              <w:right w:val="nil"/>
            </w:tcBorders>
            <w:shd w:val="clear" w:color="auto" w:fill="auto"/>
            <w:noWrap/>
            <w:vAlign w:val="bottom"/>
            <w:hideMark/>
          </w:tcPr>
          <w:p w14:paraId="758D0EAB"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33</w:t>
            </w:r>
          </w:p>
        </w:tc>
        <w:tc>
          <w:tcPr>
            <w:tcW w:w="1263" w:type="dxa"/>
            <w:tcBorders>
              <w:top w:val="nil"/>
              <w:left w:val="nil"/>
              <w:bottom w:val="nil"/>
              <w:right w:val="nil"/>
            </w:tcBorders>
            <w:shd w:val="clear" w:color="auto" w:fill="auto"/>
            <w:noWrap/>
            <w:vAlign w:val="bottom"/>
            <w:hideMark/>
          </w:tcPr>
          <w:p w14:paraId="3F78ABAF"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27</w:t>
            </w:r>
          </w:p>
        </w:tc>
        <w:tc>
          <w:tcPr>
            <w:tcW w:w="1357" w:type="dxa"/>
            <w:tcBorders>
              <w:top w:val="nil"/>
              <w:left w:val="nil"/>
              <w:bottom w:val="nil"/>
              <w:right w:val="nil"/>
            </w:tcBorders>
            <w:shd w:val="clear" w:color="auto" w:fill="auto"/>
            <w:noWrap/>
            <w:vAlign w:val="bottom"/>
            <w:hideMark/>
          </w:tcPr>
          <w:p w14:paraId="135F3244"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125</w:t>
            </w:r>
          </w:p>
        </w:tc>
      </w:tr>
      <w:tr w:rsidR="008E3DF6" w:rsidRPr="008E3DF6" w14:paraId="75DF497B" w14:textId="77777777" w:rsidTr="002A5DE2">
        <w:trPr>
          <w:trHeight w:val="288"/>
          <w:jc w:val="center"/>
        </w:trPr>
        <w:tc>
          <w:tcPr>
            <w:tcW w:w="2166" w:type="dxa"/>
            <w:tcBorders>
              <w:top w:val="nil"/>
              <w:left w:val="nil"/>
              <w:bottom w:val="nil"/>
              <w:right w:val="nil"/>
            </w:tcBorders>
            <w:shd w:val="clear" w:color="auto" w:fill="auto"/>
            <w:noWrap/>
            <w:vAlign w:val="bottom"/>
            <w:hideMark/>
          </w:tcPr>
          <w:p w14:paraId="26549052"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France</w:t>
            </w:r>
          </w:p>
        </w:tc>
        <w:tc>
          <w:tcPr>
            <w:tcW w:w="1138" w:type="dxa"/>
            <w:tcBorders>
              <w:top w:val="nil"/>
              <w:left w:val="nil"/>
              <w:bottom w:val="nil"/>
              <w:right w:val="nil"/>
            </w:tcBorders>
            <w:shd w:val="clear" w:color="auto" w:fill="auto"/>
            <w:noWrap/>
            <w:vAlign w:val="bottom"/>
            <w:hideMark/>
          </w:tcPr>
          <w:p w14:paraId="15316745"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42</w:t>
            </w:r>
          </w:p>
        </w:tc>
        <w:tc>
          <w:tcPr>
            <w:tcW w:w="919" w:type="dxa"/>
            <w:tcBorders>
              <w:top w:val="nil"/>
              <w:left w:val="nil"/>
              <w:bottom w:val="nil"/>
              <w:right w:val="nil"/>
            </w:tcBorders>
            <w:shd w:val="clear" w:color="auto" w:fill="auto"/>
            <w:noWrap/>
            <w:vAlign w:val="bottom"/>
            <w:hideMark/>
          </w:tcPr>
          <w:p w14:paraId="23536E80"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42</w:t>
            </w:r>
          </w:p>
        </w:tc>
        <w:tc>
          <w:tcPr>
            <w:tcW w:w="919" w:type="dxa"/>
            <w:tcBorders>
              <w:top w:val="nil"/>
              <w:left w:val="nil"/>
              <w:bottom w:val="nil"/>
              <w:right w:val="nil"/>
            </w:tcBorders>
            <w:shd w:val="clear" w:color="auto" w:fill="auto"/>
            <w:noWrap/>
            <w:vAlign w:val="bottom"/>
            <w:hideMark/>
          </w:tcPr>
          <w:p w14:paraId="52C2F353"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48</w:t>
            </w:r>
          </w:p>
        </w:tc>
        <w:tc>
          <w:tcPr>
            <w:tcW w:w="919" w:type="dxa"/>
            <w:tcBorders>
              <w:top w:val="nil"/>
              <w:left w:val="nil"/>
              <w:bottom w:val="nil"/>
              <w:right w:val="nil"/>
            </w:tcBorders>
            <w:shd w:val="clear" w:color="auto" w:fill="auto"/>
            <w:noWrap/>
            <w:vAlign w:val="bottom"/>
            <w:hideMark/>
          </w:tcPr>
          <w:p w14:paraId="1BFD944A"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42</w:t>
            </w:r>
          </w:p>
        </w:tc>
        <w:tc>
          <w:tcPr>
            <w:tcW w:w="1263" w:type="dxa"/>
            <w:tcBorders>
              <w:top w:val="nil"/>
              <w:left w:val="nil"/>
              <w:bottom w:val="nil"/>
              <w:right w:val="nil"/>
            </w:tcBorders>
            <w:shd w:val="clear" w:color="auto" w:fill="auto"/>
            <w:noWrap/>
            <w:vAlign w:val="bottom"/>
            <w:hideMark/>
          </w:tcPr>
          <w:p w14:paraId="6A2EAC41"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45</w:t>
            </w:r>
          </w:p>
        </w:tc>
        <w:tc>
          <w:tcPr>
            <w:tcW w:w="1357" w:type="dxa"/>
            <w:tcBorders>
              <w:top w:val="nil"/>
              <w:left w:val="nil"/>
              <w:bottom w:val="nil"/>
              <w:right w:val="nil"/>
            </w:tcBorders>
            <w:shd w:val="clear" w:color="auto" w:fill="auto"/>
            <w:noWrap/>
            <w:vAlign w:val="bottom"/>
            <w:hideMark/>
          </w:tcPr>
          <w:p w14:paraId="1B931D7F"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219</w:t>
            </w:r>
          </w:p>
        </w:tc>
      </w:tr>
      <w:tr w:rsidR="008E3DF6" w:rsidRPr="008E3DF6" w14:paraId="06DB2AEB" w14:textId="77777777" w:rsidTr="002A5DE2">
        <w:trPr>
          <w:trHeight w:val="288"/>
          <w:jc w:val="center"/>
        </w:trPr>
        <w:tc>
          <w:tcPr>
            <w:tcW w:w="2166" w:type="dxa"/>
            <w:tcBorders>
              <w:top w:val="nil"/>
              <w:left w:val="nil"/>
              <w:bottom w:val="nil"/>
              <w:right w:val="nil"/>
            </w:tcBorders>
            <w:shd w:val="clear" w:color="auto" w:fill="auto"/>
            <w:noWrap/>
            <w:vAlign w:val="bottom"/>
            <w:hideMark/>
          </w:tcPr>
          <w:p w14:paraId="1212E44E"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Germany</w:t>
            </w:r>
          </w:p>
        </w:tc>
        <w:tc>
          <w:tcPr>
            <w:tcW w:w="1138" w:type="dxa"/>
            <w:tcBorders>
              <w:top w:val="nil"/>
              <w:left w:val="nil"/>
              <w:bottom w:val="nil"/>
              <w:right w:val="nil"/>
            </w:tcBorders>
            <w:shd w:val="clear" w:color="auto" w:fill="auto"/>
            <w:noWrap/>
            <w:vAlign w:val="bottom"/>
            <w:hideMark/>
          </w:tcPr>
          <w:p w14:paraId="79CD381C"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52</w:t>
            </w:r>
          </w:p>
        </w:tc>
        <w:tc>
          <w:tcPr>
            <w:tcW w:w="919" w:type="dxa"/>
            <w:tcBorders>
              <w:top w:val="nil"/>
              <w:left w:val="nil"/>
              <w:bottom w:val="nil"/>
              <w:right w:val="nil"/>
            </w:tcBorders>
            <w:shd w:val="clear" w:color="auto" w:fill="auto"/>
            <w:noWrap/>
            <w:vAlign w:val="bottom"/>
            <w:hideMark/>
          </w:tcPr>
          <w:p w14:paraId="50EE77B7"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50</w:t>
            </w:r>
          </w:p>
        </w:tc>
        <w:tc>
          <w:tcPr>
            <w:tcW w:w="919" w:type="dxa"/>
            <w:tcBorders>
              <w:top w:val="nil"/>
              <w:left w:val="nil"/>
              <w:bottom w:val="nil"/>
              <w:right w:val="nil"/>
            </w:tcBorders>
            <w:shd w:val="clear" w:color="auto" w:fill="auto"/>
            <w:noWrap/>
            <w:vAlign w:val="bottom"/>
            <w:hideMark/>
          </w:tcPr>
          <w:p w14:paraId="677396E6"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54</w:t>
            </w:r>
          </w:p>
        </w:tc>
        <w:tc>
          <w:tcPr>
            <w:tcW w:w="919" w:type="dxa"/>
            <w:tcBorders>
              <w:top w:val="nil"/>
              <w:left w:val="nil"/>
              <w:bottom w:val="nil"/>
              <w:right w:val="nil"/>
            </w:tcBorders>
            <w:shd w:val="clear" w:color="auto" w:fill="auto"/>
            <w:noWrap/>
            <w:vAlign w:val="bottom"/>
            <w:hideMark/>
          </w:tcPr>
          <w:p w14:paraId="5870D337"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49</w:t>
            </w:r>
          </w:p>
        </w:tc>
        <w:tc>
          <w:tcPr>
            <w:tcW w:w="1263" w:type="dxa"/>
            <w:tcBorders>
              <w:top w:val="nil"/>
              <w:left w:val="nil"/>
              <w:bottom w:val="nil"/>
              <w:right w:val="nil"/>
            </w:tcBorders>
            <w:shd w:val="clear" w:color="auto" w:fill="auto"/>
            <w:noWrap/>
            <w:vAlign w:val="bottom"/>
            <w:hideMark/>
          </w:tcPr>
          <w:p w14:paraId="7B63C0C4"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47</w:t>
            </w:r>
          </w:p>
        </w:tc>
        <w:tc>
          <w:tcPr>
            <w:tcW w:w="1357" w:type="dxa"/>
            <w:tcBorders>
              <w:top w:val="nil"/>
              <w:left w:val="nil"/>
              <w:bottom w:val="nil"/>
              <w:right w:val="nil"/>
            </w:tcBorders>
            <w:shd w:val="clear" w:color="auto" w:fill="auto"/>
            <w:noWrap/>
            <w:vAlign w:val="bottom"/>
            <w:hideMark/>
          </w:tcPr>
          <w:p w14:paraId="3CE70C99"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252</w:t>
            </w:r>
          </w:p>
        </w:tc>
      </w:tr>
      <w:tr w:rsidR="008E3DF6" w:rsidRPr="008E3DF6" w14:paraId="0C97CF14" w14:textId="77777777" w:rsidTr="002A5DE2">
        <w:trPr>
          <w:trHeight w:val="288"/>
          <w:jc w:val="center"/>
        </w:trPr>
        <w:tc>
          <w:tcPr>
            <w:tcW w:w="2166" w:type="dxa"/>
            <w:tcBorders>
              <w:top w:val="nil"/>
              <w:left w:val="nil"/>
              <w:bottom w:val="nil"/>
              <w:right w:val="nil"/>
            </w:tcBorders>
            <w:shd w:val="clear" w:color="auto" w:fill="auto"/>
            <w:noWrap/>
            <w:vAlign w:val="bottom"/>
            <w:hideMark/>
          </w:tcPr>
          <w:p w14:paraId="210A2AFA" w14:textId="77777777" w:rsidR="008E3DF6" w:rsidRPr="008E3DF6" w:rsidRDefault="008E3DF6" w:rsidP="008E3DF6">
            <w:pPr>
              <w:spacing w:after="0" w:line="240" w:lineRule="auto"/>
              <w:rPr>
                <w:rFonts w:ascii="Times New Roman" w:eastAsia="Times New Roman" w:hAnsi="Times New Roman" w:cs="Times New Roman"/>
                <w:color w:val="000000"/>
              </w:rPr>
            </w:pPr>
            <w:r w:rsidRPr="008E3DF6">
              <w:rPr>
                <w:rFonts w:ascii="Times New Roman" w:eastAsia="Times New Roman" w:hAnsi="Times New Roman" w:cs="Times New Roman"/>
                <w:color w:val="000000"/>
              </w:rPr>
              <w:t>Belgium</w:t>
            </w:r>
          </w:p>
        </w:tc>
        <w:tc>
          <w:tcPr>
            <w:tcW w:w="1138" w:type="dxa"/>
            <w:tcBorders>
              <w:top w:val="nil"/>
              <w:left w:val="nil"/>
              <w:bottom w:val="nil"/>
              <w:right w:val="nil"/>
            </w:tcBorders>
            <w:shd w:val="clear" w:color="auto" w:fill="auto"/>
            <w:noWrap/>
            <w:vAlign w:val="bottom"/>
            <w:hideMark/>
          </w:tcPr>
          <w:p w14:paraId="1E1F75BD"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21</w:t>
            </w:r>
          </w:p>
        </w:tc>
        <w:tc>
          <w:tcPr>
            <w:tcW w:w="919" w:type="dxa"/>
            <w:tcBorders>
              <w:top w:val="nil"/>
              <w:left w:val="nil"/>
              <w:bottom w:val="nil"/>
              <w:right w:val="nil"/>
            </w:tcBorders>
            <w:shd w:val="clear" w:color="auto" w:fill="auto"/>
            <w:noWrap/>
            <w:vAlign w:val="bottom"/>
            <w:hideMark/>
          </w:tcPr>
          <w:p w14:paraId="37F4A0FD"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19</w:t>
            </w:r>
          </w:p>
        </w:tc>
        <w:tc>
          <w:tcPr>
            <w:tcW w:w="919" w:type="dxa"/>
            <w:tcBorders>
              <w:top w:val="nil"/>
              <w:left w:val="nil"/>
              <w:bottom w:val="nil"/>
              <w:right w:val="nil"/>
            </w:tcBorders>
            <w:shd w:val="clear" w:color="auto" w:fill="auto"/>
            <w:noWrap/>
            <w:vAlign w:val="bottom"/>
            <w:hideMark/>
          </w:tcPr>
          <w:p w14:paraId="3ED0CEC5"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18</w:t>
            </w:r>
          </w:p>
        </w:tc>
        <w:tc>
          <w:tcPr>
            <w:tcW w:w="919" w:type="dxa"/>
            <w:tcBorders>
              <w:top w:val="nil"/>
              <w:left w:val="nil"/>
              <w:bottom w:val="nil"/>
              <w:right w:val="nil"/>
            </w:tcBorders>
            <w:shd w:val="clear" w:color="auto" w:fill="auto"/>
            <w:noWrap/>
            <w:vAlign w:val="bottom"/>
            <w:hideMark/>
          </w:tcPr>
          <w:p w14:paraId="6B9932A1"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10</w:t>
            </w:r>
          </w:p>
        </w:tc>
        <w:tc>
          <w:tcPr>
            <w:tcW w:w="1263" w:type="dxa"/>
            <w:tcBorders>
              <w:top w:val="nil"/>
              <w:left w:val="nil"/>
              <w:bottom w:val="nil"/>
              <w:right w:val="nil"/>
            </w:tcBorders>
            <w:shd w:val="clear" w:color="auto" w:fill="auto"/>
            <w:noWrap/>
            <w:vAlign w:val="bottom"/>
            <w:hideMark/>
          </w:tcPr>
          <w:p w14:paraId="6F384D3C" w14:textId="77777777" w:rsidR="008E3DF6" w:rsidRPr="008E3DF6" w:rsidRDefault="008E3DF6" w:rsidP="008E3DF6">
            <w:pPr>
              <w:spacing w:after="0" w:line="240" w:lineRule="auto"/>
              <w:jc w:val="center"/>
              <w:rPr>
                <w:rFonts w:ascii="Times New Roman" w:eastAsia="Times New Roman" w:hAnsi="Times New Roman" w:cs="Times New Roman"/>
                <w:color w:val="000000"/>
              </w:rPr>
            </w:pPr>
            <w:r w:rsidRPr="008E3DF6">
              <w:rPr>
                <w:rFonts w:ascii="Times New Roman" w:eastAsia="Times New Roman" w:hAnsi="Times New Roman" w:cs="Times New Roman"/>
                <w:color w:val="000000"/>
              </w:rPr>
              <w:t>17</w:t>
            </w:r>
          </w:p>
        </w:tc>
        <w:tc>
          <w:tcPr>
            <w:tcW w:w="1357" w:type="dxa"/>
            <w:tcBorders>
              <w:top w:val="nil"/>
              <w:left w:val="nil"/>
              <w:bottom w:val="nil"/>
              <w:right w:val="nil"/>
            </w:tcBorders>
            <w:shd w:val="clear" w:color="auto" w:fill="auto"/>
            <w:noWrap/>
            <w:vAlign w:val="bottom"/>
            <w:hideMark/>
          </w:tcPr>
          <w:p w14:paraId="5DF7F5A6"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85</w:t>
            </w:r>
          </w:p>
        </w:tc>
      </w:tr>
      <w:tr w:rsidR="008E3DF6" w:rsidRPr="008E3DF6" w14:paraId="3AC274EB" w14:textId="77777777" w:rsidTr="002A5DE2">
        <w:trPr>
          <w:trHeight w:val="288"/>
          <w:jc w:val="center"/>
        </w:trPr>
        <w:tc>
          <w:tcPr>
            <w:tcW w:w="2166" w:type="dxa"/>
            <w:tcBorders>
              <w:top w:val="nil"/>
              <w:left w:val="nil"/>
              <w:bottom w:val="single" w:sz="4" w:space="0" w:color="auto"/>
              <w:right w:val="nil"/>
            </w:tcBorders>
            <w:shd w:val="clear" w:color="auto" w:fill="auto"/>
            <w:noWrap/>
            <w:vAlign w:val="bottom"/>
            <w:hideMark/>
          </w:tcPr>
          <w:p w14:paraId="36EFE9B7" w14:textId="77777777" w:rsidR="008E3DF6" w:rsidRPr="008E3DF6" w:rsidRDefault="008E3DF6" w:rsidP="008E3DF6">
            <w:pPr>
              <w:spacing w:after="0" w:line="240" w:lineRule="auto"/>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Total</w:t>
            </w:r>
          </w:p>
        </w:tc>
        <w:tc>
          <w:tcPr>
            <w:tcW w:w="1138" w:type="dxa"/>
            <w:tcBorders>
              <w:top w:val="nil"/>
              <w:left w:val="nil"/>
              <w:bottom w:val="single" w:sz="4" w:space="0" w:color="auto"/>
              <w:right w:val="nil"/>
            </w:tcBorders>
            <w:shd w:val="clear" w:color="auto" w:fill="auto"/>
            <w:noWrap/>
            <w:vAlign w:val="bottom"/>
            <w:hideMark/>
          </w:tcPr>
          <w:p w14:paraId="2CE5D4D8"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160</w:t>
            </w:r>
          </w:p>
        </w:tc>
        <w:tc>
          <w:tcPr>
            <w:tcW w:w="919" w:type="dxa"/>
            <w:tcBorders>
              <w:top w:val="nil"/>
              <w:left w:val="nil"/>
              <w:bottom w:val="single" w:sz="4" w:space="0" w:color="auto"/>
              <w:right w:val="nil"/>
            </w:tcBorders>
            <w:shd w:val="clear" w:color="auto" w:fill="auto"/>
            <w:noWrap/>
            <w:vAlign w:val="bottom"/>
            <w:hideMark/>
          </w:tcPr>
          <w:p w14:paraId="08232143"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159</w:t>
            </w:r>
          </w:p>
        </w:tc>
        <w:tc>
          <w:tcPr>
            <w:tcW w:w="919" w:type="dxa"/>
            <w:tcBorders>
              <w:top w:val="nil"/>
              <w:left w:val="nil"/>
              <w:bottom w:val="single" w:sz="4" w:space="0" w:color="auto"/>
              <w:right w:val="nil"/>
            </w:tcBorders>
            <w:shd w:val="clear" w:color="auto" w:fill="auto"/>
            <w:noWrap/>
            <w:vAlign w:val="bottom"/>
            <w:hideMark/>
          </w:tcPr>
          <w:p w14:paraId="46BFC30F"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159</w:t>
            </w:r>
          </w:p>
        </w:tc>
        <w:tc>
          <w:tcPr>
            <w:tcW w:w="919" w:type="dxa"/>
            <w:tcBorders>
              <w:top w:val="nil"/>
              <w:left w:val="nil"/>
              <w:bottom w:val="single" w:sz="4" w:space="0" w:color="auto"/>
              <w:right w:val="nil"/>
            </w:tcBorders>
            <w:shd w:val="clear" w:color="auto" w:fill="auto"/>
            <w:noWrap/>
            <w:vAlign w:val="bottom"/>
            <w:hideMark/>
          </w:tcPr>
          <w:p w14:paraId="45AAE75F"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159</w:t>
            </w:r>
          </w:p>
        </w:tc>
        <w:tc>
          <w:tcPr>
            <w:tcW w:w="1263" w:type="dxa"/>
            <w:tcBorders>
              <w:top w:val="nil"/>
              <w:left w:val="nil"/>
              <w:bottom w:val="single" w:sz="4" w:space="0" w:color="auto"/>
              <w:right w:val="nil"/>
            </w:tcBorders>
            <w:shd w:val="clear" w:color="auto" w:fill="auto"/>
            <w:noWrap/>
            <w:vAlign w:val="bottom"/>
            <w:hideMark/>
          </w:tcPr>
          <w:p w14:paraId="487B07F2"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162</w:t>
            </w:r>
          </w:p>
        </w:tc>
        <w:tc>
          <w:tcPr>
            <w:tcW w:w="1357" w:type="dxa"/>
            <w:tcBorders>
              <w:top w:val="nil"/>
              <w:left w:val="nil"/>
              <w:bottom w:val="single" w:sz="4" w:space="0" w:color="auto"/>
              <w:right w:val="nil"/>
            </w:tcBorders>
            <w:shd w:val="clear" w:color="auto" w:fill="auto"/>
            <w:noWrap/>
            <w:vAlign w:val="bottom"/>
            <w:hideMark/>
          </w:tcPr>
          <w:p w14:paraId="32EC9FFD" w14:textId="77777777" w:rsidR="008E3DF6" w:rsidRPr="008E3DF6" w:rsidRDefault="008E3DF6" w:rsidP="008E3DF6">
            <w:pPr>
              <w:spacing w:after="0" w:line="240" w:lineRule="auto"/>
              <w:jc w:val="center"/>
              <w:rPr>
                <w:rFonts w:ascii="Times New Roman" w:eastAsia="Times New Roman" w:hAnsi="Times New Roman" w:cs="Times New Roman"/>
                <w:b/>
                <w:bCs/>
                <w:color w:val="000000"/>
              </w:rPr>
            </w:pPr>
            <w:r w:rsidRPr="008E3DF6">
              <w:rPr>
                <w:rFonts w:ascii="Times New Roman" w:eastAsia="Times New Roman" w:hAnsi="Times New Roman" w:cs="Times New Roman"/>
                <w:b/>
                <w:bCs/>
                <w:color w:val="000000"/>
              </w:rPr>
              <w:t>799</w:t>
            </w:r>
          </w:p>
        </w:tc>
      </w:tr>
    </w:tbl>
    <w:p w14:paraId="510C2433" w14:textId="77777777" w:rsidR="008E3DF6" w:rsidRDefault="008E3DF6" w:rsidP="00655A01">
      <w:pPr>
        <w:widowControl w:val="0"/>
        <w:autoSpaceDE w:val="0"/>
        <w:autoSpaceDN w:val="0"/>
        <w:adjustRightInd w:val="0"/>
        <w:spacing w:line="240" w:lineRule="auto"/>
        <w:ind w:left="480" w:hanging="480"/>
        <w:rPr>
          <w:rFonts w:ascii="Times New Roman" w:hAnsi="Times New Roman" w:cs="Times New Roman"/>
          <w:sz w:val="24"/>
          <w:szCs w:val="24"/>
        </w:rPr>
      </w:pPr>
    </w:p>
    <w:p w14:paraId="72626A12" w14:textId="1624D020" w:rsidR="002A5DE2" w:rsidRDefault="002A5DE2" w:rsidP="002A5DE2">
      <w:pPr>
        <w:jc w:val="center"/>
        <w:rPr>
          <w:rFonts w:ascii="Times New Roman" w:hAnsi="Times New Roman" w:cs="Times New Roman"/>
          <w:b/>
          <w:bCs/>
          <w:sz w:val="24"/>
          <w:szCs w:val="24"/>
        </w:rPr>
      </w:pPr>
      <w:r w:rsidRPr="002A5DE2">
        <w:rPr>
          <w:rFonts w:ascii="Times New Roman" w:hAnsi="Times New Roman" w:cs="Times New Roman"/>
          <w:b/>
          <w:bCs/>
          <w:sz w:val="24"/>
          <w:szCs w:val="24"/>
        </w:rPr>
        <w:t>Table 3: Timeline of Evolution of C</w:t>
      </w:r>
      <w:r>
        <w:rPr>
          <w:rFonts w:ascii="Times New Roman" w:hAnsi="Times New Roman" w:cs="Times New Roman"/>
          <w:b/>
          <w:bCs/>
          <w:sz w:val="24"/>
          <w:szCs w:val="24"/>
        </w:rPr>
        <w:t>OVID</w:t>
      </w:r>
      <w:r w:rsidRPr="002A5DE2">
        <w:rPr>
          <w:rFonts w:ascii="Times New Roman" w:hAnsi="Times New Roman" w:cs="Times New Roman"/>
          <w:b/>
          <w:bCs/>
          <w:sz w:val="24"/>
          <w:szCs w:val="24"/>
        </w:rPr>
        <w:t>-19</w:t>
      </w:r>
    </w:p>
    <w:tbl>
      <w:tblPr>
        <w:tblW w:w="10102" w:type="dxa"/>
        <w:tblLook w:val="04A0" w:firstRow="1" w:lastRow="0" w:firstColumn="1" w:lastColumn="0" w:noHBand="0" w:noVBand="1"/>
      </w:tblPr>
      <w:tblGrid>
        <w:gridCol w:w="705"/>
        <w:gridCol w:w="1273"/>
        <w:gridCol w:w="8166"/>
      </w:tblGrid>
      <w:tr w:rsidR="002A5DE2" w:rsidRPr="00844321" w14:paraId="502F6199" w14:textId="77777777" w:rsidTr="00730E93">
        <w:trPr>
          <w:trHeight w:val="303"/>
        </w:trPr>
        <w:tc>
          <w:tcPr>
            <w:tcW w:w="10102" w:type="dxa"/>
            <w:gridSpan w:val="3"/>
            <w:tcBorders>
              <w:top w:val="single" w:sz="4" w:space="0" w:color="auto"/>
              <w:left w:val="nil"/>
              <w:bottom w:val="single" w:sz="4" w:space="0" w:color="auto"/>
              <w:right w:val="nil"/>
            </w:tcBorders>
            <w:shd w:val="clear" w:color="auto" w:fill="auto"/>
            <w:noWrap/>
            <w:vAlign w:val="bottom"/>
          </w:tcPr>
          <w:p w14:paraId="448C29E0" w14:textId="77777777" w:rsidR="002A5DE2" w:rsidRPr="00844321" w:rsidRDefault="002A5DE2" w:rsidP="00730E93">
            <w:pPr>
              <w:spacing w:after="0" w:line="240" w:lineRule="auto"/>
              <w:rPr>
                <w:rFonts w:ascii="Times New Roman" w:eastAsia="Times New Roman" w:hAnsi="Times New Roman" w:cs="Times New Roman"/>
                <w:b/>
                <w:bCs/>
                <w:color w:val="000000"/>
              </w:rPr>
            </w:pPr>
          </w:p>
        </w:tc>
      </w:tr>
      <w:tr w:rsidR="002A5DE2" w:rsidRPr="00844321" w14:paraId="6C5E1A34" w14:textId="77777777" w:rsidTr="00730E93">
        <w:trPr>
          <w:trHeight w:val="303"/>
        </w:trPr>
        <w:tc>
          <w:tcPr>
            <w:tcW w:w="661" w:type="dxa"/>
            <w:vMerge w:val="restart"/>
            <w:tcBorders>
              <w:top w:val="single" w:sz="4" w:space="0" w:color="auto"/>
              <w:left w:val="nil"/>
              <w:bottom w:val="single" w:sz="4" w:space="0" w:color="000000"/>
              <w:right w:val="nil"/>
            </w:tcBorders>
            <w:shd w:val="clear" w:color="auto" w:fill="auto"/>
            <w:noWrap/>
            <w:vAlign w:val="center"/>
            <w:hideMark/>
          </w:tcPr>
          <w:p w14:paraId="44C001A6"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Stage A</w:t>
            </w:r>
          </w:p>
        </w:tc>
        <w:tc>
          <w:tcPr>
            <w:tcW w:w="1273" w:type="dxa"/>
            <w:tcBorders>
              <w:top w:val="single" w:sz="4" w:space="0" w:color="auto"/>
              <w:left w:val="nil"/>
              <w:bottom w:val="nil"/>
              <w:right w:val="nil"/>
            </w:tcBorders>
            <w:shd w:val="clear" w:color="auto" w:fill="auto"/>
            <w:noWrap/>
            <w:vAlign w:val="bottom"/>
            <w:hideMark/>
          </w:tcPr>
          <w:p w14:paraId="150C19B2"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Dec 31 - Jan 01</w:t>
            </w:r>
          </w:p>
        </w:tc>
        <w:tc>
          <w:tcPr>
            <w:tcW w:w="8166" w:type="dxa"/>
            <w:tcBorders>
              <w:top w:val="single" w:sz="4" w:space="0" w:color="auto"/>
              <w:left w:val="nil"/>
              <w:bottom w:val="nil"/>
              <w:right w:val="nil"/>
            </w:tcBorders>
            <w:shd w:val="clear" w:color="auto" w:fill="auto"/>
            <w:noWrap/>
            <w:vAlign w:val="bottom"/>
            <w:hideMark/>
          </w:tcPr>
          <w:p w14:paraId="0C4273B8"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Chinese Authorities alert WHO about pneumonia type cases</w:t>
            </w:r>
          </w:p>
        </w:tc>
      </w:tr>
      <w:tr w:rsidR="002A5DE2" w:rsidRPr="00844321" w14:paraId="445993D6"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71203E37"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7CFFB199"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Jan 11</w:t>
            </w:r>
          </w:p>
        </w:tc>
        <w:tc>
          <w:tcPr>
            <w:tcW w:w="8166" w:type="dxa"/>
            <w:tcBorders>
              <w:top w:val="nil"/>
              <w:left w:val="nil"/>
              <w:bottom w:val="nil"/>
              <w:right w:val="nil"/>
            </w:tcBorders>
            <w:shd w:val="clear" w:color="auto" w:fill="auto"/>
            <w:noWrap/>
            <w:vAlign w:val="bottom"/>
            <w:hideMark/>
          </w:tcPr>
          <w:p w14:paraId="784D30E4"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First death reported</w:t>
            </w:r>
          </w:p>
        </w:tc>
      </w:tr>
      <w:tr w:rsidR="002A5DE2" w:rsidRPr="00844321" w14:paraId="26D7A503"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3B896012"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20375886"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Jan 21</w:t>
            </w:r>
          </w:p>
        </w:tc>
        <w:tc>
          <w:tcPr>
            <w:tcW w:w="8166" w:type="dxa"/>
            <w:tcBorders>
              <w:top w:val="nil"/>
              <w:left w:val="nil"/>
              <w:bottom w:val="nil"/>
              <w:right w:val="nil"/>
            </w:tcBorders>
            <w:shd w:val="clear" w:color="auto" w:fill="auto"/>
            <w:noWrap/>
            <w:vAlign w:val="bottom"/>
            <w:hideMark/>
          </w:tcPr>
          <w:p w14:paraId="064BD92F"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Human to Human transmission of virus confirmed by WHO</w:t>
            </w:r>
          </w:p>
        </w:tc>
      </w:tr>
      <w:tr w:rsidR="002A5DE2" w:rsidRPr="00844321" w14:paraId="0B3584CA"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39E21BC3"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324FE01B"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Jan 25</w:t>
            </w:r>
          </w:p>
        </w:tc>
        <w:tc>
          <w:tcPr>
            <w:tcW w:w="8166" w:type="dxa"/>
            <w:tcBorders>
              <w:top w:val="nil"/>
              <w:left w:val="nil"/>
              <w:bottom w:val="nil"/>
              <w:right w:val="nil"/>
            </w:tcBorders>
            <w:shd w:val="clear" w:color="auto" w:fill="auto"/>
            <w:noWrap/>
            <w:vAlign w:val="bottom"/>
            <w:hideMark/>
          </w:tcPr>
          <w:p w14:paraId="3D554499"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Primary cases in Europe - France confirms three infections</w:t>
            </w:r>
          </w:p>
        </w:tc>
      </w:tr>
      <w:tr w:rsidR="002A5DE2" w:rsidRPr="00844321" w14:paraId="4BAFAEFE"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1F33FFBE"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28E6E501"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Jan 27</w:t>
            </w:r>
          </w:p>
        </w:tc>
        <w:tc>
          <w:tcPr>
            <w:tcW w:w="8166" w:type="dxa"/>
            <w:tcBorders>
              <w:top w:val="nil"/>
              <w:left w:val="nil"/>
              <w:bottom w:val="nil"/>
              <w:right w:val="nil"/>
            </w:tcBorders>
            <w:shd w:val="clear" w:color="auto" w:fill="auto"/>
            <w:noWrap/>
            <w:vAlign w:val="bottom"/>
            <w:hideMark/>
          </w:tcPr>
          <w:p w14:paraId="3CEC2E0E"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Germany confirms its first case</w:t>
            </w:r>
          </w:p>
        </w:tc>
      </w:tr>
      <w:tr w:rsidR="002A5DE2" w:rsidRPr="00844321" w14:paraId="7CB8B813"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2DD9334C"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0091A91B"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Jan 30</w:t>
            </w:r>
          </w:p>
        </w:tc>
        <w:tc>
          <w:tcPr>
            <w:tcW w:w="8166" w:type="dxa"/>
            <w:tcBorders>
              <w:top w:val="nil"/>
              <w:left w:val="nil"/>
              <w:bottom w:val="nil"/>
              <w:right w:val="nil"/>
            </w:tcBorders>
            <w:shd w:val="clear" w:color="auto" w:fill="auto"/>
            <w:noWrap/>
            <w:vAlign w:val="bottom"/>
            <w:hideMark/>
          </w:tcPr>
          <w:p w14:paraId="6F1110A7"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WHO declares the outbreak a public health emergency</w:t>
            </w:r>
          </w:p>
        </w:tc>
      </w:tr>
      <w:tr w:rsidR="002A5DE2" w:rsidRPr="00844321" w14:paraId="4B045837"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557A9B60"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5BA7900F"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Feb 9</w:t>
            </w:r>
          </w:p>
        </w:tc>
        <w:tc>
          <w:tcPr>
            <w:tcW w:w="8166" w:type="dxa"/>
            <w:tcBorders>
              <w:top w:val="nil"/>
              <w:left w:val="nil"/>
              <w:bottom w:val="nil"/>
              <w:right w:val="nil"/>
            </w:tcBorders>
            <w:shd w:val="clear" w:color="auto" w:fill="auto"/>
            <w:noWrap/>
            <w:vAlign w:val="bottom"/>
            <w:hideMark/>
          </w:tcPr>
          <w:p w14:paraId="464E75A7"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 xml:space="preserve">The death toll </w:t>
            </w:r>
            <w:proofErr w:type="gramStart"/>
            <w:r w:rsidRPr="00844321">
              <w:rPr>
                <w:rFonts w:ascii="Times New Roman" w:eastAsia="Times New Roman" w:hAnsi="Times New Roman" w:cs="Times New Roman"/>
                <w:color w:val="000000"/>
              </w:rPr>
              <w:t>surpass</w:t>
            </w:r>
            <w:proofErr w:type="gramEnd"/>
            <w:r w:rsidRPr="00844321">
              <w:rPr>
                <w:rFonts w:ascii="Times New Roman" w:eastAsia="Times New Roman" w:hAnsi="Times New Roman" w:cs="Times New Roman"/>
                <w:color w:val="000000"/>
              </w:rPr>
              <w:t xml:space="preserve"> that of SARS epidemic in 2002-03</w:t>
            </w:r>
          </w:p>
        </w:tc>
      </w:tr>
      <w:tr w:rsidR="002A5DE2" w:rsidRPr="00844321" w14:paraId="0D7AF18B"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00B919F0"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5824CB80"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Feb 11</w:t>
            </w:r>
          </w:p>
        </w:tc>
        <w:tc>
          <w:tcPr>
            <w:tcW w:w="8166" w:type="dxa"/>
            <w:tcBorders>
              <w:top w:val="nil"/>
              <w:left w:val="nil"/>
              <w:bottom w:val="nil"/>
              <w:right w:val="nil"/>
            </w:tcBorders>
            <w:shd w:val="clear" w:color="auto" w:fill="auto"/>
            <w:noWrap/>
            <w:vAlign w:val="bottom"/>
            <w:hideMark/>
          </w:tcPr>
          <w:p w14:paraId="169FDA00" w14:textId="7A7C9DE3"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The official name 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 is assigned to the virus</w:t>
            </w:r>
          </w:p>
        </w:tc>
      </w:tr>
      <w:tr w:rsidR="002A5DE2" w:rsidRPr="00844321" w14:paraId="1B652FB6"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4091162C"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190C6410"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Feb 15</w:t>
            </w:r>
          </w:p>
        </w:tc>
        <w:tc>
          <w:tcPr>
            <w:tcW w:w="8166" w:type="dxa"/>
            <w:tcBorders>
              <w:top w:val="nil"/>
              <w:left w:val="nil"/>
              <w:bottom w:val="nil"/>
              <w:right w:val="nil"/>
            </w:tcBorders>
            <w:shd w:val="clear" w:color="auto" w:fill="auto"/>
            <w:noWrap/>
            <w:vAlign w:val="bottom"/>
            <w:hideMark/>
          </w:tcPr>
          <w:p w14:paraId="0B6777A2"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France reports its first death</w:t>
            </w:r>
          </w:p>
        </w:tc>
      </w:tr>
      <w:tr w:rsidR="002A5DE2" w:rsidRPr="00844321" w14:paraId="79CA8B99" w14:textId="77777777" w:rsidTr="00730E93">
        <w:trPr>
          <w:trHeight w:val="303"/>
        </w:trPr>
        <w:tc>
          <w:tcPr>
            <w:tcW w:w="661" w:type="dxa"/>
            <w:vMerge/>
            <w:tcBorders>
              <w:top w:val="single" w:sz="4" w:space="0" w:color="auto"/>
              <w:left w:val="nil"/>
              <w:bottom w:val="single" w:sz="4" w:space="0" w:color="000000"/>
              <w:right w:val="nil"/>
            </w:tcBorders>
            <w:vAlign w:val="center"/>
            <w:hideMark/>
          </w:tcPr>
          <w:p w14:paraId="13E412E4"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single" w:sz="4" w:space="0" w:color="auto"/>
              <w:right w:val="nil"/>
            </w:tcBorders>
            <w:shd w:val="clear" w:color="auto" w:fill="auto"/>
            <w:noWrap/>
            <w:vAlign w:val="bottom"/>
            <w:hideMark/>
          </w:tcPr>
          <w:p w14:paraId="2FB56A07"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Feb 20</w:t>
            </w:r>
          </w:p>
        </w:tc>
        <w:tc>
          <w:tcPr>
            <w:tcW w:w="8166" w:type="dxa"/>
            <w:tcBorders>
              <w:top w:val="nil"/>
              <w:left w:val="nil"/>
              <w:bottom w:val="single" w:sz="4" w:space="0" w:color="auto"/>
              <w:right w:val="nil"/>
            </w:tcBorders>
            <w:shd w:val="clear" w:color="auto" w:fill="auto"/>
            <w:noWrap/>
            <w:vAlign w:val="bottom"/>
            <w:hideMark/>
          </w:tcPr>
          <w:p w14:paraId="5DB16708"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The virus impacts 26 countries across the globe</w:t>
            </w:r>
          </w:p>
        </w:tc>
      </w:tr>
      <w:tr w:rsidR="002A5DE2" w:rsidRPr="00844321" w14:paraId="0EF3454F" w14:textId="77777777" w:rsidTr="00730E93">
        <w:trPr>
          <w:trHeight w:val="303"/>
        </w:trPr>
        <w:tc>
          <w:tcPr>
            <w:tcW w:w="661" w:type="dxa"/>
            <w:vMerge w:val="restart"/>
            <w:tcBorders>
              <w:top w:val="nil"/>
              <w:left w:val="nil"/>
              <w:bottom w:val="single" w:sz="4" w:space="0" w:color="000000"/>
              <w:right w:val="nil"/>
            </w:tcBorders>
            <w:shd w:val="clear" w:color="auto" w:fill="auto"/>
            <w:noWrap/>
            <w:vAlign w:val="center"/>
            <w:hideMark/>
          </w:tcPr>
          <w:p w14:paraId="6A5A69C9"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Stage B</w:t>
            </w:r>
          </w:p>
        </w:tc>
        <w:tc>
          <w:tcPr>
            <w:tcW w:w="1273" w:type="dxa"/>
            <w:tcBorders>
              <w:top w:val="nil"/>
              <w:left w:val="nil"/>
              <w:bottom w:val="nil"/>
              <w:right w:val="nil"/>
            </w:tcBorders>
            <w:shd w:val="clear" w:color="auto" w:fill="auto"/>
            <w:noWrap/>
            <w:vAlign w:val="bottom"/>
            <w:hideMark/>
          </w:tcPr>
          <w:p w14:paraId="299931F1"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Feb 21</w:t>
            </w:r>
          </w:p>
        </w:tc>
        <w:tc>
          <w:tcPr>
            <w:tcW w:w="8166" w:type="dxa"/>
            <w:tcBorders>
              <w:top w:val="nil"/>
              <w:left w:val="nil"/>
              <w:bottom w:val="nil"/>
              <w:right w:val="nil"/>
            </w:tcBorders>
            <w:shd w:val="clear" w:color="auto" w:fill="auto"/>
            <w:noWrap/>
            <w:vAlign w:val="bottom"/>
            <w:hideMark/>
          </w:tcPr>
          <w:p w14:paraId="751DAFEE" w14:textId="05B3AA5D"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Cases of 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 continue to increase in Italy</w:t>
            </w:r>
          </w:p>
        </w:tc>
      </w:tr>
      <w:tr w:rsidR="002A5DE2" w:rsidRPr="00844321" w14:paraId="545B2C67" w14:textId="77777777" w:rsidTr="00730E93">
        <w:trPr>
          <w:trHeight w:val="303"/>
        </w:trPr>
        <w:tc>
          <w:tcPr>
            <w:tcW w:w="661" w:type="dxa"/>
            <w:vMerge/>
            <w:tcBorders>
              <w:top w:val="nil"/>
              <w:left w:val="nil"/>
              <w:bottom w:val="single" w:sz="4" w:space="0" w:color="000000"/>
              <w:right w:val="nil"/>
            </w:tcBorders>
            <w:vAlign w:val="center"/>
            <w:hideMark/>
          </w:tcPr>
          <w:p w14:paraId="25B6A751"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6B3D8A11"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Feb 28</w:t>
            </w:r>
          </w:p>
        </w:tc>
        <w:tc>
          <w:tcPr>
            <w:tcW w:w="8166" w:type="dxa"/>
            <w:tcBorders>
              <w:top w:val="nil"/>
              <w:left w:val="nil"/>
              <w:bottom w:val="nil"/>
              <w:right w:val="nil"/>
            </w:tcBorders>
            <w:shd w:val="clear" w:color="auto" w:fill="auto"/>
            <w:noWrap/>
            <w:vAlign w:val="bottom"/>
            <w:hideMark/>
          </w:tcPr>
          <w:p w14:paraId="32E69E7F"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 xml:space="preserve">WHO raises the global risk of spread of COVID-19 from “high” to “very </w:t>
            </w:r>
            <w:proofErr w:type="gramStart"/>
            <w:r w:rsidRPr="00844321">
              <w:rPr>
                <w:rFonts w:ascii="Times New Roman" w:eastAsia="Times New Roman" w:hAnsi="Times New Roman" w:cs="Times New Roman"/>
                <w:color w:val="000000"/>
              </w:rPr>
              <w:t>high.</w:t>
            </w:r>
            <w:proofErr w:type="gramEnd"/>
            <w:r w:rsidRPr="00844321">
              <w:rPr>
                <w:rFonts w:ascii="Times New Roman" w:eastAsia="Times New Roman" w:hAnsi="Times New Roman" w:cs="Times New Roman"/>
                <w:color w:val="000000"/>
              </w:rPr>
              <w:t>”</w:t>
            </w:r>
          </w:p>
        </w:tc>
      </w:tr>
      <w:tr w:rsidR="002A5DE2" w:rsidRPr="00844321" w14:paraId="1DDA1003" w14:textId="77777777" w:rsidTr="00730E93">
        <w:trPr>
          <w:trHeight w:val="303"/>
        </w:trPr>
        <w:tc>
          <w:tcPr>
            <w:tcW w:w="661" w:type="dxa"/>
            <w:vMerge/>
            <w:tcBorders>
              <w:top w:val="nil"/>
              <w:left w:val="nil"/>
              <w:bottom w:val="single" w:sz="4" w:space="0" w:color="000000"/>
              <w:right w:val="nil"/>
            </w:tcBorders>
            <w:vAlign w:val="center"/>
            <w:hideMark/>
          </w:tcPr>
          <w:p w14:paraId="48C34315"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05F16A67"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March 7</w:t>
            </w:r>
          </w:p>
        </w:tc>
        <w:tc>
          <w:tcPr>
            <w:tcW w:w="8166" w:type="dxa"/>
            <w:tcBorders>
              <w:top w:val="nil"/>
              <w:left w:val="nil"/>
              <w:bottom w:val="nil"/>
              <w:right w:val="nil"/>
            </w:tcBorders>
            <w:shd w:val="clear" w:color="auto" w:fill="auto"/>
            <w:noWrap/>
            <w:vAlign w:val="bottom"/>
            <w:hideMark/>
          </w:tcPr>
          <w:p w14:paraId="198BA8DE"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The number of COVID-19 cases surpasses 100,000.</w:t>
            </w:r>
          </w:p>
        </w:tc>
      </w:tr>
      <w:tr w:rsidR="002A5DE2" w:rsidRPr="00844321" w14:paraId="468DA30D" w14:textId="77777777" w:rsidTr="00730E93">
        <w:trPr>
          <w:trHeight w:val="303"/>
        </w:trPr>
        <w:tc>
          <w:tcPr>
            <w:tcW w:w="661" w:type="dxa"/>
            <w:vMerge/>
            <w:tcBorders>
              <w:top w:val="nil"/>
              <w:left w:val="nil"/>
              <w:bottom w:val="single" w:sz="4" w:space="0" w:color="000000"/>
              <w:right w:val="nil"/>
            </w:tcBorders>
            <w:vAlign w:val="center"/>
            <w:hideMark/>
          </w:tcPr>
          <w:p w14:paraId="51A501E1"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4245F6D2"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March 9</w:t>
            </w:r>
          </w:p>
        </w:tc>
        <w:tc>
          <w:tcPr>
            <w:tcW w:w="8166" w:type="dxa"/>
            <w:tcBorders>
              <w:top w:val="nil"/>
              <w:left w:val="nil"/>
              <w:bottom w:val="nil"/>
              <w:right w:val="nil"/>
            </w:tcBorders>
            <w:shd w:val="clear" w:color="auto" w:fill="auto"/>
            <w:noWrap/>
            <w:vAlign w:val="bottom"/>
            <w:hideMark/>
          </w:tcPr>
          <w:p w14:paraId="111AA737" w14:textId="53EB1F1E"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 is declared as global pandemic</w:t>
            </w:r>
          </w:p>
        </w:tc>
      </w:tr>
      <w:tr w:rsidR="002A5DE2" w:rsidRPr="00844321" w14:paraId="3C4E25B1" w14:textId="77777777" w:rsidTr="00730E93">
        <w:trPr>
          <w:trHeight w:val="290"/>
        </w:trPr>
        <w:tc>
          <w:tcPr>
            <w:tcW w:w="661" w:type="dxa"/>
            <w:vMerge/>
            <w:tcBorders>
              <w:top w:val="nil"/>
              <w:left w:val="nil"/>
              <w:bottom w:val="single" w:sz="4" w:space="0" w:color="000000"/>
              <w:right w:val="nil"/>
            </w:tcBorders>
            <w:vAlign w:val="center"/>
            <w:hideMark/>
          </w:tcPr>
          <w:p w14:paraId="42B4FACC"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34062C1E"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March 13</w:t>
            </w:r>
          </w:p>
        </w:tc>
        <w:tc>
          <w:tcPr>
            <w:tcW w:w="8166" w:type="dxa"/>
            <w:tcBorders>
              <w:top w:val="nil"/>
              <w:left w:val="nil"/>
              <w:bottom w:val="nil"/>
              <w:right w:val="nil"/>
            </w:tcBorders>
            <w:shd w:val="clear" w:color="auto" w:fill="auto"/>
            <w:noWrap/>
            <w:vAlign w:val="bottom"/>
            <w:hideMark/>
          </w:tcPr>
          <w:p w14:paraId="6BD743BA"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Europe is the new epicenter of disease with more cases and deaths than the rest of the world combined</w:t>
            </w:r>
          </w:p>
        </w:tc>
      </w:tr>
      <w:tr w:rsidR="002A5DE2" w:rsidRPr="00844321" w14:paraId="3C05307E" w14:textId="77777777" w:rsidTr="00730E93">
        <w:trPr>
          <w:trHeight w:val="303"/>
        </w:trPr>
        <w:tc>
          <w:tcPr>
            <w:tcW w:w="661" w:type="dxa"/>
            <w:vMerge/>
            <w:tcBorders>
              <w:top w:val="nil"/>
              <w:left w:val="nil"/>
              <w:bottom w:val="single" w:sz="4" w:space="0" w:color="000000"/>
              <w:right w:val="nil"/>
            </w:tcBorders>
            <w:vAlign w:val="center"/>
            <w:hideMark/>
          </w:tcPr>
          <w:p w14:paraId="1D08B92A"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72B44D22"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March 17</w:t>
            </w:r>
          </w:p>
        </w:tc>
        <w:tc>
          <w:tcPr>
            <w:tcW w:w="8166" w:type="dxa"/>
            <w:tcBorders>
              <w:top w:val="nil"/>
              <w:left w:val="nil"/>
              <w:bottom w:val="nil"/>
              <w:right w:val="nil"/>
            </w:tcBorders>
            <w:shd w:val="clear" w:color="auto" w:fill="auto"/>
            <w:noWrap/>
            <w:vAlign w:val="bottom"/>
            <w:hideMark/>
          </w:tcPr>
          <w:p w14:paraId="09FFF922" w14:textId="2838E798"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France imposes strict lockdown to combat 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w:t>
            </w:r>
          </w:p>
        </w:tc>
      </w:tr>
      <w:tr w:rsidR="002A5DE2" w:rsidRPr="00844321" w14:paraId="7D3C217B" w14:textId="77777777" w:rsidTr="00730E93">
        <w:trPr>
          <w:trHeight w:val="303"/>
        </w:trPr>
        <w:tc>
          <w:tcPr>
            <w:tcW w:w="661" w:type="dxa"/>
            <w:vMerge/>
            <w:tcBorders>
              <w:top w:val="nil"/>
              <w:left w:val="nil"/>
              <w:bottom w:val="single" w:sz="4" w:space="0" w:color="000000"/>
              <w:right w:val="nil"/>
            </w:tcBorders>
            <w:vAlign w:val="center"/>
            <w:hideMark/>
          </w:tcPr>
          <w:p w14:paraId="2E2232E2"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7106CB29"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March 24</w:t>
            </w:r>
          </w:p>
        </w:tc>
        <w:tc>
          <w:tcPr>
            <w:tcW w:w="8166" w:type="dxa"/>
            <w:tcBorders>
              <w:top w:val="nil"/>
              <w:left w:val="nil"/>
              <w:bottom w:val="nil"/>
              <w:right w:val="nil"/>
            </w:tcBorders>
            <w:shd w:val="clear" w:color="auto" w:fill="auto"/>
            <w:noWrap/>
            <w:vAlign w:val="bottom"/>
            <w:hideMark/>
          </w:tcPr>
          <w:p w14:paraId="2CACD38A" w14:textId="57EA302C"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Cases of 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 crosses 400000</w:t>
            </w:r>
          </w:p>
        </w:tc>
      </w:tr>
      <w:tr w:rsidR="002A5DE2" w:rsidRPr="00844321" w14:paraId="7C723C7E" w14:textId="77777777" w:rsidTr="00730E93">
        <w:trPr>
          <w:trHeight w:val="303"/>
        </w:trPr>
        <w:tc>
          <w:tcPr>
            <w:tcW w:w="661" w:type="dxa"/>
            <w:vMerge/>
            <w:tcBorders>
              <w:top w:val="nil"/>
              <w:left w:val="nil"/>
              <w:bottom w:val="single" w:sz="4" w:space="0" w:color="000000"/>
              <w:right w:val="nil"/>
            </w:tcBorders>
            <w:vAlign w:val="center"/>
            <w:hideMark/>
          </w:tcPr>
          <w:p w14:paraId="06DD6F69"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7807CF35"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April 3</w:t>
            </w:r>
          </w:p>
        </w:tc>
        <w:tc>
          <w:tcPr>
            <w:tcW w:w="8166" w:type="dxa"/>
            <w:tcBorders>
              <w:top w:val="nil"/>
              <w:left w:val="nil"/>
              <w:bottom w:val="nil"/>
              <w:right w:val="nil"/>
            </w:tcBorders>
            <w:shd w:val="clear" w:color="auto" w:fill="auto"/>
            <w:noWrap/>
            <w:vAlign w:val="bottom"/>
            <w:hideMark/>
          </w:tcPr>
          <w:p w14:paraId="5EA509B5" w14:textId="5D10816D"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Asian Development Bank estimates economic impact of 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 to be between $2 - $4 trillions</w:t>
            </w:r>
          </w:p>
        </w:tc>
      </w:tr>
      <w:tr w:rsidR="002A5DE2" w:rsidRPr="00844321" w14:paraId="32BDD664" w14:textId="77777777" w:rsidTr="00730E93">
        <w:trPr>
          <w:trHeight w:val="303"/>
        </w:trPr>
        <w:tc>
          <w:tcPr>
            <w:tcW w:w="661" w:type="dxa"/>
            <w:vMerge/>
            <w:tcBorders>
              <w:top w:val="nil"/>
              <w:left w:val="nil"/>
              <w:bottom w:val="single" w:sz="4" w:space="0" w:color="000000"/>
              <w:right w:val="nil"/>
            </w:tcBorders>
            <w:vAlign w:val="center"/>
            <w:hideMark/>
          </w:tcPr>
          <w:p w14:paraId="4587A283"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7F72556D"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April 6</w:t>
            </w:r>
          </w:p>
        </w:tc>
        <w:tc>
          <w:tcPr>
            <w:tcW w:w="8166" w:type="dxa"/>
            <w:tcBorders>
              <w:top w:val="nil"/>
              <w:left w:val="nil"/>
              <w:bottom w:val="nil"/>
              <w:right w:val="nil"/>
            </w:tcBorders>
            <w:shd w:val="clear" w:color="auto" w:fill="auto"/>
            <w:noWrap/>
            <w:vAlign w:val="bottom"/>
            <w:hideMark/>
          </w:tcPr>
          <w:p w14:paraId="60442EA2"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The death toll in Europe crosses 50000</w:t>
            </w:r>
          </w:p>
        </w:tc>
      </w:tr>
      <w:tr w:rsidR="002A5DE2" w:rsidRPr="00844321" w14:paraId="1ACE6EBA" w14:textId="77777777" w:rsidTr="00730E93">
        <w:trPr>
          <w:trHeight w:val="303"/>
        </w:trPr>
        <w:tc>
          <w:tcPr>
            <w:tcW w:w="661" w:type="dxa"/>
            <w:vMerge/>
            <w:tcBorders>
              <w:top w:val="nil"/>
              <w:left w:val="nil"/>
              <w:bottom w:val="single" w:sz="4" w:space="0" w:color="000000"/>
              <w:right w:val="nil"/>
            </w:tcBorders>
            <w:vAlign w:val="center"/>
            <w:hideMark/>
          </w:tcPr>
          <w:p w14:paraId="37D6967E"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3E582349"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 xml:space="preserve">April 22 </w:t>
            </w:r>
          </w:p>
        </w:tc>
        <w:tc>
          <w:tcPr>
            <w:tcW w:w="8166" w:type="dxa"/>
            <w:tcBorders>
              <w:top w:val="nil"/>
              <w:left w:val="nil"/>
              <w:bottom w:val="nil"/>
              <w:right w:val="nil"/>
            </w:tcBorders>
            <w:shd w:val="clear" w:color="auto" w:fill="auto"/>
            <w:noWrap/>
            <w:vAlign w:val="bottom"/>
            <w:hideMark/>
          </w:tcPr>
          <w:p w14:paraId="564E743F"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WHO observes the outbreak in Europe to be stabilizing</w:t>
            </w:r>
          </w:p>
        </w:tc>
      </w:tr>
      <w:tr w:rsidR="002A5DE2" w:rsidRPr="00844321" w14:paraId="35AC6A6C" w14:textId="77777777" w:rsidTr="00730E93">
        <w:trPr>
          <w:trHeight w:val="303"/>
        </w:trPr>
        <w:tc>
          <w:tcPr>
            <w:tcW w:w="661" w:type="dxa"/>
            <w:vMerge/>
            <w:tcBorders>
              <w:top w:val="nil"/>
              <w:left w:val="nil"/>
              <w:bottom w:val="single" w:sz="4" w:space="0" w:color="000000"/>
              <w:right w:val="nil"/>
            </w:tcBorders>
            <w:vAlign w:val="center"/>
            <w:hideMark/>
          </w:tcPr>
          <w:p w14:paraId="7C7AA73D"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086ECEEB"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1</w:t>
            </w:r>
          </w:p>
        </w:tc>
        <w:tc>
          <w:tcPr>
            <w:tcW w:w="8166" w:type="dxa"/>
            <w:tcBorders>
              <w:top w:val="nil"/>
              <w:left w:val="nil"/>
              <w:bottom w:val="nil"/>
              <w:right w:val="nil"/>
            </w:tcBorders>
            <w:shd w:val="clear" w:color="auto" w:fill="auto"/>
            <w:noWrap/>
            <w:vAlign w:val="bottom"/>
            <w:hideMark/>
          </w:tcPr>
          <w:p w14:paraId="1E04B54F" w14:textId="4A27795E"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European Investment Bank and WHO announces partnership for the C</w:t>
            </w:r>
            <w:r>
              <w:rPr>
                <w:rFonts w:ascii="Times New Roman" w:eastAsia="Times New Roman" w:hAnsi="Times New Roman" w:cs="Times New Roman"/>
                <w:color w:val="000000"/>
              </w:rPr>
              <w:t>OVID</w:t>
            </w:r>
            <w:r w:rsidRPr="00844321">
              <w:rPr>
                <w:rFonts w:ascii="Times New Roman" w:eastAsia="Times New Roman" w:hAnsi="Times New Roman" w:cs="Times New Roman"/>
                <w:color w:val="000000"/>
              </w:rPr>
              <w:t>-19 response</w:t>
            </w:r>
          </w:p>
        </w:tc>
      </w:tr>
      <w:tr w:rsidR="002A5DE2" w:rsidRPr="00844321" w14:paraId="445B9A4F" w14:textId="77777777" w:rsidTr="00730E93">
        <w:trPr>
          <w:trHeight w:val="303"/>
        </w:trPr>
        <w:tc>
          <w:tcPr>
            <w:tcW w:w="661" w:type="dxa"/>
            <w:vMerge/>
            <w:tcBorders>
              <w:top w:val="nil"/>
              <w:left w:val="nil"/>
              <w:bottom w:val="single" w:sz="4" w:space="0" w:color="000000"/>
              <w:right w:val="nil"/>
            </w:tcBorders>
            <w:vAlign w:val="center"/>
            <w:hideMark/>
          </w:tcPr>
          <w:p w14:paraId="327B7917"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45E1489D"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4</w:t>
            </w:r>
          </w:p>
        </w:tc>
        <w:tc>
          <w:tcPr>
            <w:tcW w:w="8166" w:type="dxa"/>
            <w:tcBorders>
              <w:top w:val="nil"/>
              <w:left w:val="nil"/>
              <w:bottom w:val="nil"/>
              <w:right w:val="nil"/>
            </w:tcBorders>
            <w:shd w:val="clear" w:color="auto" w:fill="auto"/>
            <w:noWrap/>
            <w:vAlign w:val="bottom"/>
            <w:hideMark/>
          </w:tcPr>
          <w:p w14:paraId="6EAB8008"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Italy begin to lift lockdown</w:t>
            </w:r>
          </w:p>
        </w:tc>
      </w:tr>
      <w:tr w:rsidR="002A5DE2" w:rsidRPr="00844321" w14:paraId="53CB556B" w14:textId="77777777" w:rsidTr="00730E93">
        <w:trPr>
          <w:trHeight w:val="303"/>
        </w:trPr>
        <w:tc>
          <w:tcPr>
            <w:tcW w:w="661" w:type="dxa"/>
            <w:vMerge/>
            <w:tcBorders>
              <w:top w:val="nil"/>
              <w:left w:val="nil"/>
              <w:bottom w:val="single" w:sz="4" w:space="0" w:color="000000"/>
              <w:right w:val="nil"/>
            </w:tcBorders>
            <w:vAlign w:val="center"/>
            <w:hideMark/>
          </w:tcPr>
          <w:p w14:paraId="093B95A7"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single" w:sz="4" w:space="0" w:color="auto"/>
              <w:right w:val="nil"/>
            </w:tcBorders>
            <w:shd w:val="clear" w:color="auto" w:fill="auto"/>
            <w:noWrap/>
            <w:vAlign w:val="bottom"/>
            <w:hideMark/>
          </w:tcPr>
          <w:p w14:paraId="4DE8F00C"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7th</w:t>
            </w:r>
          </w:p>
        </w:tc>
        <w:tc>
          <w:tcPr>
            <w:tcW w:w="8166" w:type="dxa"/>
            <w:tcBorders>
              <w:top w:val="nil"/>
              <w:left w:val="nil"/>
              <w:bottom w:val="single" w:sz="4" w:space="0" w:color="auto"/>
              <w:right w:val="nil"/>
            </w:tcBorders>
            <w:shd w:val="clear" w:color="auto" w:fill="auto"/>
            <w:noWrap/>
            <w:vAlign w:val="bottom"/>
            <w:hideMark/>
          </w:tcPr>
          <w:p w14:paraId="7C4DE807"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The UN increases its global response plan to $7 Billion</w:t>
            </w:r>
          </w:p>
        </w:tc>
      </w:tr>
      <w:tr w:rsidR="002A5DE2" w:rsidRPr="00844321" w14:paraId="7374E9F3" w14:textId="77777777" w:rsidTr="00730E93">
        <w:trPr>
          <w:trHeight w:val="303"/>
        </w:trPr>
        <w:tc>
          <w:tcPr>
            <w:tcW w:w="661" w:type="dxa"/>
            <w:vMerge w:val="restart"/>
            <w:tcBorders>
              <w:top w:val="nil"/>
              <w:left w:val="nil"/>
              <w:bottom w:val="single" w:sz="4" w:space="0" w:color="000000"/>
              <w:right w:val="nil"/>
            </w:tcBorders>
            <w:shd w:val="clear" w:color="auto" w:fill="auto"/>
            <w:noWrap/>
            <w:vAlign w:val="center"/>
            <w:hideMark/>
          </w:tcPr>
          <w:p w14:paraId="3A98D3E5"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Stage C</w:t>
            </w:r>
          </w:p>
        </w:tc>
        <w:tc>
          <w:tcPr>
            <w:tcW w:w="1273" w:type="dxa"/>
            <w:tcBorders>
              <w:top w:val="nil"/>
              <w:left w:val="nil"/>
              <w:bottom w:val="nil"/>
              <w:right w:val="nil"/>
            </w:tcBorders>
            <w:shd w:val="clear" w:color="auto" w:fill="auto"/>
            <w:noWrap/>
            <w:vAlign w:val="bottom"/>
            <w:hideMark/>
          </w:tcPr>
          <w:p w14:paraId="1405D2DC"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8</w:t>
            </w:r>
          </w:p>
        </w:tc>
        <w:tc>
          <w:tcPr>
            <w:tcW w:w="8166" w:type="dxa"/>
            <w:tcBorders>
              <w:top w:val="nil"/>
              <w:left w:val="nil"/>
              <w:bottom w:val="nil"/>
              <w:right w:val="nil"/>
            </w:tcBorders>
            <w:shd w:val="clear" w:color="auto" w:fill="auto"/>
            <w:noWrap/>
            <w:vAlign w:val="bottom"/>
            <w:hideMark/>
          </w:tcPr>
          <w:p w14:paraId="3E76ED28"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EU agrees on emergency financial support to euro area countries</w:t>
            </w:r>
          </w:p>
        </w:tc>
      </w:tr>
      <w:tr w:rsidR="002A5DE2" w:rsidRPr="00844321" w14:paraId="115DB69F" w14:textId="77777777" w:rsidTr="00730E93">
        <w:trPr>
          <w:trHeight w:val="303"/>
        </w:trPr>
        <w:tc>
          <w:tcPr>
            <w:tcW w:w="661" w:type="dxa"/>
            <w:vMerge/>
            <w:tcBorders>
              <w:top w:val="nil"/>
              <w:left w:val="nil"/>
              <w:bottom w:val="single" w:sz="4" w:space="0" w:color="000000"/>
              <w:right w:val="nil"/>
            </w:tcBorders>
            <w:vAlign w:val="center"/>
            <w:hideMark/>
          </w:tcPr>
          <w:p w14:paraId="674007FC"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1E7F405E"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11</w:t>
            </w:r>
          </w:p>
        </w:tc>
        <w:tc>
          <w:tcPr>
            <w:tcW w:w="8166" w:type="dxa"/>
            <w:tcBorders>
              <w:top w:val="nil"/>
              <w:left w:val="nil"/>
              <w:bottom w:val="nil"/>
              <w:right w:val="nil"/>
            </w:tcBorders>
            <w:shd w:val="clear" w:color="auto" w:fill="auto"/>
            <w:noWrap/>
            <w:vAlign w:val="bottom"/>
            <w:hideMark/>
          </w:tcPr>
          <w:p w14:paraId="12D50641"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France lifts lockdown to ease certain restrictions</w:t>
            </w:r>
          </w:p>
        </w:tc>
      </w:tr>
      <w:tr w:rsidR="002A5DE2" w:rsidRPr="00844321" w14:paraId="306D9B7E" w14:textId="77777777" w:rsidTr="00730E93">
        <w:trPr>
          <w:trHeight w:val="303"/>
        </w:trPr>
        <w:tc>
          <w:tcPr>
            <w:tcW w:w="661" w:type="dxa"/>
            <w:vMerge/>
            <w:tcBorders>
              <w:top w:val="nil"/>
              <w:left w:val="nil"/>
              <w:bottom w:val="single" w:sz="4" w:space="0" w:color="000000"/>
              <w:right w:val="nil"/>
            </w:tcBorders>
            <w:vAlign w:val="center"/>
            <w:hideMark/>
          </w:tcPr>
          <w:p w14:paraId="53339E6B"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7E515299"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15</w:t>
            </w:r>
          </w:p>
        </w:tc>
        <w:tc>
          <w:tcPr>
            <w:tcW w:w="8166" w:type="dxa"/>
            <w:tcBorders>
              <w:top w:val="nil"/>
              <w:left w:val="nil"/>
              <w:bottom w:val="nil"/>
              <w:right w:val="nil"/>
            </w:tcBorders>
            <w:shd w:val="clear" w:color="auto" w:fill="auto"/>
            <w:noWrap/>
            <w:vAlign w:val="bottom"/>
            <w:hideMark/>
          </w:tcPr>
          <w:p w14:paraId="10DAAEB9"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EU discuss priorities for recovery</w:t>
            </w:r>
          </w:p>
        </w:tc>
      </w:tr>
      <w:tr w:rsidR="002A5DE2" w:rsidRPr="00844321" w14:paraId="5F5CA504" w14:textId="77777777" w:rsidTr="00730E93">
        <w:trPr>
          <w:trHeight w:val="303"/>
        </w:trPr>
        <w:tc>
          <w:tcPr>
            <w:tcW w:w="661" w:type="dxa"/>
            <w:vMerge/>
            <w:tcBorders>
              <w:top w:val="nil"/>
              <w:left w:val="nil"/>
              <w:bottom w:val="single" w:sz="4" w:space="0" w:color="000000"/>
              <w:right w:val="nil"/>
            </w:tcBorders>
            <w:vAlign w:val="center"/>
            <w:hideMark/>
          </w:tcPr>
          <w:p w14:paraId="77F2F1A9"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3E2DC5C6"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19</w:t>
            </w:r>
          </w:p>
        </w:tc>
        <w:tc>
          <w:tcPr>
            <w:tcW w:w="8166" w:type="dxa"/>
            <w:tcBorders>
              <w:top w:val="nil"/>
              <w:left w:val="nil"/>
              <w:bottom w:val="nil"/>
              <w:right w:val="nil"/>
            </w:tcBorders>
            <w:shd w:val="clear" w:color="auto" w:fill="auto"/>
            <w:noWrap/>
            <w:vAlign w:val="bottom"/>
            <w:hideMark/>
          </w:tcPr>
          <w:p w14:paraId="7D090DA0"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EU adopts scheme to support workers</w:t>
            </w:r>
          </w:p>
        </w:tc>
      </w:tr>
      <w:tr w:rsidR="002A5DE2" w:rsidRPr="00844321" w14:paraId="49A8E12F" w14:textId="77777777" w:rsidTr="00730E93">
        <w:trPr>
          <w:trHeight w:val="303"/>
        </w:trPr>
        <w:tc>
          <w:tcPr>
            <w:tcW w:w="661" w:type="dxa"/>
            <w:vMerge/>
            <w:tcBorders>
              <w:top w:val="nil"/>
              <w:left w:val="nil"/>
              <w:bottom w:val="single" w:sz="4" w:space="0" w:color="000000"/>
              <w:right w:val="nil"/>
            </w:tcBorders>
            <w:vAlign w:val="center"/>
            <w:hideMark/>
          </w:tcPr>
          <w:p w14:paraId="003367E5"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4F255CB6"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21</w:t>
            </w:r>
          </w:p>
        </w:tc>
        <w:tc>
          <w:tcPr>
            <w:tcW w:w="8166" w:type="dxa"/>
            <w:tcBorders>
              <w:top w:val="nil"/>
              <w:left w:val="nil"/>
              <w:bottom w:val="nil"/>
              <w:right w:val="nil"/>
            </w:tcBorders>
            <w:shd w:val="clear" w:color="auto" w:fill="auto"/>
            <w:noWrap/>
            <w:vAlign w:val="bottom"/>
            <w:hideMark/>
          </w:tcPr>
          <w:p w14:paraId="67628583"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Total number of cases crosses 5 million globally</w:t>
            </w:r>
          </w:p>
        </w:tc>
      </w:tr>
      <w:tr w:rsidR="002A5DE2" w:rsidRPr="00844321" w14:paraId="6E323F74" w14:textId="77777777" w:rsidTr="00730E93">
        <w:trPr>
          <w:trHeight w:val="303"/>
        </w:trPr>
        <w:tc>
          <w:tcPr>
            <w:tcW w:w="661" w:type="dxa"/>
            <w:vMerge/>
            <w:tcBorders>
              <w:top w:val="nil"/>
              <w:left w:val="nil"/>
              <w:bottom w:val="single" w:sz="4" w:space="0" w:color="000000"/>
              <w:right w:val="nil"/>
            </w:tcBorders>
            <w:vAlign w:val="center"/>
            <w:hideMark/>
          </w:tcPr>
          <w:p w14:paraId="6ED3A5CF"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bottom"/>
            <w:hideMark/>
          </w:tcPr>
          <w:p w14:paraId="488CD8F4"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May 25</w:t>
            </w:r>
          </w:p>
        </w:tc>
        <w:tc>
          <w:tcPr>
            <w:tcW w:w="8166" w:type="dxa"/>
            <w:tcBorders>
              <w:top w:val="nil"/>
              <w:left w:val="nil"/>
              <w:bottom w:val="nil"/>
              <w:right w:val="nil"/>
            </w:tcBorders>
            <w:shd w:val="clear" w:color="auto" w:fill="auto"/>
            <w:noWrap/>
            <w:vAlign w:val="bottom"/>
            <w:hideMark/>
          </w:tcPr>
          <w:p w14:paraId="5E6BF210"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Relief measures were adopted for aviation and railways in EU</w:t>
            </w:r>
          </w:p>
        </w:tc>
      </w:tr>
      <w:tr w:rsidR="002A5DE2" w:rsidRPr="00844321" w14:paraId="6D85BB4E" w14:textId="77777777" w:rsidTr="00730E93">
        <w:trPr>
          <w:trHeight w:val="303"/>
        </w:trPr>
        <w:tc>
          <w:tcPr>
            <w:tcW w:w="661" w:type="dxa"/>
            <w:vMerge/>
            <w:tcBorders>
              <w:top w:val="nil"/>
              <w:left w:val="nil"/>
              <w:bottom w:val="single" w:sz="4" w:space="0" w:color="000000"/>
              <w:right w:val="nil"/>
            </w:tcBorders>
            <w:vAlign w:val="center"/>
            <w:hideMark/>
          </w:tcPr>
          <w:p w14:paraId="18B937B5" w14:textId="77777777" w:rsidR="002A5DE2" w:rsidRPr="00844321" w:rsidRDefault="002A5DE2" w:rsidP="00730E93">
            <w:pPr>
              <w:spacing w:after="0" w:line="240" w:lineRule="auto"/>
              <w:rPr>
                <w:rFonts w:ascii="Times New Roman" w:eastAsia="Times New Roman" w:hAnsi="Times New Roman" w:cs="Times New Roman"/>
                <w:color w:val="000000"/>
              </w:rPr>
            </w:pPr>
          </w:p>
        </w:tc>
        <w:tc>
          <w:tcPr>
            <w:tcW w:w="1273" w:type="dxa"/>
            <w:tcBorders>
              <w:top w:val="nil"/>
              <w:left w:val="nil"/>
              <w:bottom w:val="single" w:sz="4" w:space="0" w:color="auto"/>
              <w:right w:val="nil"/>
            </w:tcBorders>
            <w:shd w:val="clear" w:color="auto" w:fill="auto"/>
            <w:noWrap/>
            <w:vAlign w:val="bottom"/>
            <w:hideMark/>
          </w:tcPr>
          <w:p w14:paraId="149AEA41" w14:textId="77777777" w:rsidR="002A5DE2" w:rsidRPr="00844321" w:rsidRDefault="002A5DE2" w:rsidP="00730E93">
            <w:pPr>
              <w:spacing w:after="0" w:line="240" w:lineRule="auto"/>
              <w:jc w:val="center"/>
              <w:rPr>
                <w:rFonts w:ascii="Times New Roman" w:eastAsia="Times New Roman" w:hAnsi="Times New Roman" w:cs="Times New Roman"/>
                <w:color w:val="000000"/>
              </w:rPr>
            </w:pPr>
            <w:r w:rsidRPr="00844321">
              <w:rPr>
                <w:rFonts w:ascii="Times New Roman" w:eastAsia="Times New Roman" w:hAnsi="Times New Roman" w:cs="Times New Roman"/>
                <w:color w:val="000000"/>
              </w:rPr>
              <w:t>June 2</w:t>
            </w:r>
          </w:p>
        </w:tc>
        <w:tc>
          <w:tcPr>
            <w:tcW w:w="8166" w:type="dxa"/>
            <w:tcBorders>
              <w:top w:val="nil"/>
              <w:left w:val="nil"/>
              <w:bottom w:val="single" w:sz="4" w:space="0" w:color="auto"/>
              <w:right w:val="nil"/>
            </w:tcBorders>
            <w:shd w:val="clear" w:color="auto" w:fill="auto"/>
            <w:noWrap/>
            <w:vAlign w:val="bottom"/>
            <w:hideMark/>
          </w:tcPr>
          <w:p w14:paraId="16198EBE" w14:textId="77777777" w:rsidR="002A5DE2" w:rsidRPr="00844321" w:rsidRDefault="002A5DE2" w:rsidP="00730E93">
            <w:pPr>
              <w:spacing w:after="0" w:line="240" w:lineRule="auto"/>
              <w:rPr>
                <w:rFonts w:ascii="Times New Roman" w:eastAsia="Times New Roman" w:hAnsi="Times New Roman" w:cs="Times New Roman"/>
                <w:color w:val="000000"/>
              </w:rPr>
            </w:pPr>
            <w:r w:rsidRPr="00844321">
              <w:rPr>
                <w:rFonts w:ascii="Times New Roman" w:eastAsia="Times New Roman" w:hAnsi="Times New Roman" w:cs="Times New Roman"/>
                <w:color w:val="000000"/>
              </w:rPr>
              <w:t>France enters second phase of post lockdown,</w:t>
            </w:r>
          </w:p>
        </w:tc>
      </w:tr>
    </w:tbl>
    <w:p w14:paraId="2B48C222" w14:textId="77777777" w:rsidR="002A5DE2" w:rsidRDefault="002A5DE2" w:rsidP="002A5DE2">
      <w:pPr>
        <w:jc w:val="center"/>
        <w:rPr>
          <w:rFonts w:ascii="Times New Roman" w:hAnsi="Times New Roman" w:cs="Times New Roman"/>
          <w:b/>
          <w:bCs/>
          <w:sz w:val="24"/>
          <w:szCs w:val="24"/>
        </w:rPr>
      </w:pPr>
    </w:p>
    <w:p w14:paraId="09F6BB76" w14:textId="77777777" w:rsidR="002A5DE2" w:rsidRDefault="002A5DE2" w:rsidP="002A5DE2">
      <w:pPr>
        <w:jc w:val="center"/>
        <w:rPr>
          <w:rFonts w:ascii="Times New Roman" w:hAnsi="Times New Roman" w:cs="Times New Roman"/>
          <w:b/>
          <w:bCs/>
          <w:sz w:val="24"/>
          <w:szCs w:val="24"/>
        </w:rPr>
      </w:pPr>
    </w:p>
    <w:p w14:paraId="5B63BF83" w14:textId="77777777" w:rsidR="002A5DE2" w:rsidRDefault="002A5DE2" w:rsidP="002A5DE2">
      <w:pPr>
        <w:jc w:val="center"/>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 xml:space="preserve">Table 4:  Human Capital Efficiency Year End 2019 </w:t>
      </w:r>
    </w:p>
    <w:tbl>
      <w:tblPr>
        <w:tblW w:w="8682" w:type="dxa"/>
        <w:tblLook w:val="04A0" w:firstRow="1" w:lastRow="0" w:firstColumn="1" w:lastColumn="0" w:noHBand="0" w:noVBand="1"/>
      </w:tblPr>
      <w:tblGrid>
        <w:gridCol w:w="1663"/>
        <w:gridCol w:w="1299"/>
        <w:gridCol w:w="1144"/>
        <w:gridCol w:w="1144"/>
        <w:gridCol w:w="1144"/>
        <w:gridCol w:w="1144"/>
        <w:gridCol w:w="1144"/>
      </w:tblGrid>
      <w:tr w:rsidR="002A5DE2" w:rsidRPr="006C6F2A" w14:paraId="2FA24692" w14:textId="77777777" w:rsidTr="00730E93">
        <w:trPr>
          <w:trHeight w:val="288"/>
        </w:trPr>
        <w:tc>
          <w:tcPr>
            <w:tcW w:w="8682" w:type="dxa"/>
            <w:gridSpan w:val="7"/>
            <w:tcBorders>
              <w:top w:val="nil"/>
              <w:left w:val="nil"/>
              <w:bottom w:val="nil"/>
              <w:right w:val="nil"/>
            </w:tcBorders>
            <w:shd w:val="clear" w:color="auto" w:fill="auto"/>
            <w:noWrap/>
            <w:vAlign w:val="bottom"/>
            <w:hideMark/>
          </w:tcPr>
          <w:p w14:paraId="1CB6E600" w14:textId="77777777" w:rsidR="002A5DE2" w:rsidRPr="006C6F2A" w:rsidRDefault="002A5DE2" w:rsidP="00730E93">
            <w:pPr>
              <w:spacing w:after="0" w:line="240" w:lineRule="auto"/>
              <w:rPr>
                <w:rFonts w:ascii="Times New Roman" w:eastAsia="Times New Roman" w:hAnsi="Times New Roman" w:cs="Times New Roman"/>
                <w:b/>
                <w:bCs/>
                <w:color w:val="000000"/>
              </w:rPr>
            </w:pPr>
          </w:p>
        </w:tc>
      </w:tr>
      <w:tr w:rsidR="002A5DE2" w:rsidRPr="006C6F2A" w14:paraId="03189934" w14:textId="77777777" w:rsidTr="00730E93">
        <w:trPr>
          <w:trHeight w:val="288"/>
        </w:trPr>
        <w:tc>
          <w:tcPr>
            <w:tcW w:w="1663" w:type="dxa"/>
            <w:tcBorders>
              <w:top w:val="single" w:sz="4" w:space="0" w:color="auto"/>
              <w:left w:val="nil"/>
              <w:bottom w:val="single" w:sz="4" w:space="0" w:color="auto"/>
              <w:right w:val="nil"/>
            </w:tcBorders>
            <w:shd w:val="clear" w:color="auto" w:fill="auto"/>
            <w:noWrap/>
            <w:vAlign w:val="bottom"/>
            <w:hideMark/>
          </w:tcPr>
          <w:p w14:paraId="7F7A2E32"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 </w:t>
            </w:r>
          </w:p>
        </w:tc>
        <w:tc>
          <w:tcPr>
            <w:tcW w:w="1299" w:type="dxa"/>
            <w:tcBorders>
              <w:top w:val="single" w:sz="4" w:space="0" w:color="auto"/>
              <w:left w:val="nil"/>
              <w:bottom w:val="single" w:sz="4" w:space="0" w:color="auto"/>
              <w:right w:val="nil"/>
            </w:tcBorders>
            <w:shd w:val="clear" w:color="auto" w:fill="auto"/>
            <w:noWrap/>
            <w:vAlign w:val="bottom"/>
            <w:hideMark/>
          </w:tcPr>
          <w:p w14:paraId="0D4B283B"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 </w:t>
            </w:r>
          </w:p>
        </w:tc>
        <w:tc>
          <w:tcPr>
            <w:tcW w:w="1144" w:type="dxa"/>
            <w:tcBorders>
              <w:top w:val="single" w:sz="4" w:space="0" w:color="auto"/>
              <w:left w:val="nil"/>
              <w:bottom w:val="single" w:sz="4" w:space="0" w:color="auto"/>
              <w:right w:val="nil"/>
            </w:tcBorders>
            <w:shd w:val="clear" w:color="auto" w:fill="auto"/>
            <w:noWrap/>
            <w:vAlign w:val="bottom"/>
            <w:hideMark/>
          </w:tcPr>
          <w:p w14:paraId="175320D9" w14:textId="77777777" w:rsidR="002A5DE2" w:rsidRPr="006C6F2A" w:rsidRDefault="002A5DE2" w:rsidP="00730E93">
            <w:pPr>
              <w:spacing w:after="0" w:line="240" w:lineRule="auto"/>
              <w:jc w:val="center"/>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Low</w:t>
            </w:r>
          </w:p>
        </w:tc>
        <w:tc>
          <w:tcPr>
            <w:tcW w:w="1144" w:type="dxa"/>
            <w:tcBorders>
              <w:top w:val="single" w:sz="4" w:space="0" w:color="auto"/>
              <w:left w:val="nil"/>
              <w:bottom w:val="single" w:sz="4" w:space="0" w:color="auto"/>
              <w:right w:val="nil"/>
            </w:tcBorders>
            <w:shd w:val="clear" w:color="auto" w:fill="auto"/>
            <w:noWrap/>
            <w:vAlign w:val="bottom"/>
            <w:hideMark/>
          </w:tcPr>
          <w:p w14:paraId="6B1FEE42" w14:textId="77777777" w:rsidR="002A5DE2" w:rsidRPr="006C6F2A" w:rsidRDefault="002A5DE2" w:rsidP="00730E93">
            <w:pPr>
              <w:spacing w:after="0" w:line="240" w:lineRule="auto"/>
              <w:jc w:val="center"/>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2</w:t>
            </w:r>
          </w:p>
        </w:tc>
        <w:tc>
          <w:tcPr>
            <w:tcW w:w="1144" w:type="dxa"/>
            <w:tcBorders>
              <w:top w:val="single" w:sz="4" w:space="0" w:color="auto"/>
              <w:left w:val="nil"/>
              <w:bottom w:val="single" w:sz="4" w:space="0" w:color="auto"/>
              <w:right w:val="nil"/>
            </w:tcBorders>
            <w:shd w:val="clear" w:color="auto" w:fill="auto"/>
            <w:noWrap/>
            <w:vAlign w:val="bottom"/>
            <w:hideMark/>
          </w:tcPr>
          <w:p w14:paraId="43045A7B" w14:textId="77777777" w:rsidR="002A5DE2" w:rsidRPr="006C6F2A" w:rsidRDefault="002A5DE2" w:rsidP="00730E93">
            <w:pPr>
              <w:spacing w:after="0" w:line="240" w:lineRule="auto"/>
              <w:jc w:val="center"/>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3</w:t>
            </w:r>
          </w:p>
        </w:tc>
        <w:tc>
          <w:tcPr>
            <w:tcW w:w="1144" w:type="dxa"/>
            <w:tcBorders>
              <w:top w:val="single" w:sz="4" w:space="0" w:color="auto"/>
              <w:left w:val="nil"/>
              <w:bottom w:val="single" w:sz="4" w:space="0" w:color="auto"/>
              <w:right w:val="nil"/>
            </w:tcBorders>
            <w:shd w:val="clear" w:color="auto" w:fill="auto"/>
            <w:noWrap/>
            <w:vAlign w:val="bottom"/>
            <w:hideMark/>
          </w:tcPr>
          <w:p w14:paraId="190FE7F1" w14:textId="77777777" w:rsidR="002A5DE2" w:rsidRPr="006C6F2A" w:rsidRDefault="002A5DE2" w:rsidP="00730E93">
            <w:pPr>
              <w:spacing w:after="0" w:line="240" w:lineRule="auto"/>
              <w:jc w:val="center"/>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4</w:t>
            </w:r>
          </w:p>
        </w:tc>
        <w:tc>
          <w:tcPr>
            <w:tcW w:w="1144" w:type="dxa"/>
            <w:tcBorders>
              <w:top w:val="single" w:sz="4" w:space="0" w:color="auto"/>
              <w:left w:val="nil"/>
              <w:bottom w:val="single" w:sz="4" w:space="0" w:color="auto"/>
              <w:right w:val="nil"/>
            </w:tcBorders>
            <w:shd w:val="clear" w:color="auto" w:fill="auto"/>
            <w:noWrap/>
            <w:vAlign w:val="bottom"/>
            <w:hideMark/>
          </w:tcPr>
          <w:p w14:paraId="1241D86D" w14:textId="77777777" w:rsidR="002A5DE2" w:rsidRPr="006C6F2A" w:rsidRDefault="002A5DE2" w:rsidP="00730E93">
            <w:pPr>
              <w:spacing w:after="0" w:line="240" w:lineRule="auto"/>
              <w:jc w:val="center"/>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High</w:t>
            </w:r>
          </w:p>
        </w:tc>
      </w:tr>
      <w:tr w:rsidR="002A5DE2" w:rsidRPr="006C6F2A" w14:paraId="3172408E" w14:textId="77777777" w:rsidTr="00730E93">
        <w:trPr>
          <w:trHeight w:val="288"/>
        </w:trPr>
        <w:tc>
          <w:tcPr>
            <w:tcW w:w="1663" w:type="dxa"/>
            <w:vMerge w:val="restart"/>
            <w:tcBorders>
              <w:top w:val="single" w:sz="4" w:space="0" w:color="auto"/>
              <w:left w:val="nil"/>
              <w:bottom w:val="nil"/>
              <w:right w:val="nil"/>
            </w:tcBorders>
            <w:shd w:val="clear" w:color="auto" w:fill="auto"/>
            <w:noWrap/>
            <w:vAlign w:val="center"/>
            <w:hideMark/>
          </w:tcPr>
          <w:p w14:paraId="61BA1DEE" w14:textId="77777777" w:rsidR="002A5DE2" w:rsidRPr="006C6F2A" w:rsidRDefault="002A5DE2" w:rsidP="00730E93">
            <w:pPr>
              <w:spacing w:after="0" w:line="240" w:lineRule="auto"/>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Overall</w:t>
            </w:r>
          </w:p>
        </w:tc>
        <w:tc>
          <w:tcPr>
            <w:tcW w:w="1299" w:type="dxa"/>
            <w:tcBorders>
              <w:top w:val="nil"/>
              <w:left w:val="nil"/>
              <w:bottom w:val="nil"/>
              <w:right w:val="nil"/>
            </w:tcBorders>
            <w:shd w:val="clear" w:color="auto" w:fill="auto"/>
            <w:noWrap/>
            <w:vAlign w:val="bottom"/>
            <w:hideMark/>
          </w:tcPr>
          <w:p w14:paraId="3C1B1C97"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Mean</w:t>
            </w:r>
          </w:p>
        </w:tc>
        <w:tc>
          <w:tcPr>
            <w:tcW w:w="1144" w:type="dxa"/>
            <w:tcBorders>
              <w:top w:val="nil"/>
              <w:left w:val="nil"/>
              <w:bottom w:val="nil"/>
              <w:right w:val="nil"/>
            </w:tcBorders>
            <w:shd w:val="clear" w:color="auto" w:fill="auto"/>
            <w:noWrap/>
            <w:vAlign w:val="bottom"/>
            <w:hideMark/>
          </w:tcPr>
          <w:p w14:paraId="77249143"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0,8615</w:t>
            </w:r>
          </w:p>
        </w:tc>
        <w:tc>
          <w:tcPr>
            <w:tcW w:w="1144" w:type="dxa"/>
            <w:tcBorders>
              <w:top w:val="nil"/>
              <w:left w:val="nil"/>
              <w:bottom w:val="nil"/>
              <w:right w:val="nil"/>
            </w:tcBorders>
            <w:shd w:val="clear" w:color="auto" w:fill="auto"/>
            <w:noWrap/>
            <w:vAlign w:val="bottom"/>
            <w:hideMark/>
          </w:tcPr>
          <w:p w14:paraId="50E5B153"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1,5044</w:t>
            </w:r>
          </w:p>
        </w:tc>
        <w:tc>
          <w:tcPr>
            <w:tcW w:w="1144" w:type="dxa"/>
            <w:tcBorders>
              <w:top w:val="nil"/>
              <w:left w:val="nil"/>
              <w:bottom w:val="nil"/>
              <w:right w:val="nil"/>
            </w:tcBorders>
            <w:shd w:val="clear" w:color="auto" w:fill="auto"/>
            <w:noWrap/>
            <w:vAlign w:val="bottom"/>
            <w:hideMark/>
          </w:tcPr>
          <w:p w14:paraId="16D08BE8"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2,7120</w:t>
            </w:r>
          </w:p>
        </w:tc>
        <w:tc>
          <w:tcPr>
            <w:tcW w:w="1144" w:type="dxa"/>
            <w:tcBorders>
              <w:top w:val="nil"/>
              <w:left w:val="nil"/>
              <w:bottom w:val="nil"/>
              <w:right w:val="nil"/>
            </w:tcBorders>
            <w:shd w:val="clear" w:color="auto" w:fill="auto"/>
            <w:noWrap/>
            <w:vAlign w:val="bottom"/>
            <w:hideMark/>
          </w:tcPr>
          <w:p w14:paraId="5993F316"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4,7970</w:t>
            </w:r>
          </w:p>
        </w:tc>
        <w:tc>
          <w:tcPr>
            <w:tcW w:w="1144" w:type="dxa"/>
            <w:tcBorders>
              <w:top w:val="nil"/>
              <w:left w:val="nil"/>
              <w:bottom w:val="nil"/>
              <w:right w:val="nil"/>
            </w:tcBorders>
            <w:shd w:val="clear" w:color="auto" w:fill="auto"/>
            <w:noWrap/>
            <w:vAlign w:val="bottom"/>
            <w:hideMark/>
          </w:tcPr>
          <w:p w14:paraId="1BE1687D"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6,2926</w:t>
            </w:r>
          </w:p>
        </w:tc>
      </w:tr>
      <w:tr w:rsidR="002A5DE2" w:rsidRPr="006C6F2A" w14:paraId="448D5458" w14:textId="77777777" w:rsidTr="00730E93">
        <w:trPr>
          <w:trHeight w:val="288"/>
        </w:trPr>
        <w:tc>
          <w:tcPr>
            <w:tcW w:w="1663" w:type="dxa"/>
            <w:vMerge/>
            <w:tcBorders>
              <w:top w:val="single" w:sz="4" w:space="0" w:color="auto"/>
              <w:left w:val="nil"/>
              <w:bottom w:val="nil"/>
              <w:right w:val="nil"/>
            </w:tcBorders>
            <w:vAlign w:val="center"/>
            <w:hideMark/>
          </w:tcPr>
          <w:p w14:paraId="07234375" w14:textId="77777777" w:rsidR="002A5DE2" w:rsidRPr="006C6F2A" w:rsidRDefault="002A5DE2" w:rsidP="00730E93">
            <w:pPr>
              <w:spacing w:after="0" w:line="240" w:lineRule="auto"/>
              <w:rPr>
                <w:rFonts w:ascii="Times New Roman" w:eastAsia="Times New Roman" w:hAnsi="Times New Roman" w:cs="Times New Roman"/>
                <w:b/>
                <w:bCs/>
                <w:color w:val="000000"/>
              </w:rPr>
            </w:pPr>
          </w:p>
        </w:tc>
        <w:tc>
          <w:tcPr>
            <w:tcW w:w="1299" w:type="dxa"/>
            <w:tcBorders>
              <w:top w:val="nil"/>
              <w:left w:val="nil"/>
              <w:bottom w:val="nil"/>
              <w:right w:val="nil"/>
            </w:tcBorders>
            <w:shd w:val="clear" w:color="auto" w:fill="auto"/>
            <w:noWrap/>
            <w:vAlign w:val="bottom"/>
            <w:hideMark/>
          </w:tcPr>
          <w:p w14:paraId="6EDF97FF" w14:textId="77777777" w:rsidR="002A5DE2" w:rsidRPr="006C6F2A" w:rsidRDefault="002A5DE2" w:rsidP="00730E93">
            <w:pPr>
              <w:spacing w:after="0" w:line="240" w:lineRule="auto"/>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Std Dev</w:t>
            </w:r>
          </w:p>
        </w:tc>
        <w:tc>
          <w:tcPr>
            <w:tcW w:w="1144" w:type="dxa"/>
            <w:tcBorders>
              <w:top w:val="nil"/>
              <w:left w:val="nil"/>
              <w:bottom w:val="nil"/>
              <w:right w:val="nil"/>
            </w:tcBorders>
            <w:shd w:val="clear" w:color="auto" w:fill="auto"/>
            <w:noWrap/>
            <w:vAlign w:val="bottom"/>
            <w:hideMark/>
          </w:tcPr>
          <w:p w14:paraId="12D71032"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0,0329</w:t>
            </w:r>
          </w:p>
        </w:tc>
        <w:tc>
          <w:tcPr>
            <w:tcW w:w="1144" w:type="dxa"/>
            <w:tcBorders>
              <w:top w:val="nil"/>
              <w:left w:val="nil"/>
              <w:bottom w:val="nil"/>
              <w:right w:val="nil"/>
            </w:tcBorders>
            <w:shd w:val="clear" w:color="auto" w:fill="auto"/>
            <w:noWrap/>
            <w:vAlign w:val="bottom"/>
            <w:hideMark/>
          </w:tcPr>
          <w:p w14:paraId="5F94F9B2"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0,2093</w:t>
            </w:r>
          </w:p>
        </w:tc>
        <w:tc>
          <w:tcPr>
            <w:tcW w:w="1144" w:type="dxa"/>
            <w:tcBorders>
              <w:top w:val="nil"/>
              <w:left w:val="nil"/>
              <w:bottom w:val="nil"/>
              <w:right w:val="nil"/>
            </w:tcBorders>
            <w:shd w:val="clear" w:color="auto" w:fill="auto"/>
            <w:noWrap/>
            <w:vAlign w:val="bottom"/>
            <w:hideMark/>
          </w:tcPr>
          <w:p w14:paraId="713C0FF5"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0,3530</w:t>
            </w:r>
          </w:p>
        </w:tc>
        <w:tc>
          <w:tcPr>
            <w:tcW w:w="1144" w:type="dxa"/>
            <w:tcBorders>
              <w:top w:val="nil"/>
              <w:left w:val="nil"/>
              <w:bottom w:val="nil"/>
              <w:right w:val="nil"/>
            </w:tcBorders>
            <w:shd w:val="clear" w:color="auto" w:fill="auto"/>
            <w:noWrap/>
            <w:vAlign w:val="bottom"/>
            <w:hideMark/>
          </w:tcPr>
          <w:p w14:paraId="283D123B"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0,4229</w:t>
            </w:r>
          </w:p>
        </w:tc>
        <w:tc>
          <w:tcPr>
            <w:tcW w:w="1144" w:type="dxa"/>
            <w:tcBorders>
              <w:top w:val="nil"/>
              <w:left w:val="nil"/>
              <w:bottom w:val="nil"/>
              <w:right w:val="nil"/>
            </w:tcBorders>
            <w:shd w:val="clear" w:color="auto" w:fill="auto"/>
            <w:noWrap/>
            <w:vAlign w:val="bottom"/>
            <w:hideMark/>
          </w:tcPr>
          <w:p w14:paraId="49F12E62"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0,6746</w:t>
            </w:r>
          </w:p>
        </w:tc>
      </w:tr>
      <w:tr w:rsidR="002A5DE2" w:rsidRPr="006C6F2A" w14:paraId="02EE7417" w14:textId="77777777" w:rsidTr="00730E93">
        <w:trPr>
          <w:trHeight w:val="288"/>
        </w:trPr>
        <w:tc>
          <w:tcPr>
            <w:tcW w:w="1663" w:type="dxa"/>
            <w:vMerge w:val="restart"/>
            <w:tcBorders>
              <w:top w:val="nil"/>
              <w:left w:val="nil"/>
              <w:bottom w:val="nil"/>
              <w:right w:val="nil"/>
            </w:tcBorders>
            <w:shd w:val="clear" w:color="auto" w:fill="auto"/>
            <w:noWrap/>
            <w:vAlign w:val="center"/>
            <w:hideMark/>
          </w:tcPr>
          <w:p w14:paraId="7CE99FA3" w14:textId="77777777" w:rsidR="002A5DE2" w:rsidRPr="006C6F2A" w:rsidRDefault="002A5DE2" w:rsidP="00730E93">
            <w:pPr>
              <w:spacing w:after="0" w:line="240" w:lineRule="auto"/>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Spain</w:t>
            </w:r>
          </w:p>
        </w:tc>
        <w:tc>
          <w:tcPr>
            <w:tcW w:w="1299" w:type="dxa"/>
            <w:tcBorders>
              <w:top w:val="nil"/>
              <w:left w:val="nil"/>
              <w:bottom w:val="nil"/>
              <w:right w:val="nil"/>
            </w:tcBorders>
            <w:shd w:val="clear" w:color="auto" w:fill="auto"/>
            <w:noWrap/>
            <w:vAlign w:val="bottom"/>
            <w:hideMark/>
          </w:tcPr>
          <w:p w14:paraId="299E3118"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Mean</w:t>
            </w:r>
          </w:p>
        </w:tc>
        <w:tc>
          <w:tcPr>
            <w:tcW w:w="1144" w:type="dxa"/>
            <w:tcBorders>
              <w:top w:val="nil"/>
              <w:left w:val="nil"/>
              <w:bottom w:val="nil"/>
              <w:right w:val="nil"/>
            </w:tcBorders>
            <w:shd w:val="clear" w:color="auto" w:fill="auto"/>
            <w:noWrap/>
            <w:vAlign w:val="bottom"/>
            <w:hideMark/>
          </w:tcPr>
          <w:p w14:paraId="34CE2961"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0,6853</w:t>
            </w:r>
          </w:p>
        </w:tc>
        <w:tc>
          <w:tcPr>
            <w:tcW w:w="1144" w:type="dxa"/>
            <w:tcBorders>
              <w:top w:val="nil"/>
              <w:left w:val="nil"/>
              <w:bottom w:val="nil"/>
              <w:right w:val="nil"/>
            </w:tcBorders>
            <w:shd w:val="clear" w:color="auto" w:fill="auto"/>
            <w:noWrap/>
            <w:vAlign w:val="bottom"/>
            <w:hideMark/>
          </w:tcPr>
          <w:p w14:paraId="641648E6"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1,2423</w:t>
            </w:r>
          </w:p>
        </w:tc>
        <w:tc>
          <w:tcPr>
            <w:tcW w:w="1144" w:type="dxa"/>
            <w:tcBorders>
              <w:top w:val="nil"/>
              <w:left w:val="nil"/>
              <w:bottom w:val="nil"/>
              <w:right w:val="nil"/>
            </w:tcBorders>
            <w:shd w:val="clear" w:color="auto" w:fill="auto"/>
            <w:noWrap/>
            <w:vAlign w:val="bottom"/>
            <w:hideMark/>
          </w:tcPr>
          <w:p w14:paraId="45F79784"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2,5708</w:t>
            </w:r>
          </w:p>
        </w:tc>
        <w:tc>
          <w:tcPr>
            <w:tcW w:w="1144" w:type="dxa"/>
            <w:tcBorders>
              <w:top w:val="nil"/>
              <w:left w:val="nil"/>
              <w:bottom w:val="nil"/>
              <w:right w:val="nil"/>
            </w:tcBorders>
            <w:shd w:val="clear" w:color="auto" w:fill="auto"/>
            <w:noWrap/>
            <w:vAlign w:val="bottom"/>
            <w:hideMark/>
          </w:tcPr>
          <w:p w14:paraId="467C7560"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4,9810</w:t>
            </w:r>
          </w:p>
        </w:tc>
        <w:tc>
          <w:tcPr>
            <w:tcW w:w="1144" w:type="dxa"/>
            <w:tcBorders>
              <w:top w:val="nil"/>
              <w:left w:val="nil"/>
              <w:bottom w:val="nil"/>
              <w:right w:val="nil"/>
            </w:tcBorders>
            <w:shd w:val="clear" w:color="auto" w:fill="auto"/>
            <w:noWrap/>
            <w:vAlign w:val="bottom"/>
            <w:hideMark/>
          </w:tcPr>
          <w:p w14:paraId="2FAFB639"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6,1528</w:t>
            </w:r>
          </w:p>
        </w:tc>
      </w:tr>
      <w:tr w:rsidR="002A5DE2" w:rsidRPr="006C6F2A" w14:paraId="4F75FBC4" w14:textId="77777777" w:rsidTr="00730E93">
        <w:trPr>
          <w:trHeight w:val="288"/>
        </w:trPr>
        <w:tc>
          <w:tcPr>
            <w:tcW w:w="1663" w:type="dxa"/>
            <w:vMerge/>
            <w:tcBorders>
              <w:top w:val="nil"/>
              <w:left w:val="nil"/>
              <w:bottom w:val="nil"/>
              <w:right w:val="nil"/>
            </w:tcBorders>
            <w:vAlign w:val="center"/>
            <w:hideMark/>
          </w:tcPr>
          <w:p w14:paraId="10E83F7F" w14:textId="77777777" w:rsidR="002A5DE2" w:rsidRPr="006C6F2A" w:rsidRDefault="002A5DE2" w:rsidP="00730E93">
            <w:pPr>
              <w:spacing w:after="0" w:line="240" w:lineRule="auto"/>
              <w:rPr>
                <w:rFonts w:ascii="Times New Roman" w:eastAsia="Times New Roman" w:hAnsi="Times New Roman" w:cs="Times New Roman"/>
                <w:b/>
                <w:bCs/>
                <w:color w:val="000000"/>
              </w:rPr>
            </w:pPr>
          </w:p>
        </w:tc>
        <w:tc>
          <w:tcPr>
            <w:tcW w:w="1299" w:type="dxa"/>
            <w:tcBorders>
              <w:top w:val="nil"/>
              <w:left w:val="nil"/>
              <w:bottom w:val="nil"/>
              <w:right w:val="nil"/>
            </w:tcBorders>
            <w:shd w:val="clear" w:color="auto" w:fill="auto"/>
            <w:noWrap/>
            <w:vAlign w:val="bottom"/>
            <w:hideMark/>
          </w:tcPr>
          <w:p w14:paraId="38D893E7" w14:textId="77777777" w:rsidR="002A5DE2" w:rsidRPr="006C6F2A" w:rsidRDefault="002A5DE2" w:rsidP="00730E93">
            <w:pPr>
              <w:spacing w:after="0" w:line="240" w:lineRule="auto"/>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Std Dev</w:t>
            </w:r>
          </w:p>
        </w:tc>
        <w:tc>
          <w:tcPr>
            <w:tcW w:w="1144" w:type="dxa"/>
            <w:tcBorders>
              <w:top w:val="nil"/>
              <w:left w:val="nil"/>
              <w:bottom w:val="nil"/>
              <w:right w:val="nil"/>
            </w:tcBorders>
            <w:shd w:val="clear" w:color="auto" w:fill="auto"/>
            <w:noWrap/>
            <w:vAlign w:val="bottom"/>
            <w:hideMark/>
          </w:tcPr>
          <w:p w14:paraId="67AEC834"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0,0317</w:t>
            </w:r>
          </w:p>
        </w:tc>
        <w:tc>
          <w:tcPr>
            <w:tcW w:w="1144" w:type="dxa"/>
            <w:tcBorders>
              <w:top w:val="nil"/>
              <w:left w:val="nil"/>
              <w:bottom w:val="nil"/>
              <w:right w:val="nil"/>
            </w:tcBorders>
            <w:shd w:val="clear" w:color="auto" w:fill="auto"/>
            <w:noWrap/>
            <w:vAlign w:val="bottom"/>
            <w:hideMark/>
          </w:tcPr>
          <w:p w14:paraId="37435114"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0,2334</w:t>
            </w:r>
          </w:p>
        </w:tc>
        <w:tc>
          <w:tcPr>
            <w:tcW w:w="1144" w:type="dxa"/>
            <w:tcBorders>
              <w:top w:val="nil"/>
              <w:left w:val="nil"/>
              <w:bottom w:val="nil"/>
              <w:right w:val="nil"/>
            </w:tcBorders>
            <w:shd w:val="clear" w:color="auto" w:fill="auto"/>
            <w:noWrap/>
            <w:vAlign w:val="bottom"/>
            <w:hideMark/>
          </w:tcPr>
          <w:p w14:paraId="2C8A2C1B"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0,2591</w:t>
            </w:r>
          </w:p>
        </w:tc>
        <w:tc>
          <w:tcPr>
            <w:tcW w:w="1144" w:type="dxa"/>
            <w:tcBorders>
              <w:top w:val="nil"/>
              <w:left w:val="nil"/>
              <w:bottom w:val="nil"/>
              <w:right w:val="nil"/>
            </w:tcBorders>
            <w:shd w:val="clear" w:color="auto" w:fill="auto"/>
            <w:noWrap/>
            <w:vAlign w:val="bottom"/>
            <w:hideMark/>
          </w:tcPr>
          <w:p w14:paraId="4BCAD85B"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0,4984</w:t>
            </w:r>
          </w:p>
        </w:tc>
        <w:tc>
          <w:tcPr>
            <w:tcW w:w="1144" w:type="dxa"/>
            <w:tcBorders>
              <w:top w:val="nil"/>
              <w:left w:val="nil"/>
              <w:bottom w:val="nil"/>
              <w:right w:val="nil"/>
            </w:tcBorders>
            <w:shd w:val="clear" w:color="auto" w:fill="auto"/>
            <w:noWrap/>
            <w:vAlign w:val="bottom"/>
            <w:hideMark/>
          </w:tcPr>
          <w:p w14:paraId="3FDAFF03"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0,5202</w:t>
            </w:r>
          </w:p>
        </w:tc>
      </w:tr>
      <w:tr w:rsidR="002A5DE2" w:rsidRPr="006C6F2A" w14:paraId="7DBA3078" w14:textId="77777777" w:rsidTr="00730E93">
        <w:trPr>
          <w:trHeight w:val="288"/>
        </w:trPr>
        <w:tc>
          <w:tcPr>
            <w:tcW w:w="1663" w:type="dxa"/>
            <w:vMerge w:val="restart"/>
            <w:tcBorders>
              <w:top w:val="nil"/>
              <w:left w:val="nil"/>
              <w:bottom w:val="nil"/>
              <w:right w:val="nil"/>
            </w:tcBorders>
            <w:shd w:val="clear" w:color="auto" w:fill="auto"/>
            <w:noWrap/>
            <w:vAlign w:val="center"/>
            <w:hideMark/>
          </w:tcPr>
          <w:p w14:paraId="7C487AB2" w14:textId="77777777" w:rsidR="002A5DE2" w:rsidRPr="006C6F2A" w:rsidRDefault="002A5DE2" w:rsidP="00730E93">
            <w:pPr>
              <w:spacing w:after="0" w:line="240" w:lineRule="auto"/>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Italy</w:t>
            </w:r>
          </w:p>
        </w:tc>
        <w:tc>
          <w:tcPr>
            <w:tcW w:w="1299" w:type="dxa"/>
            <w:tcBorders>
              <w:top w:val="nil"/>
              <w:left w:val="nil"/>
              <w:bottom w:val="nil"/>
              <w:right w:val="nil"/>
            </w:tcBorders>
            <w:shd w:val="clear" w:color="auto" w:fill="auto"/>
            <w:noWrap/>
            <w:vAlign w:val="bottom"/>
            <w:hideMark/>
          </w:tcPr>
          <w:p w14:paraId="0397FF78"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Mean</w:t>
            </w:r>
          </w:p>
        </w:tc>
        <w:tc>
          <w:tcPr>
            <w:tcW w:w="1144" w:type="dxa"/>
            <w:tcBorders>
              <w:top w:val="nil"/>
              <w:left w:val="nil"/>
              <w:bottom w:val="nil"/>
              <w:right w:val="nil"/>
            </w:tcBorders>
            <w:shd w:val="clear" w:color="auto" w:fill="auto"/>
            <w:noWrap/>
            <w:vAlign w:val="bottom"/>
            <w:hideMark/>
          </w:tcPr>
          <w:p w14:paraId="79305B5C"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0,8484</w:t>
            </w:r>
          </w:p>
        </w:tc>
        <w:tc>
          <w:tcPr>
            <w:tcW w:w="1144" w:type="dxa"/>
            <w:tcBorders>
              <w:top w:val="nil"/>
              <w:left w:val="nil"/>
              <w:bottom w:val="nil"/>
              <w:right w:val="nil"/>
            </w:tcBorders>
            <w:shd w:val="clear" w:color="auto" w:fill="auto"/>
            <w:noWrap/>
            <w:vAlign w:val="bottom"/>
            <w:hideMark/>
          </w:tcPr>
          <w:p w14:paraId="4F2DBE2D"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1,1827</w:t>
            </w:r>
          </w:p>
        </w:tc>
        <w:tc>
          <w:tcPr>
            <w:tcW w:w="1144" w:type="dxa"/>
            <w:tcBorders>
              <w:top w:val="nil"/>
              <w:left w:val="nil"/>
              <w:bottom w:val="nil"/>
              <w:right w:val="nil"/>
            </w:tcBorders>
            <w:shd w:val="clear" w:color="auto" w:fill="auto"/>
            <w:noWrap/>
            <w:vAlign w:val="bottom"/>
            <w:hideMark/>
          </w:tcPr>
          <w:p w14:paraId="28E5919A"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2,5064</w:t>
            </w:r>
          </w:p>
        </w:tc>
        <w:tc>
          <w:tcPr>
            <w:tcW w:w="1144" w:type="dxa"/>
            <w:tcBorders>
              <w:top w:val="nil"/>
              <w:left w:val="nil"/>
              <w:bottom w:val="nil"/>
              <w:right w:val="nil"/>
            </w:tcBorders>
            <w:shd w:val="clear" w:color="auto" w:fill="auto"/>
            <w:noWrap/>
            <w:vAlign w:val="bottom"/>
            <w:hideMark/>
          </w:tcPr>
          <w:p w14:paraId="0A0F7ED7"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3,5690</w:t>
            </w:r>
          </w:p>
        </w:tc>
        <w:tc>
          <w:tcPr>
            <w:tcW w:w="1144" w:type="dxa"/>
            <w:tcBorders>
              <w:top w:val="nil"/>
              <w:left w:val="nil"/>
              <w:bottom w:val="nil"/>
              <w:right w:val="nil"/>
            </w:tcBorders>
            <w:shd w:val="clear" w:color="auto" w:fill="auto"/>
            <w:noWrap/>
            <w:vAlign w:val="bottom"/>
            <w:hideMark/>
          </w:tcPr>
          <w:p w14:paraId="0F81B2EF"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6,4507</w:t>
            </w:r>
          </w:p>
        </w:tc>
      </w:tr>
      <w:tr w:rsidR="002A5DE2" w:rsidRPr="006C6F2A" w14:paraId="08F8E60D" w14:textId="77777777" w:rsidTr="00730E93">
        <w:trPr>
          <w:trHeight w:val="288"/>
        </w:trPr>
        <w:tc>
          <w:tcPr>
            <w:tcW w:w="1663" w:type="dxa"/>
            <w:vMerge/>
            <w:tcBorders>
              <w:top w:val="nil"/>
              <w:left w:val="nil"/>
              <w:bottom w:val="nil"/>
              <w:right w:val="nil"/>
            </w:tcBorders>
            <w:vAlign w:val="center"/>
            <w:hideMark/>
          </w:tcPr>
          <w:p w14:paraId="6AE26DE4" w14:textId="77777777" w:rsidR="002A5DE2" w:rsidRPr="006C6F2A" w:rsidRDefault="002A5DE2" w:rsidP="00730E93">
            <w:pPr>
              <w:spacing w:after="0" w:line="240" w:lineRule="auto"/>
              <w:rPr>
                <w:rFonts w:ascii="Times New Roman" w:eastAsia="Times New Roman" w:hAnsi="Times New Roman" w:cs="Times New Roman"/>
                <w:b/>
                <w:bCs/>
                <w:color w:val="000000"/>
              </w:rPr>
            </w:pPr>
          </w:p>
        </w:tc>
        <w:tc>
          <w:tcPr>
            <w:tcW w:w="1299" w:type="dxa"/>
            <w:tcBorders>
              <w:top w:val="nil"/>
              <w:left w:val="nil"/>
              <w:bottom w:val="nil"/>
              <w:right w:val="nil"/>
            </w:tcBorders>
            <w:shd w:val="clear" w:color="auto" w:fill="auto"/>
            <w:noWrap/>
            <w:vAlign w:val="bottom"/>
            <w:hideMark/>
          </w:tcPr>
          <w:p w14:paraId="0B9EBF3D" w14:textId="77777777" w:rsidR="002A5DE2" w:rsidRPr="006C6F2A" w:rsidRDefault="002A5DE2" w:rsidP="00730E93">
            <w:pPr>
              <w:spacing w:after="0" w:line="240" w:lineRule="auto"/>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Std Dev</w:t>
            </w:r>
          </w:p>
        </w:tc>
        <w:tc>
          <w:tcPr>
            <w:tcW w:w="1144" w:type="dxa"/>
            <w:tcBorders>
              <w:top w:val="nil"/>
              <w:left w:val="nil"/>
              <w:bottom w:val="nil"/>
              <w:right w:val="nil"/>
            </w:tcBorders>
            <w:shd w:val="clear" w:color="auto" w:fill="auto"/>
            <w:noWrap/>
            <w:vAlign w:val="bottom"/>
            <w:hideMark/>
          </w:tcPr>
          <w:p w14:paraId="641B40EE"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0,0175</w:t>
            </w:r>
          </w:p>
        </w:tc>
        <w:tc>
          <w:tcPr>
            <w:tcW w:w="1144" w:type="dxa"/>
            <w:tcBorders>
              <w:top w:val="nil"/>
              <w:left w:val="nil"/>
              <w:bottom w:val="nil"/>
              <w:right w:val="nil"/>
            </w:tcBorders>
            <w:shd w:val="clear" w:color="auto" w:fill="auto"/>
            <w:noWrap/>
            <w:vAlign w:val="bottom"/>
            <w:hideMark/>
          </w:tcPr>
          <w:p w14:paraId="0496C607"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0,2417</w:t>
            </w:r>
          </w:p>
        </w:tc>
        <w:tc>
          <w:tcPr>
            <w:tcW w:w="1144" w:type="dxa"/>
            <w:tcBorders>
              <w:top w:val="nil"/>
              <w:left w:val="nil"/>
              <w:bottom w:val="nil"/>
              <w:right w:val="nil"/>
            </w:tcBorders>
            <w:shd w:val="clear" w:color="auto" w:fill="auto"/>
            <w:noWrap/>
            <w:vAlign w:val="bottom"/>
            <w:hideMark/>
          </w:tcPr>
          <w:p w14:paraId="2737ACAC"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0,4081</w:t>
            </w:r>
          </w:p>
        </w:tc>
        <w:tc>
          <w:tcPr>
            <w:tcW w:w="1144" w:type="dxa"/>
            <w:tcBorders>
              <w:top w:val="nil"/>
              <w:left w:val="nil"/>
              <w:bottom w:val="nil"/>
              <w:right w:val="nil"/>
            </w:tcBorders>
            <w:shd w:val="clear" w:color="auto" w:fill="auto"/>
            <w:noWrap/>
            <w:vAlign w:val="bottom"/>
            <w:hideMark/>
          </w:tcPr>
          <w:p w14:paraId="1DE809D2"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0,4145</w:t>
            </w:r>
          </w:p>
        </w:tc>
        <w:tc>
          <w:tcPr>
            <w:tcW w:w="1144" w:type="dxa"/>
            <w:tcBorders>
              <w:top w:val="nil"/>
              <w:left w:val="nil"/>
              <w:bottom w:val="nil"/>
              <w:right w:val="nil"/>
            </w:tcBorders>
            <w:shd w:val="clear" w:color="auto" w:fill="auto"/>
            <w:noWrap/>
            <w:vAlign w:val="bottom"/>
            <w:hideMark/>
          </w:tcPr>
          <w:p w14:paraId="69CD6DC4"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0,5126</w:t>
            </w:r>
          </w:p>
        </w:tc>
      </w:tr>
      <w:tr w:rsidR="002A5DE2" w:rsidRPr="006C6F2A" w14:paraId="4E153195" w14:textId="77777777" w:rsidTr="00730E93">
        <w:trPr>
          <w:trHeight w:val="288"/>
        </w:trPr>
        <w:tc>
          <w:tcPr>
            <w:tcW w:w="1663" w:type="dxa"/>
            <w:vMerge w:val="restart"/>
            <w:tcBorders>
              <w:top w:val="nil"/>
              <w:left w:val="nil"/>
              <w:bottom w:val="nil"/>
              <w:right w:val="nil"/>
            </w:tcBorders>
            <w:shd w:val="clear" w:color="auto" w:fill="auto"/>
            <w:noWrap/>
            <w:vAlign w:val="center"/>
            <w:hideMark/>
          </w:tcPr>
          <w:p w14:paraId="4F9E3F23" w14:textId="77777777" w:rsidR="002A5DE2" w:rsidRPr="006C6F2A" w:rsidRDefault="002A5DE2" w:rsidP="00730E93">
            <w:pPr>
              <w:spacing w:after="0" w:line="240" w:lineRule="auto"/>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France</w:t>
            </w:r>
          </w:p>
        </w:tc>
        <w:tc>
          <w:tcPr>
            <w:tcW w:w="1299" w:type="dxa"/>
            <w:tcBorders>
              <w:top w:val="nil"/>
              <w:left w:val="nil"/>
              <w:bottom w:val="nil"/>
              <w:right w:val="nil"/>
            </w:tcBorders>
            <w:shd w:val="clear" w:color="auto" w:fill="auto"/>
            <w:noWrap/>
            <w:vAlign w:val="bottom"/>
            <w:hideMark/>
          </w:tcPr>
          <w:p w14:paraId="04E90752"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Mean</w:t>
            </w:r>
          </w:p>
        </w:tc>
        <w:tc>
          <w:tcPr>
            <w:tcW w:w="1144" w:type="dxa"/>
            <w:tcBorders>
              <w:top w:val="nil"/>
              <w:left w:val="nil"/>
              <w:bottom w:val="nil"/>
              <w:right w:val="nil"/>
            </w:tcBorders>
            <w:shd w:val="clear" w:color="auto" w:fill="auto"/>
            <w:noWrap/>
            <w:vAlign w:val="bottom"/>
            <w:hideMark/>
          </w:tcPr>
          <w:p w14:paraId="7ACA93F3"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0,9331</w:t>
            </w:r>
          </w:p>
        </w:tc>
        <w:tc>
          <w:tcPr>
            <w:tcW w:w="1144" w:type="dxa"/>
            <w:tcBorders>
              <w:top w:val="nil"/>
              <w:left w:val="nil"/>
              <w:bottom w:val="nil"/>
              <w:right w:val="nil"/>
            </w:tcBorders>
            <w:shd w:val="clear" w:color="auto" w:fill="auto"/>
            <w:noWrap/>
            <w:vAlign w:val="bottom"/>
            <w:hideMark/>
          </w:tcPr>
          <w:p w14:paraId="489AD633"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1,8127</w:t>
            </w:r>
          </w:p>
        </w:tc>
        <w:tc>
          <w:tcPr>
            <w:tcW w:w="1144" w:type="dxa"/>
            <w:tcBorders>
              <w:top w:val="nil"/>
              <w:left w:val="nil"/>
              <w:bottom w:val="nil"/>
              <w:right w:val="nil"/>
            </w:tcBorders>
            <w:shd w:val="clear" w:color="auto" w:fill="auto"/>
            <w:noWrap/>
            <w:vAlign w:val="bottom"/>
            <w:hideMark/>
          </w:tcPr>
          <w:p w14:paraId="7718455B"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2,8932</w:t>
            </w:r>
          </w:p>
        </w:tc>
        <w:tc>
          <w:tcPr>
            <w:tcW w:w="1144" w:type="dxa"/>
            <w:tcBorders>
              <w:top w:val="nil"/>
              <w:left w:val="nil"/>
              <w:bottom w:val="nil"/>
              <w:right w:val="nil"/>
            </w:tcBorders>
            <w:shd w:val="clear" w:color="auto" w:fill="auto"/>
            <w:noWrap/>
            <w:vAlign w:val="bottom"/>
            <w:hideMark/>
          </w:tcPr>
          <w:p w14:paraId="7929A44C"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5,3750</w:t>
            </w:r>
          </w:p>
        </w:tc>
        <w:tc>
          <w:tcPr>
            <w:tcW w:w="1144" w:type="dxa"/>
            <w:tcBorders>
              <w:top w:val="nil"/>
              <w:left w:val="nil"/>
              <w:bottom w:val="nil"/>
              <w:right w:val="nil"/>
            </w:tcBorders>
            <w:shd w:val="clear" w:color="auto" w:fill="auto"/>
            <w:noWrap/>
            <w:vAlign w:val="bottom"/>
            <w:hideMark/>
          </w:tcPr>
          <w:p w14:paraId="4D90FBB5"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6,4206</w:t>
            </w:r>
          </w:p>
        </w:tc>
      </w:tr>
      <w:tr w:rsidR="002A5DE2" w:rsidRPr="006C6F2A" w14:paraId="53FD43C2" w14:textId="77777777" w:rsidTr="00730E93">
        <w:trPr>
          <w:trHeight w:val="288"/>
        </w:trPr>
        <w:tc>
          <w:tcPr>
            <w:tcW w:w="1663" w:type="dxa"/>
            <w:vMerge/>
            <w:tcBorders>
              <w:top w:val="nil"/>
              <w:left w:val="nil"/>
              <w:bottom w:val="nil"/>
              <w:right w:val="nil"/>
            </w:tcBorders>
            <w:vAlign w:val="center"/>
            <w:hideMark/>
          </w:tcPr>
          <w:p w14:paraId="1E1C1160" w14:textId="77777777" w:rsidR="002A5DE2" w:rsidRPr="006C6F2A" w:rsidRDefault="002A5DE2" w:rsidP="00730E93">
            <w:pPr>
              <w:spacing w:after="0" w:line="240" w:lineRule="auto"/>
              <w:rPr>
                <w:rFonts w:ascii="Times New Roman" w:eastAsia="Times New Roman" w:hAnsi="Times New Roman" w:cs="Times New Roman"/>
                <w:b/>
                <w:bCs/>
                <w:color w:val="000000"/>
              </w:rPr>
            </w:pPr>
          </w:p>
        </w:tc>
        <w:tc>
          <w:tcPr>
            <w:tcW w:w="1299" w:type="dxa"/>
            <w:tcBorders>
              <w:top w:val="nil"/>
              <w:left w:val="nil"/>
              <w:bottom w:val="nil"/>
              <w:right w:val="nil"/>
            </w:tcBorders>
            <w:shd w:val="clear" w:color="auto" w:fill="auto"/>
            <w:noWrap/>
            <w:vAlign w:val="bottom"/>
            <w:hideMark/>
          </w:tcPr>
          <w:p w14:paraId="35D34719" w14:textId="77777777" w:rsidR="002A5DE2" w:rsidRPr="006C6F2A" w:rsidRDefault="002A5DE2" w:rsidP="00730E93">
            <w:pPr>
              <w:spacing w:after="0" w:line="240" w:lineRule="auto"/>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Std Dev</w:t>
            </w:r>
          </w:p>
        </w:tc>
        <w:tc>
          <w:tcPr>
            <w:tcW w:w="1144" w:type="dxa"/>
            <w:tcBorders>
              <w:top w:val="nil"/>
              <w:left w:val="nil"/>
              <w:bottom w:val="nil"/>
              <w:right w:val="nil"/>
            </w:tcBorders>
            <w:shd w:val="clear" w:color="auto" w:fill="auto"/>
            <w:noWrap/>
            <w:vAlign w:val="bottom"/>
            <w:hideMark/>
          </w:tcPr>
          <w:p w14:paraId="055B5EE8"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0,0341</w:t>
            </w:r>
          </w:p>
        </w:tc>
        <w:tc>
          <w:tcPr>
            <w:tcW w:w="1144" w:type="dxa"/>
            <w:tcBorders>
              <w:top w:val="nil"/>
              <w:left w:val="nil"/>
              <w:bottom w:val="nil"/>
              <w:right w:val="nil"/>
            </w:tcBorders>
            <w:shd w:val="clear" w:color="auto" w:fill="auto"/>
            <w:noWrap/>
            <w:vAlign w:val="bottom"/>
            <w:hideMark/>
          </w:tcPr>
          <w:p w14:paraId="1D548F13"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0,2096</w:t>
            </w:r>
          </w:p>
        </w:tc>
        <w:tc>
          <w:tcPr>
            <w:tcW w:w="1144" w:type="dxa"/>
            <w:tcBorders>
              <w:top w:val="nil"/>
              <w:left w:val="nil"/>
              <w:bottom w:val="nil"/>
              <w:right w:val="nil"/>
            </w:tcBorders>
            <w:shd w:val="clear" w:color="auto" w:fill="auto"/>
            <w:noWrap/>
            <w:vAlign w:val="bottom"/>
            <w:hideMark/>
          </w:tcPr>
          <w:p w14:paraId="5001867F"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0,4449</w:t>
            </w:r>
          </w:p>
        </w:tc>
        <w:tc>
          <w:tcPr>
            <w:tcW w:w="1144" w:type="dxa"/>
            <w:tcBorders>
              <w:top w:val="nil"/>
              <w:left w:val="nil"/>
              <w:bottom w:val="nil"/>
              <w:right w:val="nil"/>
            </w:tcBorders>
            <w:shd w:val="clear" w:color="auto" w:fill="auto"/>
            <w:noWrap/>
            <w:vAlign w:val="bottom"/>
            <w:hideMark/>
          </w:tcPr>
          <w:p w14:paraId="6591919F"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0,3718</w:t>
            </w:r>
          </w:p>
        </w:tc>
        <w:tc>
          <w:tcPr>
            <w:tcW w:w="1144" w:type="dxa"/>
            <w:tcBorders>
              <w:top w:val="nil"/>
              <w:left w:val="nil"/>
              <w:bottom w:val="nil"/>
              <w:right w:val="nil"/>
            </w:tcBorders>
            <w:shd w:val="clear" w:color="auto" w:fill="auto"/>
            <w:noWrap/>
            <w:vAlign w:val="bottom"/>
            <w:hideMark/>
          </w:tcPr>
          <w:p w14:paraId="1C8C78A6"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0,5527</w:t>
            </w:r>
          </w:p>
        </w:tc>
      </w:tr>
      <w:tr w:rsidR="002A5DE2" w:rsidRPr="006C6F2A" w14:paraId="1E68204B" w14:textId="77777777" w:rsidTr="00730E93">
        <w:trPr>
          <w:trHeight w:val="288"/>
        </w:trPr>
        <w:tc>
          <w:tcPr>
            <w:tcW w:w="1663" w:type="dxa"/>
            <w:vMerge w:val="restart"/>
            <w:tcBorders>
              <w:top w:val="nil"/>
              <w:left w:val="nil"/>
              <w:bottom w:val="nil"/>
              <w:right w:val="nil"/>
            </w:tcBorders>
            <w:shd w:val="clear" w:color="auto" w:fill="auto"/>
            <w:noWrap/>
            <w:vAlign w:val="center"/>
            <w:hideMark/>
          </w:tcPr>
          <w:p w14:paraId="361D3FF2" w14:textId="77777777" w:rsidR="002A5DE2" w:rsidRPr="006C6F2A" w:rsidRDefault="002A5DE2" w:rsidP="00730E93">
            <w:pPr>
              <w:spacing w:after="0" w:line="240" w:lineRule="auto"/>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Germany</w:t>
            </w:r>
          </w:p>
        </w:tc>
        <w:tc>
          <w:tcPr>
            <w:tcW w:w="1299" w:type="dxa"/>
            <w:tcBorders>
              <w:top w:val="nil"/>
              <w:left w:val="nil"/>
              <w:bottom w:val="nil"/>
              <w:right w:val="nil"/>
            </w:tcBorders>
            <w:shd w:val="clear" w:color="auto" w:fill="auto"/>
            <w:noWrap/>
            <w:vAlign w:val="bottom"/>
            <w:hideMark/>
          </w:tcPr>
          <w:p w14:paraId="1B2AF1EB"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Mean</w:t>
            </w:r>
          </w:p>
        </w:tc>
        <w:tc>
          <w:tcPr>
            <w:tcW w:w="1144" w:type="dxa"/>
            <w:tcBorders>
              <w:top w:val="nil"/>
              <w:left w:val="nil"/>
              <w:bottom w:val="nil"/>
              <w:right w:val="nil"/>
            </w:tcBorders>
            <w:shd w:val="clear" w:color="auto" w:fill="auto"/>
            <w:noWrap/>
            <w:vAlign w:val="bottom"/>
            <w:hideMark/>
          </w:tcPr>
          <w:p w14:paraId="598F9764"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0,9720</w:t>
            </w:r>
          </w:p>
        </w:tc>
        <w:tc>
          <w:tcPr>
            <w:tcW w:w="1144" w:type="dxa"/>
            <w:tcBorders>
              <w:top w:val="nil"/>
              <w:left w:val="nil"/>
              <w:bottom w:val="nil"/>
              <w:right w:val="nil"/>
            </w:tcBorders>
            <w:shd w:val="clear" w:color="auto" w:fill="auto"/>
            <w:noWrap/>
            <w:vAlign w:val="bottom"/>
            <w:hideMark/>
          </w:tcPr>
          <w:p w14:paraId="74AFBB0E"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1,9738</w:t>
            </w:r>
          </w:p>
        </w:tc>
        <w:tc>
          <w:tcPr>
            <w:tcW w:w="1144" w:type="dxa"/>
            <w:tcBorders>
              <w:top w:val="nil"/>
              <w:left w:val="nil"/>
              <w:bottom w:val="nil"/>
              <w:right w:val="nil"/>
            </w:tcBorders>
            <w:shd w:val="clear" w:color="auto" w:fill="auto"/>
            <w:noWrap/>
            <w:vAlign w:val="bottom"/>
            <w:hideMark/>
          </w:tcPr>
          <w:p w14:paraId="14A7FF3A"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2,9713</w:t>
            </w:r>
          </w:p>
        </w:tc>
        <w:tc>
          <w:tcPr>
            <w:tcW w:w="1144" w:type="dxa"/>
            <w:tcBorders>
              <w:top w:val="nil"/>
              <w:left w:val="nil"/>
              <w:bottom w:val="nil"/>
              <w:right w:val="nil"/>
            </w:tcBorders>
            <w:shd w:val="clear" w:color="auto" w:fill="auto"/>
            <w:noWrap/>
            <w:vAlign w:val="bottom"/>
            <w:hideMark/>
          </w:tcPr>
          <w:p w14:paraId="0BF7005B"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5,5191</w:t>
            </w:r>
          </w:p>
        </w:tc>
        <w:tc>
          <w:tcPr>
            <w:tcW w:w="1144" w:type="dxa"/>
            <w:tcBorders>
              <w:top w:val="nil"/>
              <w:left w:val="nil"/>
              <w:bottom w:val="nil"/>
              <w:right w:val="nil"/>
            </w:tcBorders>
            <w:shd w:val="clear" w:color="auto" w:fill="auto"/>
            <w:noWrap/>
            <w:vAlign w:val="bottom"/>
            <w:hideMark/>
          </w:tcPr>
          <w:p w14:paraId="1DD563F3"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6,3811</w:t>
            </w:r>
          </w:p>
        </w:tc>
      </w:tr>
      <w:tr w:rsidR="002A5DE2" w:rsidRPr="006C6F2A" w14:paraId="1CFDE6AC" w14:textId="77777777" w:rsidTr="00730E93">
        <w:trPr>
          <w:trHeight w:val="288"/>
        </w:trPr>
        <w:tc>
          <w:tcPr>
            <w:tcW w:w="1663" w:type="dxa"/>
            <w:vMerge/>
            <w:tcBorders>
              <w:top w:val="nil"/>
              <w:left w:val="nil"/>
              <w:bottom w:val="nil"/>
              <w:right w:val="nil"/>
            </w:tcBorders>
            <w:vAlign w:val="center"/>
            <w:hideMark/>
          </w:tcPr>
          <w:p w14:paraId="1BABADDF" w14:textId="77777777" w:rsidR="002A5DE2" w:rsidRPr="006C6F2A" w:rsidRDefault="002A5DE2" w:rsidP="00730E93">
            <w:pPr>
              <w:spacing w:after="0" w:line="240" w:lineRule="auto"/>
              <w:rPr>
                <w:rFonts w:ascii="Times New Roman" w:eastAsia="Times New Roman" w:hAnsi="Times New Roman" w:cs="Times New Roman"/>
                <w:b/>
                <w:bCs/>
                <w:color w:val="000000"/>
              </w:rPr>
            </w:pPr>
          </w:p>
        </w:tc>
        <w:tc>
          <w:tcPr>
            <w:tcW w:w="1299" w:type="dxa"/>
            <w:tcBorders>
              <w:top w:val="nil"/>
              <w:left w:val="nil"/>
              <w:bottom w:val="nil"/>
              <w:right w:val="nil"/>
            </w:tcBorders>
            <w:shd w:val="clear" w:color="auto" w:fill="auto"/>
            <w:noWrap/>
            <w:vAlign w:val="bottom"/>
            <w:hideMark/>
          </w:tcPr>
          <w:p w14:paraId="243A0893" w14:textId="77777777" w:rsidR="002A5DE2" w:rsidRPr="006C6F2A" w:rsidRDefault="002A5DE2" w:rsidP="00730E93">
            <w:pPr>
              <w:spacing w:after="0" w:line="240" w:lineRule="auto"/>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Std Dev</w:t>
            </w:r>
          </w:p>
        </w:tc>
        <w:tc>
          <w:tcPr>
            <w:tcW w:w="1144" w:type="dxa"/>
            <w:tcBorders>
              <w:top w:val="nil"/>
              <w:left w:val="nil"/>
              <w:bottom w:val="nil"/>
              <w:right w:val="nil"/>
            </w:tcBorders>
            <w:shd w:val="clear" w:color="auto" w:fill="auto"/>
            <w:noWrap/>
            <w:vAlign w:val="bottom"/>
            <w:hideMark/>
          </w:tcPr>
          <w:p w14:paraId="6167AA98"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0,0296</w:t>
            </w:r>
          </w:p>
        </w:tc>
        <w:tc>
          <w:tcPr>
            <w:tcW w:w="1144" w:type="dxa"/>
            <w:tcBorders>
              <w:top w:val="nil"/>
              <w:left w:val="nil"/>
              <w:bottom w:val="nil"/>
              <w:right w:val="nil"/>
            </w:tcBorders>
            <w:shd w:val="clear" w:color="auto" w:fill="auto"/>
            <w:noWrap/>
            <w:vAlign w:val="bottom"/>
            <w:hideMark/>
          </w:tcPr>
          <w:p w14:paraId="61087616"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0,1400</w:t>
            </w:r>
          </w:p>
        </w:tc>
        <w:tc>
          <w:tcPr>
            <w:tcW w:w="1144" w:type="dxa"/>
            <w:tcBorders>
              <w:top w:val="nil"/>
              <w:left w:val="nil"/>
              <w:bottom w:val="nil"/>
              <w:right w:val="nil"/>
            </w:tcBorders>
            <w:shd w:val="clear" w:color="auto" w:fill="auto"/>
            <w:noWrap/>
            <w:vAlign w:val="bottom"/>
            <w:hideMark/>
          </w:tcPr>
          <w:p w14:paraId="1CA72746"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0,3870</w:t>
            </w:r>
          </w:p>
        </w:tc>
        <w:tc>
          <w:tcPr>
            <w:tcW w:w="1144" w:type="dxa"/>
            <w:tcBorders>
              <w:top w:val="nil"/>
              <w:left w:val="nil"/>
              <w:bottom w:val="nil"/>
              <w:right w:val="nil"/>
            </w:tcBorders>
            <w:shd w:val="clear" w:color="auto" w:fill="auto"/>
            <w:noWrap/>
            <w:vAlign w:val="bottom"/>
            <w:hideMark/>
          </w:tcPr>
          <w:p w14:paraId="539A76E1"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0,5171</w:t>
            </w:r>
          </w:p>
        </w:tc>
        <w:tc>
          <w:tcPr>
            <w:tcW w:w="1144" w:type="dxa"/>
            <w:tcBorders>
              <w:top w:val="nil"/>
              <w:left w:val="nil"/>
              <w:bottom w:val="nil"/>
              <w:right w:val="nil"/>
            </w:tcBorders>
            <w:shd w:val="clear" w:color="auto" w:fill="auto"/>
            <w:noWrap/>
            <w:vAlign w:val="bottom"/>
            <w:hideMark/>
          </w:tcPr>
          <w:p w14:paraId="67CF7665"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0,8085</w:t>
            </w:r>
          </w:p>
        </w:tc>
      </w:tr>
      <w:tr w:rsidR="002A5DE2" w:rsidRPr="006C6F2A" w14:paraId="1FF3F8BA" w14:textId="77777777" w:rsidTr="00730E93">
        <w:trPr>
          <w:trHeight w:val="288"/>
        </w:trPr>
        <w:tc>
          <w:tcPr>
            <w:tcW w:w="1663" w:type="dxa"/>
            <w:vMerge w:val="restart"/>
            <w:tcBorders>
              <w:top w:val="nil"/>
              <w:left w:val="nil"/>
              <w:bottom w:val="single" w:sz="4" w:space="0" w:color="000000"/>
              <w:right w:val="nil"/>
            </w:tcBorders>
            <w:shd w:val="clear" w:color="auto" w:fill="auto"/>
            <w:noWrap/>
            <w:vAlign w:val="center"/>
            <w:hideMark/>
          </w:tcPr>
          <w:p w14:paraId="53871020" w14:textId="77777777" w:rsidR="002A5DE2" w:rsidRPr="006C6F2A" w:rsidRDefault="002A5DE2" w:rsidP="00730E93">
            <w:pPr>
              <w:spacing w:after="0" w:line="240" w:lineRule="auto"/>
              <w:rPr>
                <w:rFonts w:ascii="Times New Roman" w:eastAsia="Times New Roman" w:hAnsi="Times New Roman" w:cs="Times New Roman"/>
                <w:b/>
                <w:bCs/>
                <w:color w:val="000000"/>
              </w:rPr>
            </w:pPr>
            <w:r w:rsidRPr="006C6F2A">
              <w:rPr>
                <w:rFonts w:ascii="Times New Roman" w:eastAsia="Times New Roman" w:hAnsi="Times New Roman" w:cs="Times New Roman"/>
                <w:b/>
                <w:bCs/>
                <w:color w:val="000000"/>
              </w:rPr>
              <w:t>Belgium</w:t>
            </w:r>
          </w:p>
        </w:tc>
        <w:tc>
          <w:tcPr>
            <w:tcW w:w="1299" w:type="dxa"/>
            <w:tcBorders>
              <w:top w:val="nil"/>
              <w:left w:val="nil"/>
              <w:bottom w:val="nil"/>
              <w:right w:val="nil"/>
            </w:tcBorders>
            <w:shd w:val="clear" w:color="auto" w:fill="auto"/>
            <w:noWrap/>
            <w:vAlign w:val="bottom"/>
            <w:hideMark/>
          </w:tcPr>
          <w:p w14:paraId="7F828BF0" w14:textId="77777777" w:rsidR="002A5DE2" w:rsidRPr="006C6F2A" w:rsidRDefault="002A5DE2" w:rsidP="00730E93">
            <w:pPr>
              <w:spacing w:after="0" w:line="240" w:lineRule="auto"/>
              <w:rPr>
                <w:rFonts w:ascii="Times New Roman" w:eastAsia="Times New Roman" w:hAnsi="Times New Roman" w:cs="Times New Roman"/>
                <w:color w:val="000000"/>
              </w:rPr>
            </w:pPr>
            <w:r w:rsidRPr="006C6F2A">
              <w:rPr>
                <w:rFonts w:ascii="Times New Roman" w:eastAsia="Times New Roman" w:hAnsi="Times New Roman" w:cs="Times New Roman"/>
                <w:color w:val="000000"/>
              </w:rPr>
              <w:t>Mean</w:t>
            </w:r>
          </w:p>
        </w:tc>
        <w:tc>
          <w:tcPr>
            <w:tcW w:w="1144" w:type="dxa"/>
            <w:tcBorders>
              <w:top w:val="nil"/>
              <w:left w:val="nil"/>
              <w:bottom w:val="nil"/>
              <w:right w:val="nil"/>
            </w:tcBorders>
            <w:shd w:val="clear" w:color="auto" w:fill="auto"/>
            <w:noWrap/>
            <w:vAlign w:val="bottom"/>
            <w:hideMark/>
          </w:tcPr>
          <w:p w14:paraId="4E3F811B"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0,8689</w:t>
            </w:r>
          </w:p>
        </w:tc>
        <w:tc>
          <w:tcPr>
            <w:tcW w:w="1144" w:type="dxa"/>
            <w:tcBorders>
              <w:top w:val="nil"/>
              <w:left w:val="nil"/>
              <w:bottom w:val="nil"/>
              <w:right w:val="nil"/>
            </w:tcBorders>
            <w:shd w:val="clear" w:color="auto" w:fill="auto"/>
            <w:noWrap/>
            <w:vAlign w:val="bottom"/>
            <w:hideMark/>
          </w:tcPr>
          <w:p w14:paraId="7548B9A7"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1,3109</w:t>
            </w:r>
          </w:p>
        </w:tc>
        <w:tc>
          <w:tcPr>
            <w:tcW w:w="1144" w:type="dxa"/>
            <w:tcBorders>
              <w:top w:val="nil"/>
              <w:left w:val="nil"/>
              <w:bottom w:val="nil"/>
              <w:right w:val="nil"/>
            </w:tcBorders>
            <w:shd w:val="clear" w:color="auto" w:fill="auto"/>
            <w:noWrap/>
            <w:vAlign w:val="bottom"/>
            <w:hideMark/>
          </w:tcPr>
          <w:p w14:paraId="02073B80"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2,6189</w:t>
            </w:r>
          </w:p>
        </w:tc>
        <w:tc>
          <w:tcPr>
            <w:tcW w:w="1144" w:type="dxa"/>
            <w:tcBorders>
              <w:top w:val="nil"/>
              <w:left w:val="nil"/>
              <w:bottom w:val="nil"/>
              <w:right w:val="nil"/>
            </w:tcBorders>
            <w:shd w:val="clear" w:color="auto" w:fill="auto"/>
            <w:noWrap/>
            <w:vAlign w:val="bottom"/>
            <w:hideMark/>
          </w:tcPr>
          <w:p w14:paraId="6A824C7A"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4,5420</w:t>
            </w:r>
          </w:p>
        </w:tc>
        <w:tc>
          <w:tcPr>
            <w:tcW w:w="1144" w:type="dxa"/>
            <w:tcBorders>
              <w:top w:val="nil"/>
              <w:left w:val="nil"/>
              <w:bottom w:val="nil"/>
              <w:right w:val="nil"/>
            </w:tcBorders>
            <w:shd w:val="clear" w:color="auto" w:fill="auto"/>
            <w:noWrap/>
            <w:vAlign w:val="bottom"/>
            <w:hideMark/>
          </w:tcPr>
          <w:p w14:paraId="23BCE042" w14:textId="77777777" w:rsidR="002A5DE2" w:rsidRPr="006C6F2A" w:rsidRDefault="002A5DE2" w:rsidP="00730E93">
            <w:pPr>
              <w:spacing w:after="0" w:line="240" w:lineRule="auto"/>
              <w:jc w:val="center"/>
              <w:rPr>
                <w:rFonts w:ascii="Times New Roman" w:eastAsia="Times New Roman" w:hAnsi="Times New Roman" w:cs="Times New Roman"/>
                <w:color w:val="000000"/>
              </w:rPr>
            </w:pPr>
            <w:r w:rsidRPr="006C6F2A">
              <w:rPr>
                <w:rFonts w:ascii="Times New Roman" w:eastAsia="Times New Roman" w:hAnsi="Times New Roman" w:cs="Times New Roman"/>
                <w:color w:val="000000"/>
              </w:rPr>
              <w:t>6,0577</w:t>
            </w:r>
          </w:p>
        </w:tc>
      </w:tr>
      <w:tr w:rsidR="002A5DE2" w:rsidRPr="006C6F2A" w14:paraId="218F0CC1" w14:textId="77777777" w:rsidTr="00730E93">
        <w:trPr>
          <w:trHeight w:val="288"/>
        </w:trPr>
        <w:tc>
          <w:tcPr>
            <w:tcW w:w="1663" w:type="dxa"/>
            <w:vMerge/>
            <w:tcBorders>
              <w:top w:val="nil"/>
              <w:left w:val="nil"/>
              <w:bottom w:val="single" w:sz="4" w:space="0" w:color="000000"/>
              <w:right w:val="nil"/>
            </w:tcBorders>
            <w:vAlign w:val="center"/>
            <w:hideMark/>
          </w:tcPr>
          <w:p w14:paraId="6D99CC9D" w14:textId="77777777" w:rsidR="002A5DE2" w:rsidRPr="006C6F2A" w:rsidRDefault="002A5DE2" w:rsidP="00730E93">
            <w:pPr>
              <w:spacing w:after="0" w:line="240" w:lineRule="auto"/>
              <w:rPr>
                <w:rFonts w:ascii="Times New Roman" w:eastAsia="Times New Roman" w:hAnsi="Times New Roman" w:cs="Times New Roman"/>
                <w:b/>
                <w:bCs/>
                <w:color w:val="000000"/>
              </w:rPr>
            </w:pPr>
          </w:p>
        </w:tc>
        <w:tc>
          <w:tcPr>
            <w:tcW w:w="1299" w:type="dxa"/>
            <w:tcBorders>
              <w:top w:val="nil"/>
              <w:left w:val="nil"/>
              <w:bottom w:val="single" w:sz="4" w:space="0" w:color="auto"/>
              <w:right w:val="nil"/>
            </w:tcBorders>
            <w:shd w:val="clear" w:color="auto" w:fill="auto"/>
            <w:noWrap/>
            <w:vAlign w:val="bottom"/>
            <w:hideMark/>
          </w:tcPr>
          <w:p w14:paraId="404B8318" w14:textId="77777777" w:rsidR="002A5DE2" w:rsidRPr="006C6F2A" w:rsidRDefault="002A5DE2" w:rsidP="00730E93">
            <w:pPr>
              <w:spacing w:after="0" w:line="240" w:lineRule="auto"/>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Std Dev</w:t>
            </w:r>
          </w:p>
        </w:tc>
        <w:tc>
          <w:tcPr>
            <w:tcW w:w="1144" w:type="dxa"/>
            <w:tcBorders>
              <w:top w:val="nil"/>
              <w:left w:val="nil"/>
              <w:bottom w:val="single" w:sz="4" w:space="0" w:color="auto"/>
              <w:right w:val="nil"/>
            </w:tcBorders>
            <w:shd w:val="clear" w:color="auto" w:fill="auto"/>
            <w:noWrap/>
            <w:vAlign w:val="bottom"/>
            <w:hideMark/>
          </w:tcPr>
          <w:p w14:paraId="2BF10477"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0,0456</w:t>
            </w:r>
          </w:p>
        </w:tc>
        <w:tc>
          <w:tcPr>
            <w:tcW w:w="1144" w:type="dxa"/>
            <w:tcBorders>
              <w:top w:val="nil"/>
              <w:left w:val="nil"/>
              <w:bottom w:val="single" w:sz="4" w:space="0" w:color="auto"/>
              <w:right w:val="nil"/>
            </w:tcBorders>
            <w:shd w:val="clear" w:color="auto" w:fill="auto"/>
            <w:noWrap/>
            <w:vAlign w:val="bottom"/>
            <w:hideMark/>
          </w:tcPr>
          <w:p w14:paraId="58450D6A"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0,2067</w:t>
            </w:r>
          </w:p>
        </w:tc>
        <w:tc>
          <w:tcPr>
            <w:tcW w:w="1144" w:type="dxa"/>
            <w:tcBorders>
              <w:top w:val="nil"/>
              <w:left w:val="nil"/>
              <w:bottom w:val="single" w:sz="4" w:space="0" w:color="auto"/>
              <w:right w:val="nil"/>
            </w:tcBorders>
            <w:shd w:val="clear" w:color="auto" w:fill="auto"/>
            <w:noWrap/>
            <w:vAlign w:val="bottom"/>
            <w:hideMark/>
          </w:tcPr>
          <w:p w14:paraId="6C208095"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0,2043</w:t>
            </w:r>
          </w:p>
        </w:tc>
        <w:tc>
          <w:tcPr>
            <w:tcW w:w="1144" w:type="dxa"/>
            <w:tcBorders>
              <w:top w:val="nil"/>
              <w:left w:val="nil"/>
              <w:bottom w:val="single" w:sz="4" w:space="0" w:color="auto"/>
              <w:right w:val="nil"/>
            </w:tcBorders>
            <w:shd w:val="clear" w:color="auto" w:fill="auto"/>
            <w:noWrap/>
            <w:vAlign w:val="bottom"/>
            <w:hideMark/>
          </w:tcPr>
          <w:p w14:paraId="35F1D59B"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0,2616</w:t>
            </w:r>
          </w:p>
        </w:tc>
        <w:tc>
          <w:tcPr>
            <w:tcW w:w="1144" w:type="dxa"/>
            <w:tcBorders>
              <w:top w:val="nil"/>
              <w:left w:val="nil"/>
              <w:bottom w:val="single" w:sz="4" w:space="0" w:color="auto"/>
              <w:right w:val="nil"/>
            </w:tcBorders>
            <w:shd w:val="clear" w:color="auto" w:fill="auto"/>
            <w:noWrap/>
            <w:vAlign w:val="bottom"/>
            <w:hideMark/>
          </w:tcPr>
          <w:p w14:paraId="199C705B" w14:textId="77777777" w:rsidR="002A5DE2" w:rsidRPr="006C6F2A" w:rsidRDefault="002A5DE2" w:rsidP="00730E93">
            <w:pPr>
              <w:spacing w:after="0" w:line="240" w:lineRule="auto"/>
              <w:jc w:val="center"/>
              <w:rPr>
                <w:rFonts w:ascii="Times New Roman" w:eastAsia="Times New Roman" w:hAnsi="Times New Roman" w:cs="Times New Roman"/>
                <w:i/>
                <w:iCs/>
                <w:color w:val="000000"/>
              </w:rPr>
            </w:pPr>
            <w:r w:rsidRPr="006C6F2A">
              <w:rPr>
                <w:rFonts w:ascii="Times New Roman" w:eastAsia="Times New Roman" w:hAnsi="Times New Roman" w:cs="Times New Roman"/>
                <w:i/>
                <w:iCs/>
                <w:color w:val="000000"/>
              </w:rPr>
              <w:t>0,8849</w:t>
            </w:r>
          </w:p>
        </w:tc>
      </w:tr>
    </w:tbl>
    <w:p w14:paraId="2303A22E"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664D150D"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0D9C3C41"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162A880B"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57DEFF0A"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7417E647"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5A2B19C7"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18203094"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2D4176A1"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5B13C117" w14:textId="77777777" w:rsidR="002A5DE2" w:rsidRDefault="002A5DE2" w:rsidP="002A5DE2">
      <w:pPr>
        <w:spacing w:after="0" w:line="240" w:lineRule="auto"/>
        <w:jc w:val="center"/>
        <w:rPr>
          <w:rFonts w:ascii="Times New Roman" w:eastAsia="Times New Roman" w:hAnsi="Times New Roman" w:cs="Times New Roman"/>
          <w:b/>
          <w:bCs/>
          <w:color w:val="000000"/>
        </w:rPr>
      </w:pPr>
    </w:p>
    <w:p w14:paraId="64517BE3" w14:textId="4370D7CE" w:rsidR="002A5DE2" w:rsidRPr="00EF6EC2" w:rsidRDefault="002A5DE2" w:rsidP="002A5DE2">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lastRenderedPageBreak/>
        <w:t>Table 5: Risk Adjusted Performance Measures</w:t>
      </w:r>
    </w:p>
    <w:tbl>
      <w:tblPr>
        <w:tblW w:w="9560" w:type="dxa"/>
        <w:tblLook w:val="04A0" w:firstRow="1" w:lastRow="0" w:firstColumn="1" w:lastColumn="0" w:noHBand="0" w:noVBand="1"/>
      </w:tblPr>
      <w:tblGrid>
        <w:gridCol w:w="992"/>
        <w:gridCol w:w="1421"/>
        <w:gridCol w:w="721"/>
        <w:gridCol w:w="1421"/>
        <w:gridCol w:w="721"/>
        <w:gridCol w:w="1421"/>
        <w:gridCol w:w="721"/>
        <w:gridCol w:w="1421"/>
        <w:gridCol w:w="721"/>
      </w:tblGrid>
      <w:tr w:rsidR="002A5DE2" w:rsidRPr="00EF6EC2" w14:paraId="592F233E" w14:textId="77777777" w:rsidTr="00730E93">
        <w:trPr>
          <w:trHeight w:val="276"/>
        </w:trPr>
        <w:tc>
          <w:tcPr>
            <w:tcW w:w="9560" w:type="dxa"/>
            <w:gridSpan w:val="9"/>
            <w:tcBorders>
              <w:top w:val="nil"/>
              <w:left w:val="nil"/>
              <w:bottom w:val="single" w:sz="4" w:space="0" w:color="auto"/>
              <w:right w:val="nil"/>
            </w:tcBorders>
            <w:shd w:val="clear" w:color="auto" w:fill="auto"/>
            <w:noWrap/>
            <w:vAlign w:val="bottom"/>
          </w:tcPr>
          <w:p w14:paraId="5DC49258" w14:textId="77777777" w:rsidR="002A5DE2" w:rsidRPr="00EF6EC2" w:rsidRDefault="002A5DE2" w:rsidP="00730E93">
            <w:pPr>
              <w:spacing w:after="0" w:line="240" w:lineRule="auto"/>
              <w:rPr>
                <w:rFonts w:ascii="Times New Roman" w:eastAsia="Times New Roman" w:hAnsi="Times New Roman" w:cs="Times New Roman"/>
                <w:b/>
                <w:bCs/>
                <w:color w:val="000000"/>
              </w:rPr>
            </w:pPr>
          </w:p>
        </w:tc>
      </w:tr>
      <w:tr w:rsidR="002A5DE2" w:rsidRPr="00EF6EC2" w14:paraId="2C8522E1" w14:textId="77777777" w:rsidTr="00730E93">
        <w:trPr>
          <w:trHeight w:val="276"/>
        </w:trPr>
        <w:tc>
          <w:tcPr>
            <w:tcW w:w="9560" w:type="dxa"/>
            <w:gridSpan w:val="9"/>
            <w:tcBorders>
              <w:top w:val="single" w:sz="4" w:space="0" w:color="auto"/>
              <w:left w:val="nil"/>
              <w:bottom w:val="single" w:sz="4" w:space="0" w:color="auto"/>
              <w:right w:val="nil"/>
            </w:tcBorders>
            <w:shd w:val="clear" w:color="auto" w:fill="auto"/>
            <w:noWrap/>
            <w:vAlign w:val="bottom"/>
            <w:hideMark/>
          </w:tcPr>
          <w:p w14:paraId="0067E33C" w14:textId="0E047EA2" w:rsidR="002A5DE2" w:rsidRPr="00EF6EC2" w:rsidRDefault="002A5DE2" w:rsidP="00730E9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Full</w:t>
            </w:r>
            <w:r w:rsidRPr="00EF6EC2">
              <w:rPr>
                <w:rFonts w:ascii="Times New Roman" w:eastAsia="Times New Roman" w:hAnsi="Times New Roman" w:cs="Times New Roman"/>
                <w:b/>
                <w:bCs/>
                <w:color w:val="000000"/>
              </w:rPr>
              <w:t xml:space="preserve"> Period</w:t>
            </w:r>
          </w:p>
        </w:tc>
      </w:tr>
      <w:tr w:rsidR="002A5DE2" w:rsidRPr="00EF6EC2" w14:paraId="44B652CF" w14:textId="77777777" w:rsidTr="00730E93">
        <w:trPr>
          <w:trHeight w:val="276"/>
        </w:trPr>
        <w:tc>
          <w:tcPr>
            <w:tcW w:w="992" w:type="dxa"/>
            <w:tcBorders>
              <w:top w:val="nil"/>
              <w:left w:val="nil"/>
              <w:bottom w:val="single" w:sz="4" w:space="0" w:color="auto"/>
              <w:right w:val="nil"/>
            </w:tcBorders>
            <w:shd w:val="clear" w:color="auto" w:fill="auto"/>
            <w:noWrap/>
            <w:vAlign w:val="bottom"/>
            <w:hideMark/>
          </w:tcPr>
          <w:p w14:paraId="0A97E06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 </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7F892017"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Sharpe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4AA10D8A"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Treynor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1F91324A"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proofErr w:type="spellStart"/>
            <w:r w:rsidRPr="00EF6EC2">
              <w:rPr>
                <w:rFonts w:ascii="Times New Roman" w:eastAsia="Times New Roman" w:hAnsi="Times New Roman" w:cs="Times New Roman"/>
                <w:b/>
                <w:bCs/>
                <w:color w:val="000000"/>
              </w:rPr>
              <w:t>Sortino</w:t>
            </w:r>
            <w:proofErr w:type="spellEnd"/>
            <w:r w:rsidRPr="00EF6EC2">
              <w:rPr>
                <w:rFonts w:ascii="Times New Roman" w:eastAsia="Times New Roman" w:hAnsi="Times New Roman" w:cs="Times New Roman"/>
                <w:b/>
                <w:bCs/>
                <w:color w:val="000000"/>
              </w:rPr>
              <w:t xml:space="preserv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2042FB7B"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Information Ratio</w:t>
            </w:r>
          </w:p>
        </w:tc>
      </w:tr>
      <w:tr w:rsidR="002A5DE2" w:rsidRPr="00EF6EC2" w14:paraId="54C2F992" w14:textId="77777777" w:rsidTr="00730E93">
        <w:trPr>
          <w:trHeight w:val="276"/>
        </w:trPr>
        <w:tc>
          <w:tcPr>
            <w:tcW w:w="992" w:type="dxa"/>
            <w:tcBorders>
              <w:top w:val="nil"/>
              <w:left w:val="nil"/>
              <w:bottom w:val="nil"/>
              <w:right w:val="nil"/>
            </w:tcBorders>
            <w:shd w:val="clear" w:color="auto" w:fill="auto"/>
            <w:noWrap/>
            <w:vAlign w:val="bottom"/>
            <w:hideMark/>
          </w:tcPr>
          <w:p w14:paraId="2193A0B9"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Low</w:t>
            </w:r>
          </w:p>
        </w:tc>
        <w:tc>
          <w:tcPr>
            <w:tcW w:w="1421" w:type="dxa"/>
            <w:tcBorders>
              <w:top w:val="nil"/>
              <w:left w:val="nil"/>
              <w:bottom w:val="nil"/>
              <w:right w:val="nil"/>
            </w:tcBorders>
            <w:shd w:val="clear" w:color="auto" w:fill="auto"/>
            <w:noWrap/>
            <w:vAlign w:val="bottom"/>
            <w:hideMark/>
          </w:tcPr>
          <w:p w14:paraId="3789A4A9"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-0,0751</w:t>
            </w:r>
          </w:p>
        </w:tc>
        <w:tc>
          <w:tcPr>
            <w:tcW w:w="721" w:type="dxa"/>
            <w:tcBorders>
              <w:top w:val="nil"/>
              <w:left w:val="nil"/>
              <w:bottom w:val="nil"/>
              <w:right w:val="nil"/>
            </w:tcBorders>
            <w:shd w:val="clear" w:color="auto" w:fill="auto"/>
            <w:noWrap/>
            <w:vAlign w:val="bottom"/>
            <w:hideMark/>
          </w:tcPr>
          <w:p w14:paraId="367EBDD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746924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-0,0406</w:t>
            </w:r>
          </w:p>
        </w:tc>
        <w:tc>
          <w:tcPr>
            <w:tcW w:w="721" w:type="dxa"/>
            <w:tcBorders>
              <w:top w:val="nil"/>
              <w:left w:val="nil"/>
              <w:bottom w:val="nil"/>
              <w:right w:val="nil"/>
            </w:tcBorders>
            <w:shd w:val="clear" w:color="auto" w:fill="auto"/>
            <w:noWrap/>
            <w:vAlign w:val="bottom"/>
            <w:hideMark/>
          </w:tcPr>
          <w:p w14:paraId="2966F3E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DA7C8A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-0,0202</w:t>
            </w:r>
          </w:p>
        </w:tc>
        <w:tc>
          <w:tcPr>
            <w:tcW w:w="721" w:type="dxa"/>
            <w:tcBorders>
              <w:top w:val="nil"/>
              <w:left w:val="nil"/>
              <w:bottom w:val="nil"/>
              <w:right w:val="nil"/>
            </w:tcBorders>
            <w:shd w:val="clear" w:color="auto" w:fill="auto"/>
            <w:noWrap/>
            <w:vAlign w:val="bottom"/>
            <w:hideMark/>
          </w:tcPr>
          <w:p w14:paraId="58C9591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F6B26E9"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-0,0105</w:t>
            </w:r>
          </w:p>
        </w:tc>
        <w:tc>
          <w:tcPr>
            <w:tcW w:w="721" w:type="dxa"/>
            <w:tcBorders>
              <w:top w:val="nil"/>
              <w:left w:val="nil"/>
              <w:bottom w:val="nil"/>
              <w:right w:val="nil"/>
            </w:tcBorders>
            <w:shd w:val="clear" w:color="auto" w:fill="auto"/>
            <w:noWrap/>
            <w:vAlign w:val="bottom"/>
            <w:hideMark/>
          </w:tcPr>
          <w:p w14:paraId="0CC09FE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4A2C0F10" w14:textId="77777777" w:rsidTr="00730E93">
        <w:trPr>
          <w:trHeight w:val="276"/>
        </w:trPr>
        <w:tc>
          <w:tcPr>
            <w:tcW w:w="992" w:type="dxa"/>
            <w:tcBorders>
              <w:top w:val="nil"/>
              <w:left w:val="nil"/>
              <w:bottom w:val="nil"/>
              <w:right w:val="nil"/>
            </w:tcBorders>
            <w:shd w:val="clear" w:color="auto" w:fill="auto"/>
            <w:noWrap/>
            <w:vAlign w:val="bottom"/>
            <w:hideMark/>
          </w:tcPr>
          <w:p w14:paraId="56ED26A9"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2</w:t>
            </w:r>
          </w:p>
        </w:tc>
        <w:tc>
          <w:tcPr>
            <w:tcW w:w="1421" w:type="dxa"/>
            <w:tcBorders>
              <w:top w:val="nil"/>
              <w:left w:val="nil"/>
              <w:bottom w:val="nil"/>
              <w:right w:val="nil"/>
            </w:tcBorders>
            <w:shd w:val="clear" w:color="auto" w:fill="auto"/>
            <w:noWrap/>
            <w:vAlign w:val="bottom"/>
            <w:hideMark/>
          </w:tcPr>
          <w:p w14:paraId="62F10C5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-0,0320</w:t>
            </w:r>
          </w:p>
        </w:tc>
        <w:tc>
          <w:tcPr>
            <w:tcW w:w="721" w:type="dxa"/>
            <w:tcBorders>
              <w:top w:val="nil"/>
              <w:left w:val="nil"/>
              <w:bottom w:val="nil"/>
              <w:right w:val="nil"/>
            </w:tcBorders>
            <w:shd w:val="clear" w:color="auto" w:fill="auto"/>
            <w:noWrap/>
            <w:vAlign w:val="bottom"/>
            <w:hideMark/>
          </w:tcPr>
          <w:p w14:paraId="547260F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2FF6A0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-0,0165</w:t>
            </w:r>
          </w:p>
        </w:tc>
        <w:tc>
          <w:tcPr>
            <w:tcW w:w="721" w:type="dxa"/>
            <w:tcBorders>
              <w:top w:val="nil"/>
              <w:left w:val="nil"/>
              <w:bottom w:val="nil"/>
              <w:right w:val="nil"/>
            </w:tcBorders>
            <w:shd w:val="clear" w:color="auto" w:fill="auto"/>
            <w:noWrap/>
            <w:vAlign w:val="bottom"/>
            <w:hideMark/>
          </w:tcPr>
          <w:p w14:paraId="5B94720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8E65ED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-0,0076</w:t>
            </w:r>
          </w:p>
        </w:tc>
        <w:tc>
          <w:tcPr>
            <w:tcW w:w="721" w:type="dxa"/>
            <w:tcBorders>
              <w:top w:val="nil"/>
              <w:left w:val="nil"/>
              <w:bottom w:val="nil"/>
              <w:right w:val="nil"/>
            </w:tcBorders>
            <w:shd w:val="clear" w:color="auto" w:fill="auto"/>
            <w:noWrap/>
            <w:vAlign w:val="bottom"/>
            <w:hideMark/>
          </w:tcPr>
          <w:p w14:paraId="68D03238"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1623745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-0,0037</w:t>
            </w:r>
          </w:p>
        </w:tc>
        <w:tc>
          <w:tcPr>
            <w:tcW w:w="721" w:type="dxa"/>
            <w:tcBorders>
              <w:top w:val="nil"/>
              <w:left w:val="nil"/>
              <w:bottom w:val="nil"/>
              <w:right w:val="nil"/>
            </w:tcBorders>
            <w:shd w:val="clear" w:color="auto" w:fill="auto"/>
            <w:noWrap/>
            <w:vAlign w:val="bottom"/>
            <w:hideMark/>
          </w:tcPr>
          <w:p w14:paraId="69324FC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1145331D" w14:textId="77777777" w:rsidTr="00730E93">
        <w:trPr>
          <w:trHeight w:val="276"/>
        </w:trPr>
        <w:tc>
          <w:tcPr>
            <w:tcW w:w="992" w:type="dxa"/>
            <w:tcBorders>
              <w:top w:val="nil"/>
              <w:left w:val="nil"/>
              <w:bottom w:val="nil"/>
              <w:right w:val="nil"/>
            </w:tcBorders>
            <w:shd w:val="clear" w:color="auto" w:fill="auto"/>
            <w:noWrap/>
            <w:vAlign w:val="bottom"/>
            <w:hideMark/>
          </w:tcPr>
          <w:p w14:paraId="174ABD5E"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3</w:t>
            </w:r>
          </w:p>
        </w:tc>
        <w:tc>
          <w:tcPr>
            <w:tcW w:w="1421" w:type="dxa"/>
            <w:tcBorders>
              <w:top w:val="nil"/>
              <w:left w:val="nil"/>
              <w:bottom w:val="nil"/>
              <w:right w:val="nil"/>
            </w:tcBorders>
            <w:shd w:val="clear" w:color="auto" w:fill="auto"/>
            <w:noWrap/>
            <w:vAlign w:val="bottom"/>
            <w:hideMark/>
          </w:tcPr>
          <w:p w14:paraId="294F8FD9"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0,0019</w:t>
            </w:r>
          </w:p>
        </w:tc>
        <w:tc>
          <w:tcPr>
            <w:tcW w:w="721" w:type="dxa"/>
            <w:tcBorders>
              <w:top w:val="nil"/>
              <w:left w:val="nil"/>
              <w:bottom w:val="nil"/>
              <w:right w:val="nil"/>
            </w:tcBorders>
            <w:shd w:val="clear" w:color="auto" w:fill="auto"/>
            <w:noWrap/>
            <w:vAlign w:val="bottom"/>
            <w:hideMark/>
          </w:tcPr>
          <w:p w14:paraId="6C4E435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117AFDD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0,0009</w:t>
            </w:r>
          </w:p>
        </w:tc>
        <w:tc>
          <w:tcPr>
            <w:tcW w:w="721" w:type="dxa"/>
            <w:tcBorders>
              <w:top w:val="nil"/>
              <w:left w:val="nil"/>
              <w:bottom w:val="nil"/>
              <w:right w:val="nil"/>
            </w:tcBorders>
            <w:shd w:val="clear" w:color="auto" w:fill="auto"/>
            <w:noWrap/>
            <w:vAlign w:val="bottom"/>
            <w:hideMark/>
          </w:tcPr>
          <w:p w14:paraId="3669A7E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E5A3D1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0,0004</w:t>
            </w:r>
          </w:p>
        </w:tc>
        <w:tc>
          <w:tcPr>
            <w:tcW w:w="721" w:type="dxa"/>
            <w:tcBorders>
              <w:top w:val="nil"/>
              <w:left w:val="nil"/>
              <w:bottom w:val="nil"/>
              <w:right w:val="nil"/>
            </w:tcBorders>
            <w:shd w:val="clear" w:color="auto" w:fill="auto"/>
            <w:noWrap/>
            <w:vAlign w:val="bottom"/>
            <w:hideMark/>
          </w:tcPr>
          <w:p w14:paraId="36E6EA8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53C0465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0,0002</w:t>
            </w:r>
          </w:p>
        </w:tc>
        <w:tc>
          <w:tcPr>
            <w:tcW w:w="721" w:type="dxa"/>
            <w:tcBorders>
              <w:top w:val="nil"/>
              <w:left w:val="nil"/>
              <w:bottom w:val="nil"/>
              <w:right w:val="nil"/>
            </w:tcBorders>
            <w:shd w:val="clear" w:color="auto" w:fill="auto"/>
            <w:noWrap/>
            <w:vAlign w:val="bottom"/>
            <w:hideMark/>
          </w:tcPr>
          <w:p w14:paraId="12563BE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244FE57B" w14:textId="77777777" w:rsidTr="00730E93">
        <w:trPr>
          <w:trHeight w:val="276"/>
        </w:trPr>
        <w:tc>
          <w:tcPr>
            <w:tcW w:w="992" w:type="dxa"/>
            <w:tcBorders>
              <w:top w:val="nil"/>
              <w:left w:val="nil"/>
              <w:bottom w:val="nil"/>
              <w:right w:val="nil"/>
            </w:tcBorders>
            <w:shd w:val="clear" w:color="auto" w:fill="auto"/>
            <w:noWrap/>
            <w:vAlign w:val="bottom"/>
            <w:hideMark/>
          </w:tcPr>
          <w:p w14:paraId="26C68E5E"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4</w:t>
            </w:r>
          </w:p>
        </w:tc>
        <w:tc>
          <w:tcPr>
            <w:tcW w:w="1421" w:type="dxa"/>
            <w:tcBorders>
              <w:top w:val="nil"/>
              <w:left w:val="nil"/>
              <w:bottom w:val="nil"/>
              <w:right w:val="nil"/>
            </w:tcBorders>
            <w:shd w:val="clear" w:color="auto" w:fill="auto"/>
            <w:noWrap/>
            <w:vAlign w:val="bottom"/>
            <w:hideMark/>
          </w:tcPr>
          <w:p w14:paraId="2A5073C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0,0284</w:t>
            </w:r>
          </w:p>
        </w:tc>
        <w:tc>
          <w:tcPr>
            <w:tcW w:w="721" w:type="dxa"/>
            <w:tcBorders>
              <w:top w:val="nil"/>
              <w:left w:val="nil"/>
              <w:bottom w:val="nil"/>
              <w:right w:val="nil"/>
            </w:tcBorders>
            <w:shd w:val="clear" w:color="auto" w:fill="auto"/>
            <w:noWrap/>
            <w:vAlign w:val="bottom"/>
            <w:hideMark/>
          </w:tcPr>
          <w:p w14:paraId="6B768C0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DE6061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0,0103</w:t>
            </w:r>
          </w:p>
        </w:tc>
        <w:tc>
          <w:tcPr>
            <w:tcW w:w="721" w:type="dxa"/>
            <w:tcBorders>
              <w:top w:val="nil"/>
              <w:left w:val="nil"/>
              <w:bottom w:val="nil"/>
              <w:right w:val="nil"/>
            </w:tcBorders>
            <w:shd w:val="clear" w:color="auto" w:fill="auto"/>
            <w:noWrap/>
            <w:vAlign w:val="bottom"/>
            <w:hideMark/>
          </w:tcPr>
          <w:p w14:paraId="3C84606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D73CE5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0,0052</w:t>
            </w:r>
          </w:p>
        </w:tc>
        <w:tc>
          <w:tcPr>
            <w:tcW w:w="721" w:type="dxa"/>
            <w:tcBorders>
              <w:top w:val="nil"/>
              <w:left w:val="nil"/>
              <w:bottom w:val="nil"/>
              <w:right w:val="nil"/>
            </w:tcBorders>
            <w:shd w:val="clear" w:color="auto" w:fill="auto"/>
            <w:noWrap/>
            <w:vAlign w:val="bottom"/>
            <w:hideMark/>
          </w:tcPr>
          <w:p w14:paraId="1EBF1DB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24E4E8D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0,0023</w:t>
            </w:r>
          </w:p>
        </w:tc>
        <w:tc>
          <w:tcPr>
            <w:tcW w:w="721" w:type="dxa"/>
            <w:tcBorders>
              <w:top w:val="nil"/>
              <w:left w:val="nil"/>
              <w:bottom w:val="nil"/>
              <w:right w:val="nil"/>
            </w:tcBorders>
            <w:shd w:val="clear" w:color="auto" w:fill="auto"/>
            <w:noWrap/>
            <w:vAlign w:val="bottom"/>
            <w:hideMark/>
          </w:tcPr>
          <w:p w14:paraId="7CC4C89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1A7409D7" w14:textId="77777777" w:rsidTr="00730E93">
        <w:trPr>
          <w:trHeight w:val="276"/>
        </w:trPr>
        <w:tc>
          <w:tcPr>
            <w:tcW w:w="992" w:type="dxa"/>
            <w:tcBorders>
              <w:top w:val="nil"/>
              <w:left w:val="nil"/>
              <w:bottom w:val="nil"/>
              <w:right w:val="nil"/>
            </w:tcBorders>
            <w:shd w:val="clear" w:color="auto" w:fill="auto"/>
            <w:noWrap/>
            <w:vAlign w:val="bottom"/>
            <w:hideMark/>
          </w:tcPr>
          <w:p w14:paraId="28236226"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High</w:t>
            </w:r>
          </w:p>
        </w:tc>
        <w:tc>
          <w:tcPr>
            <w:tcW w:w="1421" w:type="dxa"/>
            <w:tcBorders>
              <w:top w:val="nil"/>
              <w:left w:val="nil"/>
              <w:bottom w:val="nil"/>
              <w:right w:val="nil"/>
            </w:tcBorders>
            <w:shd w:val="clear" w:color="auto" w:fill="auto"/>
            <w:noWrap/>
            <w:vAlign w:val="bottom"/>
            <w:hideMark/>
          </w:tcPr>
          <w:p w14:paraId="707903B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0,0332</w:t>
            </w:r>
          </w:p>
        </w:tc>
        <w:tc>
          <w:tcPr>
            <w:tcW w:w="721" w:type="dxa"/>
            <w:tcBorders>
              <w:top w:val="nil"/>
              <w:left w:val="nil"/>
              <w:bottom w:val="nil"/>
              <w:right w:val="nil"/>
            </w:tcBorders>
            <w:shd w:val="clear" w:color="auto" w:fill="auto"/>
            <w:noWrap/>
            <w:vAlign w:val="bottom"/>
            <w:hideMark/>
          </w:tcPr>
          <w:p w14:paraId="6D8FD732"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23F8C0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0,0175</w:t>
            </w:r>
          </w:p>
        </w:tc>
        <w:tc>
          <w:tcPr>
            <w:tcW w:w="721" w:type="dxa"/>
            <w:tcBorders>
              <w:top w:val="nil"/>
              <w:left w:val="nil"/>
              <w:bottom w:val="nil"/>
              <w:right w:val="nil"/>
            </w:tcBorders>
            <w:shd w:val="clear" w:color="auto" w:fill="auto"/>
            <w:noWrap/>
            <w:vAlign w:val="bottom"/>
            <w:hideMark/>
          </w:tcPr>
          <w:p w14:paraId="1AEBD3E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42D9D02"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0,0054</w:t>
            </w:r>
          </w:p>
        </w:tc>
        <w:tc>
          <w:tcPr>
            <w:tcW w:w="721" w:type="dxa"/>
            <w:tcBorders>
              <w:top w:val="nil"/>
              <w:left w:val="nil"/>
              <w:bottom w:val="nil"/>
              <w:right w:val="nil"/>
            </w:tcBorders>
            <w:shd w:val="clear" w:color="auto" w:fill="auto"/>
            <w:noWrap/>
            <w:vAlign w:val="bottom"/>
            <w:hideMark/>
          </w:tcPr>
          <w:p w14:paraId="44ED503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5F2BE6F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0,0022</w:t>
            </w:r>
          </w:p>
        </w:tc>
        <w:tc>
          <w:tcPr>
            <w:tcW w:w="721" w:type="dxa"/>
            <w:tcBorders>
              <w:top w:val="nil"/>
              <w:left w:val="nil"/>
              <w:bottom w:val="nil"/>
              <w:right w:val="nil"/>
            </w:tcBorders>
            <w:shd w:val="clear" w:color="auto" w:fill="auto"/>
            <w:noWrap/>
            <w:vAlign w:val="bottom"/>
            <w:hideMark/>
          </w:tcPr>
          <w:p w14:paraId="32484B0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4F976D73" w14:textId="77777777" w:rsidTr="00730E93">
        <w:trPr>
          <w:trHeight w:val="276"/>
        </w:trPr>
        <w:tc>
          <w:tcPr>
            <w:tcW w:w="9560" w:type="dxa"/>
            <w:gridSpan w:val="9"/>
            <w:tcBorders>
              <w:top w:val="single" w:sz="4" w:space="0" w:color="auto"/>
              <w:left w:val="nil"/>
              <w:bottom w:val="single" w:sz="4" w:space="0" w:color="auto"/>
              <w:right w:val="nil"/>
            </w:tcBorders>
            <w:shd w:val="clear" w:color="auto" w:fill="auto"/>
            <w:noWrap/>
            <w:vAlign w:val="bottom"/>
            <w:hideMark/>
          </w:tcPr>
          <w:p w14:paraId="70AA47F5"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Stage 1</w:t>
            </w:r>
          </w:p>
        </w:tc>
      </w:tr>
      <w:tr w:rsidR="002A5DE2" w:rsidRPr="00EF6EC2" w14:paraId="56E40ADB" w14:textId="77777777" w:rsidTr="00730E93">
        <w:trPr>
          <w:trHeight w:val="276"/>
        </w:trPr>
        <w:tc>
          <w:tcPr>
            <w:tcW w:w="992" w:type="dxa"/>
            <w:tcBorders>
              <w:top w:val="nil"/>
              <w:left w:val="nil"/>
              <w:bottom w:val="single" w:sz="4" w:space="0" w:color="auto"/>
              <w:right w:val="nil"/>
            </w:tcBorders>
            <w:shd w:val="clear" w:color="auto" w:fill="auto"/>
            <w:noWrap/>
            <w:vAlign w:val="bottom"/>
            <w:hideMark/>
          </w:tcPr>
          <w:p w14:paraId="7F4EC0E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 </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0B4B1585"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Sharpe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5A853A66"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Treynor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441E45E7"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proofErr w:type="spellStart"/>
            <w:r w:rsidRPr="00EF6EC2">
              <w:rPr>
                <w:rFonts w:ascii="Times New Roman" w:eastAsia="Times New Roman" w:hAnsi="Times New Roman" w:cs="Times New Roman"/>
                <w:b/>
                <w:bCs/>
                <w:color w:val="000000"/>
              </w:rPr>
              <w:t>Sortino</w:t>
            </w:r>
            <w:proofErr w:type="spellEnd"/>
            <w:r w:rsidRPr="00EF6EC2">
              <w:rPr>
                <w:rFonts w:ascii="Times New Roman" w:eastAsia="Times New Roman" w:hAnsi="Times New Roman" w:cs="Times New Roman"/>
                <w:b/>
                <w:bCs/>
                <w:color w:val="000000"/>
              </w:rPr>
              <w:t xml:space="preserv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586C8981"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Information Ratio</w:t>
            </w:r>
          </w:p>
        </w:tc>
      </w:tr>
      <w:tr w:rsidR="002A5DE2" w:rsidRPr="00EF6EC2" w14:paraId="08841C07" w14:textId="77777777" w:rsidTr="00730E93">
        <w:trPr>
          <w:trHeight w:val="276"/>
        </w:trPr>
        <w:tc>
          <w:tcPr>
            <w:tcW w:w="992" w:type="dxa"/>
            <w:tcBorders>
              <w:top w:val="nil"/>
              <w:left w:val="nil"/>
              <w:bottom w:val="nil"/>
              <w:right w:val="nil"/>
            </w:tcBorders>
            <w:shd w:val="clear" w:color="auto" w:fill="auto"/>
            <w:noWrap/>
            <w:vAlign w:val="bottom"/>
            <w:hideMark/>
          </w:tcPr>
          <w:p w14:paraId="05814A1B"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Low</w:t>
            </w:r>
          </w:p>
        </w:tc>
        <w:tc>
          <w:tcPr>
            <w:tcW w:w="1421" w:type="dxa"/>
            <w:tcBorders>
              <w:top w:val="nil"/>
              <w:left w:val="nil"/>
              <w:bottom w:val="nil"/>
              <w:right w:val="nil"/>
            </w:tcBorders>
            <w:shd w:val="clear" w:color="auto" w:fill="auto"/>
            <w:noWrap/>
            <w:vAlign w:val="bottom"/>
            <w:hideMark/>
          </w:tcPr>
          <w:p w14:paraId="4C04996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0,0065</w:t>
            </w:r>
          </w:p>
        </w:tc>
        <w:tc>
          <w:tcPr>
            <w:tcW w:w="721" w:type="dxa"/>
            <w:tcBorders>
              <w:top w:val="nil"/>
              <w:left w:val="nil"/>
              <w:bottom w:val="nil"/>
              <w:right w:val="nil"/>
            </w:tcBorders>
            <w:shd w:val="clear" w:color="auto" w:fill="auto"/>
            <w:noWrap/>
            <w:vAlign w:val="bottom"/>
            <w:hideMark/>
          </w:tcPr>
          <w:p w14:paraId="677E6CC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781FA5A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0,0046</w:t>
            </w:r>
          </w:p>
        </w:tc>
        <w:tc>
          <w:tcPr>
            <w:tcW w:w="721" w:type="dxa"/>
            <w:tcBorders>
              <w:top w:val="nil"/>
              <w:left w:val="nil"/>
              <w:bottom w:val="nil"/>
              <w:right w:val="nil"/>
            </w:tcBorders>
            <w:shd w:val="clear" w:color="auto" w:fill="auto"/>
            <w:noWrap/>
            <w:vAlign w:val="bottom"/>
            <w:hideMark/>
          </w:tcPr>
          <w:p w14:paraId="712384B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7AA8049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0,0015</w:t>
            </w:r>
          </w:p>
        </w:tc>
        <w:tc>
          <w:tcPr>
            <w:tcW w:w="721" w:type="dxa"/>
            <w:tcBorders>
              <w:top w:val="nil"/>
              <w:left w:val="nil"/>
              <w:bottom w:val="nil"/>
              <w:right w:val="nil"/>
            </w:tcBorders>
            <w:shd w:val="clear" w:color="auto" w:fill="auto"/>
            <w:noWrap/>
            <w:vAlign w:val="bottom"/>
            <w:hideMark/>
          </w:tcPr>
          <w:p w14:paraId="1AC6505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50591F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0,0032</w:t>
            </w:r>
          </w:p>
        </w:tc>
        <w:tc>
          <w:tcPr>
            <w:tcW w:w="721" w:type="dxa"/>
            <w:tcBorders>
              <w:top w:val="nil"/>
              <w:left w:val="nil"/>
              <w:bottom w:val="nil"/>
              <w:right w:val="nil"/>
            </w:tcBorders>
            <w:shd w:val="clear" w:color="auto" w:fill="auto"/>
            <w:noWrap/>
            <w:vAlign w:val="bottom"/>
            <w:hideMark/>
          </w:tcPr>
          <w:p w14:paraId="01BE9C70"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r>
      <w:tr w:rsidR="002A5DE2" w:rsidRPr="00EF6EC2" w14:paraId="7A7E6FB9" w14:textId="77777777" w:rsidTr="00730E93">
        <w:trPr>
          <w:trHeight w:val="276"/>
        </w:trPr>
        <w:tc>
          <w:tcPr>
            <w:tcW w:w="992" w:type="dxa"/>
            <w:tcBorders>
              <w:top w:val="nil"/>
              <w:left w:val="nil"/>
              <w:bottom w:val="nil"/>
              <w:right w:val="nil"/>
            </w:tcBorders>
            <w:shd w:val="clear" w:color="auto" w:fill="auto"/>
            <w:noWrap/>
            <w:vAlign w:val="bottom"/>
            <w:hideMark/>
          </w:tcPr>
          <w:p w14:paraId="4F33F9E2"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2</w:t>
            </w:r>
          </w:p>
        </w:tc>
        <w:tc>
          <w:tcPr>
            <w:tcW w:w="1421" w:type="dxa"/>
            <w:tcBorders>
              <w:top w:val="nil"/>
              <w:left w:val="nil"/>
              <w:bottom w:val="nil"/>
              <w:right w:val="nil"/>
            </w:tcBorders>
            <w:shd w:val="clear" w:color="auto" w:fill="auto"/>
            <w:noWrap/>
            <w:vAlign w:val="bottom"/>
            <w:hideMark/>
          </w:tcPr>
          <w:p w14:paraId="18062C8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0,0089</w:t>
            </w:r>
          </w:p>
        </w:tc>
        <w:tc>
          <w:tcPr>
            <w:tcW w:w="721" w:type="dxa"/>
            <w:tcBorders>
              <w:top w:val="nil"/>
              <w:left w:val="nil"/>
              <w:bottom w:val="nil"/>
              <w:right w:val="nil"/>
            </w:tcBorders>
            <w:shd w:val="clear" w:color="auto" w:fill="auto"/>
            <w:noWrap/>
            <w:vAlign w:val="bottom"/>
            <w:hideMark/>
          </w:tcPr>
          <w:p w14:paraId="3FE82FD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980D07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0,0060</w:t>
            </w:r>
          </w:p>
        </w:tc>
        <w:tc>
          <w:tcPr>
            <w:tcW w:w="721" w:type="dxa"/>
            <w:tcBorders>
              <w:top w:val="nil"/>
              <w:left w:val="nil"/>
              <w:bottom w:val="nil"/>
              <w:right w:val="nil"/>
            </w:tcBorders>
            <w:shd w:val="clear" w:color="auto" w:fill="auto"/>
            <w:noWrap/>
            <w:vAlign w:val="bottom"/>
            <w:hideMark/>
          </w:tcPr>
          <w:p w14:paraId="6DC9E18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74DF089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0,0018</w:t>
            </w:r>
          </w:p>
        </w:tc>
        <w:tc>
          <w:tcPr>
            <w:tcW w:w="721" w:type="dxa"/>
            <w:tcBorders>
              <w:top w:val="nil"/>
              <w:left w:val="nil"/>
              <w:bottom w:val="nil"/>
              <w:right w:val="nil"/>
            </w:tcBorders>
            <w:shd w:val="clear" w:color="auto" w:fill="auto"/>
            <w:noWrap/>
            <w:vAlign w:val="bottom"/>
            <w:hideMark/>
          </w:tcPr>
          <w:p w14:paraId="2B5A249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C3B49B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0,0062</w:t>
            </w:r>
          </w:p>
        </w:tc>
        <w:tc>
          <w:tcPr>
            <w:tcW w:w="721" w:type="dxa"/>
            <w:tcBorders>
              <w:top w:val="nil"/>
              <w:left w:val="nil"/>
              <w:bottom w:val="nil"/>
              <w:right w:val="nil"/>
            </w:tcBorders>
            <w:shd w:val="clear" w:color="auto" w:fill="auto"/>
            <w:noWrap/>
            <w:vAlign w:val="bottom"/>
            <w:hideMark/>
          </w:tcPr>
          <w:p w14:paraId="4987D18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3AE41D51" w14:textId="77777777" w:rsidTr="00730E93">
        <w:trPr>
          <w:trHeight w:val="276"/>
        </w:trPr>
        <w:tc>
          <w:tcPr>
            <w:tcW w:w="992" w:type="dxa"/>
            <w:tcBorders>
              <w:top w:val="nil"/>
              <w:left w:val="nil"/>
              <w:bottom w:val="nil"/>
              <w:right w:val="nil"/>
            </w:tcBorders>
            <w:shd w:val="clear" w:color="auto" w:fill="auto"/>
            <w:noWrap/>
            <w:vAlign w:val="bottom"/>
            <w:hideMark/>
          </w:tcPr>
          <w:p w14:paraId="5F910F2E"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3</w:t>
            </w:r>
          </w:p>
        </w:tc>
        <w:tc>
          <w:tcPr>
            <w:tcW w:w="1421" w:type="dxa"/>
            <w:tcBorders>
              <w:top w:val="nil"/>
              <w:left w:val="nil"/>
              <w:bottom w:val="nil"/>
              <w:right w:val="nil"/>
            </w:tcBorders>
            <w:shd w:val="clear" w:color="auto" w:fill="auto"/>
            <w:noWrap/>
            <w:vAlign w:val="bottom"/>
            <w:hideMark/>
          </w:tcPr>
          <w:p w14:paraId="5B00450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0,0098</w:t>
            </w:r>
          </w:p>
        </w:tc>
        <w:tc>
          <w:tcPr>
            <w:tcW w:w="721" w:type="dxa"/>
            <w:tcBorders>
              <w:top w:val="nil"/>
              <w:left w:val="nil"/>
              <w:bottom w:val="nil"/>
              <w:right w:val="nil"/>
            </w:tcBorders>
            <w:shd w:val="clear" w:color="auto" w:fill="auto"/>
            <w:noWrap/>
            <w:vAlign w:val="bottom"/>
            <w:hideMark/>
          </w:tcPr>
          <w:p w14:paraId="34651E4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2647192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0,0063</w:t>
            </w:r>
          </w:p>
        </w:tc>
        <w:tc>
          <w:tcPr>
            <w:tcW w:w="721" w:type="dxa"/>
            <w:tcBorders>
              <w:top w:val="nil"/>
              <w:left w:val="nil"/>
              <w:bottom w:val="nil"/>
              <w:right w:val="nil"/>
            </w:tcBorders>
            <w:shd w:val="clear" w:color="auto" w:fill="auto"/>
            <w:noWrap/>
            <w:vAlign w:val="bottom"/>
            <w:hideMark/>
          </w:tcPr>
          <w:p w14:paraId="109CD01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AE739B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0,0017</w:t>
            </w:r>
          </w:p>
        </w:tc>
        <w:tc>
          <w:tcPr>
            <w:tcW w:w="721" w:type="dxa"/>
            <w:tcBorders>
              <w:top w:val="nil"/>
              <w:left w:val="nil"/>
              <w:bottom w:val="nil"/>
              <w:right w:val="nil"/>
            </w:tcBorders>
            <w:shd w:val="clear" w:color="auto" w:fill="auto"/>
            <w:noWrap/>
            <w:vAlign w:val="bottom"/>
            <w:hideMark/>
          </w:tcPr>
          <w:p w14:paraId="439F5437"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526E975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0,0093</w:t>
            </w:r>
          </w:p>
        </w:tc>
        <w:tc>
          <w:tcPr>
            <w:tcW w:w="721" w:type="dxa"/>
            <w:tcBorders>
              <w:top w:val="nil"/>
              <w:left w:val="nil"/>
              <w:bottom w:val="nil"/>
              <w:right w:val="nil"/>
            </w:tcBorders>
            <w:shd w:val="clear" w:color="auto" w:fill="auto"/>
            <w:noWrap/>
            <w:vAlign w:val="bottom"/>
            <w:hideMark/>
          </w:tcPr>
          <w:p w14:paraId="77B020B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3A966EB0" w14:textId="77777777" w:rsidTr="00730E93">
        <w:trPr>
          <w:trHeight w:val="276"/>
        </w:trPr>
        <w:tc>
          <w:tcPr>
            <w:tcW w:w="992" w:type="dxa"/>
            <w:tcBorders>
              <w:top w:val="nil"/>
              <w:left w:val="nil"/>
              <w:bottom w:val="nil"/>
              <w:right w:val="nil"/>
            </w:tcBorders>
            <w:shd w:val="clear" w:color="auto" w:fill="auto"/>
            <w:noWrap/>
            <w:vAlign w:val="bottom"/>
            <w:hideMark/>
          </w:tcPr>
          <w:p w14:paraId="5C458A9C"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4</w:t>
            </w:r>
          </w:p>
        </w:tc>
        <w:tc>
          <w:tcPr>
            <w:tcW w:w="1421" w:type="dxa"/>
            <w:tcBorders>
              <w:top w:val="nil"/>
              <w:left w:val="nil"/>
              <w:bottom w:val="nil"/>
              <w:right w:val="nil"/>
            </w:tcBorders>
            <w:shd w:val="clear" w:color="auto" w:fill="auto"/>
            <w:noWrap/>
            <w:vAlign w:val="bottom"/>
            <w:hideMark/>
          </w:tcPr>
          <w:p w14:paraId="72E368D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0,0192</w:t>
            </w:r>
          </w:p>
        </w:tc>
        <w:tc>
          <w:tcPr>
            <w:tcW w:w="721" w:type="dxa"/>
            <w:tcBorders>
              <w:top w:val="nil"/>
              <w:left w:val="nil"/>
              <w:bottom w:val="nil"/>
              <w:right w:val="nil"/>
            </w:tcBorders>
            <w:shd w:val="clear" w:color="auto" w:fill="auto"/>
            <w:noWrap/>
            <w:vAlign w:val="bottom"/>
            <w:hideMark/>
          </w:tcPr>
          <w:p w14:paraId="193B29E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DC426C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0,0117</w:t>
            </w:r>
          </w:p>
        </w:tc>
        <w:tc>
          <w:tcPr>
            <w:tcW w:w="721" w:type="dxa"/>
            <w:tcBorders>
              <w:top w:val="nil"/>
              <w:left w:val="nil"/>
              <w:bottom w:val="nil"/>
              <w:right w:val="nil"/>
            </w:tcBorders>
            <w:shd w:val="clear" w:color="auto" w:fill="auto"/>
            <w:noWrap/>
            <w:vAlign w:val="bottom"/>
            <w:hideMark/>
          </w:tcPr>
          <w:p w14:paraId="390FF37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3FCC46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0,0029</w:t>
            </w:r>
          </w:p>
        </w:tc>
        <w:tc>
          <w:tcPr>
            <w:tcW w:w="721" w:type="dxa"/>
            <w:tcBorders>
              <w:top w:val="nil"/>
              <w:left w:val="nil"/>
              <w:bottom w:val="nil"/>
              <w:right w:val="nil"/>
            </w:tcBorders>
            <w:shd w:val="clear" w:color="auto" w:fill="auto"/>
            <w:noWrap/>
            <w:vAlign w:val="bottom"/>
            <w:hideMark/>
          </w:tcPr>
          <w:p w14:paraId="03083E0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E4131E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0,0154</w:t>
            </w:r>
          </w:p>
        </w:tc>
        <w:tc>
          <w:tcPr>
            <w:tcW w:w="721" w:type="dxa"/>
            <w:tcBorders>
              <w:top w:val="nil"/>
              <w:left w:val="nil"/>
              <w:bottom w:val="nil"/>
              <w:right w:val="nil"/>
            </w:tcBorders>
            <w:shd w:val="clear" w:color="auto" w:fill="auto"/>
            <w:noWrap/>
            <w:vAlign w:val="bottom"/>
            <w:hideMark/>
          </w:tcPr>
          <w:p w14:paraId="5623E85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518D6557" w14:textId="77777777" w:rsidTr="00730E93">
        <w:trPr>
          <w:trHeight w:val="276"/>
        </w:trPr>
        <w:tc>
          <w:tcPr>
            <w:tcW w:w="992" w:type="dxa"/>
            <w:tcBorders>
              <w:top w:val="nil"/>
              <w:left w:val="nil"/>
              <w:bottom w:val="nil"/>
              <w:right w:val="nil"/>
            </w:tcBorders>
            <w:shd w:val="clear" w:color="auto" w:fill="auto"/>
            <w:noWrap/>
            <w:vAlign w:val="bottom"/>
            <w:hideMark/>
          </w:tcPr>
          <w:p w14:paraId="3821182D"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High</w:t>
            </w:r>
          </w:p>
        </w:tc>
        <w:tc>
          <w:tcPr>
            <w:tcW w:w="1421" w:type="dxa"/>
            <w:tcBorders>
              <w:top w:val="nil"/>
              <w:left w:val="nil"/>
              <w:bottom w:val="nil"/>
              <w:right w:val="nil"/>
            </w:tcBorders>
            <w:shd w:val="clear" w:color="auto" w:fill="auto"/>
            <w:noWrap/>
            <w:vAlign w:val="bottom"/>
            <w:hideMark/>
          </w:tcPr>
          <w:p w14:paraId="68A93FB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0,0269</w:t>
            </w:r>
          </w:p>
        </w:tc>
        <w:tc>
          <w:tcPr>
            <w:tcW w:w="721" w:type="dxa"/>
            <w:tcBorders>
              <w:top w:val="nil"/>
              <w:left w:val="nil"/>
              <w:bottom w:val="nil"/>
              <w:right w:val="nil"/>
            </w:tcBorders>
            <w:shd w:val="clear" w:color="auto" w:fill="auto"/>
            <w:noWrap/>
            <w:vAlign w:val="bottom"/>
            <w:hideMark/>
          </w:tcPr>
          <w:p w14:paraId="3FFDAF9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244F29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0,0197</w:t>
            </w:r>
          </w:p>
        </w:tc>
        <w:tc>
          <w:tcPr>
            <w:tcW w:w="721" w:type="dxa"/>
            <w:tcBorders>
              <w:top w:val="nil"/>
              <w:left w:val="nil"/>
              <w:bottom w:val="nil"/>
              <w:right w:val="nil"/>
            </w:tcBorders>
            <w:shd w:val="clear" w:color="auto" w:fill="auto"/>
            <w:noWrap/>
            <w:vAlign w:val="bottom"/>
            <w:hideMark/>
          </w:tcPr>
          <w:p w14:paraId="2A1C5FE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1D9900B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0,0036</w:t>
            </w:r>
          </w:p>
        </w:tc>
        <w:tc>
          <w:tcPr>
            <w:tcW w:w="721" w:type="dxa"/>
            <w:tcBorders>
              <w:top w:val="nil"/>
              <w:left w:val="nil"/>
              <w:bottom w:val="nil"/>
              <w:right w:val="nil"/>
            </w:tcBorders>
            <w:shd w:val="clear" w:color="auto" w:fill="auto"/>
            <w:noWrap/>
            <w:vAlign w:val="bottom"/>
            <w:hideMark/>
          </w:tcPr>
          <w:p w14:paraId="11BD090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1C10334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0,0263</w:t>
            </w:r>
          </w:p>
        </w:tc>
        <w:tc>
          <w:tcPr>
            <w:tcW w:w="721" w:type="dxa"/>
            <w:tcBorders>
              <w:top w:val="nil"/>
              <w:left w:val="nil"/>
              <w:bottom w:val="nil"/>
              <w:right w:val="nil"/>
            </w:tcBorders>
            <w:shd w:val="clear" w:color="auto" w:fill="auto"/>
            <w:noWrap/>
            <w:vAlign w:val="bottom"/>
            <w:hideMark/>
          </w:tcPr>
          <w:p w14:paraId="348AF2B2"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10347D74" w14:textId="77777777" w:rsidTr="00730E93">
        <w:trPr>
          <w:trHeight w:val="276"/>
        </w:trPr>
        <w:tc>
          <w:tcPr>
            <w:tcW w:w="9560" w:type="dxa"/>
            <w:gridSpan w:val="9"/>
            <w:tcBorders>
              <w:top w:val="single" w:sz="4" w:space="0" w:color="auto"/>
              <w:left w:val="nil"/>
              <w:bottom w:val="single" w:sz="4" w:space="0" w:color="auto"/>
              <w:right w:val="nil"/>
            </w:tcBorders>
            <w:shd w:val="clear" w:color="auto" w:fill="auto"/>
            <w:noWrap/>
            <w:vAlign w:val="bottom"/>
            <w:hideMark/>
          </w:tcPr>
          <w:p w14:paraId="387589CE"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Stage 2</w:t>
            </w:r>
          </w:p>
        </w:tc>
      </w:tr>
      <w:tr w:rsidR="002A5DE2" w:rsidRPr="00EF6EC2" w14:paraId="1CB29DAE" w14:textId="77777777" w:rsidTr="00730E93">
        <w:trPr>
          <w:trHeight w:val="276"/>
        </w:trPr>
        <w:tc>
          <w:tcPr>
            <w:tcW w:w="992" w:type="dxa"/>
            <w:tcBorders>
              <w:top w:val="nil"/>
              <w:left w:val="nil"/>
              <w:bottom w:val="single" w:sz="4" w:space="0" w:color="auto"/>
              <w:right w:val="nil"/>
            </w:tcBorders>
            <w:shd w:val="clear" w:color="auto" w:fill="auto"/>
            <w:noWrap/>
            <w:vAlign w:val="bottom"/>
            <w:hideMark/>
          </w:tcPr>
          <w:p w14:paraId="48BD87E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 </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2A13B509"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Sharpe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5114E75F"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Treynor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29FCFDD5"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proofErr w:type="spellStart"/>
            <w:r w:rsidRPr="00EF6EC2">
              <w:rPr>
                <w:rFonts w:ascii="Times New Roman" w:eastAsia="Times New Roman" w:hAnsi="Times New Roman" w:cs="Times New Roman"/>
                <w:b/>
                <w:bCs/>
                <w:color w:val="000000"/>
              </w:rPr>
              <w:t>Sortino</w:t>
            </w:r>
            <w:proofErr w:type="spellEnd"/>
            <w:r w:rsidRPr="00EF6EC2">
              <w:rPr>
                <w:rFonts w:ascii="Times New Roman" w:eastAsia="Times New Roman" w:hAnsi="Times New Roman" w:cs="Times New Roman"/>
                <w:b/>
                <w:bCs/>
                <w:color w:val="000000"/>
              </w:rPr>
              <w:t xml:space="preserv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69A29171"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Information Ratio</w:t>
            </w:r>
          </w:p>
        </w:tc>
      </w:tr>
      <w:tr w:rsidR="002A5DE2" w:rsidRPr="00EF6EC2" w14:paraId="52A46F5B" w14:textId="77777777" w:rsidTr="00730E93">
        <w:trPr>
          <w:trHeight w:val="276"/>
        </w:trPr>
        <w:tc>
          <w:tcPr>
            <w:tcW w:w="992" w:type="dxa"/>
            <w:tcBorders>
              <w:top w:val="nil"/>
              <w:left w:val="nil"/>
              <w:bottom w:val="nil"/>
              <w:right w:val="nil"/>
            </w:tcBorders>
            <w:shd w:val="clear" w:color="auto" w:fill="auto"/>
            <w:noWrap/>
            <w:vAlign w:val="bottom"/>
            <w:hideMark/>
          </w:tcPr>
          <w:p w14:paraId="0B57D8D5"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Low</w:t>
            </w:r>
          </w:p>
        </w:tc>
        <w:tc>
          <w:tcPr>
            <w:tcW w:w="1421" w:type="dxa"/>
            <w:tcBorders>
              <w:top w:val="nil"/>
              <w:left w:val="nil"/>
              <w:bottom w:val="nil"/>
              <w:right w:val="nil"/>
            </w:tcBorders>
            <w:shd w:val="clear" w:color="auto" w:fill="auto"/>
            <w:noWrap/>
            <w:vAlign w:val="bottom"/>
            <w:hideMark/>
          </w:tcPr>
          <w:p w14:paraId="442614D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-0,0689</w:t>
            </w:r>
          </w:p>
        </w:tc>
        <w:tc>
          <w:tcPr>
            <w:tcW w:w="721" w:type="dxa"/>
            <w:tcBorders>
              <w:top w:val="nil"/>
              <w:left w:val="nil"/>
              <w:bottom w:val="nil"/>
              <w:right w:val="nil"/>
            </w:tcBorders>
            <w:shd w:val="clear" w:color="auto" w:fill="auto"/>
            <w:noWrap/>
            <w:vAlign w:val="bottom"/>
            <w:hideMark/>
          </w:tcPr>
          <w:p w14:paraId="03FA04B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299402C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-0,0109</w:t>
            </w:r>
          </w:p>
        </w:tc>
        <w:tc>
          <w:tcPr>
            <w:tcW w:w="721" w:type="dxa"/>
            <w:tcBorders>
              <w:top w:val="nil"/>
              <w:left w:val="nil"/>
              <w:bottom w:val="nil"/>
              <w:right w:val="nil"/>
            </w:tcBorders>
            <w:shd w:val="clear" w:color="auto" w:fill="auto"/>
            <w:noWrap/>
            <w:vAlign w:val="bottom"/>
            <w:hideMark/>
          </w:tcPr>
          <w:p w14:paraId="2E3B506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4885D8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-0,0349</w:t>
            </w:r>
          </w:p>
        </w:tc>
        <w:tc>
          <w:tcPr>
            <w:tcW w:w="721" w:type="dxa"/>
            <w:tcBorders>
              <w:top w:val="nil"/>
              <w:left w:val="nil"/>
              <w:bottom w:val="nil"/>
              <w:right w:val="nil"/>
            </w:tcBorders>
            <w:shd w:val="clear" w:color="auto" w:fill="auto"/>
            <w:noWrap/>
            <w:vAlign w:val="bottom"/>
            <w:hideMark/>
          </w:tcPr>
          <w:p w14:paraId="6E78E34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2EB3EF7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-0,0090</w:t>
            </w:r>
          </w:p>
        </w:tc>
        <w:tc>
          <w:tcPr>
            <w:tcW w:w="721" w:type="dxa"/>
            <w:tcBorders>
              <w:top w:val="nil"/>
              <w:left w:val="nil"/>
              <w:bottom w:val="nil"/>
              <w:right w:val="nil"/>
            </w:tcBorders>
            <w:shd w:val="clear" w:color="auto" w:fill="auto"/>
            <w:noWrap/>
            <w:vAlign w:val="bottom"/>
            <w:hideMark/>
          </w:tcPr>
          <w:p w14:paraId="47F66599"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0859C16B" w14:textId="77777777" w:rsidTr="00730E93">
        <w:trPr>
          <w:trHeight w:val="276"/>
        </w:trPr>
        <w:tc>
          <w:tcPr>
            <w:tcW w:w="992" w:type="dxa"/>
            <w:tcBorders>
              <w:top w:val="nil"/>
              <w:left w:val="nil"/>
              <w:bottom w:val="nil"/>
              <w:right w:val="nil"/>
            </w:tcBorders>
            <w:shd w:val="clear" w:color="auto" w:fill="auto"/>
            <w:noWrap/>
            <w:vAlign w:val="bottom"/>
            <w:hideMark/>
          </w:tcPr>
          <w:p w14:paraId="0950C88F"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2</w:t>
            </w:r>
          </w:p>
        </w:tc>
        <w:tc>
          <w:tcPr>
            <w:tcW w:w="1421" w:type="dxa"/>
            <w:tcBorders>
              <w:top w:val="nil"/>
              <w:left w:val="nil"/>
              <w:bottom w:val="nil"/>
              <w:right w:val="nil"/>
            </w:tcBorders>
            <w:shd w:val="clear" w:color="auto" w:fill="auto"/>
            <w:noWrap/>
            <w:vAlign w:val="bottom"/>
            <w:hideMark/>
          </w:tcPr>
          <w:p w14:paraId="7B2AC8E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-0,0479</w:t>
            </w:r>
          </w:p>
        </w:tc>
        <w:tc>
          <w:tcPr>
            <w:tcW w:w="721" w:type="dxa"/>
            <w:tcBorders>
              <w:top w:val="nil"/>
              <w:left w:val="nil"/>
              <w:bottom w:val="nil"/>
              <w:right w:val="nil"/>
            </w:tcBorders>
            <w:shd w:val="clear" w:color="auto" w:fill="auto"/>
            <w:noWrap/>
            <w:vAlign w:val="bottom"/>
            <w:hideMark/>
          </w:tcPr>
          <w:p w14:paraId="336A0D2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688474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-0,0072</w:t>
            </w:r>
          </w:p>
        </w:tc>
        <w:tc>
          <w:tcPr>
            <w:tcW w:w="721" w:type="dxa"/>
            <w:tcBorders>
              <w:top w:val="nil"/>
              <w:left w:val="nil"/>
              <w:bottom w:val="nil"/>
              <w:right w:val="nil"/>
            </w:tcBorders>
            <w:shd w:val="clear" w:color="auto" w:fill="auto"/>
            <w:noWrap/>
            <w:vAlign w:val="bottom"/>
            <w:hideMark/>
          </w:tcPr>
          <w:p w14:paraId="3524012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14E21F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-0,0214</w:t>
            </w:r>
          </w:p>
        </w:tc>
        <w:tc>
          <w:tcPr>
            <w:tcW w:w="721" w:type="dxa"/>
            <w:tcBorders>
              <w:top w:val="nil"/>
              <w:left w:val="nil"/>
              <w:bottom w:val="nil"/>
              <w:right w:val="nil"/>
            </w:tcBorders>
            <w:shd w:val="clear" w:color="auto" w:fill="auto"/>
            <w:noWrap/>
            <w:vAlign w:val="bottom"/>
            <w:hideMark/>
          </w:tcPr>
          <w:p w14:paraId="6D7AF6C5"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2159DA2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-0,0056</w:t>
            </w:r>
          </w:p>
        </w:tc>
        <w:tc>
          <w:tcPr>
            <w:tcW w:w="721" w:type="dxa"/>
            <w:tcBorders>
              <w:top w:val="nil"/>
              <w:left w:val="nil"/>
              <w:bottom w:val="nil"/>
              <w:right w:val="nil"/>
            </w:tcBorders>
            <w:shd w:val="clear" w:color="auto" w:fill="auto"/>
            <w:noWrap/>
            <w:vAlign w:val="bottom"/>
            <w:hideMark/>
          </w:tcPr>
          <w:p w14:paraId="0F13DED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3CFC07AC" w14:textId="77777777" w:rsidTr="00730E93">
        <w:trPr>
          <w:trHeight w:val="276"/>
        </w:trPr>
        <w:tc>
          <w:tcPr>
            <w:tcW w:w="992" w:type="dxa"/>
            <w:tcBorders>
              <w:top w:val="nil"/>
              <w:left w:val="nil"/>
              <w:bottom w:val="nil"/>
              <w:right w:val="nil"/>
            </w:tcBorders>
            <w:shd w:val="clear" w:color="auto" w:fill="auto"/>
            <w:noWrap/>
            <w:vAlign w:val="bottom"/>
            <w:hideMark/>
          </w:tcPr>
          <w:p w14:paraId="765DE662"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3</w:t>
            </w:r>
          </w:p>
        </w:tc>
        <w:tc>
          <w:tcPr>
            <w:tcW w:w="1421" w:type="dxa"/>
            <w:tcBorders>
              <w:top w:val="nil"/>
              <w:left w:val="nil"/>
              <w:bottom w:val="nil"/>
              <w:right w:val="nil"/>
            </w:tcBorders>
            <w:shd w:val="clear" w:color="auto" w:fill="auto"/>
            <w:noWrap/>
            <w:vAlign w:val="bottom"/>
            <w:hideMark/>
          </w:tcPr>
          <w:p w14:paraId="0B5C268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-0,0255</w:t>
            </w:r>
          </w:p>
        </w:tc>
        <w:tc>
          <w:tcPr>
            <w:tcW w:w="721" w:type="dxa"/>
            <w:tcBorders>
              <w:top w:val="nil"/>
              <w:left w:val="nil"/>
              <w:bottom w:val="nil"/>
              <w:right w:val="nil"/>
            </w:tcBorders>
            <w:shd w:val="clear" w:color="auto" w:fill="auto"/>
            <w:noWrap/>
            <w:vAlign w:val="bottom"/>
            <w:hideMark/>
          </w:tcPr>
          <w:p w14:paraId="693DE1B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60985A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-0,0037</w:t>
            </w:r>
          </w:p>
        </w:tc>
        <w:tc>
          <w:tcPr>
            <w:tcW w:w="721" w:type="dxa"/>
            <w:tcBorders>
              <w:top w:val="nil"/>
              <w:left w:val="nil"/>
              <w:bottom w:val="nil"/>
              <w:right w:val="nil"/>
            </w:tcBorders>
            <w:shd w:val="clear" w:color="auto" w:fill="auto"/>
            <w:noWrap/>
            <w:vAlign w:val="bottom"/>
            <w:hideMark/>
          </w:tcPr>
          <w:p w14:paraId="3657F19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6DB021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-0,0100</w:t>
            </w:r>
          </w:p>
        </w:tc>
        <w:tc>
          <w:tcPr>
            <w:tcW w:w="721" w:type="dxa"/>
            <w:tcBorders>
              <w:top w:val="nil"/>
              <w:left w:val="nil"/>
              <w:bottom w:val="nil"/>
              <w:right w:val="nil"/>
            </w:tcBorders>
            <w:shd w:val="clear" w:color="auto" w:fill="auto"/>
            <w:noWrap/>
            <w:vAlign w:val="bottom"/>
            <w:hideMark/>
          </w:tcPr>
          <w:p w14:paraId="7AED2CCF"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77DD015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-0,0027</w:t>
            </w:r>
          </w:p>
        </w:tc>
        <w:tc>
          <w:tcPr>
            <w:tcW w:w="721" w:type="dxa"/>
            <w:tcBorders>
              <w:top w:val="nil"/>
              <w:left w:val="nil"/>
              <w:bottom w:val="nil"/>
              <w:right w:val="nil"/>
            </w:tcBorders>
            <w:shd w:val="clear" w:color="auto" w:fill="auto"/>
            <w:noWrap/>
            <w:vAlign w:val="bottom"/>
            <w:hideMark/>
          </w:tcPr>
          <w:p w14:paraId="7488BE5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3D0C17B3" w14:textId="77777777" w:rsidTr="00730E93">
        <w:trPr>
          <w:trHeight w:val="276"/>
        </w:trPr>
        <w:tc>
          <w:tcPr>
            <w:tcW w:w="992" w:type="dxa"/>
            <w:tcBorders>
              <w:top w:val="nil"/>
              <w:left w:val="nil"/>
              <w:bottom w:val="nil"/>
              <w:right w:val="nil"/>
            </w:tcBorders>
            <w:shd w:val="clear" w:color="auto" w:fill="auto"/>
            <w:noWrap/>
            <w:vAlign w:val="bottom"/>
            <w:hideMark/>
          </w:tcPr>
          <w:p w14:paraId="2BBF1E23"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4</w:t>
            </w:r>
          </w:p>
        </w:tc>
        <w:tc>
          <w:tcPr>
            <w:tcW w:w="1421" w:type="dxa"/>
            <w:tcBorders>
              <w:top w:val="nil"/>
              <w:left w:val="nil"/>
              <w:bottom w:val="nil"/>
              <w:right w:val="nil"/>
            </w:tcBorders>
            <w:shd w:val="clear" w:color="auto" w:fill="auto"/>
            <w:noWrap/>
            <w:vAlign w:val="bottom"/>
            <w:hideMark/>
          </w:tcPr>
          <w:p w14:paraId="5DF3F79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0,0125</w:t>
            </w:r>
          </w:p>
        </w:tc>
        <w:tc>
          <w:tcPr>
            <w:tcW w:w="721" w:type="dxa"/>
            <w:tcBorders>
              <w:top w:val="nil"/>
              <w:left w:val="nil"/>
              <w:bottom w:val="nil"/>
              <w:right w:val="nil"/>
            </w:tcBorders>
            <w:shd w:val="clear" w:color="auto" w:fill="auto"/>
            <w:noWrap/>
            <w:vAlign w:val="bottom"/>
            <w:hideMark/>
          </w:tcPr>
          <w:p w14:paraId="736E0B4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5FB3C88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0,0017</w:t>
            </w:r>
          </w:p>
        </w:tc>
        <w:tc>
          <w:tcPr>
            <w:tcW w:w="721" w:type="dxa"/>
            <w:tcBorders>
              <w:top w:val="nil"/>
              <w:left w:val="nil"/>
              <w:bottom w:val="nil"/>
              <w:right w:val="nil"/>
            </w:tcBorders>
            <w:shd w:val="clear" w:color="auto" w:fill="auto"/>
            <w:noWrap/>
            <w:vAlign w:val="bottom"/>
            <w:hideMark/>
          </w:tcPr>
          <w:p w14:paraId="0F21018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044055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0,0043</w:t>
            </w:r>
          </w:p>
        </w:tc>
        <w:tc>
          <w:tcPr>
            <w:tcW w:w="721" w:type="dxa"/>
            <w:tcBorders>
              <w:top w:val="nil"/>
              <w:left w:val="nil"/>
              <w:bottom w:val="nil"/>
              <w:right w:val="nil"/>
            </w:tcBorders>
            <w:shd w:val="clear" w:color="auto" w:fill="auto"/>
            <w:noWrap/>
            <w:vAlign w:val="bottom"/>
            <w:hideMark/>
          </w:tcPr>
          <w:p w14:paraId="4C8C982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8B675C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0,0012</w:t>
            </w:r>
          </w:p>
        </w:tc>
        <w:tc>
          <w:tcPr>
            <w:tcW w:w="721" w:type="dxa"/>
            <w:tcBorders>
              <w:top w:val="nil"/>
              <w:left w:val="nil"/>
              <w:bottom w:val="nil"/>
              <w:right w:val="nil"/>
            </w:tcBorders>
            <w:shd w:val="clear" w:color="auto" w:fill="auto"/>
            <w:noWrap/>
            <w:vAlign w:val="bottom"/>
            <w:hideMark/>
          </w:tcPr>
          <w:p w14:paraId="1AD01D9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2050997D" w14:textId="77777777" w:rsidTr="00730E93">
        <w:trPr>
          <w:trHeight w:val="276"/>
        </w:trPr>
        <w:tc>
          <w:tcPr>
            <w:tcW w:w="992" w:type="dxa"/>
            <w:tcBorders>
              <w:top w:val="nil"/>
              <w:left w:val="nil"/>
              <w:bottom w:val="nil"/>
              <w:right w:val="nil"/>
            </w:tcBorders>
            <w:shd w:val="clear" w:color="auto" w:fill="auto"/>
            <w:noWrap/>
            <w:vAlign w:val="bottom"/>
            <w:hideMark/>
          </w:tcPr>
          <w:p w14:paraId="13F612CF"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High</w:t>
            </w:r>
          </w:p>
        </w:tc>
        <w:tc>
          <w:tcPr>
            <w:tcW w:w="1421" w:type="dxa"/>
            <w:tcBorders>
              <w:top w:val="nil"/>
              <w:left w:val="nil"/>
              <w:bottom w:val="nil"/>
              <w:right w:val="nil"/>
            </w:tcBorders>
            <w:shd w:val="clear" w:color="auto" w:fill="auto"/>
            <w:noWrap/>
            <w:vAlign w:val="bottom"/>
            <w:hideMark/>
          </w:tcPr>
          <w:p w14:paraId="623C4E7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0,0230</w:t>
            </w:r>
          </w:p>
        </w:tc>
        <w:tc>
          <w:tcPr>
            <w:tcW w:w="721" w:type="dxa"/>
            <w:tcBorders>
              <w:top w:val="nil"/>
              <w:left w:val="nil"/>
              <w:bottom w:val="nil"/>
              <w:right w:val="nil"/>
            </w:tcBorders>
            <w:shd w:val="clear" w:color="auto" w:fill="auto"/>
            <w:noWrap/>
            <w:vAlign w:val="bottom"/>
            <w:hideMark/>
          </w:tcPr>
          <w:p w14:paraId="3E9A043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5A0908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0,0200</w:t>
            </w:r>
          </w:p>
        </w:tc>
        <w:tc>
          <w:tcPr>
            <w:tcW w:w="721" w:type="dxa"/>
            <w:tcBorders>
              <w:top w:val="nil"/>
              <w:left w:val="nil"/>
              <w:bottom w:val="nil"/>
              <w:right w:val="nil"/>
            </w:tcBorders>
            <w:shd w:val="clear" w:color="auto" w:fill="auto"/>
            <w:noWrap/>
            <w:vAlign w:val="bottom"/>
            <w:hideMark/>
          </w:tcPr>
          <w:p w14:paraId="6BD5E0D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71E6DD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0,0070</w:t>
            </w:r>
          </w:p>
        </w:tc>
        <w:tc>
          <w:tcPr>
            <w:tcW w:w="721" w:type="dxa"/>
            <w:tcBorders>
              <w:top w:val="nil"/>
              <w:left w:val="nil"/>
              <w:bottom w:val="nil"/>
              <w:right w:val="nil"/>
            </w:tcBorders>
            <w:shd w:val="clear" w:color="auto" w:fill="auto"/>
            <w:noWrap/>
            <w:vAlign w:val="bottom"/>
            <w:hideMark/>
          </w:tcPr>
          <w:p w14:paraId="3569C37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57CF36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0,0133</w:t>
            </w:r>
          </w:p>
        </w:tc>
        <w:tc>
          <w:tcPr>
            <w:tcW w:w="721" w:type="dxa"/>
            <w:tcBorders>
              <w:top w:val="nil"/>
              <w:left w:val="nil"/>
              <w:bottom w:val="nil"/>
              <w:right w:val="nil"/>
            </w:tcBorders>
            <w:shd w:val="clear" w:color="auto" w:fill="auto"/>
            <w:noWrap/>
            <w:vAlign w:val="bottom"/>
            <w:hideMark/>
          </w:tcPr>
          <w:p w14:paraId="1592158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26DA70C2" w14:textId="77777777" w:rsidTr="00730E93">
        <w:trPr>
          <w:trHeight w:val="276"/>
        </w:trPr>
        <w:tc>
          <w:tcPr>
            <w:tcW w:w="9560" w:type="dxa"/>
            <w:gridSpan w:val="9"/>
            <w:tcBorders>
              <w:top w:val="single" w:sz="4" w:space="0" w:color="auto"/>
              <w:left w:val="nil"/>
              <w:bottom w:val="single" w:sz="4" w:space="0" w:color="auto"/>
              <w:right w:val="nil"/>
            </w:tcBorders>
            <w:shd w:val="clear" w:color="auto" w:fill="auto"/>
            <w:noWrap/>
            <w:vAlign w:val="bottom"/>
            <w:hideMark/>
          </w:tcPr>
          <w:p w14:paraId="4F1D01CA"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Stage 3</w:t>
            </w:r>
          </w:p>
        </w:tc>
      </w:tr>
      <w:tr w:rsidR="002A5DE2" w:rsidRPr="00EF6EC2" w14:paraId="624DA22E" w14:textId="77777777" w:rsidTr="00730E93">
        <w:trPr>
          <w:trHeight w:val="276"/>
        </w:trPr>
        <w:tc>
          <w:tcPr>
            <w:tcW w:w="992" w:type="dxa"/>
            <w:tcBorders>
              <w:top w:val="nil"/>
              <w:left w:val="nil"/>
              <w:bottom w:val="single" w:sz="4" w:space="0" w:color="auto"/>
              <w:right w:val="nil"/>
            </w:tcBorders>
            <w:shd w:val="clear" w:color="auto" w:fill="auto"/>
            <w:noWrap/>
            <w:vAlign w:val="bottom"/>
            <w:hideMark/>
          </w:tcPr>
          <w:p w14:paraId="25249C2B"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 </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0887E15C"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Sharpe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5FDD41B0"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Treynor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462DF0C7"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proofErr w:type="spellStart"/>
            <w:r w:rsidRPr="00EF6EC2">
              <w:rPr>
                <w:rFonts w:ascii="Times New Roman" w:eastAsia="Times New Roman" w:hAnsi="Times New Roman" w:cs="Times New Roman"/>
                <w:b/>
                <w:bCs/>
                <w:color w:val="000000"/>
              </w:rPr>
              <w:t>Sortino</w:t>
            </w:r>
            <w:proofErr w:type="spellEnd"/>
            <w:r w:rsidRPr="00EF6EC2">
              <w:rPr>
                <w:rFonts w:ascii="Times New Roman" w:eastAsia="Times New Roman" w:hAnsi="Times New Roman" w:cs="Times New Roman"/>
                <w:b/>
                <w:bCs/>
                <w:color w:val="000000"/>
              </w:rPr>
              <w:t xml:space="preserve"> Ratio</w:t>
            </w:r>
          </w:p>
        </w:tc>
        <w:tc>
          <w:tcPr>
            <w:tcW w:w="2142" w:type="dxa"/>
            <w:gridSpan w:val="2"/>
            <w:tcBorders>
              <w:top w:val="single" w:sz="4" w:space="0" w:color="auto"/>
              <w:left w:val="nil"/>
              <w:bottom w:val="single" w:sz="4" w:space="0" w:color="auto"/>
              <w:right w:val="nil"/>
            </w:tcBorders>
            <w:shd w:val="clear" w:color="auto" w:fill="auto"/>
            <w:noWrap/>
            <w:vAlign w:val="bottom"/>
            <w:hideMark/>
          </w:tcPr>
          <w:p w14:paraId="6B7AD516"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Information Ratio</w:t>
            </w:r>
          </w:p>
        </w:tc>
      </w:tr>
      <w:tr w:rsidR="002A5DE2" w:rsidRPr="00EF6EC2" w14:paraId="7B19AE70" w14:textId="77777777" w:rsidTr="00730E93">
        <w:trPr>
          <w:trHeight w:val="276"/>
        </w:trPr>
        <w:tc>
          <w:tcPr>
            <w:tcW w:w="992" w:type="dxa"/>
            <w:tcBorders>
              <w:top w:val="nil"/>
              <w:left w:val="nil"/>
              <w:bottom w:val="nil"/>
              <w:right w:val="nil"/>
            </w:tcBorders>
            <w:shd w:val="clear" w:color="auto" w:fill="auto"/>
            <w:noWrap/>
            <w:vAlign w:val="bottom"/>
            <w:hideMark/>
          </w:tcPr>
          <w:p w14:paraId="57539BD9"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Low</w:t>
            </w:r>
          </w:p>
        </w:tc>
        <w:tc>
          <w:tcPr>
            <w:tcW w:w="1421" w:type="dxa"/>
            <w:tcBorders>
              <w:top w:val="nil"/>
              <w:left w:val="nil"/>
              <w:bottom w:val="nil"/>
              <w:right w:val="nil"/>
            </w:tcBorders>
            <w:shd w:val="clear" w:color="auto" w:fill="auto"/>
            <w:noWrap/>
            <w:vAlign w:val="bottom"/>
            <w:hideMark/>
          </w:tcPr>
          <w:p w14:paraId="3D8EA53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-0,0255</w:t>
            </w:r>
          </w:p>
        </w:tc>
        <w:tc>
          <w:tcPr>
            <w:tcW w:w="721" w:type="dxa"/>
            <w:tcBorders>
              <w:top w:val="nil"/>
              <w:left w:val="nil"/>
              <w:bottom w:val="nil"/>
              <w:right w:val="nil"/>
            </w:tcBorders>
            <w:shd w:val="clear" w:color="auto" w:fill="auto"/>
            <w:noWrap/>
            <w:vAlign w:val="bottom"/>
            <w:hideMark/>
          </w:tcPr>
          <w:p w14:paraId="24649FC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352274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-0,0160</w:t>
            </w:r>
          </w:p>
        </w:tc>
        <w:tc>
          <w:tcPr>
            <w:tcW w:w="721" w:type="dxa"/>
            <w:tcBorders>
              <w:top w:val="nil"/>
              <w:left w:val="nil"/>
              <w:bottom w:val="nil"/>
              <w:right w:val="nil"/>
            </w:tcBorders>
            <w:shd w:val="clear" w:color="auto" w:fill="auto"/>
            <w:noWrap/>
            <w:vAlign w:val="bottom"/>
            <w:hideMark/>
          </w:tcPr>
          <w:p w14:paraId="41B9990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8313B6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-0,0042</w:t>
            </w:r>
          </w:p>
        </w:tc>
        <w:tc>
          <w:tcPr>
            <w:tcW w:w="721" w:type="dxa"/>
            <w:tcBorders>
              <w:top w:val="nil"/>
              <w:left w:val="nil"/>
              <w:bottom w:val="nil"/>
              <w:right w:val="nil"/>
            </w:tcBorders>
            <w:shd w:val="clear" w:color="auto" w:fill="auto"/>
            <w:noWrap/>
            <w:vAlign w:val="bottom"/>
            <w:hideMark/>
          </w:tcPr>
          <w:p w14:paraId="63C184C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1210EC9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-0,0092</w:t>
            </w:r>
          </w:p>
        </w:tc>
        <w:tc>
          <w:tcPr>
            <w:tcW w:w="721" w:type="dxa"/>
            <w:tcBorders>
              <w:top w:val="nil"/>
              <w:left w:val="nil"/>
              <w:bottom w:val="nil"/>
              <w:right w:val="nil"/>
            </w:tcBorders>
            <w:shd w:val="clear" w:color="auto" w:fill="auto"/>
            <w:noWrap/>
            <w:vAlign w:val="bottom"/>
            <w:hideMark/>
          </w:tcPr>
          <w:p w14:paraId="2E512C3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67D13E75" w14:textId="77777777" w:rsidTr="00730E93">
        <w:trPr>
          <w:trHeight w:val="276"/>
        </w:trPr>
        <w:tc>
          <w:tcPr>
            <w:tcW w:w="992" w:type="dxa"/>
            <w:tcBorders>
              <w:top w:val="nil"/>
              <w:left w:val="nil"/>
              <w:bottom w:val="nil"/>
              <w:right w:val="nil"/>
            </w:tcBorders>
            <w:shd w:val="clear" w:color="auto" w:fill="auto"/>
            <w:noWrap/>
            <w:vAlign w:val="bottom"/>
            <w:hideMark/>
          </w:tcPr>
          <w:p w14:paraId="2345FFF1"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2</w:t>
            </w:r>
          </w:p>
        </w:tc>
        <w:tc>
          <w:tcPr>
            <w:tcW w:w="1421" w:type="dxa"/>
            <w:tcBorders>
              <w:top w:val="nil"/>
              <w:left w:val="nil"/>
              <w:bottom w:val="nil"/>
              <w:right w:val="nil"/>
            </w:tcBorders>
            <w:shd w:val="clear" w:color="auto" w:fill="auto"/>
            <w:noWrap/>
            <w:vAlign w:val="bottom"/>
            <w:hideMark/>
          </w:tcPr>
          <w:p w14:paraId="4F7880C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-0,0103</w:t>
            </w:r>
          </w:p>
        </w:tc>
        <w:tc>
          <w:tcPr>
            <w:tcW w:w="721" w:type="dxa"/>
            <w:tcBorders>
              <w:top w:val="nil"/>
              <w:left w:val="nil"/>
              <w:bottom w:val="nil"/>
              <w:right w:val="nil"/>
            </w:tcBorders>
            <w:shd w:val="clear" w:color="auto" w:fill="auto"/>
            <w:noWrap/>
            <w:vAlign w:val="bottom"/>
            <w:hideMark/>
          </w:tcPr>
          <w:p w14:paraId="5CF0AC3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180C22C9"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-0,0062</w:t>
            </w:r>
          </w:p>
        </w:tc>
        <w:tc>
          <w:tcPr>
            <w:tcW w:w="721" w:type="dxa"/>
            <w:tcBorders>
              <w:top w:val="nil"/>
              <w:left w:val="nil"/>
              <w:bottom w:val="nil"/>
              <w:right w:val="nil"/>
            </w:tcBorders>
            <w:shd w:val="clear" w:color="auto" w:fill="auto"/>
            <w:noWrap/>
            <w:vAlign w:val="bottom"/>
            <w:hideMark/>
          </w:tcPr>
          <w:p w14:paraId="249F3A36"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0B88DE2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-0,0015</w:t>
            </w:r>
          </w:p>
        </w:tc>
        <w:tc>
          <w:tcPr>
            <w:tcW w:w="721" w:type="dxa"/>
            <w:tcBorders>
              <w:top w:val="nil"/>
              <w:left w:val="nil"/>
              <w:bottom w:val="nil"/>
              <w:right w:val="nil"/>
            </w:tcBorders>
            <w:shd w:val="clear" w:color="auto" w:fill="auto"/>
            <w:noWrap/>
            <w:vAlign w:val="bottom"/>
            <w:hideMark/>
          </w:tcPr>
          <w:p w14:paraId="1CBEF19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6446A72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-0,0034</w:t>
            </w:r>
          </w:p>
        </w:tc>
        <w:tc>
          <w:tcPr>
            <w:tcW w:w="721" w:type="dxa"/>
            <w:tcBorders>
              <w:top w:val="nil"/>
              <w:left w:val="nil"/>
              <w:bottom w:val="nil"/>
              <w:right w:val="nil"/>
            </w:tcBorders>
            <w:shd w:val="clear" w:color="auto" w:fill="auto"/>
            <w:noWrap/>
            <w:vAlign w:val="bottom"/>
            <w:hideMark/>
          </w:tcPr>
          <w:p w14:paraId="0588AFE9"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182CC0A6" w14:textId="77777777" w:rsidTr="00730E93">
        <w:trPr>
          <w:trHeight w:val="276"/>
        </w:trPr>
        <w:tc>
          <w:tcPr>
            <w:tcW w:w="992" w:type="dxa"/>
            <w:tcBorders>
              <w:top w:val="nil"/>
              <w:left w:val="nil"/>
              <w:bottom w:val="nil"/>
              <w:right w:val="nil"/>
            </w:tcBorders>
            <w:shd w:val="clear" w:color="auto" w:fill="auto"/>
            <w:noWrap/>
            <w:vAlign w:val="bottom"/>
            <w:hideMark/>
          </w:tcPr>
          <w:p w14:paraId="6155ECE9"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3</w:t>
            </w:r>
          </w:p>
        </w:tc>
        <w:tc>
          <w:tcPr>
            <w:tcW w:w="1421" w:type="dxa"/>
            <w:tcBorders>
              <w:top w:val="nil"/>
              <w:left w:val="nil"/>
              <w:bottom w:val="nil"/>
              <w:right w:val="nil"/>
            </w:tcBorders>
            <w:shd w:val="clear" w:color="auto" w:fill="auto"/>
            <w:noWrap/>
            <w:vAlign w:val="bottom"/>
            <w:hideMark/>
          </w:tcPr>
          <w:p w14:paraId="386EA1C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0,0006</w:t>
            </w:r>
          </w:p>
        </w:tc>
        <w:tc>
          <w:tcPr>
            <w:tcW w:w="721" w:type="dxa"/>
            <w:tcBorders>
              <w:top w:val="nil"/>
              <w:left w:val="nil"/>
              <w:bottom w:val="nil"/>
              <w:right w:val="nil"/>
            </w:tcBorders>
            <w:shd w:val="clear" w:color="auto" w:fill="auto"/>
            <w:noWrap/>
            <w:vAlign w:val="bottom"/>
            <w:hideMark/>
          </w:tcPr>
          <w:p w14:paraId="07402D4D"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4416A1B0"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0,0003</w:t>
            </w:r>
          </w:p>
        </w:tc>
        <w:tc>
          <w:tcPr>
            <w:tcW w:w="721" w:type="dxa"/>
            <w:tcBorders>
              <w:top w:val="nil"/>
              <w:left w:val="nil"/>
              <w:bottom w:val="nil"/>
              <w:right w:val="nil"/>
            </w:tcBorders>
            <w:shd w:val="clear" w:color="auto" w:fill="auto"/>
            <w:noWrap/>
            <w:vAlign w:val="bottom"/>
            <w:hideMark/>
          </w:tcPr>
          <w:p w14:paraId="3345B80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14B29FC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0,0007</w:t>
            </w:r>
          </w:p>
        </w:tc>
        <w:tc>
          <w:tcPr>
            <w:tcW w:w="721" w:type="dxa"/>
            <w:tcBorders>
              <w:top w:val="nil"/>
              <w:left w:val="nil"/>
              <w:bottom w:val="nil"/>
              <w:right w:val="nil"/>
            </w:tcBorders>
            <w:shd w:val="clear" w:color="auto" w:fill="auto"/>
            <w:noWrap/>
            <w:vAlign w:val="bottom"/>
            <w:hideMark/>
          </w:tcPr>
          <w:p w14:paraId="23A80243"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7F6B98E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0,0002</w:t>
            </w:r>
          </w:p>
        </w:tc>
        <w:tc>
          <w:tcPr>
            <w:tcW w:w="721" w:type="dxa"/>
            <w:tcBorders>
              <w:top w:val="nil"/>
              <w:left w:val="nil"/>
              <w:bottom w:val="nil"/>
              <w:right w:val="nil"/>
            </w:tcBorders>
            <w:shd w:val="clear" w:color="auto" w:fill="auto"/>
            <w:noWrap/>
            <w:vAlign w:val="bottom"/>
            <w:hideMark/>
          </w:tcPr>
          <w:p w14:paraId="5DD6E56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59B7E4DD" w14:textId="77777777" w:rsidTr="00730E93">
        <w:trPr>
          <w:trHeight w:val="276"/>
        </w:trPr>
        <w:tc>
          <w:tcPr>
            <w:tcW w:w="992" w:type="dxa"/>
            <w:tcBorders>
              <w:top w:val="nil"/>
              <w:left w:val="nil"/>
              <w:bottom w:val="nil"/>
              <w:right w:val="nil"/>
            </w:tcBorders>
            <w:shd w:val="clear" w:color="auto" w:fill="auto"/>
            <w:noWrap/>
            <w:vAlign w:val="bottom"/>
            <w:hideMark/>
          </w:tcPr>
          <w:p w14:paraId="07E7544F"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4</w:t>
            </w:r>
          </w:p>
        </w:tc>
        <w:tc>
          <w:tcPr>
            <w:tcW w:w="1421" w:type="dxa"/>
            <w:tcBorders>
              <w:top w:val="nil"/>
              <w:left w:val="nil"/>
              <w:bottom w:val="nil"/>
              <w:right w:val="nil"/>
            </w:tcBorders>
            <w:shd w:val="clear" w:color="auto" w:fill="auto"/>
            <w:noWrap/>
            <w:vAlign w:val="bottom"/>
            <w:hideMark/>
          </w:tcPr>
          <w:p w14:paraId="509A106C"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0,0174</w:t>
            </w:r>
          </w:p>
        </w:tc>
        <w:tc>
          <w:tcPr>
            <w:tcW w:w="721" w:type="dxa"/>
            <w:tcBorders>
              <w:top w:val="nil"/>
              <w:left w:val="nil"/>
              <w:bottom w:val="nil"/>
              <w:right w:val="nil"/>
            </w:tcBorders>
            <w:shd w:val="clear" w:color="auto" w:fill="auto"/>
            <w:noWrap/>
            <w:vAlign w:val="bottom"/>
            <w:hideMark/>
          </w:tcPr>
          <w:p w14:paraId="4174E224"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3C144FED"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0,0094</w:t>
            </w:r>
          </w:p>
        </w:tc>
        <w:tc>
          <w:tcPr>
            <w:tcW w:w="721" w:type="dxa"/>
            <w:tcBorders>
              <w:top w:val="nil"/>
              <w:left w:val="nil"/>
              <w:bottom w:val="nil"/>
              <w:right w:val="nil"/>
            </w:tcBorders>
            <w:shd w:val="clear" w:color="auto" w:fill="auto"/>
            <w:noWrap/>
            <w:vAlign w:val="bottom"/>
            <w:hideMark/>
          </w:tcPr>
          <w:p w14:paraId="724B108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nil"/>
              <w:right w:val="nil"/>
            </w:tcBorders>
            <w:shd w:val="clear" w:color="auto" w:fill="auto"/>
            <w:noWrap/>
            <w:vAlign w:val="bottom"/>
            <w:hideMark/>
          </w:tcPr>
          <w:p w14:paraId="44C73982"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0,0020</w:t>
            </w:r>
          </w:p>
        </w:tc>
        <w:tc>
          <w:tcPr>
            <w:tcW w:w="721" w:type="dxa"/>
            <w:tcBorders>
              <w:top w:val="nil"/>
              <w:left w:val="nil"/>
              <w:bottom w:val="nil"/>
              <w:right w:val="nil"/>
            </w:tcBorders>
            <w:shd w:val="clear" w:color="auto" w:fill="auto"/>
            <w:noWrap/>
            <w:vAlign w:val="bottom"/>
            <w:hideMark/>
          </w:tcPr>
          <w:p w14:paraId="29F5F7EF" w14:textId="77777777" w:rsidR="002A5DE2" w:rsidRPr="00EF6EC2" w:rsidRDefault="002A5DE2" w:rsidP="00730E93">
            <w:pPr>
              <w:spacing w:after="0" w:line="240" w:lineRule="auto"/>
              <w:jc w:val="center"/>
              <w:rPr>
                <w:rFonts w:ascii="Times New Roman" w:eastAsia="Times New Roman" w:hAnsi="Times New Roman" w:cs="Times New Roman"/>
                <w:color w:val="000000"/>
              </w:rPr>
            </w:pPr>
          </w:p>
        </w:tc>
        <w:tc>
          <w:tcPr>
            <w:tcW w:w="1421" w:type="dxa"/>
            <w:tcBorders>
              <w:top w:val="nil"/>
              <w:left w:val="nil"/>
              <w:bottom w:val="nil"/>
              <w:right w:val="nil"/>
            </w:tcBorders>
            <w:shd w:val="clear" w:color="auto" w:fill="auto"/>
            <w:noWrap/>
            <w:vAlign w:val="bottom"/>
            <w:hideMark/>
          </w:tcPr>
          <w:p w14:paraId="5C355F25"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0,0046</w:t>
            </w:r>
          </w:p>
        </w:tc>
        <w:tc>
          <w:tcPr>
            <w:tcW w:w="721" w:type="dxa"/>
            <w:tcBorders>
              <w:top w:val="nil"/>
              <w:left w:val="nil"/>
              <w:bottom w:val="nil"/>
              <w:right w:val="nil"/>
            </w:tcBorders>
            <w:shd w:val="clear" w:color="auto" w:fill="auto"/>
            <w:noWrap/>
            <w:vAlign w:val="bottom"/>
            <w:hideMark/>
          </w:tcPr>
          <w:p w14:paraId="068FE7AF"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r w:rsidR="002A5DE2" w:rsidRPr="00EF6EC2" w14:paraId="6D23B34B" w14:textId="77777777" w:rsidTr="00730E93">
        <w:trPr>
          <w:trHeight w:val="276"/>
        </w:trPr>
        <w:tc>
          <w:tcPr>
            <w:tcW w:w="992" w:type="dxa"/>
            <w:tcBorders>
              <w:top w:val="nil"/>
              <w:left w:val="nil"/>
              <w:bottom w:val="single" w:sz="4" w:space="0" w:color="auto"/>
              <w:right w:val="nil"/>
            </w:tcBorders>
            <w:shd w:val="clear" w:color="auto" w:fill="auto"/>
            <w:noWrap/>
            <w:vAlign w:val="bottom"/>
            <w:hideMark/>
          </w:tcPr>
          <w:p w14:paraId="7ED3C647" w14:textId="77777777" w:rsidR="002A5DE2" w:rsidRPr="00EF6EC2" w:rsidRDefault="002A5DE2" w:rsidP="00730E93">
            <w:pPr>
              <w:spacing w:after="0" w:line="240" w:lineRule="auto"/>
              <w:jc w:val="center"/>
              <w:rPr>
                <w:rFonts w:ascii="Times New Roman" w:eastAsia="Times New Roman" w:hAnsi="Times New Roman" w:cs="Times New Roman"/>
                <w:b/>
                <w:bCs/>
                <w:color w:val="000000"/>
              </w:rPr>
            </w:pPr>
            <w:r w:rsidRPr="00EF6EC2">
              <w:rPr>
                <w:rFonts w:ascii="Times New Roman" w:eastAsia="Times New Roman" w:hAnsi="Times New Roman" w:cs="Times New Roman"/>
                <w:b/>
                <w:bCs/>
                <w:color w:val="000000"/>
              </w:rPr>
              <w:t>High</w:t>
            </w:r>
          </w:p>
        </w:tc>
        <w:tc>
          <w:tcPr>
            <w:tcW w:w="1421" w:type="dxa"/>
            <w:tcBorders>
              <w:top w:val="nil"/>
              <w:left w:val="nil"/>
              <w:bottom w:val="single" w:sz="4" w:space="0" w:color="auto"/>
              <w:right w:val="nil"/>
            </w:tcBorders>
            <w:shd w:val="clear" w:color="auto" w:fill="auto"/>
            <w:noWrap/>
            <w:vAlign w:val="bottom"/>
            <w:hideMark/>
          </w:tcPr>
          <w:p w14:paraId="1D6A836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0,0260</w:t>
            </w:r>
          </w:p>
        </w:tc>
        <w:tc>
          <w:tcPr>
            <w:tcW w:w="721" w:type="dxa"/>
            <w:tcBorders>
              <w:top w:val="nil"/>
              <w:left w:val="nil"/>
              <w:bottom w:val="single" w:sz="4" w:space="0" w:color="auto"/>
              <w:right w:val="nil"/>
            </w:tcBorders>
            <w:shd w:val="clear" w:color="auto" w:fill="auto"/>
            <w:noWrap/>
            <w:vAlign w:val="bottom"/>
            <w:hideMark/>
          </w:tcPr>
          <w:p w14:paraId="1A3F2E88"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single" w:sz="4" w:space="0" w:color="auto"/>
              <w:right w:val="nil"/>
            </w:tcBorders>
            <w:shd w:val="clear" w:color="auto" w:fill="auto"/>
            <w:noWrap/>
            <w:vAlign w:val="bottom"/>
            <w:hideMark/>
          </w:tcPr>
          <w:p w14:paraId="04E8C86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0,0134</w:t>
            </w:r>
          </w:p>
        </w:tc>
        <w:tc>
          <w:tcPr>
            <w:tcW w:w="721" w:type="dxa"/>
            <w:tcBorders>
              <w:top w:val="nil"/>
              <w:left w:val="nil"/>
              <w:bottom w:val="single" w:sz="4" w:space="0" w:color="auto"/>
              <w:right w:val="nil"/>
            </w:tcBorders>
            <w:shd w:val="clear" w:color="auto" w:fill="auto"/>
            <w:noWrap/>
            <w:vAlign w:val="bottom"/>
            <w:hideMark/>
          </w:tcPr>
          <w:p w14:paraId="715D360A"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single" w:sz="4" w:space="0" w:color="auto"/>
              <w:right w:val="nil"/>
            </w:tcBorders>
            <w:shd w:val="clear" w:color="auto" w:fill="auto"/>
            <w:noWrap/>
            <w:vAlign w:val="bottom"/>
            <w:hideMark/>
          </w:tcPr>
          <w:p w14:paraId="1FEF0BEE"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0,0026</w:t>
            </w:r>
          </w:p>
        </w:tc>
        <w:tc>
          <w:tcPr>
            <w:tcW w:w="721" w:type="dxa"/>
            <w:tcBorders>
              <w:top w:val="nil"/>
              <w:left w:val="nil"/>
              <w:bottom w:val="single" w:sz="4" w:space="0" w:color="auto"/>
              <w:right w:val="nil"/>
            </w:tcBorders>
            <w:shd w:val="clear" w:color="auto" w:fill="auto"/>
            <w:noWrap/>
            <w:vAlign w:val="bottom"/>
            <w:hideMark/>
          </w:tcPr>
          <w:p w14:paraId="30A96B53"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c>
          <w:tcPr>
            <w:tcW w:w="1421" w:type="dxa"/>
            <w:tcBorders>
              <w:top w:val="nil"/>
              <w:left w:val="nil"/>
              <w:bottom w:val="single" w:sz="4" w:space="0" w:color="auto"/>
              <w:right w:val="nil"/>
            </w:tcBorders>
            <w:shd w:val="clear" w:color="auto" w:fill="auto"/>
            <w:noWrap/>
            <w:vAlign w:val="bottom"/>
            <w:hideMark/>
          </w:tcPr>
          <w:p w14:paraId="6E871C07"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0,0062</w:t>
            </w:r>
          </w:p>
        </w:tc>
        <w:tc>
          <w:tcPr>
            <w:tcW w:w="721" w:type="dxa"/>
            <w:tcBorders>
              <w:top w:val="nil"/>
              <w:left w:val="nil"/>
              <w:bottom w:val="single" w:sz="4" w:space="0" w:color="auto"/>
              <w:right w:val="nil"/>
            </w:tcBorders>
            <w:shd w:val="clear" w:color="auto" w:fill="auto"/>
            <w:noWrap/>
            <w:vAlign w:val="bottom"/>
            <w:hideMark/>
          </w:tcPr>
          <w:p w14:paraId="504B2051" w14:textId="77777777" w:rsidR="002A5DE2" w:rsidRPr="00EF6EC2" w:rsidRDefault="002A5DE2" w:rsidP="00730E93">
            <w:pPr>
              <w:spacing w:after="0" w:line="240" w:lineRule="auto"/>
              <w:jc w:val="center"/>
              <w:rPr>
                <w:rFonts w:ascii="Times New Roman" w:eastAsia="Times New Roman" w:hAnsi="Times New Roman" w:cs="Times New Roman"/>
                <w:color w:val="000000"/>
              </w:rPr>
            </w:pPr>
            <w:r w:rsidRPr="00EF6EC2">
              <w:rPr>
                <w:rFonts w:ascii="Times New Roman" w:eastAsia="Times New Roman" w:hAnsi="Times New Roman" w:cs="Times New Roman"/>
                <w:color w:val="000000"/>
              </w:rPr>
              <w:t>***</w:t>
            </w:r>
          </w:p>
        </w:tc>
      </w:tr>
    </w:tbl>
    <w:p w14:paraId="55E724F8" w14:textId="7350ABD8" w:rsidR="00844321" w:rsidRPr="002A5DE2" w:rsidRDefault="002A5DE2" w:rsidP="002A5DE2">
      <w:pPr>
        <w:rPr>
          <w:rFonts w:ascii="Times New Roman" w:hAnsi="Times New Roman" w:cs="Times New Roman"/>
          <w:b/>
          <w:bCs/>
          <w:sz w:val="24"/>
          <w:szCs w:val="24"/>
        </w:rPr>
      </w:pPr>
      <w:r>
        <w:rPr>
          <w:rFonts w:ascii="Times New Roman" w:hAnsi="Times New Roman" w:cs="Times New Roman"/>
          <w:sz w:val="24"/>
          <w:szCs w:val="24"/>
        </w:rPr>
        <w:t xml:space="preserve">Note: </w:t>
      </w:r>
      <w:r w:rsidRPr="00907BF6">
        <w:rPr>
          <w:rFonts w:ascii="Times New Roman" w:eastAsia="Times New Roman" w:hAnsi="Times New Roman" w:cs="Times New Roman"/>
          <w:color w:val="000000"/>
        </w:rPr>
        <w:t>*** represents significance at 1%, ** at 5% and * at 10%</w:t>
      </w:r>
      <w:r>
        <w:rPr>
          <w:rFonts w:ascii="Times New Roman" w:eastAsia="Times New Roman" w:hAnsi="Times New Roman" w:cs="Times New Roman"/>
          <w:color w:val="000000"/>
        </w:rPr>
        <w:t>.</w:t>
      </w:r>
      <w:r w:rsidR="00844321">
        <w:rPr>
          <w:rFonts w:ascii="Times New Roman" w:hAnsi="Times New Roman" w:cs="Times New Roman"/>
          <w:sz w:val="24"/>
          <w:szCs w:val="24"/>
        </w:rPr>
        <w:br w:type="page"/>
      </w:r>
    </w:p>
    <w:p w14:paraId="0DD40A8A" w14:textId="77777777" w:rsidR="00C13B18" w:rsidRDefault="00C13B18" w:rsidP="00655A01">
      <w:pPr>
        <w:widowControl w:val="0"/>
        <w:autoSpaceDE w:val="0"/>
        <w:autoSpaceDN w:val="0"/>
        <w:adjustRightInd w:val="0"/>
        <w:spacing w:line="240" w:lineRule="auto"/>
        <w:ind w:left="480" w:hanging="480"/>
        <w:rPr>
          <w:rFonts w:ascii="Times New Roman" w:hAnsi="Times New Roman" w:cs="Times New Roman"/>
          <w:sz w:val="24"/>
          <w:szCs w:val="24"/>
        </w:rPr>
      </w:pPr>
    </w:p>
    <w:p w14:paraId="04474E2D" w14:textId="5F4681B0" w:rsidR="00EF6EC2" w:rsidRPr="002A5DE2" w:rsidRDefault="002A5DE2" w:rsidP="002A5DE2">
      <w:pPr>
        <w:widowControl w:val="0"/>
        <w:autoSpaceDE w:val="0"/>
        <w:autoSpaceDN w:val="0"/>
        <w:adjustRightInd w:val="0"/>
        <w:spacing w:line="240" w:lineRule="auto"/>
        <w:jc w:val="center"/>
        <w:rPr>
          <w:rFonts w:ascii="Times New Roman" w:hAnsi="Times New Roman" w:cs="Times New Roman"/>
          <w:b/>
          <w:bCs/>
          <w:sz w:val="24"/>
          <w:szCs w:val="24"/>
        </w:rPr>
      </w:pPr>
      <w:r w:rsidRPr="002A5DE2">
        <w:rPr>
          <w:rFonts w:ascii="Times New Roman" w:hAnsi="Times New Roman" w:cs="Times New Roman"/>
          <w:b/>
          <w:bCs/>
          <w:sz w:val="24"/>
          <w:szCs w:val="24"/>
        </w:rPr>
        <w:t>Table 6: Jensen's Alpha based on Four Factor Model</w:t>
      </w:r>
    </w:p>
    <w:tbl>
      <w:tblPr>
        <w:tblW w:w="9349" w:type="dxa"/>
        <w:tblLook w:val="04A0" w:firstRow="1" w:lastRow="0" w:firstColumn="1" w:lastColumn="0" w:noHBand="0" w:noVBand="1"/>
      </w:tblPr>
      <w:tblGrid>
        <w:gridCol w:w="1112"/>
        <w:gridCol w:w="1173"/>
        <w:gridCol w:w="595"/>
        <w:gridCol w:w="1172"/>
        <w:gridCol w:w="436"/>
        <w:gridCol w:w="1172"/>
        <w:gridCol w:w="436"/>
        <w:gridCol w:w="1172"/>
        <w:gridCol w:w="436"/>
        <w:gridCol w:w="1050"/>
        <w:gridCol w:w="595"/>
      </w:tblGrid>
      <w:tr w:rsidR="00907BF6" w:rsidRPr="00907BF6" w14:paraId="02D24C49" w14:textId="77777777" w:rsidTr="002A5DE2">
        <w:trPr>
          <w:trHeight w:val="288"/>
        </w:trPr>
        <w:tc>
          <w:tcPr>
            <w:tcW w:w="9349" w:type="dxa"/>
            <w:gridSpan w:val="11"/>
            <w:tcBorders>
              <w:top w:val="nil"/>
              <w:left w:val="nil"/>
              <w:bottom w:val="nil"/>
              <w:right w:val="nil"/>
            </w:tcBorders>
            <w:shd w:val="clear" w:color="auto" w:fill="auto"/>
            <w:noWrap/>
            <w:vAlign w:val="bottom"/>
          </w:tcPr>
          <w:p w14:paraId="0874C5BB" w14:textId="5EF6D87D" w:rsidR="00907BF6" w:rsidRPr="00907BF6" w:rsidRDefault="00907BF6" w:rsidP="00907BF6">
            <w:pPr>
              <w:spacing w:after="0" w:line="240" w:lineRule="auto"/>
              <w:rPr>
                <w:rFonts w:ascii="Times New Roman" w:eastAsia="Times New Roman" w:hAnsi="Times New Roman" w:cs="Times New Roman"/>
                <w:b/>
                <w:bCs/>
                <w:color w:val="000000"/>
              </w:rPr>
            </w:pPr>
          </w:p>
        </w:tc>
      </w:tr>
      <w:tr w:rsidR="00907BF6" w:rsidRPr="00907BF6" w14:paraId="2417D596" w14:textId="77777777" w:rsidTr="00844321">
        <w:trPr>
          <w:trHeight w:val="288"/>
        </w:trPr>
        <w:tc>
          <w:tcPr>
            <w:tcW w:w="9349" w:type="dxa"/>
            <w:gridSpan w:val="11"/>
            <w:tcBorders>
              <w:top w:val="single" w:sz="4" w:space="0" w:color="auto"/>
              <w:left w:val="nil"/>
              <w:bottom w:val="single" w:sz="4" w:space="0" w:color="auto"/>
              <w:right w:val="nil"/>
            </w:tcBorders>
            <w:shd w:val="clear" w:color="auto" w:fill="auto"/>
            <w:noWrap/>
            <w:vAlign w:val="bottom"/>
            <w:hideMark/>
          </w:tcPr>
          <w:p w14:paraId="58C54C95" w14:textId="5586AF5F" w:rsidR="00907BF6" w:rsidRPr="00907BF6" w:rsidRDefault="002A5DE2" w:rsidP="00907B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Full</w:t>
            </w:r>
            <w:r w:rsidR="00907BF6" w:rsidRPr="00907BF6">
              <w:rPr>
                <w:rFonts w:ascii="Times New Roman" w:eastAsia="Times New Roman" w:hAnsi="Times New Roman" w:cs="Times New Roman"/>
                <w:b/>
                <w:bCs/>
                <w:color w:val="000000"/>
              </w:rPr>
              <w:t xml:space="preserve"> Period</w:t>
            </w:r>
          </w:p>
        </w:tc>
      </w:tr>
      <w:tr w:rsidR="00907BF6" w:rsidRPr="00907BF6" w14:paraId="55DDD323" w14:textId="77777777" w:rsidTr="00844321">
        <w:trPr>
          <w:trHeight w:val="288"/>
        </w:trPr>
        <w:tc>
          <w:tcPr>
            <w:tcW w:w="1112" w:type="dxa"/>
            <w:tcBorders>
              <w:top w:val="nil"/>
              <w:left w:val="nil"/>
              <w:bottom w:val="nil"/>
              <w:right w:val="nil"/>
            </w:tcBorders>
            <w:shd w:val="clear" w:color="auto" w:fill="auto"/>
            <w:noWrap/>
            <w:vAlign w:val="bottom"/>
            <w:hideMark/>
          </w:tcPr>
          <w:p w14:paraId="4169A3B9"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p>
        </w:tc>
        <w:tc>
          <w:tcPr>
            <w:tcW w:w="1768" w:type="dxa"/>
            <w:gridSpan w:val="2"/>
            <w:tcBorders>
              <w:top w:val="nil"/>
              <w:left w:val="nil"/>
              <w:bottom w:val="nil"/>
              <w:right w:val="nil"/>
            </w:tcBorders>
            <w:shd w:val="clear" w:color="auto" w:fill="auto"/>
            <w:noWrap/>
            <w:vAlign w:val="bottom"/>
            <w:hideMark/>
          </w:tcPr>
          <w:p w14:paraId="0CBACDF2"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Low</w:t>
            </w:r>
          </w:p>
        </w:tc>
        <w:tc>
          <w:tcPr>
            <w:tcW w:w="1608" w:type="dxa"/>
            <w:gridSpan w:val="2"/>
            <w:tcBorders>
              <w:top w:val="nil"/>
              <w:left w:val="nil"/>
              <w:bottom w:val="nil"/>
              <w:right w:val="nil"/>
            </w:tcBorders>
            <w:shd w:val="clear" w:color="auto" w:fill="auto"/>
            <w:noWrap/>
            <w:vAlign w:val="bottom"/>
            <w:hideMark/>
          </w:tcPr>
          <w:p w14:paraId="757B794E"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2</w:t>
            </w:r>
          </w:p>
        </w:tc>
        <w:tc>
          <w:tcPr>
            <w:tcW w:w="1608" w:type="dxa"/>
            <w:gridSpan w:val="2"/>
            <w:tcBorders>
              <w:top w:val="nil"/>
              <w:left w:val="nil"/>
              <w:bottom w:val="nil"/>
              <w:right w:val="nil"/>
            </w:tcBorders>
            <w:shd w:val="clear" w:color="auto" w:fill="auto"/>
            <w:noWrap/>
            <w:vAlign w:val="bottom"/>
            <w:hideMark/>
          </w:tcPr>
          <w:p w14:paraId="1CE98E9D"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3</w:t>
            </w:r>
          </w:p>
        </w:tc>
        <w:tc>
          <w:tcPr>
            <w:tcW w:w="1608" w:type="dxa"/>
            <w:gridSpan w:val="2"/>
            <w:tcBorders>
              <w:top w:val="nil"/>
              <w:left w:val="nil"/>
              <w:bottom w:val="nil"/>
              <w:right w:val="nil"/>
            </w:tcBorders>
            <w:shd w:val="clear" w:color="auto" w:fill="auto"/>
            <w:noWrap/>
            <w:vAlign w:val="bottom"/>
            <w:hideMark/>
          </w:tcPr>
          <w:p w14:paraId="4710D874"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4</w:t>
            </w:r>
          </w:p>
        </w:tc>
        <w:tc>
          <w:tcPr>
            <w:tcW w:w="1645" w:type="dxa"/>
            <w:gridSpan w:val="2"/>
            <w:tcBorders>
              <w:top w:val="nil"/>
              <w:left w:val="nil"/>
              <w:bottom w:val="nil"/>
              <w:right w:val="nil"/>
            </w:tcBorders>
            <w:shd w:val="clear" w:color="auto" w:fill="auto"/>
            <w:noWrap/>
            <w:vAlign w:val="bottom"/>
            <w:hideMark/>
          </w:tcPr>
          <w:p w14:paraId="6C4CB58D"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High</w:t>
            </w:r>
          </w:p>
        </w:tc>
      </w:tr>
      <w:tr w:rsidR="00907BF6" w:rsidRPr="00907BF6" w14:paraId="73105C78" w14:textId="77777777" w:rsidTr="00844321">
        <w:trPr>
          <w:trHeight w:val="288"/>
        </w:trPr>
        <w:tc>
          <w:tcPr>
            <w:tcW w:w="1112" w:type="dxa"/>
            <w:tcBorders>
              <w:top w:val="nil"/>
              <w:left w:val="nil"/>
              <w:bottom w:val="nil"/>
              <w:right w:val="nil"/>
            </w:tcBorders>
            <w:shd w:val="clear" w:color="auto" w:fill="auto"/>
            <w:noWrap/>
            <w:vAlign w:val="bottom"/>
            <w:hideMark/>
          </w:tcPr>
          <w:p w14:paraId="39F9DBBA"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α</w:t>
            </w:r>
          </w:p>
        </w:tc>
        <w:tc>
          <w:tcPr>
            <w:tcW w:w="1173" w:type="dxa"/>
            <w:tcBorders>
              <w:top w:val="nil"/>
              <w:left w:val="nil"/>
              <w:bottom w:val="nil"/>
              <w:right w:val="nil"/>
            </w:tcBorders>
            <w:shd w:val="clear" w:color="auto" w:fill="auto"/>
            <w:noWrap/>
            <w:vAlign w:val="bottom"/>
            <w:hideMark/>
          </w:tcPr>
          <w:p w14:paraId="416F4BA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-0,0269</w:t>
            </w:r>
          </w:p>
        </w:tc>
        <w:tc>
          <w:tcPr>
            <w:tcW w:w="595" w:type="dxa"/>
            <w:tcBorders>
              <w:top w:val="nil"/>
              <w:left w:val="nil"/>
              <w:bottom w:val="nil"/>
              <w:right w:val="nil"/>
            </w:tcBorders>
            <w:shd w:val="clear" w:color="auto" w:fill="auto"/>
            <w:noWrap/>
            <w:vAlign w:val="bottom"/>
            <w:hideMark/>
          </w:tcPr>
          <w:p w14:paraId="65B5504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77D4B59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-0,0148</w:t>
            </w:r>
          </w:p>
        </w:tc>
        <w:tc>
          <w:tcPr>
            <w:tcW w:w="436" w:type="dxa"/>
            <w:tcBorders>
              <w:top w:val="nil"/>
              <w:left w:val="nil"/>
              <w:bottom w:val="nil"/>
              <w:right w:val="nil"/>
            </w:tcBorders>
            <w:shd w:val="clear" w:color="auto" w:fill="auto"/>
            <w:noWrap/>
            <w:vAlign w:val="bottom"/>
            <w:hideMark/>
          </w:tcPr>
          <w:p w14:paraId="3648265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08F4D85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0,0136</w:t>
            </w:r>
          </w:p>
        </w:tc>
        <w:tc>
          <w:tcPr>
            <w:tcW w:w="436" w:type="dxa"/>
            <w:tcBorders>
              <w:top w:val="nil"/>
              <w:left w:val="nil"/>
              <w:bottom w:val="nil"/>
              <w:right w:val="nil"/>
            </w:tcBorders>
            <w:shd w:val="clear" w:color="auto" w:fill="auto"/>
            <w:noWrap/>
            <w:vAlign w:val="bottom"/>
            <w:hideMark/>
          </w:tcPr>
          <w:p w14:paraId="341D370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FD61B0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0,0229</w:t>
            </w:r>
          </w:p>
        </w:tc>
        <w:tc>
          <w:tcPr>
            <w:tcW w:w="436" w:type="dxa"/>
            <w:tcBorders>
              <w:top w:val="nil"/>
              <w:left w:val="nil"/>
              <w:bottom w:val="nil"/>
              <w:right w:val="nil"/>
            </w:tcBorders>
            <w:shd w:val="clear" w:color="auto" w:fill="auto"/>
            <w:noWrap/>
            <w:vAlign w:val="bottom"/>
            <w:hideMark/>
          </w:tcPr>
          <w:p w14:paraId="33D7E0E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7BDC572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0,0396</w:t>
            </w:r>
          </w:p>
        </w:tc>
        <w:tc>
          <w:tcPr>
            <w:tcW w:w="595" w:type="dxa"/>
            <w:tcBorders>
              <w:top w:val="nil"/>
              <w:left w:val="nil"/>
              <w:bottom w:val="nil"/>
              <w:right w:val="nil"/>
            </w:tcBorders>
            <w:shd w:val="clear" w:color="auto" w:fill="auto"/>
            <w:noWrap/>
            <w:vAlign w:val="bottom"/>
            <w:hideMark/>
          </w:tcPr>
          <w:p w14:paraId="4F07A34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0CDCB5F7" w14:textId="77777777" w:rsidTr="00844321">
        <w:trPr>
          <w:trHeight w:val="288"/>
        </w:trPr>
        <w:tc>
          <w:tcPr>
            <w:tcW w:w="1112" w:type="dxa"/>
            <w:tcBorders>
              <w:top w:val="nil"/>
              <w:left w:val="nil"/>
              <w:bottom w:val="nil"/>
              <w:right w:val="nil"/>
            </w:tcBorders>
            <w:shd w:val="clear" w:color="auto" w:fill="auto"/>
            <w:noWrap/>
            <w:vAlign w:val="bottom"/>
            <w:hideMark/>
          </w:tcPr>
          <w:p w14:paraId="55B85AD5"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β</w:t>
            </w:r>
          </w:p>
        </w:tc>
        <w:tc>
          <w:tcPr>
            <w:tcW w:w="1173" w:type="dxa"/>
            <w:tcBorders>
              <w:top w:val="nil"/>
              <w:left w:val="nil"/>
              <w:bottom w:val="nil"/>
              <w:right w:val="nil"/>
            </w:tcBorders>
            <w:shd w:val="clear" w:color="auto" w:fill="auto"/>
            <w:noWrap/>
            <w:vAlign w:val="bottom"/>
            <w:hideMark/>
          </w:tcPr>
          <w:p w14:paraId="1C81854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0,7238</w:t>
            </w:r>
          </w:p>
        </w:tc>
        <w:tc>
          <w:tcPr>
            <w:tcW w:w="595" w:type="dxa"/>
            <w:tcBorders>
              <w:top w:val="nil"/>
              <w:left w:val="nil"/>
              <w:bottom w:val="nil"/>
              <w:right w:val="nil"/>
            </w:tcBorders>
            <w:shd w:val="clear" w:color="auto" w:fill="auto"/>
            <w:noWrap/>
            <w:vAlign w:val="bottom"/>
            <w:hideMark/>
          </w:tcPr>
          <w:p w14:paraId="2FE3D8B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2FD434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0,6695</w:t>
            </w:r>
          </w:p>
        </w:tc>
        <w:tc>
          <w:tcPr>
            <w:tcW w:w="436" w:type="dxa"/>
            <w:tcBorders>
              <w:top w:val="nil"/>
              <w:left w:val="nil"/>
              <w:bottom w:val="nil"/>
              <w:right w:val="nil"/>
            </w:tcBorders>
            <w:shd w:val="clear" w:color="auto" w:fill="auto"/>
            <w:noWrap/>
            <w:vAlign w:val="bottom"/>
            <w:hideMark/>
          </w:tcPr>
          <w:p w14:paraId="590B35D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1E1C54C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0,3641</w:t>
            </w:r>
          </w:p>
        </w:tc>
        <w:tc>
          <w:tcPr>
            <w:tcW w:w="436" w:type="dxa"/>
            <w:tcBorders>
              <w:top w:val="nil"/>
              <w:left w:val="nil"/>
              <w:bottom w:val="nil"/>
              <w:right w:val="nil"/>
            </w:tcBorders>
            <w:shd w:val="clear" w:color="auto" w:fill="auto"/>
            <w:noWrap/>
            <w:vAlign w:val="bottom"/>
            <w:hideMark/>
          </w:tcPr>
          <w:p w14:paraId="3FED964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18AA49C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0,1308</w:t>
            </w:r>
          </w:p>
        </w:tc>
        <w:tc>
          <w:tcPr>
            <w:tcW w:w="436" w:type="dxa"/>
            <w:tcBorders>
              <w:top w:val="nil"/>
              <w:left w:val="nil"/>
              <w:bottom w:val="nil"/>
              <w:right w:val="nil"/>
            </w:tcBorders>
            <w:shd w:val="clear" w:color="auto" w:fill="auto"/>
            <w:noWrap/>
            <w:vAlign w:val="bottom"/>
            <w:hideMark/>
          </w:tcPr>
          <w:p w14:paraId="57DC3A8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36BEC0A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0,2131</w:t>
            </w:r>
          </w:p>
        </w:tc>
        <w:tc>
          <w:tcPr>
            <w:tcW w:w="595" w:type="dxa"/>
            <w:tcBorders>
              <w:top w:val="nil"/>
              <w:left w:val="nil"/>
              <w:bottom w:val="nil"/>
              <w:right w:val="nil"/>
            </w:tcBorders>
            <w:shd w:val="clear" w:color="auto" w:fill="auto"/>
            <w:noWrap/>
            <w:vAlign w:val="bottom"/>
            <w:hideMark/>
          </w:tcPr>
          <w:p w14:paraId="4EF0F46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20CE4BFB" w14:textId="77777777" w:rsidTr="00844321">
        <w:trPr>
          <w:trHeight w:val="288"/>
        </w:trPr>
        <w:tc>
          <w:tcPr>
            <w:tcW w:w="1112" w:type="dxa"/>
            <w:tcBorders>
              <w:top w:val="nil"/>
              <w:left w:val="nil"/>
              <w:bottom w:val="nil"/>
              <w:right w:val="nil"/>
            </w:tcBorders>
            <w:shd w:val="clear" w:color="auto" w:fill="auto"/>
            <w:noWrap/>
            <w:vAlign w:val="bottom"/>
            <w:hideMark/>
          </w:tcPr>
          <w:p w14:paraId="0A3D6E18"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s</w:t>
            </w:r>
          </w:p>
        </w:tc>
        <w:tc>
          <w:tcPr>
            <w:tcW w:w="1173" w:type="dxa"/>
            <w:tcBorders>
              <w:top w:val="nil"/>
              <w:left w:val="nil"/>
              <w:bottom w:val="nil"/>
              <w:right w:val="nil"/>
            </w:tcBorders>
            <w:shd w:val="clear" w:color="auto" w:fill="auto"/>
            <w:noWrap/>
            <w:vAlign w:val="bottom"/>
            <w:hideMark/>
          </w:tcPr>
          <w:p w14:paraId="71B54C6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0,5942</w:t>
            </w:r>
          </w:p>
        </w:tc>
        <w:tc>
          <w:tcPr>
            <w:tcW w:w="595" w:type="dxa"/>
            <w:tcBorders>
              <w:top w:val="nil"/>
              <w:left w:val="nil"/>
              <w:bottom w:val="nil"/>
              <w:right w:val="nil"/>
            </w:tcBorders>
            <w:shd w:val="clear" w:color="auto" w:fill="auto"/>
            <w:noWrap/>
            <w:vAlign w:val="bottom"/>
            <w:hideMark/>
          </w:tcPr>
          <w:p w14:paraId="5340383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61BAB16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0,6297</w:t>
            </w:r>
          </w:p>
        </w:tc>
        <w:tc>
          <w:tcPr>
            <w:tcW w:w="436" w:type="dxa"/>
            <w:tcBorders>
              <w:top w:val="nil"/>
              <w:left w:val="nil"/>
              <w:bottom w:val="nil"/>
              <w:right w:val="nil"/>
            </w:tcBorders>
            <w:shd w:val="clear" w:color="auto" w:fill="auto"/>
            <w:noWrap/>
            <w:vAlign w:val="bottom"/>
            <w:hideMark/>
          </w:tcPr>
          <w:p w14:paraId="5234F1E5"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5430B57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0,4802</w:t>
            </w:r>
          </w:p>
        </w:tc>
        <w:tc>
          <w:tcPr>
            <w:tcW w:w="436" w:type="dxa"/>
            <w:tcBorders>
              <w:top w:val="nil"/>
              <w:left w:val="nil"/>
              <w:bottom w:val="nil"/>
              <w:right w:val="nil"/>
            </w:tcBorders>
            <w:shd w:val="clear" w:color="auto" w:fill="auto"/>
            <w:noWrap/>
            <w:vAlign w:val="bottom"/>
            <w:hideMark/>
          </w:tcPr>
          <w:p w14:paraId="6BAF20F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3890E2E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0,4418</w:t>
            </w:r>
          </w:p>
        </w:tc>
        <w:tc>
          <w:tcPr>
            <w:tcW w:w="436" w:type="dxa"/>
            <w:tcBorders>
              <w:top w:val="nil"/>
              <w:left w:val="nil"/>
              <w:bottom w:val="nil"/>
              <w:right w:val="nil"/>
            </w:tcBorders>
            <w:shd w:val="clear" w:color="auto" w:fill="auto"/>
            <w:noWrap/>
            <w:vAlign w:val="bottom"/>
            <w:hideMark/>
          </w:tcPr>
          <w:p w14:paraId="295C6CF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59CC0A8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0,8938</w:t>
            </w:r>
          </w:p>
        </w:tc>
        <w:tc>
          <w:tcPr>
            <w:tcW w:w="595" w:type="dxa"/>
            <w:tcBorders>
              <w:top w:val="nil"/>
              <w:left w:val="nil"/>
              <w:bottom w:val="nil"/>
              <w:right w:val="nil"/>
            </w:tcBorders>
            <w:shd w:val="clear" w:color="auto" w:fill="auto"/>
            <w:noWrap/>
            <w:vAlign w:val="bottom"/>
            <w:hideMark/>
          </w:tcPr>
          <w:p w14:paraId="03BDBB7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2E8FC4B2" w14:textId="77777777" w:rsidTr="00844321">
        <w:trPr>
          <w:trHeight w:val="288"/>
        </w:trPr>
        <w:tc>
          <w:tcPr>
            <w:tcW w:w="1112" w:type="dxa"/>
            <w:tcBorders>
              <w:top w:val="nil"/>
              <w:left w:val="nil"/>
              <w:bottom w:val="nil"/>
              <w:right w:val="nil"/>
            </w:tcBorders>
            <w:shd w:val="clear" w:color="auto" w:fill="auto"/>
            <w:noWrap/>
            <w:vAlign w:val="bottom"/>
            <w:hideMark/>
          </w:tcPr>
          <w:p w14:paraId="25459E0C"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h</w:t>
            </w:r>
          </w:p>
        </w:tc>
        <w:tc>
          <w:tcPr>
            <w:tcW w:w="1173" w:type="dxa"/>
            <w:tcBorders>
              <w:top w:val="nil"/>
              <w:left w:val="nil"/>
              <w:bottom w:val="nil"/>
              <w:right w:val="nil"/>
            </w:tcBorders>
            <w:shd w:val="clear" w:color="auto" w:fill="auto"/>
            <w:noWrap/>
            <w:vAlign w:val="bottom"/>
            <w:hideMark/>
          </w:tcPr>
          <w:p w14:paraId="7ACCFF3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0,1071</w:t>
            </w:r>
          </w:p>
        </w:tc>
        <w:tc>
          <w:tcPr>
            <w:tcW w:w="595" w:type="dxa"/>
            <w:tcBorders>
              <w:top w:val="nil"/>
              <w:left w:val="nil"/>
              <w:bottom w:val="nil"/>
              <w:right w:val="nil"/>
            </w:tcBorders>
            <w:shd w:val="clear" w:color="auto" w:fill="auto"/>
            <w:noWrap/>
            <w:vAlign w:val="bottom"/>
            <w:hideMark/>
          </w:tcPr>
          <w:p w14:paraId="2568889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364C38E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0,2255</w:t>
            </w:r>
          </w:p>
        </w:tc>
        <w:tc>
          <w:tcPr>
            <w:tcW w:w="436" w:type="dxa"/>
            <w:tcBorders>
              <w:top w:val="nil"/>
              <w:left w:val="nil"/>
              <w:bottom w:val="nil"/>
              <w:right w:val="nil"/>
            </w:tcBorders>
            <w:shd w:val="clear" w:color="auto" w:fill="auto"/>
            <w:noWrap/>
            <w:vAlign w:val="bottom"/>
            <w:hideMark/>
          </w:tcPr>
          <w:p w14:paraId="252FFD6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3D18A86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0,4510</w:t>
            </w:r>
          </w:p>
        </w:tc>
        <w:tc>
          <w:tcPr>
            <w:tcW w:w="436" w:type="dxa"/>
            <w:tcBorders>
              <w:top w:val="nil"/>
              <w:left w:val="nil"/>
              <w:bottom w:val="nil"/>
              <w:right w:val="nil"/>
            </w:tcBorders>
            <w:shd w:val="clear" w:color="auto" w:fill="auto"/>
            <w:noWrap/>
            <w:vAlign w:val="bottom"/>
            <w:hideMark/>
          </w:tcPr>
          <w:p w14:paraId="7600CD9B"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17DCA5E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0,6682</w:t>
            </w:r>
          </w:p>
        </w:tc>
        <w:tc>
          <w:tcPr>
            <w:tcW w:w="436" w:type="dxa"/>
            <w:tcBorders>
              <w:top w:val="nil"/>
              <w:left w:val="nil"/>
              <w:bottom w:val="nil"/>
              <w:right w:val="nil"/>
            </w:tcBorders>
            <w:shd w:val="clear" w:color="auto" w:fill="auto"/>
            <w:noWrap/>
            <w:vAlign w:val="bottom"/>
            <w:hideMark/>
          </w:tcPr>
          <w:p w14:paraId="06D451E1"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nil"/>
            </w:tcBorders>
            <w:shd w:val="clear" w:color="auto" w:fill="auto"/>
            <w:noWrap/>
            <w:vAlign w:val="bottom"/>
            <w:hideMark/>
          </w:tcPr>
          <w:p w14:paraId="1A55CD8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0,2383</w:t>
            </w:r>
          </w:p>
        </w:tc>
        <w:tc>
          <w:tcPr>
            <w:tcW w:w="595" w:type="dxa"/>
            <w:tcBorders>
              <w:top w:val="nil"/>
              <w:left w:val="nil"/>
              <w:bottom w:val="nil"/>
              <w:right w:val="nil"/>
            </w:tcBorders>
            <w:shd w:val="clear" w:color="auto" w:fill="auto"/>
            <w:noWrap/>
            <w:vAlign w:val="bottom"/>
            <w:hideMark/>
          </w:tcPr>
          <w:p w14:paraId="68B97A2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6E617D4D" w14:textId="77777777" w:rsidTr="00844321">
        <w:trPr>
          <w:trHeight w:val="288"/>
        </w:trPr>
        <w:tc>
          <w:tcPr>
            <w:tcW w:w="1112" w:type="dxa"/>
            <w:tcBorders>
              <w:top w:val="nil"/>
              <w:left w:val="nil"/>
              <w:bottom w:val="nil"/>
              <w:right w:val="nil"/>
            </w:tcBorders>
            <w:shd w:val="clear" w:color="auto" w:fill="auto"/>
            <w:noWrap/>
            <w:vAlign w:val="bottom"/>
            <w:hideMark/>
          </w:tcPr>
          <w:p w14:paraId="5C799FAD"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w</w:t>
            </w:r>
          </w:p>
        </w:tc>
        <w:tc>
          <w:tcPr>
            <w:tcW w:w="1173" w:type="dxa"/>
            <w:tcBorders>
              <w:top w:val="nil"/>
              <w:left w:val="nil"/>
              <w:bottom w:val="nil"/>
              <w:right w:val="nil"/>
            </w:tcBorders>
            <w:shd w:val="clear" w:color="auto" w:fill="auto"/>
            <w:noWrap/>
            <w:vAlign w:val="bottom"/>
            <w:hideMark/>
          </w:tcPr>
          <w:p w14:paraId="40EFA6D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0,6105</w:t>
            </w:r>
          </w:p>
        </w:tc>
        <w:tc>
          <w:tcPr>
            <w:tcW w:w="595" w:type="dxa"/>
            <w:tcBorders>
              <w:top w:val="nil"/>
              <w:left w:val="nil"/>
              <w:bottom w:val="nil"/>
              <w:right w:val="nil"/>
            </w:tcBorders>
            <w:shd w:val="clear" w:color="auto" w:fill="auto"/>
            <w:noWrap/>
            <w:vAlign w:val="bottom"/>
            <w:hideMark/>
          </w:tcPr>
          <w:p w14:paraId="44E0244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65DD7F8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0,5813</w:t>
            </w:r>
          </w:p>
        </w:tc>
        <w:tc>
          <w:tcPr>
            <w:tcW w:w="436" w:type="dxa"/>
            <w:tcBorders>
              <w:top w:val="nil"/>
              <w:left w:val="nil"/>
              <w:bottom w:val="nil"/>
              <w:right w:val="nil"/>
            </w:tcBorders>
            <w:shd w:val="clear" w:color="auto" w:fill="auto"/>
            <w:noWrap/>
            <w:vAlign w:val="bottom"/>
            <w:hideMark/>
          </w:tcPr>
          <w:p w14:paraId="7D724AE9"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24B0C9E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0,2243</w:t>
            </w:r>
          </w:p>
        </w:tc>
        <w:tc>
          <w:tcPr>
            <w:tcW w:w="436" w:type="dxa"/>
            <w:tcBorders>
              <w:top w:val="nil"/>
              <w:left w:val="nil"/>
              <w:bottom w:val="nil"/>
              <w:right w:val="nil"/>
            </w:tcBorders>
            <w:shd w:val="clear" w:color="auto" w:fill="auto"/>
            <w:noWrap/>
            <w:vAlign w:val="bottom"/>
            <w:hideMark/>
          </w:tcPr>
          <w:p w14:paraId="2D3F578D"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720E768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0,6049</w:t>
            </w:r>
          </w:p>
        </w:tc>
        <w:tc>
          <w:tcPr>
            <w:tcW w:w="436" w:type="dxa"/>
            <w:tcBorders>
              <w:top w:val="nil"/>
              <w:left w:val="nil"/>
              <w:bottom w:val="nil"/>
              <w:right w:val="nil"/>
            </w:tcBorders>
            <w:shd w:val="clear" w:color="auto" w:fill="auto"/>
            <w:noWrap/>
            <w:vAlign w:val="bottom"/>
            <w:hideMark/>
          </w:tcPr>
          <w:p w14:paraId="2FE58BE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14360B8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0,5456</w:t>
            </w:r>
          </w:p>
        </w:tc>
        <w:tc>
          <w:tcPr>
            <w:tcW w:w="595" w:type="dxa"/>
            <w:tcBorders>
              <w:top w:val="nil"/>
              <w:left w:val="nil"/>
              <w:bottom w:val="nil"/>
              <w:right w:val="nil"/>
            </w:tcBorders>
            <w:shd w:val="clear" w:color="auto" w:fill="auto"/>
            <w:noWrap/>
            <w:vAlign w:val="bottom"/>
            <w:hideMark/>
          </w:tcPr>
          <w:p w14:paraId="7865A46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296EF8C3" w14:textId="77777777" w:rsidTr="00844321">
        <w:trPr>
          <w:trHeight w:val="288"/>
        </w:trPr>
        <w:tc>
          <w:tcPr>
            <w:tcW w:w="1112" w:type="dxa"/>
            <w:tcBorders>
              <w:top w:val="nil"/>
              <w:left w:val="nil"/>
              <w:bottom w:val="nil"/>
              <w:right w:val="nil"/>
            </w:tcBorders>
            <w:shd w:val="clear" w:color="auto" w:fill="auto"/>
            <w:noWrap/>
            <w:vAlign w:val="bottom"/>
            <w:hideMark/>
          </w:tcPr>
          <w:p w14:paraId="2D10EA7C"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Adj R</w:t>
            </w:r>
            <w:r w:rsidRPr="00907BF6">
              <w:rPr>
                <w:rFonts w:ascii="Times New Roman" w:eastAsia="Times New Roman" w:hAnsi="Times New Roman" w:cs="Times New Roman"/>
                <w:color w:val="000000"/>
                <w:vertAlign w:val="superscript"/>
              </w:rPr>
              <w:t>2</w:t>
            </w:r>
          </w:p>
        </w:tc>
        <w:tc>
          <w:tcPr>
            <w:tcW w:w="1173" w:type="dxa"/>
            <w:tcBorders>
              <w:top w:val="nil"/>
              <w:left w:val="nil"/>
              <w:bottom w:val="nil"/>
              <w:right w:val="nil"/>
            </w:tcBorders>
            <w:shd w:val="clear" w:color="auto" w:fill="auto"/>
            <w:noWrap/>
            <w:vAlign w:val="bottom"/>
            <w:hideMark/>
          </w:tcPr>
          <w:p w14:paraId="7D00661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0,6260</w:t>
            </w:r>
          </w:p>
        </w:tc>
        <w:tc>
          <w:tcPr>
            <w:tcW w:w="595" w:type="dxa"/>
            <w:tcBorders>
              <w:top w:val="nil"/>
              <w:left w:val="nil"/>
              <w:bottom w:val="nil"/>
              <w:right w:val="nil"/>
            </w:tcBorders>
            <w:shd w:val="clear" w:color="auto" w:fill="auto"/>
            <w:noWrap/>
            <w:vAlign w:val="bottom"/>
            <w:hideMark/>
          </w:tcPr>
          <w:p w14:paraId="135998C3"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6F4635F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0,3090</w:t>
            </w:r>
          </w:p>
        </w:tc>
        <w:tc>
          <w:tcPr>
            <w:tcW w:w="436" w:type="dxa"/>
            <w:tcBorders>
              <w:top w:val="nil"/>
              <w:left w:val="nil"/>
              <w:bottom w:val="nil"/>
              <w:right w:val="nil"/>
            </w:tcBorders>
            <w:shd w:val="clear" w:color="auto" w:fill="auto"/>
            <w:noWrap/>
            <w:vAlign w:val="bottom"/>
            <w:hideMark/>
          </w:tcPr>
          <w:p w14:paraId="73926A93"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530F7BD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0,3993</w:t>
            </w:r>
          </w:p>
        </w:tc>
        <w:tc>
          <w:tcPr>
            <w:tcW w:w="436" w:type="dxa"/>
            <w:tcBorders>
              <w:top w:val="nil"/>
              <w:left w:val="nil"/>
              <w:bottom w:val="nil"/>
              <w:right w:val="nil"/>
            </w:tcBorders>
            <w:shd w:val="clear" w:color="auto" w:fill="auto"/>
            <w:noWrap/>
            <w:vAlign w:val="bottom"/>
            <w:hideMark/>
          </w:tcPr>
          <w:p w14:paraId="140DE8DB"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74AACA8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0,4586</w:t>
            </w:r>
          </w:p>
        </w:tc>
        <w:tc>
          <w:tcPr>
            <w:tcW w:w="436" w:type="dxa"/>
            <w:tcBorders>
              <w:top w:val="nil"/>
              <w:left w:val="nil"/>
              <w:bottom w:val="nil"/>
              <w:right w:val="nil"/>
            </w:tcBorders>
            <w:shd w:val="clear" w:color="auto" w:fill="auto"/>
            <w:noWrap/>
            <w:vAlign w:val="bottom"/>
            <w:hideMark/>
          </w:tcPr>
          <w:p w14:paraId="5729C835"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nil"/>
            </w:tcBorders>
            <w:shd w:val="clear" w:color="auto" w:fill="auto"/>
            <w:noWrap/>
            <w:vAlign w:val="bottom"/>
            <w:hideMark/>
          </w:tcPr>
          <w:p w14:paraId="78F2879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0,5437</w:t>
            </w:r>
          </w:p>
        </w:tc>
        <w:tc>
          <w:tcPr>
            <w:tcW w:w="595" w:type="dxa"/>
            <w:tcBorders>
              <w:top w:val="nil"/>
              <w:left w:val="nil"/>
              <w:bottom w:val="nil"/>
              <w:right w:val="nil"/>
            </w:tcBorders>
            <w:shd w:val="clear" w:color="auto" w:fill="auto"/>
            <w:noWrap/>
            <w:vAlign w:val="bottom"/>
            <w:hideMark/>
          </w:tcPr>
          <w:p w14:paraId="0B49CDF5"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r>
      <w:tr w:rsidR="00907BF6" w:rsidRPr="00907BF6" w14:paraId="31B97066" w14:textId="77777777" w:rsidTr="00844321">
        <w:trPr>
          <w:trHeight w:val="288"/>
        </w:trPr>
        <w:tc>
          <w:tcPr>
            <w:tcW w:w="9349" w:type="dxa"/>
            <w:gridSpan w:val="11"/>
            <w:tcBorders>
              <w:top w:val="single" w:sz="4" w:space="0" w:color="auto"/>
              <w:left w:val="nil"/>
              <w:bottom w:val="single" w:sz="4" w:space="0" w:color="auto"/>
              <w:right w:val="nil"/>
            </w:tcBorders>
            <w:shd w:val="clear" w:color="auto" w:fill="auto"/>
            <w:noWrap/>
            <w:vAlign w:val="bottom"/>
            <w:hideMark/>
          </w:tcPr>
          <w:p w14:paraId="214A12A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Stage 1</w:t>
            </w:r>
          </w:p>
        </w:tc>
      </w:tr>
      <w:tr w:rsidR="00907BF6" w:rsidRPr="00907BF6" w14:paraId="4DB446C0" w14:textId="77777777" w:rsidTr="00844321">
        <w:trPr>
          <w:trHeight w:val="288"/>
        </w:trPr>
        <w:tc>
          <w:tcPr>
            <w:tcW w:w="1112" w:type="dxa"/>
            <w:tcBorders>
              <w:top w:val="nil"/>
              <w:left w:val="nil"/>
              <w:bottom w:val="nil"/>
              <w:right w:val="nil"/>
            </w:tcBorders>
            <w:shd w:val="clear" w:color="auto" w:fill="auto"/>
            <w:noWrap/>
            <w:vAlign w:val="bottom"/>
            <w:hideMark/>
          </w:tcPr>
          <w:p w14:paraId="3219BE97"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768" w:type="dxa"/>
            <w:gridSpan w:val="2"/>
            <w:tcBorders>
              <w:top w:val="nil"/>
              <w:left w:val="nil"/>
              <w:bottom w:val="nil"/>
              <w:right w:val="nil"/>
            </w:tcBorders>
            <w:shd w:val="clear" w:color="auto" w:fill="auto"/>
            <w:noWrap/>
            <w:vAlign w:val="bottom"/>
            <w:hideMark/>
          </w:tcPr>
          <w:p w14:paraId="20B16FEA"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Low</w:t>
            </w:r>
          </w:p>
        </w:tc>
        <w:tc>
          <w:tcPr>
            <w:tcW w:w="1608" w:type="dxa"/>
            <w:gridSpan w:val="2"/>
            <w:tcBorders>
              <w:top w:val="nil"/>
              <w:left w:val="nil"/>
              <w:bottom w:val="nil"/>
              <w:right w:val="nil"/>
            </w:tcBorders>
            <w:shd w:val="clear" w:color="auto" w:fill="auto"/>
            <w:noWrap/>
            <w:vAlign w:val="bottom"/>
            <w:hideMark/>
          </w:tcPr>
          <w:p w14:paraId="521F1B4E"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2</w:t>
            </w:r>
          </w:p>
        </w:tc>
        <w:tc>
          <w:tcPr>
            <w:tcW w:w="1608" w:type="dxa"/>
            <w:gridSpan w:val="2"/>
            <w:tcBorders>
              <w:top w:val="nil"/>
              <w:left w:val="nil"/>
              <w:bottom w:val="nil"/>
              <w:right w:val="nil"/>
            </w:tcBorders>
            <w:shd w:val="clear" w:color="auto" w:fill="auto"/>
            <w:noWrap/>
            <w:vAlign w:val="bottom"/>
            <w:hideMark/>
          </w:tcPr>
          <w:p w14:paraId="0E675B20"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3</w:t>
            </w:r>
          </w:p>
        </w:tc>
        <w:tc>
          <w:tcPr>
            <w:tcW w:w="1608" w:type="dxa"/>
            <w:gridSpan w:val="2"/>
            <w:tcBorders>
              <w:top w:val="nil"/>
              <w:left w:val="nil"/>
              <w:bottom w:val="nil"/>
              <w:right w:val="nil"/>
            </w:tcBorders>
            <w:shd w:val="clear" w:color="auto" w:fill="auto"/>
            <w:noWrap/>
            <w:vAlign w:val="bottom"/>
            <w:hideMark/>
          </w:tcPr>
          <w:p w14:paraId="2E1FA1A9"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4</w:t>
            </w:r>
          </w:p>
        </w:tc>
        <w:tc>
          <w:tcPr>
            <w:tcW w:w="1645" w:type="dxa"/>
            <w:gridSpan w:val="2"/>
            <w:tcBorders>
              <w:top w:val="nil"/>
              <w:left w:val="nil"/>
              <w:bottom w:val="nil"/>
              <w:right w:val="nil"/>
            </w:tcBorders>
            <w:shd w:val="clear" w:color="auto" w:fill="auto"/>
            <w:noWrap/>
            <w:vAlign w:val="bottom"/>
            <w:hideMark/>
          </w:tcPr>
          <w:p w14:paraId="0E898B5E"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High</w:t>
            </w:r>
          </w:p>
        </w:tc>
      </w:tr>
      <w:tr w:rsidR="00907BF6" w:rsidRPr="00907BF6" w14:paraId="07F14B28" w14:textId="77777777" w:rsidTr="00844321">
        <w:trPr>
          <w:trHeight w:val="288"/>
        </w:trPr>
        <w:tc>
          <w:tcPr>
            <w:tcW w:w="1112" w:type="dxa"/>
            <w:tcBorders>
              <w:top w:val="nil"/>
              <w:left w:val="nil"/>
              <w:bottom w:val="nil"/>
              <w:right w:val="nil"/>
            </w:tcBorders>
            <w:shd w:val="clear" w:color="auto" w:fill="auto"/>
            <w:noWrap/>
            <w:vAlign w:val="bottom"/>
            <w:hideMark/>
          </w:tcPr>
          <w:p w14:paraId="180B1708"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α</w:t>
            </w:r>
          </w:p>
        </w:tc>
        <w:tc>
          <w:tcPr>
            <w:tcW w:w="1173" w:type="dxa"/>
            <w:tcBorders>
              <w:top w:val="nil"/>
              <w:left w:val="nil"/>
              <w:bottom w:val="nil"/>
              <w:right w:val="nil"/>
            </w:tcBorders>
            <w:shd w:val="clear" w:color="auto" w:fill="auto"/>
            <w:noWrap/>
            <w:vAlign w:val="bottom"/>
            <w:hideMark/>
          </w:tcPr>
          <w:p w14:paraId="7C7F5B3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0,0054</w:t>
            </w:r>
          </w:p>
        </w:tc>
        <w:tc>
          <w:tcPr>
            <w:tcW w:w="595" w:type="dxa"/>
            <w:tcBorders>
              <w:top w:val="nil"/>
              <w:left w:val="nil"/>
              <w:bottom w:val="nil"/>
              <w:right w:val="nil"/>
            </w:tcBorders>
            <w:shd w:val="clear" w:color="auto" w:fill="auto"/>
            <w:noWrap/>
            <w:vAlign w:val="bottom"/>
            <w:hideMark/>
          </w:tcPr>
          <w:p w14:paraId="3CDBD1A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806F12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0,0061</w:t>
            </w:r>
          </w:p>
        </w:tc>
        <w:tc>
          <w:tcPr>
            <w:tcW w:w="436" w:type="dxa"/>
            <w:tcBorders>
              <w:top w:val="nil"/>
              <w:left w:val="nil"/>
              <w:bottom w:val="nil"/>
              <w:right w:val="nil"/>
            </w:tcBorders>
            <w:shd w:val="clear" w:color="auto" w:fill="auto"/>
            <w:noWrap/>
            <w:vAlign w:val="bottom"/>
            <w:hideMark/>
          </w:tcPr>
          <w:p w14:paraId="1D5F085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61CFC5E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0,0092</w:t>
            </w:r>
          </w:p>
        </w:tc>
        <w:tc>
          <w:tcPr>
            <w:tcW w:w="436" w:type="dxa"/>
            <w:tcBorders>
              <w:top w:val="nil"/>
              <w:left w:val="nil"/>
              <w:bottom w:val="nil"/>
              <w:right w:val="nil"/>
            </w:tcBorders>
            <w:shd w:val="clear" w:color="auto" w:fill="auto"/>
            <w:noWrap/>
            <w:vAlign w:val="bottom"/>
            <w:hideMark/>
          </w:tcPr>
          <w:p w14:paraId="7AE7EFA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2EE1D77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0,0108</w:t>
            </w:r>
          </w:p>
        </w:tc>
        <w:tc>
          <w:tcPr>
            <w:tcW w:w="436" w:type="dxa"/>
            <w:tcBorders>
              <w:top w:val="nil"/>
              <w:left w:val="nil"/>
              <w:bottom w:val="nil"/>
              <w:right w:val="nil"/>
            </w:tcBorders>
            <w:shd w:val="clear" w:color="auto" w:fill="auto"/>
            <w:noWrap/>
            <w:vAlign w:val="bottom"/>
            <w:hideMark/>
          </w:tcPr>
          <w:p w14:paraId="291415E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0298E35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0,0187</w:t>
            </w:r>
          </w:p>
        </w:tc>
        <w:tc>
          <w:tcPr>
            <w:tcW w:w="595" w:type="dxa"/>
            <w:tcBorders>
              <w:top w:val="nil"/>
              <w:left w:val="nil"/>
              <w:bottom w:val="nil"/>
              <w:right w:val="nil"/>
            </w:tcBorders>
            <w:shd w:val="clear" w:color="auto" w:fill="auto"/>
            <w:noWrap/>
            <w:vAlign w:val="bottom"/>
            <w:hideMark/>
          </w:tcPr>
          <w:p w14:paraId="3E56185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59CA405A" w14:textId="77777777" w:rsidTr="00844321">
        <w:trPr>
          <w:trHeight w:val="288"/>
        </w:trPr>
        <w:tc>
          <w:tcPr>
            <w:tcW w:w="1112" w:type="dxa"/>
            <w:tcBorders>
              <w:top w:val="nil"/>
              <w:left w:val="nil"/>
              <w:bottom w:val="nil"/>
              <w:right w:val="nil"/>
            </w:tcBorders>
            <w:shd w:val="clear" w:color="auto" w:fill="auto"/>
            <w:noWrap/>
            <w:vAlign w:val="bottom"/>
            <w:hideMark/>
          </w:tcPr>
          <w:p w14:paraId="4EDCFDD2"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β</w:t>
            </w:r>
          </w:p>
        </w:tc>
        <w:tc>
          <w:tcPr>
            <w:tcW w:w="1173" w:type="dxa"/>
            <w:tcBorders>
              <w:top w:val="nil"/>
              <w:left w:val="nil"/>
              <w:bottom w:val="nil"/>
              <w:right w:val="nil"/>
            </w:tcBorders>
            <w:shd w:val="clear" w:color="auto" w:fill="auto"/>
            <w:noWrap/>
            <w:vAlign w:val="bottom"/>
            <w:hideMark/>
          </w:tcPr>
          <w:p w14:paraId="0F02354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0,1190</w:t>
            </w:r>
          </w:p>
        </w:tc>
        <w:tc>
          <w:tcPr>
            <w:tcW w:w="595" w:type="dxa"/>
            <w:tcBorders>
              <w:top w:val="nil"/>
              <w:left w:val="nil"/>
              <w:bottom w:val="nil"/>
              <w:right w:val="nil"/>
            </w:tcBorders>
            <w:shd w:val="clear" w:color="auto" w:fill="auto"/>
            <w:noWrap/>
            <w:vAlign w:val="bottom"/>
            <w:hideMark/>
          </w:tcPr>
          <w:p w14:paraId="62C2FCBF"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6D67134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0,3387</w:t>
            </w:r>
          </w:p>
        </w:tc>
        <w:tc>
          <w:tcPr>
            <w:tcW w:w="436" w:type="dxa"/>
            <w:tcBorders>
              <w:top w:val="nil"/>
              <w:left w:val="nil"/>
              <w:bottom w:val="nil"/>
              <w:right w:val="nil"/>
            </w:tcBorders>
            <w:shd w:val="clear" w:color="auto" w:fill="auto"/>
            <w:noWrap/>
            <w:vAlign w:val="bottom"/>
            <w:hideMark/>
          </w:tcPr>
          <w:p w14:paraId="265CBB6E"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4E8F3D0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0,2482</w:t>
            </w:r>
          </w:p>
        </w:tc>
        <w:tc>
          <w:tcPr>
            <w:tcW w:w="436" w:type="dxa"/>
            <w:tcBorders>
              <w:top w:val="nil"/>
              <w:left w:val="nil"/>
              <w:bottom w:val="nil"/>
              <w:right w:val="nil"/>
            </w:tcBorders>
            <w:shd w:val="clear" w:color="auto" w:fill="auto"/>
            <w:noWrap/>
            <w:vAlign w:val="bottom"/>
            <w:hideMark/>
          </w:tcPr>
          <w:p w14:paraId="68244B9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374E63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0,2172</w:t>
            </w:r>
          </w:p>
        </w:tc>
        <w:tc>
          <w:tcPr>
            <w:tcW w:w="436" w:type="dxa"/>
            <w:tcBorders>
              <w:top w:val="nil"/>
              <w:left w:val="nil"/>
              <w:bottom w:val="nil"/>
              <w:right w:val="nil"/>
            </w:tcBorders>
            <w:shd w:val="clear" w:color="auto" w:fill="auto"/>
            <w:noWrap/>
            <w:vAlign w:val="bottom"/>
            <w:hideMark/>
          </w:tcPr>
          <w:p w14:paraId="46B0268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6EC276A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0,0554</w:t>
            </w:r>
          </w:p>
        </w:tc>
        <w:tc>
          <w:tcPr>
            <w:tcW w:w="595" w:type="dxa"/>
            <w:tcBorders>
              <w:top w:val="nil"/>
              <w:left w:val="nil"/>
              <w:bottom w:val="nil"/>
              <w:right w:val="nil"/>
            </w:tcBorders>
            <w:shd w:val="clear" w:color="auto" w:fill="auto"/>
            <w:noWrap/>
            <w:vAlign w:val="bottom"/>
            <w:hideMark/>
          </w:tcPr>
          <w:p w14:paraId="3550048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7B28447C" w14:textId="77777777" w:rsidTr="00844321">
        <w:trPr>
          <w:trHeight w:val="288"/>
        </w:trPr>
        <w:tc>
          <w:tcPr>
            <w:tcW w:w="1112" w:type="dxa"/>
            <w:tcBorders>
              <w:top w:val="nil"/>
              <w:left w:val="nil"/>
              <w:bottom w:val="nil"/>
              <w:right w:val="nil"/>
            </w:tcBorders>
            <w:shd w:val="clear" w:color="auto" w:fill="auto"/>
            <w:noWrap/>
            <w:vAlign w:val="bottom"/>
            <w:hideMark/>
          </w:tcPr>
          <w:p w14:paraId="3F1394F6"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s</w:t>
            </w:r>
          </w:p>
        </w:tc>
        <w:tc>
          <w:tcPr>
            <w:tcW w:w="1173" w:type="dxa"/>
            <w:tcBorders>
              <w:top w:val="nil"/>
              <w:left w:val="nil"/>
              <w:bottom w:val="nil"/>
              <w:right w:val="nil"/>
            </w:tcBorders>
            <w:shd w:val="clear" w:color="auto" w:fill="auto"/>
            <w:noWrap/>
            <w:vAlign w:val="bottom"/>
            <w:hideMark/>
          </w:tcPr>
          <w:p w14:paraId="6D467A2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0,0249</w:t>
            </w:r>
          </w:p>
        </w:tc>
        <w:tc>
          <w:tcPr>
            <w:tcW w:w="595" w:type="dxa"/>
            <w:tcBorders>
              <w:top w:val="nil"/>
              <w:left w:val="nil"/>
              <w:bottom w:val="nil"/>
              <w:right w:val="nil"/>
            </w:tcBorders>
            <w:shd w:val="clear" w:color="auto" w:fill="auto"/>
            <w:noWrap/>
            <w:vAlign w:val="bottom"/>
            <w:hideMark/>
          </w:tcPr>
          <w:p w14:paraId="43C933B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18D2A00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0,1057</w:t>
            </w:r>
          </w:p>
        </w:tc>
        <w:tc>
          <w:tcPr>
            <w:tcW w:w="436" w:type="dxa"/>
            <w:tcBorders>
              <w:top w:val="nil"/>
              <w:left w:val="nil"/>
              <w:bottom w:val="nil"/>
              <w:right w:val="nil"/>
            </w:tcBorders>
            <w:shd w:val="clear" w:color="auto" w:fill="auto"/>
            <w:noWrap/>
            <w:vAlign w:val="bottom"/>
            <w:hideMark/>
          </w:tcPr>
          <w:p w14:paraId="6351A8C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4EC570C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-0,0857</w:t>
            </w:r>
          </w:p>
        </w:tc>
        <w:tc>
          <w:tcPr>
            <w:tcW w:w="436" w:type="dxa"/>
            <w:tcBorders>
              <w:top w:val="nil"/>
              <w:left w:val="nil"/>
              <w:bottom w:val="nil"/>
              <w:right w:val="nil"/>
            </w:tcBorders>
            <w:shd w:val="clear" w:color="auto" w:fill="auto"/>
            <w:noWrap/>
            <w:vAlign w:val="bottom"/>
            <w:hideMark/>
          </w:tcPr>
          <w:p w14:paraId="07854862"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1F369E4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0,1055</w:t>
            </w:r>
          </w:p>
        </w:tc>
        <w:tc>
          <w:tcPr>
            <w:tcW w:w="436" w:type="dxa"/>
            <w:tcBorders>
              <w:top w:val="nil"/>
              <w:left w:val="nil"/>
              <w:bottom w:val="nil"/>
              <w:right w:val="nil"/>
            </w:tcBorders>
            <w:shd w:val="clear" w:color="auto" w:fill="auto"/>
            <w:noWrap/>
            <w:vAlign w:val="bottom"/>
            <w:hideMark/>
          </w:tcPr>
          <w:p w14:paraId="0D622ED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0AAB679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0,0883</w:t>
            </w:r>
          </w:p>
        </w:tc>
        <w:tc>
          <w:tcPr>
            <w:tcW w:w="595" w:type="dxa"/>
            <w:tcBorders>
              <w:top w:val="nil"/>
              <w:left w:val="nil"/>
              <w:bottom w:val="nil"/>
              <w:right w:val="nil"/>
            </w:tcBorders>
            <w:shd w:val="clear" w:color="auto" w:fill="auto"/>
            <w:noWrap/>
            <w:vAlign w:val="bottom"/>
            <w:hideMark/>
          </w:tcPr>
          <w:p w14:paraId="6CB1C6E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00AD0E61" w14:textId="77777777" w:rsidTr="00844321">
        <w:trPr>
          <w:trHeight w:val="288"/>
        </w:trPr>
        <w:tc>
          <w:tcPr>
            <w:tcW w:w="1112" w:type="dxa"/>
            <w:tcBorders>
              <w:top w:val="nil"/>
              <w:left w:val="nil"/>
              <w:bottom w:val="nil"/>
              <w:right w:val="nil"/>
            </w:tcBorders>
            <w:shd w:val="clear" w:color="auto" w:fill="auto"/>
            <w:noWrap/>
            <w:vAlign w:val="bottom"/>
            <w:hideMark/>
          </w:tcPr>
          <w:p w14:paraId="52D84EA5"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h</w:t>
            </w:r>
          </w:p>
        </w:tc>
        <w:tc>
          <w:tcPr>
            <w:tcW w:w="1173" w:type="dxa"/>
            <w:tcBorders>
              <w:top w:val="nil"/>
              <w:left w:val="nil"/>
              <w:bottom w:val="nil"/>
              <w:right w:val="nil"/>
            </w:tcBorders>
            <w:shd w:val="clear" w:color="auto" w:fill="auto"/>
            <w:noWrap/>
            <w:vAlign w:val="bottom"/>
            <w:hideMark/>
          </w:tcPr>
          <w:p w14:paraId="4F4DE4A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0,1415</w:t>
            </w:r>
          </w:p>
        </w:tc>
        <w:tc>
          <w:tcPr>
            <w:tcW w:w="595" w:type="dxa"/>
            <w:tcBorders>
              <w:top w:val="nil"/>
              <w:left w:val="nil"/>
              <w:bottom w:val="nil"/>
              <w:right w:val="nil"/>
            </w:tcBorders>
            <w:shd w:val="clear" w:color="auto" w:fill="auto"/>
            <w:noWrap/>
            <w:vAlign w:val="bottom"/>
            <w:hideMark/>
          </w:tcPr>
          <w:p w14:paraId="7A4AF81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291DA25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-0,2978</w:t>
            </w:r>
          </w:p>
        </w:tc>
        <w:tc>
          <w:tcPr>
            <w:tcW w:w="436" w:type="dxa"/>
            <w:tcBorders>
              <w:top w:val="nil"/>
              <w:left w:val="nil"/>
              <w:bottom w:val="nil"/>
              <w:right w:val="nil"/>
            </w:tcBorders>
            <w:shd w:val="clear" w:color="auto" w:fill="auto"/>
            <w:noWrap/>
            <w:vAlign w:val="bottom"/>
            <w:hideMark/>
          </w:tcPr>
          <w:p w14:paraId="70E9BECA"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52494DC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0,5958</w:t>
            </w:r>
          </w:p>
        </w:tc>
        <w:tc>
          <w:tcPr>
            <w:tcW w:w="436" w:type="dxa"/>
            <w:tcBorders>
              <w:top w:val="nil"/>
              <w:left w:val="nil"/>
              <w:bottom w:val="nil"/>
              <w:right w:val="nil"/>
            </w:tcBorders>
            <w:shd w:val="clear" w:color="auto" w:fill="auto"/>
            <w:noWrap/>
            <w:vAlign w:val="bottom"/>
            <w:hideMark/>
          </w:tcPr>
          <w:p w14:paraId="6138E76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F12A27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0,8827</w:t>
            </w:r>
          </w:p>
        </w:tc>
        <w:tc>
          <w:tcPr>
            <w:tcW w:w="436" w:type="dxa"/>
            <w:tcBorders>
              <w:top w:val="nil"/>
              <w:left w:val="nil"/>
              <w:bottom w:val="nil"/>
              <w:right w:val="nil"/>
            </w:tcBorders>
            <w:shd w:val="clear" w:color="auto" w:fill="auto"/>
            <w:noWrap/>
            <w:vAlign w:val="bottom"/>
            <w:hideMark/>
          </w:tcPr>
          <w:p w14:paraId="68EFFB6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598CC3D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0,3148</w:t>
            </w:r>
          </w:p>
        </w:tc>
        <w:tc>
          <w:tcPr>
            <w:tcW w:w="595" w:type="dxa"/>
            <w:tcBorders>
              <w:top w:val="nil"/>
              <w:left w:val="nil"/>
              <w:bottom w:val="nil"/>
              <w:right w:val="nil"/>
            </w:tcBorders>
            <w:shd w:val="clear" w:color="auto" w:fill="auto"/>
            <w:noWrap/>
            <w:vAlign w:val="bottom"/>
            <w:hideMark/>
          </w:tcPr>
          <w:p w14:paraId="0842AB2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5AE8D5DE" w14:textId="77777777" w:rsidTr="00844321">
        <w:trPr>
          <w:trHeight w:val="288"/>
        </w:trPr>
        <w:tc>
          <w:tcPr>
            <w:tcW w:w="1112" w:type="dxa"/>
            <w:tcBorders>
              <w:top w:val="nil"/>
              <w:left w:val="nil"/>
              <w:bottom w:val="nil"/>
              <w:right w:val="nil"/>
            </w:tcBorders>
            <w:shd w:val="clear" w:color="auto" w:fill="auto"/>
            <w:noWrap/>
            <w:vAlign w:val="bottom"/>
            <w:hideMark/>
          </w:tcPr>
          <w:p w14:paraId="0A0D417C"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w</w:t>
            </w:r>
          </w:p>
        </w:tc>
        <w:tc>
          <w:tcPr>
            <w:tcW w:w="1173" w:type="dxa"/>
            <w:tcBorders>
              <w:top w:val="nil"/>
              <w:left w:val="nil"/>
              <w:bottom w:val="nil"/>
              <w:right w:val="nil"/>
            </w:tcBorders>
            <w:shd w:val="clear" w:color="auto" w:fill="auto"/>
            <w:noWrap/>
            <w:vAlign w:val="bottom"/>
            <w:hideMark/>
          </w:tcPr>
          <w:p w14:paraId="3995E5E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0,5780</w:t>
            </w:r>
          </w:p>
        </w:tc>
        <w:tc>
          <w:tcPr>
            <w:tcW w:w="595" w:type="dxa"/>
            <w:tcBorders>
              <w:top w:val="nil"/>
              <w:left w:val="nil"/>
              <w:bottom w:val="nil"/>
              <w:right w:val="nil"/>
            </w:tcBorders>
            <w:shd w:val="clear" w:color="auto" w:fill="auto"/>
            <w:noWrap/>
            <w:vAlign w:val="bottom"/>
            <w:hideMark/>
          </w:tcPr>
          <w:p w14:paraId="46A1823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3D0CFEB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0,5504</w:t>
            </w:r>
          </w:p>
        </w:tc>
        <w:tc>
          <w:tcPr>
            <w:tcW w:w="436" w:type="dxa"/>
            <w:tcBorders>
              <w:top w:val="nil"/>
              <w:left w:val="nil"/>
              <w:bottom w:val="nil"/>
              <w:right w:val="nil"/>
            </w:tcBorders>
            <w:shd w:val="clear" w:color="auto" w:fill="auto"/>
            <w:noWrap/>
            <w:vAlign w:val="bottom"/>
            <w:hideMark/>
          </w:tcPr>
          <w:p w14:paraId="3694E66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09571C0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0,2124</w:t>
            </w:r>
          </w:p>
        </w:tc>
        <w:tc>
          <w:tcPr>
            <w:tcW w:w="436" w:type="dxa"/>
            <w:tcBorders>
              <w:top w:val="nil"/>
              <w:left w:val="nil"/>
              <w:bottom w:val="nil"/>
              <w:right w:val="nil"/>
            </w:tcBorders>
            <w:shd w:val="clear" w:color="auto" w:fill="auto"/>
            <w:noWrap/>
            <w:vAlign w:val="bottom"/>
            <w:hideMark/>
          </w:tcPr>
          <w:p w14:paraId="6DDA73D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709A9CE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0,5727</w:t>
            </w:r>
          </w:p>
        </w:tc>
        <w:tc>
          <w:tcPr>
            <w:tcW w:w="436" w:type="dxa"/>
            <w:tcBorders>
              <w:top w:val="nil"/>
              <w:left w:val="nil"/>
              <w:bottom w:val="nil"/>
              <w:right w:val="nil"/>
            </w:tcBorders>
            <w:shd w:val="clear" w:color="auto" w:fill="auto"/>
            <w:noWrap/>
            <w:vAlign w:val="bottom"/>
            <w:hideMark/>
          </w:tcPr>
          <w:p w14:paraId="7683155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1DD5FA4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0,5166</w:t>
            </w:r>
          </w:p>
        </w:tc>
        <w:tc>
          <w:tcPr>
            <w:tcW w:w="595" w:type="dxa"/>
            <w:tcBorders>
              <w:top w:val="nil"/>
              <w:left w:val="nil"/>
              <w:bottom w:val="nil"/>
              <w:right w:val="nil"/>
            </w:tcBorders>
            <w:shd w:val="clear" w:color="auto" w:fill="auto"/>
            <w:noWrap/>
            <w:vAlign w:val="bottom"/>
            <w:hideMark/>
          </w:tcPr>
          <w:p w14:paraId="34EF49A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53E5DFF6" w14:textId="77777777" w:rsidTr="00844321">
        <w:trPr>
          <w:trHeight w:val="288"/>
        </w:trPr>
        <w:tc>
          <w:tcPr>
            <w:tcW w:w="1112" w:type="dxa"/>
            <w:tcBorders>
              <w:top w:val="nil"/>
              <w:left w:val="nil"/>
              <w:bottom w:val="nil"/>
              <w:right w:val="nil"/>
            </w:tcBorders>
            <w:shd w:val="clear" w:color="auto" w:fill="auto"/>
            <w:noWrap/>
            <w:vAlign w:val="bottom"/>
            <w:hideMark/>
          </w:tcPr>
          <w:p w14:paraId="316195D1"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Adj R</w:t>
            </w:r>
            <w:r w:rsidRPr="00907BF6">
              <w:rPr>
                <w:rFonts w:ascii="Times New Roman" w:eastAsia="Times New Roman" w:hAnsi="Times New Roman" w:cs="Times New Roman"/>
                <w:color w:val="000000"/>
                <w:vertAlign w:val="superscript"/>
              </w:rPr>
              <w:t>2</w:t>
            </w:r>
          </w:p>
        </w:tc>
        <w:tc>
          <w:tcPr>
            <w:tcW w:w="1173" w:type="dxa"/>
            <w:tcBorders>
              <w:top w:val="nil"/>
              <w:left w:val="nil"/>
              <w:bottom w:val="nil"/>
              <w:right w:val="nil"/>
            </w:tcBorders>
            <w:shd w:val="clear" w:color="auto" w:fill="auto"/>
            <w:noWrap/>
            <w:vAlign w:val="bottom"/>
            <w:hideMark/>
          </w:tcPr>
          <w:p w14:paraId="07BD498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0,3841</w:t>
            </w:r>
          </w:p>
        </w:tc>
        <w:tc>
          <w:tcPr>
            <w:tcW w:w="595" w:type="dxa"/>
            <w:tcBorders>
              <w:top w:val="nil"/>
              <w:left w:val="nil"/>
              <w:bottom w:val="nil"/>
              <w:right w:val="nil"/>
            </w:tcBorders>
            <w:shd w:val="clear" w:color="auto" w:fill="auto"/>
            <w:noWrap/>
            <w:vAlign w:val="bottom"/>
            <w:hideMark/>
          </w:tcPr>
          <w:p w14:paraId="03BB3271"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3F8ABD7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0,3995</w:t>
            </w:r>
          </w:p>
        </w:tc>
        <w:tc>
          <w:tcPr>
            <w:tcW w:w="436" w:type="dxa"/>
            <w:tcBorders>
              <w:top w:val="nil"/>
              <w:left w:val="nil"/>
              <w:bottom w:val="nil"/>
              <w:right w:val="nil"/>
            </w:tcBorders>
            <w:shd w:val="clear" w:color="auto" w:fill="auto"/>
            <w:noWrap/>
            <w:vAlign w:val="bottom"/>
            <w:hideMark/>
          </w:tcPr>
          <w:p w14:paraId="489362B6"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593EA9D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0,4645</w:t>
            </w:r>
          </w:p>
        </w:tc>
        <w:tc>
          <w:tcPr>
            <w:tcW w:w="436" w:type="dxa"/>
            <w:tcBorders>
              <w:top w:val="nil"/>
              <w:left w:val="nil"/>
              <w:bottom w:val="nil"/>
              <w:right w:val="nil"/>
            </w:tcBorders>
            <w:shd w:val="clear" w:color="auto" w:fill="auto"/>
            <w:noWrap/>
            <w:vAlign w:val="bottom"/>
            <w:hideMark/>
          </w:tcPr>
          <w:p w14:paraId="5406B97B"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210680B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0,4602</w:t>
            </w:r>
          </w:p>
        </w:tc>
        <w:tc>
          <w:tcPr>
            <w:tcW w:w="436" w:type="dxa"/>
            <w:tcBorders>
              <w:top w:val="nil"/>
              <w:left w:val="nil"/>
              <w:bottom w:val="nil"/>
              <w:right w:val="nil"/>
            </w:tcBorders>
            <w:shd w:val="clear" w:color="auto" w:fill="auto"/>
            <w:noWrap/>
            <w:vAlign w:val="bottom"/>
            <w:hideMark/>
          </w:tcPr>
          <w:p w14:paraId="1185E9CB"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nil"/>
            </w:tcBorders>
            <w:shd w:val="clear" w:color="auto" w:fill="auto"/>
            <w:noWrap/>
            <w:vAlign w:val="bottom"/>
            <w:hideMark/>
          </w:tcPr>
          <w:p w14:paraId="5966D26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0,5811</w:t>
            </w:r>
          </w:p>
        </w:tc>
        <w:tc>
          <w:tcPr>
            <w:tcW w:w="595" w:type="dxa"/>
            <w:tcBorders>
              <w:top w:val="nil"/>
              <w:left w:val="nil"/>
              <w:bottom w:val="nil"/>
              <w:right w:val="nil"/>
            </w:tcBorders>
            <w:shd w:val="clear" w:color="auto" w:fill="auto"/>
            <w:noWrap/>
            <w:vAlign w:val="bottom"/>
            <w:hideMark/>
          </w:tcPr>
          <w:p w14:paraId="58A1D7EF"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r>
      <w:tr w:rsidR="00907BF6" w:rsidRPr="00907BF6" w14:paraId="568C70F9" w14:textId="77777777" w:rsidTr="00844321">
        <w:trPr>
          <w:trHeight w:val="288"/>
        </w:trPr>
        <w:tc>
          <w:tcPr>
            <w:tcW w:w="9349" w:type="dxa"/>
            <w:gridSpan w:val="11"/>
            <w:tcBorders>
              <w:top w:val="single" w:sz="4" w:space="0" w:color="auto"/>
              <w:left w:val="nil"/>
              <w:bottom w:val="single" w:sz="4" w:space="0" w:color="auto"/>
              <w:right w:val="nil"/>
            </w:tcBorders>
            <w:shd w:val="clear" w:color="auto" w:fill="auto"/>
            <w:noWrap/>
            <w:vAlign w:val="bottom"/>
            <w:hideMark/>
          </w:tcPr>
          <w:p w14:paraId="34CDCF0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Stage 2</w:t>
            </w:r>
          </w:p>
        </w:tc>
      </w:tr>
      <w:tr w:rsidR="00907BF6" w:rsidRPr="00907BF6" w14:paraId="54DB036C" w14:textId="77777777" w:rsidTr="00844321">
        <w:trPr>
          <w:trHeight w:val="288"/>
        </w:trPr>
        <w:tc>
          <w:tcPr>
            <w:tcW w:w="1112" w:type="dxa"/>
            <w:tcBorders>
              <w:top w:val="nil"/>
              <w:left w:val="nil"/>
              <w:bottom w:val="nil"/>
              <w:right w:val="nil"/>
            </w:tcBorders>
            <w:shd w:val="clear" w:color="auto" w:fill="auto"/>
            <w:noWrap/>
            <w:vAlign w:val="bottom"/>
            <w:hideMark/>
          </w:tcPr>
          <w:p w14:paraId="64D6DF17"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768" w:type="dxa"/>
            <w:gridSpan w:val="2"/>
            <w:tcBorders>
              <w:top w:val="nil"/>
              <w:left w:val="nil"/>
              <w:bottom w:val="nil"/>
              <w:right w:val="nil"/>
            </w:tcBorders>
            <w:shd w:val="clear" w:color="auto" w:fill="auto"/>
            <w:noWrap/>
            <w:vAlign w:val="bottom"/>
            <w:hideMark/>
          </w:tcPr>
          <w:p w14:paraId="22395F02"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Low</w:t>
            </w:r>
          </w:p>
        </w:tc>
        <w:tc>
          <w:tcPr>
            <w:tcW w:w="1608" w:type="dxa"/>
            <w:gridSpan w:val="2"/>
            <w:tcBorders>
              <w:top w:val="nil"/>
              <w:left w:val="nil"/>
              <w:bottom w:val="nil"/>
              <w:right w:val="nil"/>
            </w:tcBorders>
            <w:shd w:val="clear" w:color="auto" w:fill="auto"/>
            <w:noWrap/>
            <w:vAlign w:val="bottom"/>
            <w:hideMark/>
          </w:tcPr>
          <w:p w14:paraId="0DFE878D"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2</w:t>
            </w:r>
          </w:p>
        </w:tc>
        <w:tc>
          <w:tcPr>
            <w:tcW w:w="1608" w:type="dxa"/>
            <w:gridSpan w:val="2"/>
            <w:tcBorders>
              <w:top w:val="nil"/>
              <w:left w:val="nil"/>
              <w:bottom w:val="nil"/>
              <w:right w:val="nil"/>
            </w:tcBorders>
            <w:shd w:val="clear" w:color="auto" w:fill="auto"/>
            <w:noWrap/>
            <w:vAlign w:val="bottom"/>
            <w:hideMark/>
          </w:tcPr>
          <w:p w14:paraId="78A2EC0F"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3</w:t>
            </w:r>
          </w:p>
        </w:tc>
        <w:tc>
          <w:tcPr>
            <w:tcW w:w="1608" w:type="dxa"/>
            <w:gridSpan w:val="2"/>
            <w:tcBorders>
              <w:top w:val="nil"/>
              <w:left w:val="nil"/>
              <w:bottom w:val="nil"/>
              <w:right w:val="nil"/>
            </w:tcBorders>
            <w:shd w:val="clear" w:color="auto" w:fill="auto"/>
            <w:noWrap/>
            <w:vAlign w:val="bottom"/>
            <w:hideMark/>
          </w:tcPr>
          <w:p w14:paraId="1D46F25D"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4</w:t>
            </w:r>
          </w:p>
        </w:tc>
        <w:tc>
          <w:tcPr>
            <w:tcW w:w="1645" w:type="dxa"/>
            <w:gridSpan w:val="2"/>
            <w:tcBorders>
              <w:top w:val="nil"/>
              <w:left w:val="nil"/>
              <w:bottom w:val="nil"/>
              <w:right w:val="nil"/>
            </w:tcBorders>
            <w:shd w:val="clear" w:color="auto" w:fill="auto"/>
            <w:noWrap/>
            <w:vAlign w:val="bottom"/>
            <w:hideMark/>
          </w:tcPr>
          <w:p w14:paraId="45CC9773"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High</w:t>
            </w:r>
          </w:p>
        </w:tc>
      </w:tr>
      <w:tr w:rsidR="00907BF6" w:rsidRPr="00907BF6" w14:paraId="2B7893A4" w14:textId="77777777" w:rsidTr="00844321">
        <w:trPr>
          <w:trHeight w:val="288"/>
        </w:trPr>
        <w:tc>
          <w:tcPr>
            <w:tcW w:w="1112" w:type="dxa"/>
            <w:tcBorders>
              <w:top w:val="nil"/>
              <w:left w:val="nil"/>
              <w:bottom w:val="nil"/>
              <w:right w:val="nil"/>
            </w:tcBorders>
            <w:shd w:val="clear" w:color="auto" w:fill="auto"/>
            <w:noWrap/>
            <w:vAlign w:val="bottom"/>
            <w:hideMark/>
          </w:tcPr>
          <w:p w14:paraId="711F2E9B"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Α</w:t>
            </w:r>
          </w:p>
        </w:tc>
        <w:tc>
          <w:tcPr>
            <w:tcW w:w="1173" w:type="dxa"/>
            <w:tcBorders>
              <w:top w:val="nil"/>
              <w:left w:val="nil"/>
              <w:bottom w:val="nil"/>
              <w:right w:val="nil"/>
            </w:tcBorders>
            <w:shd w:val="clear" w:color="auto" w:fill="auto"/>
            <w:noWrap/>
            <w:vAlign w:val="bottom"/>
            <w:hideMark/>
          </w:tcPr>
          <w:p w14:paraId="544BF17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-0,0092</w:t>
            </w:r>
          </w:p>
        </w:tc>
        <w:tc>
          <w:tcPr>
            <w:tcW w:w="595" w:type="dxa"/>
            <w:tcBorders>
              <w:top w:val="nil"/>
              <w:left w:val="nil"/>
              <w:bottom w:val="nil"/>
              <w:right w:val="nil"/>
            </w:tcBorders>
            <w:shd w:val="clear" w:color="auto" w:fill="auto"/>
            <w:noWrap/>
            <w:vAlign w:val="bottom"/>
            <w:hideMark/>
          </w:tcPr>
          <w:p w14:paraId="007C019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30557B4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-0,0106</w:t>
            </w:r>
          </w:p>
        </w:tc>
        <w:tc>
          <w:tcPr>
            <w:tcW w:w="436" w:type="dxa"/>
            <w:tcBorders>
              <w:top w:val="nil"/>
              <w:left w:val="nil"/>
              <w:bottom w:val="nil"/>
              <w:right w:val="nil"/>
            </w:tcBorders>
            <w:shd w:val="clear" w:color="auto" w:fill="auto"/>
            <w:noWrap/>
            <w:vAlign w:val="bottom"/>
            <w:hideMark/>
          </w:tcPr>
          <w:p w14:paraId="5A6858C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702359F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-0,0205</w:t>
            </w:r>
          </w:p>
        </w:tc>
        <w:tc>
          <w:tcPr>
            <w:tcW w:w="436" w:type="dxa"/>
            <w:tcBorders>
              <w:top w:val="nil"/>
              <w:left w:val="nil"/>
              <w:bottom w:val="nil"/>
              <w:right w:val="nil"/>
            </w:tcBorders>
            <w:shd w:val="clear" w:color="auto" w:fill="auto"/>
            <w:noWrap/>
            <w:vAlign w:val="bottom"/>
            <w:hideMark/>
          </w:tcPr>
          <w:p w14:paraId="173E742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1FBC57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0,0020</w:t>
            </w:r>
          </w:p>
        </w:tc>
        <w:tc>
          <w:tcPr>
            <w:tcW w:w="436" w:type="dxa"/>
            <w:tcBorders>
              <w:top w:val="nil"/>
              <w:left w:val="nil"/>
              <w:bottom w:val="nil"/>
              <w:right w:val="nil"/>
            </w:tcBorders>
            <w:shd w:val="clear" w:color="auto" w:fill="auto"/>
            <w:noWrap/>
            <w:vAlign w:val="bottom"/>
            <w:hideMark/>
          </w:tcPr>
          <w:p w14:paraId="42D3BF1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5056090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0,0063</w:t>
            </w:r>
          </w:p>
        </w:tc>
        <w:tc>
          <w:tcPr>
            <w:tcW w:w="595" w:type="dxa"/>
            <w:tcBorders>
              <w:top w:val="nil"/>
              <w:left w:val="nil"/>
              <w:bottom w:val="nil"/>
              <w:right w:val="nil"/>
            </w:tcBorders>
            <w:shd w:val="clear" w:color="auto" w:fill="auto"/>
            <w:noWrap/>
            <w:vAlign w:val="bottom"/>
            <w:hideMark/>
          </w:tcPr>
          <w:p w14:paraId="0FA441A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3F732B6E" w14:textId="77777777" w:rsidTr="00844321">
        <w:trPr>
          <w:trHeight w:val="288"/>
        </w:trPr>
        <w:tc>
          <w:tcPr>
            <w:tcW w:w="1112" w:type="dxa"/>
            <w:tcBorders>
              <w:top w:val="nil"/>
              <w:left w:val="nil"/>
              <w:bottom w:val="nil"/>
              <w:right w:val="nil"/>
            </w:tcBorders>
            <w:shd w:val="clear" w:color="auto" w:fill="auto"/>
            <w:noWrap/>
            <w:vAlign w:val="bottom"/>
            <w:hideMark/>
          </w:tcPr>
          <w:p w14:paraId="4BC4D5D7"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Β</w:t>
            </w:r>
          </w:p>
        </w:tc>
        <w:tc>
          <w:tcPr>
            <w:tcW w:w="1173" w:type="dxa"/>
            <w:tcBorders>
              <w:top w:val="nil"/>
              <w:left w:val="nil"/>
              <w:bottom w:val="nil"/>
              <w:right w:val="nil"/>
            </w:tcBorders>
            <w:shd w:val="clear" w:color="auto" w:fill="auto"/>
            <w:noWrap/>
            <w:vAlign w:val="bottom"/>
            <w:hideMark/>
          </w:tcPr>
          <w:p w14:paraId="594C7C1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0,1295</w:t>
            </w:r>
          </w:p>
        </w:tc>
        <w:tc>
          <w:tcPr>
            <w:tcW w:w="595" w:type="dxa"/>
            <w:tcBorders>
              <w:top w:val="nil"/>
              <w:left w:val="nil"/>
              <w:bottom w:val="nil"/>
              <w:right w:val="nil"/>
            </w:tcBorders>
            <w:shd w:val="clear" w:color="auto" w:fill="auto"/>
            <w:noWrap/>
            <w:vAlign w:val="bottom"/>
            <w:hideMark/>
          </w:tcPr>
          <w:p w14:paraId="66412FC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6DD3ED8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0,3688</w:t>
            </w:r>
          </w:p>
        </w:tc>
        <w:tc>
          <w:tcPr>
            <w:tcW w:w="436" w:type="dxa"/>
            <w:tcBorders>
              <w:top w:val="nil"/>
              <w:left w:val="nil"/>
              <w:bottom w:val="nil"/>
              <w:right w:val="nil"/>
            </w:tcBorders>
            <w:shd w:val="clear" w:color="auto" w:fill="auto"/>
            <w:noWrap/>
            <w:vAlign w:val="bottom"/>
            <w:hideMark/>
          </w:tcPr>
          <w:p w14:paraId="764CC31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79E4276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0,2702</w:t>
            </w:r>
          </w:p>
        </w:tc>
        <w:tc>
          <w:tcPr>
            <w:tcW w:w="436" w:type="dxa"/>
            <w:tcBorders>
              <w:top w:val="nil"/>
              <w:left w:val="nil"/>
              <w:bottom w:val="nil"/>
              <w:right w:val="nil"/>
            </w:tcBorders>
            <w:shd w:val="clear" w:color="auto" w:fill="auto"/>
            <w:noWrap/>
            <w:vAlign w:val="bottom"/>
            <w:hideMark/>
          </w:tcPr>
          <w:p w14:paraId="40C9B97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15DC287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0,2365</w:t>
            </w:r>
          </w:p>
        </w:tc>
        <w:tc>
          <w:tcPr>
            <w:tcW w:w="436" w:type="dxa"/>
            <w:tcBorders>
              <w:top w:val="nil"/>
              <w:left w:val="nil"/>
              <w:bottom w:val="nil"/>
              <w:right w:val="nil"/>
            </w:tcBorders>
            <w:shd w:val="clear" w:color="auto" w:fill="auto"/>
            <w:noWrap/>
            <w:vAlign w:val="bottom"/>
            <w:hideMark/>
          </w:tcPr>
          <w:p w14:paraId="3A089C0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77572AC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0,0603</w:t>
            </w:r>
          </w:p>
        </w:tc>
        <w:tc>
          <w:tcPr>
            <w:tcW w:w="595" w:type="dxa"/>
            <w:tcBorders>
              <w:top w:val="nil"/>
              <w:left w:val="nil"/>
              <w:bottom w:val="nil"/>
              <w:right w:val="nil"/>
            </w:tcBorders>
            <w:shd w:val="clear" w:color="auto" w:fill="auto"/>
            <w:noWrap/>
            <w:vAlign w:val="bottom"/>
            <w:hideMark/>
          </w:tcPr>
          <w:p w14:paraId="6611443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1395C378" w14:textId="77777777" w:rsidTr="00844321">
        <w:trPr>
          <w:trHeight w:val="288"/>
        </w:trPr>
        <w:tc>
          <w:tcPr>
            <w:tcW w:w="1112" w:type="dxa"/>
            <w:tcBorders>
              <w:top w:val="nil"/>
              <w:left w:val="nil"/>
              <w:bottom w:val="nil"/>
              <w:right w:val="nil"/>
            </w:tcBorders>
            <w:shd w:val="clear" w:color="auto" w:fill="auto"/>
            <w:noWrap/>
            <w:vAlign w:val="bottom"/>
            <w:hideMark/>
          </w:tcPr>
          <w:p w14:paraId="4055E3F1"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s</w:t>
            </w:r>
          </w:p>
        </w:tc>
        <w:tc>
          <w:tcPr>
            <w:tcW w:w="1173" w:type="dxa"/>
            <w:tcBorders>
              <w:top w:val="nil"/>
              <w:left w:val="nil"/>
              <w:bottom w:val="nil"/>
              <w:right w:val="nil"/>
            </w:tcBorders>
            <w:shd w:val="clear" w:color="auto" w:fill="auto"/>
            <w:noWrap/>
            <w:vAlign w:val="bottom"/>
            <w:hideMark/>
          </w:tcPr>
          <w:p w14:paraId="3A166B3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0,0262</w:t>
            </w:r>
          </w:p>
        </w:tc>
        <w:tc>
          <w:tcPr>
            <w:tcW w:w="595" w:type="dxa"/>
            <w:tcBorders>
              <w:top w:val="nil"/>
              <w:left w:val="nil"/>
              <w:bottom w:val="nil"/>
              <w:right w:val="nil"/>
            </w:tcBorders>
            <w:shd w:val="clear" w:color="auto" w:fill="auto"/>
            <w:noWrap/>
            <w:vAlign w:val="bottom"/>
            <w:hideMark/>
          </w:tcPr>
          <w:p w14:paraId="091D096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39FFADF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0,1111</w:t>
            </w:r>
          </w:p>
        </w:tc>
        <w:tc>
          <w:tcPr>
            <w:tcW w:w="436" w:type="dxa"/>
            <w:tcBorders>
              <w:top w:val="nil"/>
              <w:left w:val="nil"/>
              <w:bottom w:val="nil"/>
              <w:right w:val="nil"/>
            </w:tcBorders>
            <w:shd w:val="clear" w:color="auto" w:fill="auto"/>
            <w:noWrap/>
            <w:vAlign w:val="bottom"/>
            <w:hideMark/>
          </w:tcPr>
          <w:p w14:paraId="20C25B0A"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5B2B54D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-0,0901</w:t>
            </w:r>
          </w:p>
        </w:tc>
        <w:tc>
          <w:tcPr>
            <w:tcW w:w="436" w:type="dxa"/>
            <w:tcBorders>
              <w:top w:val="nil"/>
              <w:left w:val="nil"/>
              <w:bottom w:val="nil"/>
              <w:right w:val="nil"/>
            </w:tcBorders>
            <w:shd w:val="clear" w:color="auto" w:fill="auto"/>
            <w:noWrap/>
            <w:vAlign w:val="bottom"/>
            <w:hideMark/>
          </w:tcPr>
          <w:p w14:paraId="28629D84"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6A41898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0,1109</w:t>
            </w:r>
          </w:p>
        </w:tc>
        <w:tc>
          <w:tcPr>
            <w:tcW w:w="436" w:type="dxa"/>
            <w:tcBorders>
              <w:top w:val="nil"/>
              <w:left w:val="nil"/>
              <w:bottom w:val="nil"/>
              <w:right w:val="nil"/>
            </w:tcBorders>
            <w:shd w:val="clear" w:color="auto" w:fill="auto"/>
            <w:noWrap/>
            <w:vAlign w:val="bottom"/>
            <w:hideMark/>
          </w:tcPr>
          <w:p w14:paraId="6F45B8D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60D0DDC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0,0928</w:t>
            </w:r>
          </w:p>
        </w:tc>
        <w:tc>
          <w:tcPr>
            <w:tcW w:w="595" w:type="dxa"/>
            <w:tcBorders>
              <w:top w:val="nil"/>
              <w:left w:val="nil"/>
              <w:bottom w:val="nil"/>
              <w:right w:val="nil"/>
            </w:tcBorders>
            <w:shd w:val="clear" w:color="auto" w:fill="auto"/>
            <w:noWrap/>
            <w:vAlign w:val="bottom"/>
            <w:hideMark/>
          </w:tcPr>
          <w:p w14:paraId="47DA0F9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51872DF8" w14:textId="77777777" w:rsidTr="00844321">
        <w:trPr>
          <w:trHeight w:val="288"/>
        </w:trPr>
        <w:tc>
          <w:tcPr>
            <w:tcW w:w="1112" w:type="dxa"/>
            <w:tcBorders>
              <w:top w:val="nil"/>
              <w:left w:val="nil"/>
              <w:bottom w:val="nil"/>
              <w:right w:val="nil"/>
            </w:tcBorders>
            <w:shd w:val="clear" w:color="auto" w:fill="auto"/>
            <w:noWrap/>
            <w:vAlign w:val="bottom"/>
            <w:hideMark/>
          </w:tcPr>
          <w:p w14:paraId="7378865E"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h</w:t>
            </w:r>
          </w:p>
        </w:tc>
        <w:tc>
          <w:tcPr>
            <w:tcW w:w="1173" w:type="dxa"/>
            <w:tcBorders>
              <w:top w:val="nil"/>
              <w:left w:val="nil"/>
              <w:bottom w:val="nil"/>
              <w:right w:val="nil"/>
            </w:tcBorders>
            <w:shd w:val="clear" w:color="auto" w:fill="auto"/>
            <w:noWrap/>
            <w:vAlign w:val="bottom"/>
            <w:hideMark/>
          </w:tcPr>
          <w:p w14:paraId="71C7B1B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0,1555</w:t>
            </w:r>
          </w:p>
        </w:tc>
        <w:tc>
          <w:tcPr>
            <w:tcW w:w="595" w:type="dxa"/>
            <w:tcBorders>
              <w:top w:val="nil"/>
              <w:left w:val="nil"/>
              <w:bottom w:val="nil"/>
              <w:right w:val="nil"/>
            </w:tcBorders>
            <w:shd w:val="clear" w:color="auto" w:fill="auto"/>
            <w:noWrap/>
            <w:vAlign w:val="bottom"/>
            <w:hideMark/>
          </w:tcPr>
          <w:p w14:paraId="14F8C2B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2652EA9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0,3274</w:t>
            </w:r>
          </w:p>
        </w:tc>
        <w:tc>
          <w:tcPr>
            <w:tcW w:w="436" w:type="dxa"/>
            <w:tcBorders>
              <w:top w:val="nil"/>
              <w:left w:val="nil"/>
              <w:bottom w:val="nil"/>
              <w:right w:val="nil"/>
            </w:tcBorders>
            <w:shd w:val="clear" w:color="auto" w:fill="auto"/>
            <w:noWrap/>
            <w:vAlign w:val="bottom"/>
            <w:hideMark/>
          </w:tcPr>
          <w:p w14:paraId="55FE128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0F19619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-0,6550</w:t>
            </w:r>
          </w:p>
        </w:tc>
        <w:tc>
          <w:tcPr>
            <w:tcW w:w="436" w:type="dxa"/>
            <w:tcBorders>
              <w:top w:val="nil"/>
              <w:left w:val="nil"/>
              <w:bottom w:val="nil"/>
              <w:right w:val="nil"/>
            </w:tcBorders>
            <w:shd w:val="clear" w:color="auto" w:fill="auto"/>
            <w:noWrap/>
            <w:vAlign w:val="bottom"/>
            <w:hideMark/>
          </w:tcPr>
          <w:p w14:paraId="5BC1BF90"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32DECBC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-0,9705</w:t>
            </w:r>
          </w:p>
        </w:tc>
        <w:tc>
          <w:tcPr>
            <w:tcW w:w="436" w:type="dxa"/>
            <w:tcBorders>
              <w:top w:val="nil"/>
              <w:left w:val="nil"/>
              <w:bottom w:val="nil"/>
              <w:right w:val="nil"/>
            </w:tcBorders>
            <w:shd w:val="clear" w:color="auto" w:fill="auto"/>
            <w:noWrap/>
            <w:vAlign w:val="bottom"/>
            <w:hideMark/>
          </w:tcPr>
          <w:p w14:paraId="283BA02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127BC75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0,3461</w:t>
            </w:r>
          </w:p>
        </w:tc>
        <w:tc>
          <w:tcPr>
            <w:tcW w:w="595" w:type="dxa"/>
            <w:tcBorders>
              <w:top w:val="nil"/>
              <w:left w:val="nil"/>
              <w:bottom w:val="nil"/>
              <w:right w:val="nil"/>
            </w:tcBorders>
            <w:shd w:val="clear" w:color="auto" w:fill="auto"/>
            <w:noWrap/>
            <w:vAlign w:val="bottom"/>
            <w:hideMark/>
          </w:tcPr>
          <w:p w14:paraId="319C3AC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4663398A" w14:textId="77777777" w:rsidTr="00844321">
        <w:trPr>
          <w:trHeight w:val="288"/>
        </w:trPr>
        <w:tc>
          <w:tcPr>
            <w:tcW w:w="1112" w:type="dxa"/>
            <w:tcBorders>
              <w:top w:val="nil"/>
              <w:left w:val="nil"/>
              <w:bottom w:val="nil"/>
              <w:right w:val="nil"/>
            </w:tcBorders>
            <w:shd w:val="clear" w:color="auto" w:fill="auto"/>
            <w:noWrap/>
            <w:vAlign w:val="bottom"/>
            <w:hideMark/>
          </w:tcPr>
          <w:p w14:paraId="49FB68D9"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w</w:t>
            </w:r>
          </w:p>
        </w:tc>
        <w:tc>
          <w:tcPr>
            <w:tcW w:w="1173" w:type="dxa"/>
            <w:tcBorders>
              <w:top w:val="nil"/>
              <w:left w:val="nil"/>
              <w:bottom w:val="nil"/>
              <w:right w:val="nil"/>
            </w:tcBorders>
            <w:shd w:val="clear" w:color="auto" w:fill="auto"/>
            <w:noWrap/>
            <w:vAlign w:val="bottom"/>
            <w:hideMark/>
          </w:tcPr>
          <w:p w14:paraId="4CF219E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-0,6380</w:t>
            </w:r>
          </w:p>
        </w:tc>
        <w:tc>
          <w:tcPr>
            <w:tcW w:w="595" w:type="dxa"/>
            <w:tcBorders>
              <w:top w:val="nil"/>
              <w:left w:val="nil"/>
              <w:bottom w:val="nil"/>
              <w:right w:val="nil"/>
            </w:tcBorders>
            <w:shd w:val="clear" w:color="auto" w:fill="auto"/>
            <w:noWrap/>
            <w:vAlign w:val="bottom"/>
            <w:hideMark/>
          </w:tcPr>
          <w:p w14:paraId="7ED9BC23"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0213948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0,6075</w:t>
            </w:r>
          </w:p>
        </w:tc>
        <w:tc>
          <w:tcPr>
            <w:tcW w:w="436" w:type="dxa"/>
            <w:tcBorders>
              <w:top w:val="nil"/>
              <w:left w:val="nil"/>
              <w:bottom w:val="nil"/>
              <w:right w:val="nil"/>
            </w:tcBorders>
            <w:shd w:val="clear" w:color="auto" w:fill="auto"/>
            <w:noWrap/>
            <w:vAlign w:val="bottom"/>
            <w:hideMark/>
          </w:tcPr>
          <w:p w14:paraId="44351A9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4448F04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0,2344</w:t>
            </w:r>
          </w:p>
        </w:tc>
        <w:tc>
          <w:tcPr>
            <w:tcW w:w="436" w:type="dxa"/>
            <w:tcBorders>
              <w:top w:val="nil"/>
              <w:left w:val="nil"/>
              <w:bottom w:val="nil"/>
              <w:right w:val="nil"/>
            </w:tcBorders>
            <w:shd w:val="clear" w:color="auto" w:fill="auto"/>
            <w:noWrap/>
            <w:vAlign w:val="bottom"/>
            <w:hideMark/>
          </w:tcPr>
          <w:p w14:paraId="3D36250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6137BD4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0,6321</w:t>
            </w:r>
          </w:p>
        </w:tc>
        <w:tc>
          <w:tcPr>
            <w:tcW w:w="436" w:type="dxa"/>
            <w:tcBorders>
              <w:top w:val="nil"/>
              <w:left w:val="nil"/>
              <w:bottom w:val="nil"/>
              <w:right w:val="nil"/>
            </w:tcBorders>
            <w:shd w:val="clear" w:color="auto" w:fill="auto"/>
            <w:noWrap/>
            <w:vAlign w:val="bottom"/>
            <w:hideMark/>
          </w:tcPr>
          <w:p w14:paraId="32656C6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77FC0E1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0,5703</w:t>
            </w:r>
          </w:p>
        </w:tc>
        <w:tc>
          <w:tcPr>
            <w:tcW w:w="595" w:type="dxa"/>
            <w:tcBorders>
              <w:top w:val="nil"/>
              <w:left w:val="nil"/>
              <w:bottom w:val="nil"/>
              <w:right w:val="nil"/>
            </w:tcBorders>
            <w:shd w:val="clear" w:color="auto" w:fill="auto"/>
            <w:noWrap/>
            <w:vAlign w:val="bottom"/>
            <w:hideMark/>
          </w:tcPr>
          <w:p w14:paraId="1BB6944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6E32D3A3" w14:textId="77777777" w:rsidTr="00844321">
        <w:trPr>
          <w:trHeight w:val="288"/>
        </w:trPr>
        <w:tc>
          <w:tcPr>
            <w:tcW w:w="1112" w:type="dxa"/>
            <w:tcBorders>
              <w:top w:val="nil"/>
              <w:left w:val="nil"/>
              <w:bottom w:val="nil"/>
              <w:right w:val="nil"/>
            </w:tcBorders>
            <w:shd w:val="clear" w:color="auto" w:fill="auto"/>
            <w:noWrap/>
            <w:vAlign w:val="bottom"/>
            <w:hideMark/>
          </w:tcPr>
          <w:p w14:paraId="67A3437D"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Adj R</w:t>
            </w:r>
            <w:r w:rsidRPr="00907BF6">
              <w:rPr>
                <w:rFonts w:ascii="Times New Roman" w:eastAsia="Times New Roman" w:hAnsi="Times New Roman" w:cs="Times New Roman"/>
                <w:color w:val="000000"/>
                <w:vertAlign w:val="superscript"/>
              </w:rPr>
              <w:t>2</w:t>
            </w:r>
          </w:p>
        </w:tc>
        <w:tc>
          <w:tcPr>
            <w:tcW w:w="1173" w:type="dxa"/>
            <w:tcBorders>
              <w:top w:val="nil"/>
              <w:left w:val="nil"/>
              <w:bottom w:val="nil"/>
              <w:right w:val="nil"/>
            </w:tcBorders>
            <w:shd w:val="clear" w:color="auto" w:fill="auto"/>
            <w:noWrap/>
            <w:vAlign w:val="bottom"/>
            <w:hideMark/>
          </w:tcPr>
          <w:p w14:paraId="7D6102E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0,4803</w:t>
            </w:r>
          </w:p>
        </w:tc>
        <w:tc>
          <w:tcPr>
            <w:tcW w:w="595" w:type="dxa"/>
            <w:tcBorders>
              <w:top w:val="nil"/>
              <w:left w:val="nil"/>
              <w:bottom w:val="nil"/>
              <w:right w:val="nil"/>
            </w:tcBorders>
            <w:shd w:val="clear" w:color="auto" w:fill="auto"/>
            <w:noWrap/>
            <w:vAlign w:val="bottom"/>
            <w:hideMark/>
          </w:tcPr>
          <w:p w14:paraId="0DB83DDE"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702A361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0,3032</w:t>
            </w:r>
          </w:p>
        </w:tc>
        <w:tc>
          <w:tcPr>
            <w:tcW w:w="436" w:type="dxa"/>
            <w:tcBorders>
              <w:top w:val="nil"/>
              <w:left w:val="nil"/>
              <w:bottom w:val="nil"/>
              <w:right w:val="nil"/>
            </w:tcBorders>
            <w:shd w:val="clear" w:color="auto" w:fill="auto"/>
            <w:noWrap/>
            <w:vAlign w:val="bottom"/>
            <w:hideMark/>
          </w:tcPr>
          <w:p w14:paraId="1E6A7617"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7541008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0,3725</w:t>
            </w:r>
          </w:p>
        </w:tc>
        <w:tc>
          <w:tcPr>
            <w:tcW w:w="436" w:type="dxa"/>
            <w:tcBorders>
              <w:top w:val="nil"/>
              <w:left w:val="nil"/>
              <w:bottom w:val="nil"/>
              <w:right w:val="nil"/>
            </w:tcBorders>
            <w:shd w:val="clear" w:color="auto" w:fill="auto"/>
            <w:noWrap/>
            <w:vAlign w:val="bottom"/>
            <w:hideMark/>
          </w:tcPr>
          <w:p w14:paraId="59BE59BD"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76859D1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0,3723</w:t>
            </w:r>
          </w:p>
        </w:tc>
        <w:tc>
          <w:tcPr>
            <w:tcW w:w="436" w:type="dxa"/>
            <w:tcBorders>
              <w:top w:val="nil"/>
              <w:left w:val="nil"/>
              <w:bottom w:val="nil"/>
              <w:right w:val="nil"/>
            </w:tcBorders>
            <w:shd w:val="clear" w:color="auto" w:fill="auto"/>
            <w:noWrap/>
            <w:vAlign w:val="bottom"/>
            <w:hideMark/>
          </w:tcPr>
          <w:p w14:paraId="7EE7AD94"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nil"/>
            </w:tcBorders>
            <w:shd w:val="clear" w:color="auto" w:fill="auto"/>
            <w:noWrap/>
            <w:vAlign w:val="bottom"/>
            <w:hideMark/>
          </w:tcPr>
          <w:p w14:paraId="18FAF24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0,4713</w:t>
            </w:r>
          </w:p>
        </w:tc>
        <w:tc>
          <w:tcPr>
            <w:tcW w:w="595" w:type="dxa"/>
            <w:tcBorders>
              <w:top w:val="nil"/>
              <w:left w:val="nil"/>
              <w:bottom w:val="nil"/>
              <w:right w:val="nil"/>
            </w:tcBorders>
            <w:shd w:val="clear" w:color="auto" w:fill="auto"/>
            <w:noWrap/>
            <w:vAlign w:val="bottom"/>
            <w:hideMark/>
          </w:tcPr>
          <w:p w14:paraId="6E2DCD88"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r>
      <w:tr w:rsidR="00907BF6" w:rsidRPr="00907BF6" w14:paraId="7DFCA557" w14:textId="77777777" w:rsidTr="00844321">
        <w:trPr>
          <w:trHeight w:val="288"/>
        </w:trPr>
        <w:tc>
          <w:tcPr>
            <w:tcW w:w="9349" w:type="dxa"/>
            <w:gridSpan w:val="11"/>
            <w:tcBorders>
              <w:top w:val="single" w:sz="4" w:space="0" w:color="auto"/>
              <w:left w:val="nil"/>
              <w:bottom w:val="single" w:sz="4" w:space="0" w:color="auto"/>
              <w:right w:val="nil"/>
            </w:tcBorders>
            <w:shd w:val="clear" w:color="auto" w:fill="auto"/>
            <w:noWrap/>
            <w:vAlign w:val="bottom"/>
            <w:hideMark/>
          </w:tcPr>
          <w:p w14:paraId="2EEE108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Stage 3</w:t>
            </w:r>
          </w:p>
        </w:tc>
      </w:tr>
      <w:tr w:rsidR="00907BF6" w:rsidRPr="00907BF6" w14:paraId="4A3068F7" w14:textId="77777777" w:rsidTr="00844321">
        <w:trPr>
          <w:trHeight w:val="288"/>
        </w:trPr>
        <w:tc>
          <w:tcPr>
            <w:tcW w:w="1112" w:type="dxa"/>
            <w:tcBorders>
              <w:top w:val="nil"/>
              <w:left w:val="nil"/>
              <w:bottom w:val="nil"/>
              <w:right w:val="nil"/>
            </w:tcBorders>
            <w:shd w:val="clear" w:color="auto" w:fill="auto"/>
            <w:noWrap/>
            <w:vAlign w:val="bottom"/>
            <w:hideMark/>
          </w:tcPr>
          <w:p w14:paraId="605FF171"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768" w:type="dxa"/>
            <w:gridSpan w:val="2"/>
            <w:tcBorders>
              <w:top w:val="nil"/>
              <w:left w:val="nil"/>
              <w:bottom w:val="nil"/>
              <w:right w:val="nil"/>
            </w:tcBorders>
            <w:shd w:val="clear" w:color="auto" w:fill="auto"/>
            <w:noWrap/>
            <w:vAlign w:val="bottom"/>
            <w:hideMark/>
          </w:tcPr>
          <w:p w14:paraId="5BBE592F"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Low</w:t>
            </w:r>
          </w:p>
        </w:tc>
        <w:tc>
          <w:tcPr>
            <w:tcW w:w="1608" w:type="dxa"/>
            <w:gridSpan w:val="2"/>
            <w:tcBorders>
              <w:top w:val="nil"/>
              <w:left w:val="nil"/>
              <w:bottom w:val="nil"/>
              <w:right w:val="nil"/>
            </w:tcBorders>
            <w:shd w:val="clear" w:color="auto" w:fill="auto"/>
            <w:noWrap/>
            <w:vAlign w:val="bottom"/>
            <w:hideMark/>
          </w:tcPr>
          <w:p w14:paraId="307057D0"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2</w:t>
            </w:r>
          </w:p>
        </w:tc>
        <w:tc>
          <w:tcPr>
            <w:tcW w:w="1608" w:type="dxa"/>
            <w:gridSpan w:val="2"/>
            <w:tcBorders>
              <w:top w:val="nil"/>
              <w:left w:val="nil"/>
              <w:bottom w:val="nil"/>
              <w:right w:val="nil"/>
            </w:tcBorders>
            <w:shd w:val="clear" w:color="auto" w:fill="auto"/>
            <w:noWrap/>
            <w:vAlign w:val="bottom"/>
            <w:hideMark/>
          </w:tcPr>
          <w:p w14:paraId="60E58414"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3</w:t>
            </w:r>
          </w:p>
        </w:tc>
        <w:tc>
          <w:tcPr>
            <w:tcW w:w="1608" w:type="dxa"/>
            <w:gridSpan w:val="2"/>
            <w:tcBorders>
              <w:top w:val="nil"/>
              <w:left w:val="nil"/>
              <w:bottom w:val="nil"/>
              <w:right w:val="nil"/>
            </w:tcBorders>
            <w:shd w:val="clear" w:color="auto" w:fill="auto"/>
            <w:noWrap/>
            <w:vAlign w:val="bottom"/>
            <w:hideMark/>
          </w:tcPr>
          <w:p w14:paraId="6008D1F9"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4</w:t>
            </w:r>
          </w:p>
        </w:tc>
        <w:tc>
          <w:tcPr>
            <w:tcW w:w="1645" w:type="dxa"/>
            <w:gridSpan w:val="2"/>
            <w:tcBorders>
              <w:top w:val="nil"/>
              <w:left w:val="nil"/>
              <w:bottom w:val="nil"/>
              <w:right w:val="nil"/>
            </w:tcBorders>
            <w:shd w:val="clear" w:color="auto" w:fill="auto"/>
            <w:noWrap/>
            <w:vAlign w:val="bottom"/>
            <w:hideMark/>
          </w:tcPr>
          <w:p w14:paraId="4D6C2E13" w14:textId="77777777" w:rsidR="00907BF6" w:rsidRPr="00907BF6" w:rsidRDefault="00907BF6" w:rsidP="00907BF6">
            <w:pPr>
              <w:spacing w:after="0" w:line="240" w:lineRule="auto"/>
              <w:jc w:val="center"/>
              <w:rPr>
                <w:rFonts w:ascii="Times New Roman" w:eastAsia="Times New Roman" w:hAnsi="Times New Roman" w:cs="Times New Roman"/>
                <w:b/>
                <w:bCs/>
                <w:color w:val="000000"/>
              </w:rPr>
            </w:pPr>
            <w:r w:rsidRPr="00907BF6">
              <w:rPr>
                <w:rFonts w:ascii="Times New Roman" w:eastAsia="Times New Roman" w:hAnsi="Times New Roman" w:cs="Times New Roman"/>
                <w:b/>
                <w:bCs/>
                <w:color w:val="000000"/>
              </w:rPr>
              <w:t>High</w:t>
            </w:r>
          </w:p>
        </w:tc>
      </w:tr>
      <w:tr w:rsidR="00907BF6" w:rsidRPr="00907BF6" w14:paraId="3379DD30" w14:textId="77777777" w:rsidTr="00844321">
        <w:trPr>
          <w:trHeight w:val="288"/>
        </w:trPr>
        <w:tc>
          <w:tcPr>
            <w:tcW w:w="1112" w:type="dxa"/>
            <w:tcBorders>
              <w:top w:val="nil"/>
              <w:left w:val="nil"/>
              <w:bottom w:val="nil"/>
              <w:right w:val="nil"/>
            </w:tcBorders>
            <w:shd w:val="clear" w:color="auto" w:fill="auto"/>
            <w:noWrap/>
            <w:vAlign w:val="bottom"/>
            <w:hideMark/>
          </w:tcPr>
          <w:p w14:paraId="3E37B24F"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α</w:t>
            </w:r>
          </w:p>
        </w:tc>
        <w:tc>
          <w:tcPr>
            <w:tcW w:w="1173" w:type="dxa"/>
            <w:tcBorders>
              <w:top w:val="nil"/>
              <w:left w:val="nil"/>
              <w:bottom w:val="nil"/>
              <w:right w:val="nil"/>
            </w:tcBorders>
            <w:shd w:val="clear" w:color="auto" w:fill="auto"/>
            <w:noWrap/>
            <w:vAlign w:val="bottom"/>
            <w:hideMark/>
          </w:tcPr>
          <w:p w14:paraId="79C04DB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-0,0109</w:t>
            </w:r>
          </w:p>
        </w:tc>
        <w:tc>
          <w:tcPr>
            <w:tcW w:w="595" w:type="dxa"/>
            <w:tcBorders>
              <w:top w:val="nil"/>
              <w:left w:val="nil"/>
              <w:bottom w:val="nil"/>
              <w:right w:val="nil"/>
            </w:tcBorders>
            <w:shd w:val="clear" w:color="auto" w:fill="auto"/>
            <w:noWrap/>
            <w:vAlign w:val="bottom"/>
            <w:hideMark/>
          </w:tcPr>
          <w:p w14:paraId="6172A7E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06A0CA0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-0,0085</w:t>
            </w:r>
          </w:p>
        </w:tc>
        <w:tc>
          <w:tcPr>
            <w:tcW w:w="436" w:type="dxa"/>
            <w:tcBorders>
              <w:top w:val="nil"/>
              <w:left w:val="nil"/>
              <w:bottom w:val="nil"/>
              <w:right w:val="nil"/>
            </w:tcBorders>
            <w:shd w:val="clear" w:color="auto" w:fill="auto"/>
            <w:noWrap/>
            <w:vAlign w:val="bottom"/>
            <w:hideMark/>
          </w:tcPr>
          <w:p w14:paraId="61721D7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71E24D27"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0,0094</w:t>
            </w:r>
          </w:p>
        </w:tc>
        <w:tc>
          <w:tcPr>
            <w:tcW w:w="436" w:type="dxa"/>
            <w:tcBorders>
              <w:top w:val="nil"/>
              <w:left w:val="nil"/>
              <w:bottom w:val="nil"/>
              <w:right w:val="nil"/>
            </w:tcBorders>
            <w:shd w:val="clear" w:color="auto" w:fill="auto"/>
            <w:noWrap/>
            <w:vAlign w:val="bottom"/>
            <w:hideMark/>
          </w:tcPr>
          <w:p w14:paraId="11B6BDF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2AA27CA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0,0173</w:t>
            </w:r>
          </w:p>
        </w:tc>
        <w:tc>
          <w:tcPr>
            <w:tcW w:w="436" w:type="dxa"/>
            <w:tcBorders>
              <w:top w:val="nil"/>
              <w:left w:val="nil"/>
              <w:bottom w:val="nil"/>
              <w:right w:val="nil"/>
            </w:tcBorders>
            <w:shd w:val="clear" w:color="auto" w:fill="auto"/>
            <w:noWrap/>
            <w:vAlign w:val="bottom"/>
            <w:hideMark/>
          </w:tcPr>
          <w:p w14:paraId="3695F1C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316965F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0,0202</w:t>
            </w:r>
          </w:p>
        </w:tc>
        <w:tc>
          <w:tcPr>
            <w:tcW w:w="595" w:type="dxa"/>
            <w:tcBorders>
              <w:top w:val="nil"/>
              <w:left w:val="nil"/>
              <w:bottom w:val="nil"/>
              <w:right w:val="nil"/>
            </w:tcBorders>
            <w:shd w:val="clear" w:color="auto" w:fill="auto"/>
            <w:noWrap/>
            <w:vAlign w:val="bottom"/>
            <w:hideMark/>
          </w:tcPr>
          <w:p w14:paraId="337891B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4974FB58" w14:textId="77777777" w:rsidTr="00844321">
        <w:trPr>
          <w:trHeight w:val="288"/>
        </w:trPr>
        <w:tc>
          <w:tcPr>
            <w:tcW w:w="1112" w:type="dxa"/>
            <w:tcBorders>
              <w:top w:val="nil"/>
              <w:left w:val="nil"/>
              <w:bottom w:val="nil"/>
              <w:right w:val="nil"/>
            </w:tcBorders>
            <w:shd w:val="clear" w:color="auto" w:fill="auto"/>
            <w:noWrap/>
            <w:vAlign w:val="bottom"/>
            <w:hideMark/>
          </w:tcPr>
          <w:p w14:paraId="65274284"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β</w:t>
            </w:r>
          </w:p>
        </w:tc>
        <w:tc>
          <w:tcPr>
            <w:tcW w:w="1173" w:type="dxa"/>
            <w:tcBorders>
              <w:top w:val="nil"/>
              <w:left w:val="nil"/>
              <w:bottom w:val="nil"/>
              <w:right w:val="nil"/>
            </w:tcBorders>
            <w:shd w:val="clear" w:color="auto" w:fill="auto"/>
            <w:noWrap/>
            <w:vAlign w:val="bottom"/>
            <w:hideMark/>
          </w:tcPr>
          <w:p w14:paraId="2E2FB81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0,1023</w:t>
            </w:r>
          </w:p>
        </w:tc>
        <w:tc>
          <w:tcPr>
            <w:tcW w:w="595" w:type="dxa"/>
            <w:tcBorders>
              <w:top w:val="nil"/>
              <w:left w:val="nil"/>
              <w:bottom w:val="nil"/>
              <w:right w:val="nil"/>
            </w:tcBorders>
            <w:shd w:val="clear" w:color="auto" w:fill="auto"/>
            <w:noWrap/>
            <w:vAlign w:val="bottom"/>
            <w:hideMark/>
          </w:tcPr>
          <w:p w14:paraId="77B71B8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46A818E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0,2912</w:t>
            </w:r>
          </w:p>
        </w:tc>
        <w:tc>
          <w:tcPr>
            <w:tcW w:w="436" w:type="dxa"/>
            <w:tcBorders>
              <w:top w:val="nil"/>
              <w:left w:val="nil"/>
              <w:bottom w:val="nil"/>
              <w:right w:val="nil"/>
            </w:tcBorders>
            <w:shd w:val="clear" w:color="auto" w:fill="auto"/>
            <w:noWrap/>
            <w:vAlign w:val="bottom"/>
            <w:hideMark/>
          </w:tcPr>
          <w:p w14:paraId="39D14B4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2D420DC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0,2134</w:t>
            </w:r>
          </w:p>
        </w:tc>
        <w:tc>
          <w:tcPr>
            <w:tcW w:w="436" w:type="dxa"/>
            <w:tcBorders>
              <w:top w:val="nil"/>
              <w:left w:val="nil"/>
              <w:bottom w:val="nil"/>
              <w:right w:val="nil"/>
            </w:tcBorders>
            <w:shd w:val="clear" w:color="auto" w:fill="auto"/>
            <w:noWrap/>
            <w:vAlign w:val="bottom"/>
            <w:hideMark/>
          </w:tcPr>
          <w:p w14:paraId="5A17787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17539A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0,1868</w:t>
            </w:r>
          </w:p>
        </w:tc>
        <w:tc>
          <w:tcPr>
            <w:tcW w:w="436" w:type="dxa"/>
            <w:tcBorders>
              <w:top w:val="nil"/>
              <w:left w:val="nil"/>
              <w:bottom w:val="nil"/>
              <w:right w:val="nil"/>
            </w:tcBorders>
            <w:shd w:val="clear" w:color="auto" w:fill="auto"/>
            <w:noWrap/>
            <w:vAlign w:val="bottom"/>
            <w:hideMark/>
          </w:tcPr>
          <w:p w14:paraId="1931C65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25939994"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0,0476</w:t>
            </w:r>
          </w:p>
        </w:tc>
        <w:tc>
          <w:tcPr>
            <w:tcW w:w="595" w:type="dxa"/>
            <w:tcBorders>
              <w:top w:val="nil"/>
              <w:left w:val="nil"/>
              <w:bottom w:val="nil"/>
              <w:right w:val="nil"/>
            </w:tcBorders>
            <w:shd w:val="clear" w:color="auto" w:fill="auto"/>
            <w:noWrap/>
            <w:vAlign w:val="bottom"/>
            <w:hideMark/>
          </w:tcPr>
          <w:p w14:paraId="2A779AA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27E7A2E4" w14:textId="77777777" w:rsidTr="00844321">
        <w:trPr>
          <w:trHeight w:val="288"/>
        </w:trPr>
        <w:tc>
          <w:tcPr>
            <w:tcW w:w="1112" w:type="dxa"/>
            <w:tcBorders>
              <w:top w:val="nil"/>
              <w:left w:val="nil"/>
              <w:bottom w:val="nil"/>
              <w:right w:val="nil"/>
            </w:tcBorders>
            <w:shd w:val="clear" w:color="auto" w:fill="auto"/>
            <w:noWrap/>
            <w:vAlign w:val="bottom"/>
            <w:hideMark/>
          </w:tcPr>
          <w:p w14:paraId="27DB306B"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s</w:t>
            </w:r>
          </w:p>
        </w:tc>
        <w:tc>
          <w:tcPr>
            <w:tcW w:w="1173" w:type="dxa"/>
            <w:tcBorders>
              <w:top w:val="nil"/>
              <w:left w:val="nil"/>
              <w:bottom w:val="nil"/>
              <w:right w:val="nil"/>
            </w:tcBorders>
            <w:shd w:val="clear" w:color="auto" w:fill="auto"/>
            <w:noWrap/>
            <w:vAlign w:val="bottom"/>
            <w:hideMark/>
          </w:tcPr>
          <w:p w14:paraId="1EDD3D5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0,0508</w:t>
            </w:r>
          </w:p>
        </w:tc>
        <w:tc>
          <w:tcPr>
            <w:tcW w:w="595" w:type="dxa"/>
            <w:tcBorders>
              <w:top w:val="nil"/>
              <w:left w:val="nil"/>
              <w:bottom w:val="nil"/>
              <w:right w:val="nil"/>
            </w:tcBorders>
            <w:shd w:val="clear" w:color="auto" w:fill="auto"/>
            <w:noWrap/>
            <w:vAlign w:val="bottom"/>
            <w:hideMark/>
          </w:tcPr>
          <w:p w14:paraId="2887A6A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7710F8E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0,2156</w:t>
            </w:r>
          </w:p>
        </w:tc>
        <w:tc>
          <w:tcPr>
            <w:tcW w:w="436" w:type="dxa"/>
            <w:tcBorders>
              <w:top w:val="nil"/>
              <w:left w:val="nil"/>
              <w:bottom w:val="nil"/>
              <w:right w:val="nil"/>
            </w:tcBorders>
            <w:shd w:val="clear" w:color="auto" w:fill="auto"/>
            <w:noWrap/>
            <w:vAlign w:val="bottom"/>
            <w:hideMark/>
          </w:tcPr>
          <w:p w14:paraId="612ABF5D"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3FFC4B3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-0,1748</w:t>
            </w:r>
          </w:p>
        </w:tc>
        <w:tc>
          <w:tcPr>
            <w:tcW w:w="436" w:type="dxa"/>
            <w:tcBorders>
              <w:top w:val="nil"/>
              <w:left w:val="nil"/>
              <w:bottom w:val="nil"/>
              <w:right w:val="nil"/>
            </w:tcBorders>
            <w:shd w:val="clear" w:color="auto" w:fill="auto"/>
            <w:noWrap/>
            <w:vAlign w:val="bottom"/>
            <w:hideMark/>
          </w:tcPr>
          <w:p w14:paraId="4CDD9308"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6B5E79E3"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0,2152</w:t>
            </w:r>
          </w:p>
        </w:tc>
        <w:tc>
          <w:tcPr>
            <w:tcW w:w="436" w:type="dxa"/>
            <w:tcBorders>
              <w:top w:val="nil"/>
              <w:left w:val="nil"/>
              <w:bottom w:val="nil"/>
              <w:right w:val="nil"/>
            </w:tcBorders>
            <w:shd w:val="clear" w:color="auto" w:fill="auto"/>
            <w:noWrap/>
            <w:vAlign w:val="bottom"/>
            <w:hideMark/>
          </w:tcPr>
          <w:p w14:paraId="2276ED75"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47805BDF"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0,1800</w:t>
            </w:r>
          </w:p>
        </w:tc>
        <w:tc>
          <w:tcPr>
            <w:tcW w:w="595" w:type="dxa"/>
            <w:tcBorders>
              <w:top w:val="nil"/>
              <w:left w:val="nil"/>
              <w:bottom w:val="nil"/>
              <w:right w:val="nil"/>
            </w:tcBorders>
            <w:shd w:val="clear" w:color="auto" w:fill="auto"/>
            <w:noWrap/>
            <w:vAlign w:val="bottom"/>
            <w:hideMark/>
          </w:tcPr>
          <w:p w14:paraId="225166F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2448EF46" w14:textId="77777777" w:rsidTr="00844321">
        <w:trPr>
          <w:trHeight w:val="288"/>
        </w:trPr>
        <w:tc>
          <w:tcPr>
            <w:tcW w:w="1112" w:type="dxa"/>
            <w:tcBorders>
              <w:top w:val="nil"/>
              <w:left w:val="nil"/>
              <w:bottom w:val="nil"/>
              <w:right w:val="nil"/>
            </w:tcBorders>
            <w:shd w:val="clear" w:color="auto" w:fill="auto"/>
            <w:noWrap/>
            <w:vAlign w:val="bottom"/>
            <w:hideMark/>
          </w:tcPr>
          <w:p w14:paraId="7C60CF27"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h</w:t>
            </w:r>
          </w:p>
        </w:tc>
        <w:tc>
          <w:tcPr>
            <w:tcW w:w="1173" w:type="dxa"/>
            <w:tcBorders>
              <w:top w:val="nil"/>
              <w:left w:val="nil"/>
              <w:bottom w:val="nil"/>
              <w:right w:val="nil"/>
            </w:tcBorders>
            <w:shd w:val="clear" w:color="auto" w:fill="auto"/>
            <w:noWrap/>
            <w:vAlign w:val="bottom"/>
            <w:hideMark/>
          </w:tcPr>
          <w:p w14:paraId="28F81291"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0,1869</w:t>
            </w:r>
          </w:p>
        </w:tc>
        <w:tc>
          <w:tcPr>
            <w:tcW w:w="595" w:type="dxa"/>
            <w:tcBorders>
              <w:top w:val="nil"/>
              <w:left w:val="nil"/>
              <w:bottom w:val="nil"/>
              <w:right w:val="nil"/>
            </w:tcBorders>
            <w:shd w:val="clear" w:color="auto" w:fill="auto"/>
            <w:noWrap/>
            <w:vAlign w:val="bottom"/>
            <w:hideMark/>
          </w:tcPr>
          <w:p w14:paraId="4FED00D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24632D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-0,3934</w:t>
            </w:r>
          </w:p>
        </w:tc>
        <w:tc>
          <w:tcPr>
            <w:tcW w:w="436" w:type="dxa"/>
            <w:tcBorders>
              <w:top w:val="nil"/>
              <w:left w:val="nil"/>
              <w:bottom w:val="nil"/>
              <w:right w:val="nil"/>
            </w:tcBorders>
            <w:shd w:val="clear" w:color="auto" w:fill="auto"/>
            <w:noWrap/>
            <w:vAlign w:val="bottom"/>
            <w:hideMark/>
          </w:tcPr>
          <w:p w14:paraId="6A1929CF"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6265E3E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-0,7869</w:t>
            </w:r>
          </w:p>
        </w:tc>
        <w:tc>
          <w:tcPr>
            <w:tcW w:w="436" w:type="dxa"/>
            <w:tcBorders>
              <w:top w:val="nil"/>
              <w:left w:val="nil"/>
              <w:bottom w:val="nil"/>
              <w:right w:val="nil"/>
            </w:tcBorders>
            <w:shd w:val="clear" w:color="auto" w:fill="auto"/>
            <w:noWrap/>
            <w:vAlign w:val="bottom"/>
            <w:hideMark/>
          </w:tcPr>
          <w:p w14:paraId="79E42E57"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41D2A64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-1,1659</w:t>
            </w:r>
          </w:p>
        </w:tc>
        <w:tc>
          <w:tcPr>
            <w:tcW w:w="436" w:type="dxa"/>
            <w:tcBorders>
              <w:top w:val="nil"/>
              <w:left w:val="nil"/>
              <w:bottom w:val="nil"/>
              <w:right w:val="nil"/>
            </w:tcBorders>
            <w:shd w:val="clear" w:color="auto" w:fill="auto"/>
            <w:noWrap/>
            <w:vAlign w:val="bottom"/>
            <w:hideMark/>
          </w:tcPr>
          <w:p w14:paraId="4941061F"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nil"/>
            </w:tcBorders>
            <w:shd w:val="clear" w:color="auto" w:fill="auto"/>
            <w:noWrap/>
            <w:vAlign w:val="bottom"/>
            <w:hideMark/>
          </w:tcPr>
          <w:p w14:paraId="5E94AC6D"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0,4158</w:t>
            </w:r>
          </w:p>
        </w:tc>
        <w:tc>
          <w:tcPr>
            <w:tcW w:w="595" w:type="dxa"/>
            <w:tcBorders>
              <w:top w:val="nil"/>
              <w:left w:val="nil"/>
              <w:bottom w:val="nil"/>
              <w:right w:val="nil"/>
            </w:tcBorders>
            <w:shd w:val="clear" w:color="auto" w:fill="auto"/>
            <w:noWrap/>
            <w:vAlign w:val="bottom"/>
            <w:hideMark/>
          </w:tcPr>
          <w:p w14:paraId="08A7B149"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r>
      <w:tr w:rsidR="00907BF6" w:rsidRPr="00907BF6" w14:paraId="383036DF" w14:textId="77777777" w:rsidTr="00844321">
        <w:trPr>
          <w:trHeight w:val="288"/>
        </w:trPr>
        <w:tc>
          <w:tcPr>
            <w:tcW w:w="1112" w:type="dxa"/>
            <w:tcBorders>
              <w:top w:val="nil"/>
              <w:left w:val="nil"/>
              <w:bottom w:val="nil"/>
              <w:right w:val="nil"/>
            </w:tcBorders>
            <w:shd w:val="clear" w:color="auto" w:fill="auto"/>
            <w:noWrap/>
            <w:vAlign w:val="bottom"/>
            <w:hideMark/>
          </w:tcPr>
          <w:p w14:paraId="1D101B49"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w</w:t>
            </w:r>
          </w:p>
        </w:tc>
        <w:tc>
          <w:tcPr>
            <w:tcW w:w="1173" w:type="dxa"/>
            <w:tcBorders>
              <w:top w:val="nil"/>
              <w:left w:val="nil"/>
              <w:bottom w:val="nil"/>
              <w:right w:val="nil"/>
            </w:tcBorders>
            <w:shd w:val="clear" w:color="auto" w:fill="auto"/>
            <w:noWrap/>
            <w:vAlign w:val="bottom"/>
            <w:hideMark/>
          </w:tcPr>
          <w:p w14:paraId="0DF3849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0,8270</w:t>
            </w:r>
          </w:p>
        </w:tc>
        <w:tc>
          <w:tcPr>
            <w:tcW w:w="595" w:type="dxa"/>
            <w:tcBorders>
              <w:top w:val="nil"/>
              <w:left w:val="nil"/>
              <w:bottom w:val="nil"/>
              <w:right w:val="nil"/>
            </w:tcBorders>
            <w:shd w:val="clear" w:color="auto" w:fill="auto"/>
            <w:noWrap/>
            <w:vAlign w:val="bottom"/>
            <w:hideMark/>
          </w:tcPr>
          <w:p w14:paraId="5232F3EB"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07C44E66"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0,6198</w:t>
            </w:r>
          </w:p>
        </w:tc>
        <w:tc>
          <w:tcPr>
            <w:tcW w:w="436" w:type="dxa"/>
            <w:tcBorders>
              <w:top w:val="nil"/>
              <w:left w:val="nil"/>
              <w:bottom w:val="nil"/>
              <w:right w:val="nil"/>
            </w:tcBorders>
            <w:shd w:val="clear" w:color="auto" w:fill="auto"/>
            <w:noWrap/>
            <w:vAlign w:val="bottom"/>
            <w:hideMark/>
          </w:tcPr>
          <w:p w14:paraId="1100523C"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172" w:type="dxa"/>
            <w:tcBorders>
              <w:top w:val="nil"/>
              <w:left w:val="nil"/>
              <w:bottom w:val="nil"/>
              <w:right w:val="nil"/>
            </w:tcBorders>
            <w:shd w:val="clear" w:color="auto" w:fill="auto"/>
            <w:noWrap/>
            <w:vAlign w:val="bottom"/>
            <w:hideMark/>
          </w:tcPr>
          <w:p w14:paraId="545F7D9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-0,8633</w:t>
            </w:r>
          </w:p>
        </w:tc>
        <w:tc>
          <w:tcPr>
            <w:tcW w:w="436" w:type="dxa"/>
            <w:tcBorders>
              <w:top w:val="nil"/>
              <w:left w:val="nil"/>
              <w:bottom w:val="nil"/>
              <w:right w:val="nil"/>
            </w:tcBorders>
            <w:shd w:val="clear" w:color="auto" w:fill="auto"/>
            <w:noWrap/>
            <w:vAlign w:val="bottom"/>
            <w:hideMark/>
          </w:tcPr>
          <w:p w14:paraId="6E621A17"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nil"/>
              <w:right w:val="nil"/>
            </w:tcBorders>
            <w:shd w:val="clear" w:color="auto" w:fill="auto"/>
            <w:noWrap/>
            <w:vAlign w:val="bottom"/>
            <w:hideMark/>
          </w:tcPr>
          <w:p w14:paraId="448FD772"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0,2688</w:t>
            </w:r>
          </w:p>
        </w:tc>
        <w:tc>
          <w:tcPr>
            <w:tcW w:w="436" w:type="dxa"/>
            <w:tcBorders>
              <w:top w:val="nil"/>
              <w:left w:val="nil"/>
              <w:bottom w:val="nil"/>
              <w:right w:val="nil"/>
            </w:tcBorders>
            <w:shd w:val="clear" w:color="auto" w:fill="auto"/>
            <w:noWrap/>
            <w:vAlign w:val="bottom"/>
            <w:hideMark/>
          </w:tcPr>
          <w:p w14:paraId="5D490A4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c>
          <w:tcPr>
            <w:tcW w:w="1050" w:type="dxa"/>
            <w:tcBorders>
              <w:top w:val="nil"/>
              <w:left w:val="nil"/>
              <w:bottom w:val="nil"/>
              <w:right w:val="nil"/>
            </w:tcBorders>
            <w:shd w:val="clear" w:color="auto" w:fill="auto"/>
            <w:noWrap/>
            <w:vAlign w:val="bottom"/>
            <w:hideMark/>
          </w:tcPr>
          <w:p w14:paraId="561B3149"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0,3426</w:t>
            </w:r>
          </w:p>
        </w:tc>
        <w:tc>
          <w:tcPr>
            <w:tcW w:w="595" w:type="dxa"/>
            <w:tcBorders>
              <w:top w:val="nil"/>
              <w:left w:val="nil"/>
              <w:bottom w:val="nil"/>
              <w:right w:val="nil"/>
            </w:tcBorders>
            <w:shd w:val="clear" w:color="auto" w:fill="auto"/>
            <w:noWrap/>
            <w:vAlign w:val="bottom"/>
            <w:hideMark/>
          </w:tcPr>
          <w:p w14:paraId="6C3E96E8"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w:t>
            </w:r>
          </w:p>
        </w:tc>
      </w:tr>
      <w:tr w:rsidR="00907BF6" w:rsidRPr="00907BF6" w14:paraId="3ABB6FA5" w14:textId="77777777" w:rsidTr="00844321">
        <w:trPr>
          <w:trHeight w:val="288"/>
        </w:trPr>
        <w:tc>
          <w:tcPr>
            <w:tcW w:w="1112" w:type="dxa"/>
            <w:tcBorders>
              <w:top w:val="nil"/>
              <w:left w:val="nil"/>
              <w:bottom w:val="single" w:sz="4" w:space="0" w:color="auto"/>
              <w:right w:val="nil"/>
            </w:tcBorders>
            <w:shd w:val="clear" w:color="auto" w:fill="auto"/>
            <w:noWrap/>
            <w:vAlign w:val="bottom"/>
            <w:hideMark/>
          </w:tcPr>
          <w:p w14:paraId="2CB5D4C4"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Adj R</w:t>
            </w:r>
            <w:r w:rsidRPr="00907BF6">
              <w:rPr>
                <w:rFonts w:ascii="Times New Roman" w:eastAsia="Times New Roman" w:hAnsi="Times New Roman" w:cs="Times New Roman"/>
                <w:color w:val="000000"/>
                <w:vertAlign w:val="superscript"/>
              </w:rPr>
              <w:t>2</w:t>
            </w:r>
          </w:p>
        </w:tc>
        <w:tc>
          <w:tcPr>
            <w:tcW w:w="1173" w:type="dxa"/>
            <w:tcBorders>
              <w:top w:val="nil"/>
              <w:left w:val="nil"/>
              <w:bottom w:val="single" w:sz="4" w:space="0" w:color="auto"/>
              <w:right w:val="nil"/>
            </w:tcBorders>
            <w:shd w:val="clear" w:color="auto" w:fill="auto"/>
            <w:noWrap/>
            <w:vAlign w:val="bottom"/>
            <w:hideMark/>
          </w:tcPr>
          <w:p w14:paraId="56B02F2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0,4693</w:t>
            </w:r>
          </w:p>
        </w:tc>
        <w:tc>
          <w:tcPr>
            <w:tcW w:w="595" w:type="dxa"/>
            <w:tcBorders>
              <w:top w:val="nil"/>
              <w:left w:val="nil"/>
              <w:bottom w:val="single" w:sz="4" w:space="0" w:color="auto"/>
              <w:right w:val="nil"/>
            </w:tcBorders>
            <w:shd w:val="clear" w:color="auto" w:fill="auto"/>
            <w:noWrap/>
            <w:vAlign w:val="bottom"/>
            <w:hideMark/>
          </w:tcPr>
          <w:p w14:paraId="400ED898"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single" w:sz="4" w:space="0" w:color="auto"/>
              <w:right w:val="nil"/>
            </w:tcBorders>
            <w:shd w:val="clear" w:color="auto" w:fill="auto"/>
            <w:noWrap/>
            <w:vAlign w:val="bottom"/>
            <w:hideMark/>
          </w:tcPr>
          <w:p w14:paraId="149813B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0,4938</w:t>
            </w:r>
          </w:p>
        </w:tc>
        <w:tc>
          <w:tcPr>
            <w:tcW w:w="436" w:type="dxa"/>
            <w:tcBorders>
              <w:top w:val="nil"/>
              <w:left w:val="nil"/>
              <w:bottom w:val="single" w:sz="4" w:space="0" w:color="auto"/>
              <w:right w:val="nil"/>
            </w:tcBorders>
            <w:shd w:val="clear" w:color="auto" w:fill="auto"/>
            <w:noWrap/>
            <w:vAlign w:val="bottom"/>
            <w:hideMark/>
          </w:tcPr>
          <w:p w14:paraId="293A0F4E"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single" w:sz="4" w:space="0" w:color="auto"/>
              <w:right w:val="nil"/>
            </w:tcBorders>
            <w:shd w:val="clear" w:color="auto" w:fill="auto"/>
            <w:noWrap/>
            <w:vAlign w:val="bottom"/>
            <w:hideMark/>
          </w:tcPr>
          <w:p w14:paraId="3369EE6A"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0,3107</w:t>
            </w:r>
          </w:p>
        </w:tc>
        <w:tc>
          <w:tcPr>
            <w:tcW w:w="436" w:type="dxa"/>
            <w:tcBorders>
              <w:top w:val="nil"/>
              <w:left w:val="nil"/>
              <w:bottom w:val="single" w:sz="4" w:space="0" w:color="auto"/>
              <w:right w:val="nil"/>
            </w:tcBorders>
            <w:shd w:val="clear" w:color="auto" w:fill="auto"/>
            <w:noWrap/>
            <w:vAlign w:val="bottom"/>
            <w:hideMark/>
          </w:tcPr>
          <w:p w14:paraId="01EC3280"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172" w:type="dxa"/>
            <w:tcBorders>
              <w:top w:val="nil"/>
              <w:left w:val="nil"/>
              <w:bottom w:val="single" w:sz="4" w:space="0" w:color="auto"/>
              <w:right w:val="nil"/>
            </w:tcBorders>
            <w:shd w:val="clear" w:color="auto" w:fill="auto"/>
            <w:noWrap/>
            <w:vAlign w:val="bottom"/>
            <w:hideMark/>
          </w:tcPr>
          <w:p w14:paraId="5D5A11BE"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0,4058</w:t>
            </w:r>
          </w:p>
        </w:tc>
        <w:tc>
          <w:tcPr>
            <w:tcW w:w="436" w:type="dxa"/>
            <w:tcBorders>
              <w:top w:val="nil"/>
              <w:left w:val="nil"/>
              <w:bottom w:val="single" w:sz="4" w:space="0" w:color="auto"/>
              <w:right w:val="nil"/>
            </w:tcBorders>
            <w:shd w:val="clear" w:color="auto" w:fill="auto"/>
            <w:noWrap/>
            <w:vAlign w:val="bottom"/>
            <w:hideMark/>
          </w:tcPr>
          <w:p w14:paraId="63679D89"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c>
          <w:tcPr>
            <w:tcW w:w="1050" w:type="dxa"/>
            <w:tcBorders>
              <w:top w:val="nil"/>
              <w:left w:val="nil"/>
              <w:bottom w:val="single" w:sz="4" w:space="0" w:color="auto"/>
              <w:right w:val="nil"/>
            </w:tcBorders>
            <w:shd w:val="clear" w:color="auto" w:fill="auto"/>
            <w:noWrap/>
            <w:vAlign w:val="bottom"/>
            <w:hideMark/>
          </w:tcPr>
          <w:p w14:paraId="191376C0" w14:textId="77777777" w:rsidR="00907BF6" w:rsidRPr="00907BF6" w:rsidRDefault="00907BF6" w:rsidP="00907BF6">
            <w:pPr>
              <w:spacing w:after="0" w:line="240" w:lineRule="auto"/>
              <w:jc w:val="center"/>
              <w:rPr>
                <w:rFonts w:ascii="Times New Roman" w:eastAsia="Times New Roman" w:hAnsi="Times New Roman" w:cs="Times New Roman"/>
                <w:color w:val="000000"/>
              </w:rPr>
            </w:pPr>
            <w:r w:rsidRPr="00907BF6">
              <w:rPr>
                <w:rFonts w:ascii="Times New Roman" w:eastAsia="Times New Roman" w:hAnsi="Times New Roman" w:cs="Times New Roman"/>
                <w:color w:val="000000"/>
              </w:rPr>
              <w:t>0,5913</w:t>
            </w:r>
          </w:p>
        </w:tc>
        <w:tc>
          <w:tcPr>
            <w:tcW w:w="595" w:type="dxa"/>
            <w:tcBorders>
              <w:top w:val="nil"/>
              <w:left w:val="nil"/>
              <w:bottom w:val="single" w:sz="4" w:space="0" w:color="auto"/>
              <w:right w:val="nil"/>
            </w:tcBorders>
            <w:shd w:val="clear" w:color="auto" w:fill="auto"/>
            <w:noWrap/>
            <w:vAlign w:val="bottom"/>
            <w:hideMark/>
          </w:tcPr>
          <w:p w14:paraId="1ABF5F65" w14:textId="77777777" w:rsidR="00907BF6" w:rsidRPr="00907BF6" w:rsidRDefault="00907BF6" w:rsidP="00907BF6">
            <w:pPr>
              <w:spacing w:after="0" w:line="240" w:lineRule="auto"/>
              <w:jc w:val="center"/>
              <w:rPr>
                <w:rFonts w:ascii="Times New Roman" w:eastAsia="Times New Roman" w:hAnsi="Times New Roman" w:cs="Times New Roman"/>
                <w:color w:val="000000"/>
              </w:rPr>
            </w:pPr>
          </w:p>
        </w:tc>
      </w:tr>
      <w:tr w:rsidR="00907BF6" w:rsidRPr="00907BF6" w14:paraId="5C5B65D5" w14:textId="77777777" w:rsidTr="00844321">
        <w:trPr>
          <w:trHeight w:val="288"/>
        </w:trPr>
        <w:tc>
          <w:tcPr>
            <w:tcW w:w="9349" w:type="dxa"/>
            <w:gridSpan w:val="11"/>
            <w:tcBorders>
              <w:top w:val="single" w:sz="4" w:space="0" w:color="auto"/>
              <w:left w:val="nil"/>
              <w:bottom w:val="nil"/>
              <w:right w:val="nil"/>
            </w:tcBorders>
            <w:shd w:val="clear" w:color="auto" w:fill="auto"/>
            <w:noWrap/>
            <w:vAlign w:val="bottom"/>
            <w:hideMark/>
          </w:tcPr>
          <w:p w14:paraId="43B6F17F" w14:textId="77777777" w:rsidR="00907BF6" w:rsidRPr="00907BF6" w:rsidRDefault="00907BF6" w:rsidP="00907BF6">
            <w:pPr>
              <w:spacing w:after="0" w:line="240" w:lineRule="auto"/>
              <w:rPr>
                <w:rFonts w:ascii="Times New Roman" w:eastAsia="Times New Roman" w:hAnsi="Times New Roman" w:cs="Times New Roman"/>
                <w:color w:val="000000"/>
              </w:rPr>
            </w:pPr>
            <w:r w:rsidRPr="00907BF6">
              <w:rPr>
                <w:rFonts w:ascii="Times New Roman" w:eastAsia="Times New Roman" w:hAnsi="Times New Roman" w:cs="Times New Roman"/>
                <w:color w:val="000000"/>
              </w:rPr>
              <w:t>*** represents significance at 1%, ** at 5% and * at 10%</w:t>
            </w:r>
          </w:p>
        </w:tc>
      </w:tr>
    </w:tbl>
    <w:p w14:paraId="160A6CFD" w14:textId="057C4CDA" w:rsidR="00CA3E59" w:rsidRDefault="00CA3E59">
      <w:pPr>
        <w:rPr>
          <w:rFonts w:ascii="Times New Roman" w:hAnsi="Times New Roman" w:cs="Times New Roman"/>
          <w:sz w:val="24"/>
          <w:szCs w:val="24"/>
        </w:rPr>
      </w:pPr>
      <w:r>
        <w:rPr>
          <w:rFonts w:ascii="Times New Roman" w:hAnsi="Times New Roman" w:cs="Times New Roman"/>
          <w:sz w:val="24"/>
          <w:szCs w:val="24"/>
        </w:rPr>
        <w:br w:type="page"/>
      </w:r>
    </w:p>
    <w:p w14:paraId="2877F0A4" w14:textId="77777777" w:rsidR="00CA3E59" w:rsidRDefault="00CA3E59">
      <w:pPr>
        <w:rPr>
          <w:rFonts w:ascii="Times New Roman" w:hAnsi="Times New Roman" w:cs="Times New Roman"/>
          <w:sz w:val="24"/>
          <w:szCs w:val="24"/>
        </w:rPr>
        <w:sectPr w:rsidR="00CA3E59">
          <w:footerReference w:type="default" r:id="rId18"/>
          <w:pgSz w:w="12240" w:h="15840"/>
          <w:pgMar w:top="1417" w:right="1417" w:bottom="1417" w:left="1417" w:header="708" w:footer="708" w:gutter="0"/>
          <w:cols w:space="708"/>
          <w:docGrid w:linePitch="360"/>
        </w:sectPr>
      </w:pPr>
    </w:p>
    <w:p w14:paraId="46DF5B94" w14:textId="66035244" w:rsidR="00CA3E59" w:rsidRDefault="00CA3E59">
      <w:pPr>
        <w:rPr>
          <w:rFonts w:ascii="Times New Roman" w:hAnsi="Times New Roman" w:cs="Times New Roman"/>
          <w:sz w:val="24"/>
          <w:szCs w:val="24"/>
        </w:rPr>
      </w:pPr>
    </w:p>
    <w:tbl>
      <w:tblPr>
        <w:tblW w:w="11504" w:type="dxa"/>
        <w:tblLook w:val="04A0" w:firstRow="1" w:lastRow="0" w:firstColumn="1" w:lastColumn="0" w:noHBand="0" w:noVBand="1"/>
      </w:tblPr>
      <w:tblGrid>
        <w:gridCol w:w="1276"/>
        <w:gridCol w:w="1285"/>
        <w:gridCol w:w="983"/>
        <w:gridCol w:w="1701"/>
        <w:gridCol w:w="1113"/>
        <w:gridCol w:w="1104"/>
        <w:gridCol w:w="546"/>
        <w:gridCol w:w="1202"/>
        <w:gridCol w:w="546"/>
        <w:gridCol w:w="1202"/>
        <w:gridCol w:w="546"/>
      </w:tblGrid>
      <w:tr w:rsidR="00CA3E59" w:rsidRPr="00CA3E59" w14:paraId="544C4A49" w14:textId="77777777" w:rsidTr="00CA3E59">
        <w:trPr>
          <w:trHeight w:val="312"/>
        </w:trPr>
        <w:tc>
          <w:tcPr>
            <w:tcW w:w="11504" w:type="dxa"/>
            <w:gridSpan w:val="11"/>
            <w:tcBorders>
              <w:top w:val="nil"/>
              <w:left w:val="nil"/>
              <w:bottom w:val="single" w:sz="4" w:space="0" w:color="auto"/>
              <w:right w:val="nil"/>
            </w:tcBorders>
            <w:shd w:val="clear" w:color="auto" w:fill="auto"/>
            <w:noWrap/>
            <w:vAlign w:val="bottom"/>
            <w:hideMark/>
          </w:tcPr>
          <w:p w14:paraId="211C433D" w14:textId="77777777" w:rsidR="00CA3E59" w:rsidRPr="00CA3E59" w:rsidRDefault="00CA3E59" w:rsidP="00CA3E59">
            <w:pPr>
              <w:spacing w:after="0" w:line="240" w:lineRule="auto"/>
              <w:rPr>
                <w:rFonts w:ascii="Times New Roman" w:eastAsia="Times New Roman" w:hAnsi="Times New Roman" w:cs="Times New Roman"/>
                <w:b/>
                <w:bCs/>
                <w:color w:val="000000"/>
                <w:sz w:val="24"/>
                <w:szCs w:val="24"/>
              </w:rPr>
            </w:pPr>
            <w:r w:rsidRPr="00CA3E59">
              <w:rPr>
                <w:rFonts w:ascii="Times New Roman" w:eastAsia="Times New Roman" w:hAnsi="Times New Roman" w:cs="Times New Roman"/>
                <w:b/>
                <w:bCs/>
                <w:color w:val="000000"/>
                <w:sz w:val="24"/>
                <w:szCs w:val="24"/>
              </w:rPr>
              <w:t>Table 7: Abnormal Returns of HCE Sorted Funds Prior to Covid-19 and during Outbreak</w:t>
            </w:r>
          </w:p>
        </w:tc>
      </w:tr>
      <w:tr w:rsidR="00CA3E59" w:rsidRPr="00CA3E59" w14:paraId="4B534662" w14:textId="77777777" w:rsidTr="00CA3E59">
        <w:trPr>
          <w:trHeight w:val="288"/>
        </w:trPr>
        <w:tc>
          <w:tcPr>
            <w:tcW w:w="1276" w:type="dxa"/>
            <w:tcBorders>
              <w:top w:val="single" w:sz="4" w:space="0" w:color="auto"/>
              <w:left w:val="nil"/>
              <w:bottom w:val="single" w:sz="4" w:space="0" w:color="auto"/>
              <w:right w:val="nil"/>
            </w:tcBorders>
            <w:shd w:val="clear" w:color="auto" w:fill="auto"/>
            <w:noWrap/>
            <w:vAlign w:val="center"/>
            <w:hideMark/>
          </w:tcPr>
          <w:p w14:paraId="0DCAA52B"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Fund Type</w:t>
            </w:r>
          </w:p>
        </w:tc>
        <w:tc>
          <w:tcPr>
            <w:tcW w:w="1285" w:type="dxa"/>
            <w:tcBorders>
              <w:top w:val="single" w:sz="4" w:space="0" w:color="auto"/>
              <w:left w:val="nil"/>
              <w:bottom w:val="single" w:sz="4" w:space="0" w:color="auto"/>
              <w:right w:val="nil"/>
            </w:tcBorders>
            <w:shd w:val="clear" w:color="auto" w:fill="auto"/>
            <w:noWrap/>
            <w:vAlign w:val="center"/>
            <w:hideMark/>
          </w:tcPr>
          <w:p w14:paraId="322F2383"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 </w:t>
            </w:r>
          </w:p>
        </w:tc>
        <w:tc>
          <w:tcPr>
            <w:tcW w:w="983" w:type="dxa"/>
            <w:tcBorders>
              <w:top w:val="single" w:sz="4" w:space="0" w:color="auto"/>
              <w:left w:val="nil"/>
              <w:bottom w:val="single" w:sz="4" w:space="0" w:color="auto"/>
              <w:right w:val="nil"/>
            </w:tcBorders>
            <w:shd w:val="clear" w:color="auto" w:fill="auto"/>
            <w:noWrap/>
            <w:vAlign w:val="center"/>
            <w:hideMark/>
          </w:tcPr>
          <w:p w14:paraId="5572179B"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 </w:t>
            </w:r>
          </w:p>
        </w:tc>
        <w:tc>
          <w:tcPr>
            <w:tcW w:w="7960" w:type="dxa"/>
            <w:gridSpan w:val="8"/>
            <w:tcBorders>
              <w:top w:val="single" w:sz="4" w:space="0" w:color="auto"/>
              <w:left w:val="nil"/>
              <w:bottom w:val="single" w:sz="4" w:space="0" w:color="auto"/>
              <w:right w:val="nil"/>
            </w:tcBorders>
            <w:shd w:val="clear" w:color="auto" w:fill="auto"/>
            <w:vAlign w:val="center"/>
            <w:hideMark/>
          </w:tcPr>
          <w:p w14:paraId="150065EF"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Average Cumulative Abnormal Returns using GARCH (1, 1) CAPM Specification</w:t>
            </w:r>
          </w:p>
        </w:tc>
      </w:tr>
      <w:tr w:rsidR="00CA3E59" w:rsidRPr="00CA3E59" w14:paraId="373DA445" w14:textId="77777777" w:rsidTr="00CA3E59">
        <w:trPr>
          <w:trHeight w:val="288"/>
        </w:trPr>
        <w:tc>
          <w:tcPr>
            <w:tcW w:w="1276" w:type="dxa"/>
            <w:tcBorders>
              <w:top w:val="nil"/>
              <w:left w:val="nil"/>
              <w:bottom w:val="nil"/>
              <w:right w:val="nil"/>
            </w:tcBorders>
            <w:shd w:val="clear" w:color="auto" w:fill="auto"/>
            <w:noWrap/>
            <w:vAlign w:val="bottom"/>
            <w:hideMark/>
          </w:tcPr>
          <w:p w14:paraId="54BFFF28"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p>
        </w:tc>
        <w:tc>
          <w:tcPr>
            <w:tcW w:w="1285" w:type="dxa"/>
            <w:tcBorders>
              <w:top w:val="nil"/>
              <w:left w:val="nil"/>
              <w:bottom w:val="nil"/>
              <w:right w:val="nil"/>
            </w:tcBorders>
            <w:shd w:val="clear" w:color="auto" w:fill="auto"/>
            <w:noWrap/>
            <w:vAlign w:val="bottom"/>
            <w:hideMark/>
          </w:tcPr>
          <w:p w14:paraId="64AC8E66"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 xml:space="preserve">Pre </w:t>
            </w:r>
            <w:proofErr w:type="spellStart"/>
            <w:r w:rsidRPr="00CA3E59">
              <w:rPr>
                <w:rFonts w:ascii="Times New Roman" w:eastAsia="Times New Roman" w:hAnsi="Times New Roman" w:cs="Times New Roman"/>
                <w:b/>
                <w:bCs/>
                <w:color w:val="000000"/>
              </w:rPr>
              <w:t>Covid</w:t>
            </w:r>
            <w:proofErr w:type="spellEnd"/>
          </w:p>
        </w:tc>
        <w:tc>
          <w:tcPr>
            <w:tcW w:w="983" w:type="dxa"/>
            <w:tcBorders>
              <w:top w:val="nil"/>
              <w:left w:val="nil"/>
              <w:bottom w:val="nil"/>
              <w:right w:val="nil"/>
            </w:tcBorders>
            <w:shd w:val="clear" w:color="auto" w:fill="auto"/>
            <w:noWrap/>
            <w:vAlign w:val="bottom"/>
            <w:hideMark/>
          </w:tcPr>
          <w:p w14:paraId="4ADFDC56"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p>
        </w:tc>
        <w:tc>
          <w:tcPr>
            <w:tcW w:w="1701" w:type="dxa"/>
            <w:tcBorders>
              <w:top w:val="nil"/>
              <w:left w:val="nil"/>
              <w:bottom w:val="nil"/>
              <w:right w:val="nil"/>
            </w:tcBorders>
            <w:shd w:val="clear" w:color="auto" w:fill="auto"/>
            <w:noWrap/>
            <w:vAlign w:val="bottom"/>
            <w:hideMark/>
          </w:tcPr>
          <w:p w14:paraId="09149DB2"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proofErr w:type="spellStart"/>
            <w:r w:rsidRPr="00CA3E59">
              <w:rPr>
                <w:rFonts w:ascii="Times New Roman" w:eastAsia="Times New Roman" w:hAnsi="Times New Roman" w:cs="Times New Roman"/>
                <w:b/>
                <w:bCs/>
                <w:color w:val="000000"/>
              </w:rPr>
              <w:t>Covid</w:t>
            </w:r>
            <w:proofErr w:type="spellEnd"/>
            <w:r w:rsidRPr="00CA3E59">
              <w:rPr>
                <w:rFonts w:ascii="Times New Roman" w:eastAsia="Times New Roman" w:hAnsi="Times New Roman" w:cs="Times New Roman"/>
                <w:b/>
                <w:bCs/>
                <w:color w:val="000000"/>
              </w:rPr>
              <w:t xml:space="preserve"> Outbreak </w:t>
            </w:r>
          </w:p>
        </w:tc>
        <w:tc>
          <w:tcPr>
            <w:tcW w:w="1113" w:type="dxa"/>
            <w:tcBorders>
              <w:top w:val="nil"/>
              <w:left w:val="nil"/>
              <w:bottom w:val="nil"/>
              <w:right w:val="nil"/>
            </w:tcBorders>
            <w:shd w:val="clear" w:color="auto" w:fill="auto"/>
            <w:noWrap/>
            <w:vAlign w:val="bottom"/>
            <w:hideMark/>
          </w:tcPr>
          <w:p w14:paraId="76F26FF5"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p>
        </w:tc>
        <w:tc>
          <w:tcPr>
            <w:tcW w:w="1104" w:type="dxa"/>
            <w:tcBorders>
              <w:top w:val="nil"/>
              <w:left w:val="nil"/>
              <w:bottom w:val="nil"/>
              <w:right w:val="nil"/>
            </w:tcBorders>
            <w:shd w:val="clear" w:color="auto" w:fill="auto"/>
            <w:noWrap/>
            <w:vAlign w:val="bottom"/>
            <w:hideMark/>
          </w:tcPr>
          <w:p w14:paraId="4DBDEFFB"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Stage 1</w:t>
            </w:r>
          </w:p>
        </w:tc>
        <w:tc>
          <w:tcPr>
            <w:tcW w:w="546" w:type="dxa"/>
            <w:tcBorders>
              <w:top w:val="nil"/>
              <w:left w:val="nil"/>
              <w:bottom w:val="nil"/>
              <w:right w:val="nil"/>
            </w:tcBorders>
            <w:shd w:val="clear" w:color="auto" w:fill="auto"/>
            <w:noWrap/>
            <w:vAlign w:val="bottom"/>
            <w:hideMark/>
          </w:tcPr>
          <w:p w14:paraId="0AAC5245"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p>
        </w:tc>
        <w:tc>
          <w:tcPr>
            <w:tcW w:w="1202" w:type="dxa"/>
            <w:tcBorders>
              <w:top w:val="nil"/>
              <w:left w:val="nil"/>
              <w:bottom w:val="nil"/>
              <w:right w:val="nil"/>
            </w:tcBorders>
            <w:shd w:val="clear" w:color="auto" w:fill="auto"/>
            <w:noWrap/>
            <w:vAlign w:val="bottom"/>
            <w:hideMark/>
          </w:tcPr>
          <w:p w14:paraId="0FDCCBA1"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Stage 2</w:t>
            </w:r>
          </w:p>
        </w:tc>
        <w:tc>
          <w:tcPr>
            <w:tcW w:w="546" w:type="dxa"/>
            <w:tcBorders>
              <w:top w:val="nil"/>
              <w:left w:val="nil"/>
              <w:bottom w:val="nil"/>
              <w:right w:val="nil"/>
            </w:tcBorders>
            <w:shd w:val="clear" w:color="auto" w:fill="auto"/>
            <w:noWrap/>
            <w:vAlign w:val="bottom"/>
            <w:hideMark/>
          </w:tcPr>
          <w:p w14:paraId="247C998F"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p>
        </w:tc>
        <w:tc>
          <w:tcPr>
            <w:tcW w:w="1202" w:type="dxa"/>
            <w:tcBorders>
              <w:top w:val="nil"/>
              <w:left w:val="nil"/>
              <w:bottom w:val="nil"/>
              <w:right w:val="nil"/>
            </w:tcBorders>
            <w:shd w:val="clear" w:color="auto" w:fill="auto"/>
            <w:noWrap/>
            <w:vAlign w:val="bottom"/>
            <w:hideMark/>
          </w:tcPr>
          <w:p w14:paraId="5B1BD405"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Stage 3</w:t>
            </w:r>
          </w:p>
        </w:tc>
        <w:tc>
          <w:tcPr>
            <w:tcW w:w="546" w:type="dxa"/>
            <w:tcBorders>
              <w:top w:val="single" w:sz="4" w:space="0" w:color="auto"/>
              <w:left w:val="nil"/>
              <w:bottom w:val="nil"/>
              <w:right w:val="nil"/>
            </w:tcBorders>
            <w:shd w:val="clear" w:color="auto" w:fill="auto"/>
            <w:noWrap/>
            <w:vAlign w:val="bottom"/>
            <w:hideMark/>
          </w:tcPr>
          <w:p w14:paraId="55A1B22F"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 </w:t>
            </w:r>
          </w:p>
        </w:tc>
      </w:tr>
      <w:tr w:rsidR="00CA3E59" w:rsidRPr="00CA3E59" w14:paraId="175F948C" w14:textId="77777777" w:rsidTr="00CA3E59">
        <w:trPr>
          <w:trHeight w:val="288"/>
        </w:trPr>
        <w:tc>
          <w:tcPr>
            <w:tcW w:w="1276" w:type="dxa"/>
            <w:tcBorders>
              <w:top w:val="nil"/>
              <w:left w:val="nil"/>
              <w:bottom w:val="nil"/>
              <w:right w:val="nil"/>
            </w:tcBorders>
            <w:shd w:val="clear" w:color="auto" w:fill="auto"/>
            <w:noWrap/>
            <w:vAlign w:val="center"/>
            <w:hideMark/>
          </w:tcPr>
          <w:p w14:paraId="52D3B3D2"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Low</w:t>
            </w:r>
          </w:p>
        </w:tc>
        <w:tc>
          <w:tcPr>
            <w:tcW w:w="1285" w:type="dxa"/>
            <w:tcBorders>
              <w:top w:val="nil"/>
              <w:left w:val="nil"/>
              <w:bottom w:val="nil"/>
              <w:right w:val="nil"/>
            </w:tcBorders>
            <w:shd w:val="clear" w:color="auto" w:fill="auto"/>
            <w:noWrap/>
            <w:vAlign w:val="center"/>
            <w:hideMark/>
          </w:tcPr>
          <w:p w14:paraId="1EA66771"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-0,0201%</w:t>
            </w:r>
          </w:p>
        </w:tc>
        <w:tc>
          <w:tcPr>
            <w:tcW w:w="983" w:type="dxa"/>
            <w:tcBorders>
              <w:top w:val="nil"/>
              <w:left w:val="nil"/>
              <w:bottom w:val="nil"/>
              <w:right w:val="nil"/>
            </w:tcBorders>
            <w:shd w:val="clear" w:color="auto" w:fill="auto"/>
            <w:noWrap/>
            <w:vAlign w:val="center"/>
            <w:hideMark/>
          </w:tcPr>
          <w:p w14:paraId="70DB1FF5"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701" w:type="dxa"/>
            <w:tcBorders>
              <w:top w:val="nil"/>
              <w:left w:val="nil"/>
              <w:bottom w:val="nil"/>
              <w:right w:val="nil"/>
            </w:tcBorders>
            <w:shd w:val="clear" w:color="auto" w:fill="auto"/>
            <w:noWrap/>
            <w:vAlign w:val="bottom"/>
            <w:hideMark/>
          </w:tcPr>
          <w:p w14:paraId="2165E5E7"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-0,0403%</w:t>
            </w:r>
          </w:p>
        </w:tc>
        <w:tc>
          <w:tcPr>
            <w:tcW w:w="1113" w:type="dxa"/>
            <w:tcBorders>
              <w:top w:val="nil"/>
              <w:left w:val="nil"/>
              <w:bottom w:val="nil"/>
              <w:right w:val="nil"/>
            </w:tcBorders>
            <w:shd w:val="clear" w:color="auto" w:fill="auto"/>
            <w:noWrap/>
            <w:vAlign w:val="bottom"/>
            <w:hideMark/>
          </w:tcPr>
          <w:p w14:paraId="5D3197F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104" w:type="dxa"/>
            <w:tcBorders>
              <w:top w:val="nil"/>
              <w:left w:val="nil"/>
              <w:bottom w:val="nil"/>
              <w:right w:val="nil"/>
            </w:tcBorders>
            <w:shd w:val="clear" w:color="auto" w:fill="auto"/>
            <w:noWrap/>
            <w:vAlign w:val="bottom"/>
            <w:hideMark/>
          </w:tcPr>
          <w:p w14:paraId="52A0091E"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0,0014%</w:t>
            </w:r>
          </w:p>
        </w:tc>
        <w:tc>
          <w:tcPr>
            <w:tcW w:w="546" w:type="dxa"/>
            <w:tcBorders>
              <w:top w:val="nil"/>
              <w:left w:val="nil"/>
              <w:bottom w:val="nil"/>
              <w:right w:val="nil"/>
            </w:tcBorders>
            <w:shd w:val="clear" w:color="auto" w:fill="auto"/>
            <w:noWrap/>
            <w:vAlign w:val="bottom"/>
            <w:hideMark/>
          </w:tcPr>
          <w:p w14:paraId="608A9FAF"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411CE9F8"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-0,0237%</w:t>
            </w:r>
          </w:p>
        </w:tc>
        <w:tc>
          <w:tcPr>
            <w:tcW w:w="546" w:type="dxa"/>
            <w:tcBorders>
              <w:top w:val="nil"/>
              <w:left w:val="nil"/>
              <w:bottom w:val="nil"/>
              <w:right w:val="nil"/>
            </w:tcBorders>
            <w:shd w:val="clear" w:color="auto" w:fill="auto"/>
            <w:noWrap/>
            <w:vAlign w:val="bottom"/>
            <w:hideMark/>
          </w:tcPr>
          <w:p w14:paraId="0D48B06E"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38A51D90"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-0,0176%</w:t>
            </w:r>
          </w:p>
        </w:tc>
        <w:tc>
          <w:tcPr>
            <w:tcW w:w="546" w:type="dxa"/>
            <w:tcBorders>
              <w:top w:val="nil"/>
              <w:left w:val="nil"/>
              <w:bottom w:val="nil"/>
              <w:right w:val="nil"/>
            </w:tcBorders>
            <w:shd w:val="clear" w:color="auto" w:fill="auto"/>
            <w:noWrap/>
            <w:vAlign w:val="bottom"/>
            <w:hideMark/>
          </w:tcPr>
          <w:p w14:paraId="316C0098"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r>
      <w:tr w:rsidR="00CA3E59" w:rsidRPr="00CA3E59" w14:paraId="722A7C47" w14:textId="77777777" w:rsidTr="00CA3E59">
        <w:trPr>
          <w:trHeight w:val="288"/>
        </w:trPr>
        <w:tc>
          <w:tcPr>
            <w:tcW w:w="1276" w:type="dxa"/>
            <w:tcBorders>
              <w:top w:val="nil"/>
              <w:left w:val="nil"/>
              <w:bottom w:val="nil"/>
              <w:right w:val="nil"/>
            </w:tcBorders>
            <w:shd w:val="clear" w:color="auto" w:fill="auto"/>
            <w:noWrap/>
            <w:vAlign w:val="center"/>
            <w:hideMark/>
          </w:tcPr>
          <w:p w14:paraId="48D283B8"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2</w:t>
            </w:r>
          </w:p>
        </w:tc>
        <w:tc>
          <w:tcPr>
            <w:tcW w:w="1285" w:type="dxa"/>
            <w:tcBorders>
              <w:top w:val="nil"/>
              <w:left w:val="nil"/>
              <w:bottom w:val="nil"/>
              <w:right w:val="nil"/>
            </w:tcBorders>
            <w:shd w:val="clear" w:color="auto" w:fill="auto"/>
            <w:noWrap/>
            <w:vAlign w:val="center"/>
            <w:hideMark/>
          </w:tcPr>
          <w:p w14:paraId="4F1400E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-0,0135%</w:t>
            </w:r>
          </w:p>
        </w:tc>
        <w:tc>
          <w:tcPr>
            <w:tcW w:w="983" w:type="dxa"/>
            <w:tcBorders>
              <w:top w:val="nil"/>
              <w:left w:val="nil"/>
              <w:bottom w:val="nil"/>
              <w:right w:val="nil"/>
            </w:tcBorders>
            <w:shd w:val="clear" w:color="auto" w:fill="auto"/>
            <w:noWrap/>
            <w:vAlign w:val="center"/>
            <w:hideMark/>
          </w:tcPr>
          <w:p w14:paraId="4D73C708"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701" w:type="dxa"/>
            <w:tcBorders>
              <w:top w:val="nil"/>
              <w:left w:val="nil"/>
              <w:bottom w:val="nil"/>
              <w:right w:val="nil"/>
            </w:tcBorders>
            <w:shd w:val="clear" w:color="auto" w:fill="auto"/>
            <w:noWrap/>
            <w:vAlign w:val="bottom"/>
            <w:hideMark/>
          </w:tcPr>
          <w:p w14:paraId="6DA75652"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-0,0322%</w:t>
            </w:r>
          </w:p>
        </w:tc>
        <w:tc>
          <w:tcPr>
            <w:tcW w:w="1113" w:type="dxa"/>
            <w:tcBorders>
              <w:top w:val="nil"/>
              <w:left w:val="nil"/>
              <w:bottom w:val="nil"/>
              <w:right w:val="nil"/>
            </w:tcBorders>
            <w:shd w:val="clear" w:color="auto" w:fill="auto"/>
            <w:noWrap/>
            <w:vAlign w:val="bottom"/>
            <w:hideMark/>
          </w:tcPr>
          <w:p w14:paraId="47A76E84"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104" w:type="dxa"/>
            <w:tcBorders>
              <w:top w:val="nil"/>
              <w:left w:val="nil"/>
              <w:bottom w:val="nil"/>
              <w:right w:val="nil"/>
            </w:tcBorders>
            <w:shd w:val="clear" w:color="auto" w:fill="auto"/>
            <w:noWrap/>
            <w:vAlign w:val="bottom"/>
            <w:hideMark/>
          </w:tcPr>
          <w:p w14:paraId="7D4798FD"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0,0136%</w:t>
            </w:r>
          </w:p>
        </w:tc>
        <w:tc>
          <w:tcPr>
            <w:tcW w:w="546" w:type="dxa"/>
            <w:tcBorders>
              <w:top w:val="nil"/>
              <w:left w:val="nil"/>
              <w:bottom w:val="nil"/>
              <w:right w:val="nil"/>
            </w:tcBorders>
            <w:shd w:val="clear" w:color="auto" w:fill="auto"/>
            <w:noWrap/>
            <w:vAlign w:val="bottom"/>
            <w:hideMark/>
          </w:tcPr>
          <w:p w14:paraId="3EC5165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29F738AA"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-0,0193%</w:t>
            </w:r>
          </w:p>
        </w:tc>
        <w:tc>
          <w:tcPr>
            <w:tcW w:w="546" w:type="dxa"/>
            <w:tcBorders>
              <w:top w:val="nil"/>
              <w:left w:val="nil"/>
              <w:bottom w:val="nil"/>
              <w:right w:val="nil"/>
            </w:tcBorders>
            <w:shd w:val="clear" w:color="auto" w:fill="auto"/>
            <w:noWrap/>
            <w:vAlign w:val="bottom"/>
            <w:hideMark/>
          </w:tcPr>
          <w:p w14:paraId="0C458D8E"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6354321D"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-0,0135%</w:t>
            </w:r>
          </w:p>
        </w:tc>
        <w:tc>
          <w:tcPr>
            <w:tcW w:w="546" w:type="dxa"/>
            <w:tcBorders>
              <w:top w:val="nil"/>
              <w:left w:val="nil"/>
              <w:bottom w:val="nil"/>
              <w:right w:val="nil"/>
            </w:tcBorders>
            <w:shd w:val="clear" w:color="auto" w:fill="auto"/>
            <w:noWrap/>
            <w:vAlign w:val="bottom"/>
            <w:hideMark/>
          </w:tcPr>
          <w:p w14:paraId="30135ED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r>
      <w:tr w:rsidR="00CA3E59" w:rsidRPr="00CA3E59" w14:paraId="764AE12D" w14:textId="77777777" w:rsidTr="00CA3E59">
        <w:trPr>
          <w:trHeight w:val="288"/>
        </w:trPr>
        <w:tc>
          <w:tcPr>
            <w:tcW w:w="1276" w:type="dxa"/>
            <w:tcBorders>
              <w:top w:val="nil"/>
              <w:left w:val="nil"/>
              <w:bottom w:val="nil"/>
              <w:right w:val="nil"/>
            </w:tcBorders>
            <w:shd w:val="clear" w:color="auto" w:fill="auto"/>
            <w:noWrap/>
            <w:vAlign w:val="bottom"/>
            <w:hideMark/>
          </w:tcPr>
          <w:p w14:paraId="62EE9AA4"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3</w:t>
            </w:r>
          </w:p>
        </w:tc>
        <w:tc>
          <w:tcPr>
            <w:tcW w:w="1285" w:type="dxa"/>
            <w:tcBorders>
              <w:top w:val="nil"/>
              <w:left w:val="nil"/>
              <w:bottom w:val="nil"/>
              <w:right w:val="nil"/>
            </w:tcBorders>
            <w:shd w:val="clear" w:color="auto" w:fill="auto"/>
            <w:noWrap/>
            <w:vAlign w:val="bottom"/>
            <w:hideMark/>
          </w:tcPr>
          <w:p w14:paraId="76AF6050"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-0,0110%</w:t>
            </w:r>
          </w:p>
        </w:tc>
        <w:tc>
          <w:tcPr>
            <w:tcW w:w="983" w:type="dxa"/>
            <w:tcBorders>
              <w:top w:val="nil"/>
              <w:left w:val="nil"/>
              <w:bottom w:val="nil"/>
              <w:right w:val="nil"/>
            </w:tcBorders>
            <w:shd w:val="clear" w:color="auto" w:fill="auto"/>
            <w:noWrap/>
            <w:vAlign w:val="bottom"/>
            <w:hideMark/>
          </w:tcPr>
          <w:p w14:paraId="410EDBFE"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701" w:type="dxa"/>
            <w:tcBorders>
              <w:top w:val="nil"/>
              <w:left w:val="nil"/>
              <w:bottom w:val="nil"/>
              <w:right w:val="nil"/>
            </w:tcBorders>
            <w:shd w:val="clear" w:color="auto" w:fill="auto"/>
            <w:noWrap/>
            <w:vAlign w:val="bottom"/>
            <w:hideMark/>
          </w:tcPr>
          <w:p w14:paraId="721A6DB8"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-0,0104%</w:t>
            </w:r>
          </w:p>
        </w:tc>
        <w:tc>
          <w:tcPr>
            <w:tcW w:w="1113" w:type="dxa"/>
            <w:tcBorders>
              <w:top w:val="nil"/>
              <w:left w:val="nil"/>
              <w:bottom w:val="nil"/>
              <w:right w:val="nil"/>
            </w:tcBorders>
            <w:shd w:val="clear" w:color="auto" w:fill="auto"/>
            <w:noWrap/>
            <w:vAlign w:val="bottom"/>
            <w:hideMark/>
          </w:tcPr>
          <w:p w14:paraId="7AF032DC"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104" w:type="dxa"/>
            <w:tcBorders>
              <w:top w:val="nil"/>
              <w:left w:val="nil"/>
              <w:bottom w:val="nil"/>
              <w:right w:val="nil"/>
            </w:tcBorders>
            <w:shd w:val="clear" w:color="auto" w:fill="auto"/>
            <w:noWrap/>
            <w:vAlign w:val="bottom"/>
            <w:hideMark/>
          </w:tcPr>
          <w:p w14:paraId="6BDC2E6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0,0175%</w:t>
            </w:r>
          </w:p>
        </w:tc>
        <w:tc>
          <w:tcPr>
            <w:tcW w:w="546" w:type="dxa"/>
            <w:tcBorders>
              <w:top w:val="nil"/>
              <w:left w:val="nil"/>
              <w:bottom w:val="nil"/>
              <w:right w:val="nil"/>
            </w:tcBorders>
            <w:shd w:val="clear" w:color="auto" w:fill="auto"/>
            <w:noWrap/>
            <w:vAlign w:val="bottom"/>
            <w:hideMark/>
          </w:tcPr>
          <w:p w14:paraId="78ED622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45DBAE03"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-0,0139%</w:t>
            </w:r>
          </w:p>
        </w:tc>
        <w:tc>
          <w:tcPr>
            <w:tcW w:w="546" w:type="dxa"/>
            <w:tcBorders>
              <w:top w:val="nil"/>
              <w:left w:val="nil"/>
              <w:bottom w:val="nil"/>
              <w:right w:val="nil"/>
            </w:tcBorders>
            <w:shd w:val="clear" w:color="auto" w:fill="auto"/>
            <w:noWrap/>
            <w:vAlign w:val="bottom"/>
            <w:hideMark/>
          </w:tcPr>
          <w:p w14:paraId="17AF9151"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45669D4D"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-0,0114%</w:t>
            </w:r>
          </w:p>
        </w:tc>
        <w:tc>
          <w:tcPr>
            <w:tcW w:w="546" w:type="dxa"/>
            <w:tcBorders>
              <w:top w:val="nil"/>
              <w:left w:val="nil"/>
              <w:bottom w:val="nil"/>
              <w:right w:val="nil"/>
            </w:tcBorders>
            <w:shd w:val="clear" w:color="auto" w:fill="auto"/>
            <w:noWrap/>
            <w:vAlign w:val="bottom"/>
            <w:hideMark/>
          </w:tcPr>
          <w:p w14:paraId="0CAD7AC0"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r>
      <w:tr w:rsidR="00CA3E59" w:rsidRPr="00CA3E59" w14:paraId="66B3F427" w14:textId="77777777" w:rsidTr="00CA3E59">
        <w:trPr>
          <w:trHeight w:val="288"/>
        </w:trPr>
        <w:tc>
          <w:tcPr>
            <w:tcW w:w="1276" w:type="dxa"/>
            <w:tcBorders>
              <w:top w:val="nil"/>
              <w:left w:val="nil"/>
              <w:bottom w:val="nil"/>
              <w:right w:val="nil"/>
            </w:tcBorders>
            <w:shd w:val="clear" w:color="auto" w:fill="auto"/>
            <w:vAlign w:val="center"/>
            <w:hideMark/>
          </w:tcPr>
          <w:p w14:paraId="31AD7BDA"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4</w:t>
            </w:r>
          </w:p>
        </w:tc>
        <w:tc>
          <w:tcPr>
            <w:tcW w:w="1285" w:type="dxa"/>
            <w:tcBorders>
              <w:top w:val="nil"/>
              <w:left w:val="nil"/>
              <w:bottom w:val="nil"/>
              <w:right w:val="nil"/>
            </w:tcBorders>
            <w:shd w:val="clear" w:color="auto" w:fill="auto"/>
            <w:vAlign w:val="center"/>
            <w:hideMark/>
          </w:tcPr>
          <w:p w14:paraId="67752173"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0,0205%</w:t>
            </w:r>
          </w:p>
        </w:tc>
        <w:tc>
          <w:tcPr>
            <w:tcW w:w="983" w:type="dxa"/>
            <w:tcBorders>
              <w:top w:val="nil"/>
              <w:left w:val="nil"/>
              <w:bottom w:val="nil"/>
              <w:right w:val="nil"/>
            </w:tcBorders>
            <w:shd w:val="clear" w:color="auto" w:fill="auto"/>
            <w:vAlign w:val="center"/>
            <w:hideMark/>
          </w:tcPr>
          <w:p w14:paraId="13912F04"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701" w:type="dxa"/>
            <w:tcBorders>
              <w:top w:val="nil"/>
              <w:left w:val="nil"/>
              <w:bottom w:val="nil"/>
              <w:right w:val="nil"/>
            </w:tcBorders>
            <w:shd w:val="clear" w:color="auto" w:fill="auto"/>
            <w:noWrap/>
            <w:vAlign w:val="bottom"/>
            <w:hideMark/>
          </w:tcPr>
          <w:p w14:paraId="43C5780E"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0,0215%</w:t>
            </w:r>
          </w:p>
        </w:tc>
        <w:tc>
          <w:tcPr>
            <w:tcW w:w="1113" w:type="dxa"/>
            <w:tcBorders>
              <w:top w:val="nil"/>
              <w:left w:val="nil"/>
              <w:bottom w:val="nil"/>
              <w:right w:val="nil"/>
            </w:tcBorders>
            <w:shd w:val="clear" w:color="auto" w:fill="auto"/>
            <w:noWrap/>
            <w:vAlign w:val="bottom"/>
            <w:hideMark/>
          </w:tcPr>
          <w:p w14:paraId="099B957E"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104" w:type="dxa"/>
            <w:tcBorders>
              <w:top w:val="nil"/>
              <w:left w:val="nil"/>
              <w:bottom w:val="nil"/>
              <w:right w:val="nil"/>
            </w:tcBorders>
            <w:shd w:val="clear" w:color="auto" w:fill="auto"/>
            <w:noWrap/>
            <w:vAlign w:val="bottom"/>
            <w:hideMark/>
          </w:tcPr>
          <w:p w14:paraId="30C2C589"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0,0192%</w:t>
            </w:r>
          </w:p>
        </w:tc>
        <w:tc>
          <w:tcPr>
            <w:tcW w:w="546" w:type="dxa"/>
            <w:tcBorders>
              <w:top w:val="nil"/>
              <w:left w:val="nil"/>
              <w:bottom w:val="nil"/>
              <w:right w:val="nil"/>
            </w:tcBorders>
            <w:shd w:val="clear" w:color="auto" w:fill="auto"/>
            <w:noWrap/>
            <w:vAlign w:val="bottom"/>
            <w:hideMark/>
          </w:tcPr>
          <w:p w14:paraId="3B20EC8A"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791F46D1"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0,0128%</w:t>
            </w:r>
          </w:p>
        </w:tc>
        <w:tc>
          <w:tcPr>
            <w:tcW w:w="546" w:type="dxa"/>
            <w:tcBorders>
              <w:top w:val="nil"/>
              <w:left w:val="nil"/>
              <w:bottom w:val="nil"/>
              <w:right w:val="nil"/>
            </w:tcBorders>
            <w:shd w:val="clear" w:color="auto" w:fill="auto"/>
            <w:noWrap/>
            <w:vAlign w:val="bottom"/>
            <w:hideMark/>
          </w:tcPr>
          <w:p w14:paraId="3FECB437"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nil"/>
              <w:right w:val="nil"/>
            </w:tcBorders>
            <w:shd w:val="clear" w:color="auto" w:fill="auto"/>
            <w:noWrap/>
            <w:vAlign w:val="bottom"/>
            <w:hideMark/>
          </w:tcPr>
          <w:p w14:paraId="76CA7838"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0,0160%</w:t>
            </w:r>
          </w:p>
        </w:tc>
        <w:tc>
          <w:tcPr>
            <w:tcW w:w="546" w:type="dxa"/>
            <w:tcBorders>
              <w:top w:val="nil"/>
              <w:left w:val="nil"/>
              <w:bottom w:val="nil"/>
              <w:right w:val="nil"/>
            </w:tcBorders>
            <w:shd w:val="clear" w:color="auto" w:fill="auto"/>
            <w:noWrap/>
            <w:vAlign w:val="bottom"/>
            <w:hideMark/>
          </w:tcPr>
          <w:p w14:paraId="5072FF2B"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r>
      <w:tr w:rsidR="00CA3E59" w:rsidRPr="00CA3E59" w14:paraId="00E2B3DB" w14:textId="77777777" w:rsidTr="00CA3E59">
        <w:trPr>
          <w:trHeight w:val="288"/>
        </w:trPr>
        <w:tc>
          <w:tcPr>
            <w:tcW w:w="1276" w:type="dxa"/>
            <w:tcBorders>
              <w:top w:val="nil"/>
              <w:left w:val="nil"/>
              <w:bottom w:val="single" w:sz="4" w:space="0" w:color="auto"/>
              <w:right w:val="nil"/>
            </w:tcBorders>
            <w:shd w:val="clear" w:color="auto" w:fill="auto"/>
            <w:vAlign w:val="center"/>
            <w:hideMark/>
          </w:tcPr>
          <w:p w14:paraId="20AA6CB6" w14:textId="77777777" w:rsidR="00CA3E59" w:rsidRPr="00CA3E59" w:rsidRDefault="00CA3E59" w:rsidP="00CA3E59">
            <w:pPr>
              <w:spacing w:after="0" w:line="240" w:lineRule="auto"/>
              <w:jc w:val="center"/>
              <w:rPr>
                <w:rFonts w:ascii="Times New Roman" w:eastAsia="Times New Roman" w:hAnsi="Times New Roman" w:cs="Times New Roman"/>
                <w:b/>
                <w:bCs/>
                <w:color w:val="000000"/>
              </w:rPr>
            </w:pPr>
            <w:r w:rsidRPr="00CA3E59">
              <w:rPr>
                <w:rFonts w:ascii="Times New Roman" w:eastAsia="Times New Roman" w:hAnsi="Times New Roman" w:cs="Times New Roman"/>
                <w:b/>
                <w:bCs/>
                <w:color w:val="000000"/>
              </w:rPr>
              <w:t>High</w:t>
            </w:r>
          </w:p>
        </w:tc>
        <w:tc>
          <w:tcPr>
            <w:tcW w:w="1285" w:type="dxa"/>
            <w:tcBorders>
              <w:top w:val="nil"/>
              <w:left w:val="nil"/>
              <w:bottom w:val="single" w:sz="4" w:space="0" w:color="auto"/>
              <w:right w:val="nil"/>
            </w:tcBorders>
            <w:shd w:val="clear" w:color="auto" w:fill="auto"/>
            <w:vAlign w:val="center"/>
            <w:hideMark/>
          </w:tcPr>
          <w:p w14:paraId="45195536"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0,0410%</w:t>
            </w:r>
          </w:p>
        </w:tc>
        <w:tc>
          <w:tcPr>
            <w:tcW w:w="983" w:type="dxa"/>
            <w:tcBorders>
              <w:top w:val="nil"/>
              <w:left w:val="nil"/>
              <w:bottom w:val="single" w:sz="4" w:space="0" w:color="auto"/>
              <w:right w:val="nil"/>
            </w:tcBorders>
            <w:shd w:val="clear" w:color="auto" w:fill="auto"/>
            <w:vAlign w:val="center"/>
            <w:hideMark/>
          </w:tcPr>
          <w:p w14:paraId="77E6E350"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701" w:type="dxa"/>
            <w:tcBorders>
              <w:top w:val="nil"/>
              <w:left w:val="nil"/>
              <w:bottom w:val="single" w:sz="4" w:space="0" w:color="auto"/>
              <w:right w:val="nil"/>
            </w:tcBorders>
            <w:shd w:val="clear" w:color="auto" w:fill="auto"/>
            <w:noWrap/>
            <w:vAlign w:val="bottom"/>
            <w:hideMark/>
          </w:tcPr>
          <w:p w14:paraId="6FAB6713"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0,0506%</w:t>
            </w:r>
          </w:p>
        </w:tc>
        <w:tc>
          <w:tcPr>
            <w:tcW w:w="1113" w:type="dxa"/>
            <w:tcBorders>
              <w:top w:val="nil"/>
              <w:left w:val="nil"/>
              <w:bottom w:val="single" w:sz="4" w:space="0" w:color="auto"/>
              <w:right w:val="nil"/>
            </w:tcBorders>
            <w:shd w:val="clear" w:color="auto" w:fill="auto"/>
            <w:noWrap/>
            <w:vAlign w:val="bottom"/>
            <w:hideMark/>
          </w:tcPr>
          <w:p w14:paraId="1D9E3D37"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104" w:type="dxa"/>
            <w:tcBorders>
              <w:top w:val="nil"/>
              <w:left w:val="nil"/>
              <w:bottom w:val="single" w:sz="4" w:space="0" w:color="auto"/>
              <w:right w:val="nil"/>
            </w:tcBorders>
            <w:shd w:val="clear" w:color="auto" w:fill="auto"/>
            <w:noWrap/>
            <w:vAlign w:val="bottom"/>
            <w:hideMark/>
          </w:tcPr>
          <w:p w14:paraId="5A9F1D74"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0,0281%</w:t>
            </w:r>
          </w:p>
        </w:tc>
        <w:tc>
          <w:tcPr>
            <w:tcW w:w="546" w:type="dxa"/>
            <w:tcBorders>
              <w:top w:val="nil"/>
              <w:left w:val="nil"/>
              <w:bottom w:val="single" w:sz="4" w:space="0" w:color="auto"/>
              <w:right w:val="nil"/>
            </w:tcBorders>
            <w:shd w:val="clear" w:color="auto" w:fill="auto"/>
            <w:noWrap/>
            <w:vAlign w:val="bottom"/>
            <w:hideMark/>
          </w:tcPr>
          <w:p w14:paraId="2539C701"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single" w:sz="4" w:space="0" w:color="auto"/>
              <w:right w:val="nil"/>
            </w:tcBorders>
            <w:shd w:val="clear" w:color="auto" w:fill="auto"/>
            <w:noWrap/>
            <w:vAlign w:val="bottom"/>
            <w:hideMark/>
          </w:tcPr>
          <w:p w14:paraId="34943F5D"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0,0188%</w:t>
            </w:r>
          </w:p>
        </w:tc>
        <w:tc>
          <w:tcPr>
            <w:tcW w:w="546" w:type="dxa"/>
            <w:tcBorders>
              <w:top w:val="nil"/>
              <w:left w:val="nil"/>
              <w:bottom w:val="single" w:sz="4" w:space="0" w:color="auto"/>
              <w:right w:val="nil"/>
            </w:tcBorders>
            <w:shd w:val="clear" w:color="auto" w:fill="auto"/>
            <w:noWrap/>
            <w:vAlign w:val="bottom"/>
            <w:hideMark/>
          </w:tcPr>
          <w:p w14:paraId="364FAFFF"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c>
          <w:tcPr>
            <w:tcW w:w="1202" w:type="dxa"/>
            <w:tcBorders>
              <w:top w:val="nil"/>
              <w:left w:val="nil"/>
              <w:bottom w:val="single" w:sz="4" w:space="0" w:color="auto"/>
              <w:right w:val="nil"/>
            </w:tcBorders>
            <w:shd w:val="clear" w:color="auto" w:fill="auto"/>
            <w:noWrap/>
            <w:vAlign w:val="bottom"/>
            <w:hideMark/>
          </w:tcPr>
          <w:p w14:paraId="2A1FA1FB"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0,0203%</w:t>
            </w:r>
          </w:p>
        </w:tc>
        <w:tc>
          <w:tcPr>
            <w:tcW w:w="546" w:type="dxa"/>
            <w:tcBorders>
              <w:top w:val="nil"/>
              <w:left w:val="nil"/>
              <w:bottom w:val="single" w:sz="4" w:space="0" w:color="auto"/>
              <w:right w:val="nil"/>
            </w:tcBorders>
            <w:shd w:val="clear" w:color="auto" w:fill="auto"/>
            <w:noWrap/>
            <w:vAlign w:val="bottom"/>
            <w:hideMark/>
          </w:tcPr>
          <w:p w14:paraId="1A95D395" w14:textId="77777777" w:rsidR="00CA3E59" w:rsidRPr="00CA3E59" w:rsidRDefault="00CA3E59" w:rsidP="00CA3E59">
            <w:pPr>
              <w:spacing w:after="0" w:line="240" w:lineRule="auto"/>
              <w:jc w:val="center"/>
              <w:rPr>
                <w:rFonts w:ascii="Times New Roman" w:eastAsia="Times New Roman" w:hAnsi="Times New Roman" w:cs="Times New Roman"/>
                <w:color w:val="000000"/>
              </w:rPr>
            </w:pPr>
            <w:r w:rsidRPr="00CA3E59">
              <w:rPr>
                <w:rFonts w:ascii="Times New Roman" w:eastAsia="Times New Roman" w:hAnsi="Times New Roman" w:cs="Times New Roman"/>
                <w:color w:val="000000"/>
              </w:rPr>
              <w:t>***</w:t>
            </w:r>
          </w:p>
        </w:tc>
      </w:tr>
      <w:tr w:rsidR="00CA3E59" w:rsidRPr="00CA3E59" w14:paraId="5EA013D3" w14:textId="77777777" w:rsidTr="00CA3E59">
        <w:trPr>
          <w:trHeight w:val="288"/>
        </w:trPr>
        <w:tc>
          <w:tcPr>
            <w:tcW w:w="1276" w:type="dxa"/>
            <w:tcBorders>
              <w:top w:val="nil"/>
              <w:left w:val="nil"/>
              <w:bottom w:val="nil"/>
              <w:right w:val="nil"/>
            </w:tcBorders>
            <w:shd w:val="clear" w:color="auto" w:fill="auto"/>
            <w:noWrap/>
            <w:vAlign w:val="bottom"/>
            <w:hideMark/>
          </w:tcPr>
          <w:p w14:paraId="141A78EE" w14:textId="77777777" w:rsidR="00CA3E59" w:rsidRPr="00CA3E59" w:rsidRDefault="00CA3E59" w:rsidP="00CA3E59">
            <w:pPr>
              <w:spacing w:after="0" w:line="240" w:lineRule="auto"/>
              <w:jc w:val="center"/>
              <w:rPr>
                <w:rFonts w:ascii="Times New Roman" w:eastAsia="Times New Roman" w:hAnsi="Times New Roman" w:cs="Times New Roman"/>
                <w:color w:val="000000"/>
              </w:rPr>
            </w:pPr>
          </w:p>
        </w:tc>
        <w:tc>
          <w:tcPr>
            <w:tcW w:w="1285" w:type="dxa"/>
            <w:tcBorders>
              <w:top w:val="nil"/>
              <w:left w:val="nil"/>
              <w:bottom w:val="nil"/>
              <w:right w:val="nil"/>
            </w:tcBorders>
            <w:shd w:val="clear" w:color="auto" w:fill="auto"/>
            <w:noWrap/>
            <w:vAlign w:val="bottom"/>
            <w:hideMark/>
          </w:tcPr>
          <w:p w14:paraId="569E07EB"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noWrap/>
            <w:vAlign w:val="bottom"/>
            <w:hideMark/>
          </w:tcPr>
          <w:p w14:paraId="07A2B654"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noWrap/>
            <w:vAlign w:val="bottom"/>
            <w:hideMark/>
          </w:tcPr>
          <w:p w14:paraId="0839582F"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1AF8C83C"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104" w:type="dxa"/>
            <w:tcBorders>
              <w:top w:val="nil"/>
              <w:left w:val="nil"/>
              <w:bottom w:val="nil"/>
              <w:right w:val="nil"/>
            </w:tcBorders>
            <w:shd w:val="clear" w:color="auto" w:fill="auto"/>
            <w:noWrap/>
            <w:vAlign w:val="bottom"/>
            <w:hideMark/>
          </w:tcPr>
          <w:p w14:paraId="5526725F"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3EFE98C7"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4837E435"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233A9DE5"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1AC82F76"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0CD19078"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1226741E" w14:textId="77777777" w:rsidTr="00CA3E59">
        <w:trPr>
          <w:trHeight w:val="288"/>
        </w:trPr>
        <w:tc>
          <w:tcPr>
            <w:tcW w:w="2561" w:type="dxa"/>
            <w:gridSpan w:val="2"/>
            <w:tcBorders>
              <w:top w:val="nil"/>
              <w:left w:val="nil"/>
              <w:bottom w:val="single" w:sz="4" w:space="0" w:color="auto"/>
              <w:right w:val="nil"/>
            </w:tcBorders>
            <w:shd w:val="clear" w:color="auto" w:fill="auto"/>
            <w:noWrap/>
            <w:vAlign w:val="center"/>
            <w:hideMark/>
          </w:tcPr>
          <w:p w14:paraId="3E256363" w14:textId="77777777" w:rsidR="00CA3E59" w:rsidRPr="00CA3E59" w:rsidRDefault="00CA3E59" w:rsidP="00CA3E59">
            <w:pPr>
              <w:spacing w:after="0" w:line="240" w:lineRule="auto"/>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 xml:space="preserve">Results of ARCH LM Test </w:t>
            </w:r>
          </w:p>
        </w:tc>
        <w:tc>
          <w:tcPr>
            <w:tcW w:w="983" w:type="dxa"/>
            <w:tcBorders>
              <w:top w:val="nil"/>
              <w:left w:val="nil"/>
              <w:bottom w:val="single" w:sz="4" w:space="0" w:color="auto"/>
              <w:right w:val="nil"/>
            </w:tcBorders>
            <w:shd w:val="clear" w:color="auto" w:fill="auto"/>
            <w:noWrap/>
            <w:vAlign w:val="center"/>
            <w:hideMark/>
          </w:tcPr>
          <w:p w14:paraId="3B62AFB9" w14:textId="77777777" w:rsidR="00CA3E59" w:rsidRPr="00CA3E59" w:rsidRDefault="00CA3E59" w:rsidP="00CA3E59">
            <w:pPr>
              <w:spacing w:after="0" w:line="240" w:lineRule="auto"/>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 </w:t>
            </w:r>
          </w:p>
        </w:tc>
        <w:tc>
          <w:tcPr>
            <w:tcW w:w="1701" w:type="dxa"/>
            <w:tcBorders>
              <w:top w:val="nil"/>
              <w:left w:val="nil"/>
              <w:bottom w:val="single" w:sz="4" w:space="0" w:color="auto"/>
              <w:right w:val="nil"/>
            </w:tcBorders>
            <w:shd w:val="clear" w:color="auto" w:fill="auto"/>
            <w:noWrap/>
            <w:vAlign w:val="center"/>
            <w:hideMark/>
          </w:tcPr>
          <w:p w14:paraId="53FC0F1E"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 </w:t>
            </w:r>
          </w:p>
        </w:tc>
        <w:tc>
          <w:tcPr>
            <w:tcW w:w="1113" w:type="dxa"/>
            <w:tcBorders>
              <w:top w:val="nil"/>
              <w:left w:val="nil"/>
              <w:bottom w:val="single" w:sz="4" w:space="0" w:color="auto"/>
              <w:right w:val="nil"/>
            </w:tcBorders>
            <w:shd w:val="clear" w:color="auto" w:fill="auto"/>
            <w:noWrap/>
            <w:vAlign w:val="center"/>
            <w:hideMark/>
          </w:tcPr>
          <w:p w14:paraId="07DCD39C"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 </w:t>
            </w:r>
          </w:p>
        </w:tc>
        <w:tc>
          <w:tcPr>
            <w:tcW w:w="1104" w:type="dxa"/>
            <w:tcBorders>
              <w:top w:val="nil"/>
              <w:left w:val="nil"/>
              <w:bottom w:val="nil"/>
              <w:right w:val="nil"/>
            </w:tcBorders>
            <w:shd w:val="clear" w:color="auto" w:fill="auto"/>
            <w:noWrap/>
            <w:vAlign w:val="center"/>
            <w:hideMark/>
          </w:tcPr>
          <w:p w14:paraId="3DAEB5C1"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p>
        </w:tc>
        <w:tc>
          <w:tcPr>
            <w:tcW w:w="546" w:type="dxa"/>
            <w:tcBorders>
              <w:top w:val="nil"/>
              <w:left w:val="nil"/>
              <w:bottom w:val="nil"/>
              <w:right w:val="nil"/>
            </w:tcBorders>
            <w:shd w:val="clear" w:color="auto" w:fill="auto"/>
            <w:noWrap/>
            <w:vAlign w:val="center"/>
            <w:hideMark/>
          </w:tcPr>
          <w:p w14:paraId="727F7BC9"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1FBCC396"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27A804D2"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73CDB005"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34E6B7D0"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0F3820D1" w14:textId="77777777" w:rsidTr="00CA3E59">
        <w:trPr>
          <w:trHeight w:val="288"/>
        </w:trPr>
        <w:tc>
          <w:tcPr>
            <w:tcW w:w="1276" w:type="dxa"/>
            <w:tcBorders>
              <w:top w:val="single" w:sz="4" w:space="0" w:color="auto"/>
              <w:left w:val="nil"/>
              <w:bottom w:val="single" w:sz="4" w:space="0" w:color="auto"/>
              <w:right w:val="nil"/>
            </w:tcBorders>
            <w:shd w:val="clear" w:color="auto" w:fill="auto"/>
            <w:noWrap/>
            <w:vAlign w:val="center"/>
            <w:hideMark/>
          </w:tcPr>
          <w:p w14:paraId="6841564C"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Category</w:t>
            </w:r>
          </w:p>
        </w:tc>
        <w:tc>
          <w:tcPr>
            <w:tcW w:w="1285" w:type="dxa"/>
            <w:tcBorders>
              <w:top w:val="single" w:sz="4" w:space="0" w:color="auto"/>
              <w:left w:val="nil"/>
              <w:bottom w:val="single" w:sz="4" w:space="0" w:color="auto"/>
              <w:right w:val="nil"/>
            </w:tcBorders>
            <w:shd w:val="clear" w:color="auto" w:fill="auto"/>
            <w:noWrap/>
            <w:vAlign w:val="center"/>
            <w:hideMark/>
          </w:tcPr>
          <w:p w14:paraId="2D9892AD"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No of Funds</w:t>
            </w:r>
          </w:p>
        </w:tc>
        <w:tc>
          <w:tcPr>
            <w:tcW w:w="983" w:type="dxa"/>
            <w:tcBorders>
              <w:top w:val="single" w:sz="4" w:space="0" w:color="auto"/>
              <w:left w:val="nil"/>
              <w:bottom w:val="single" w:sz="4" w:space="0" w:color="auto"/>
              <w:right w:val="nil"/>
            </w:tcBorders>
            <w:shd w:val="clear" w:color="auto" w:fill="auto"/>
            <w:vAlign w:val="center"/>
            <w:hideMark/>
          </w:tcPr>
          <w:p w14:paraId="513FD45C"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Estimate</w:t>
            </w:r>
          </w:p>
        </w:tc>
        <w:tc>
          <w:tcPr>
            <w:tcW w:w="1701" w:type="dxa"/>
            <w:tcBorders>
              <w:top w:val="single" w:sz="4" w:space="0" w:color="auto"/>
              <w:left w:val="nil"/>
              <w:bottom w:val="single" w:sz="4" w:space="0" w:color="auto"/>
              <w:right w:val="nil"/>
            </w:tcBorders>
            <w:shd w:val="clear" w:color="auto" w:fill="auto"/>
            <w:vAlign w:val="center"/>
            <w:hideMark/>
          </w:tcPr>
          <w:p w14:paraId="18C29B46"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Test Statistic</w:t>
            </w:r>
          </w:p>
        </w:tc>
        <w:tc>
          <w:tcPr>
            <w:tcW w:w="1113" w:type="dxa"/>
            <w:tcBorders>
              <w:top w:val="single" w:sz="4" w:space="0" w:color="auto"/>
              <w:left w:val="nil"/>
              <w:bottom w:val="single" w:sz="4" w:space="0" w:color="auto"/>
              <w:right w:val="nil"/>
            </w:tcBorders>
            <w:shd w:val="clear" w:color="auto" w:fill="auto"/>
            <w:vAlign w:val="center"/>
            <w:hideMark/>
          </w:tcPr>
          <w:p w14:paraId="7CCB9BB3" w14:textId="77777777" w:rsidR="00CA3E59" w:rsidRPr="00CA3E59" w:rsidRDefault="00CA3E59" w:rsidP="00CA3E59">
            <w:pPr>
              <w:spacing w:after="0" w:line="240" w:lineRule="auto"/>
              <w:ind w:left="-501" w:firstLine="501"/>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Prob.</w:t>
            </w:r>
          </w:p>
        </w:tc>
        <w:tc>
          <w:tcPr>
            <w:tcW w:w="1104" w:type="dxa"/>
            <w:tcBorders>
              <w:top w:val="nil"/>
              <w:left w:val="nil"/>
              <w:bottom w:val="nil"/>
              <w:right w:val="nil"/>
            </w:tcBorders>
            <w:shd w:val="clear" w:color="auto" w:fill="auto"/>
            <w:noWrap/>
            <w:vAlign w:val="bottom"/>
            <w:hideMark/>
          </w:tcPr>
          <w:p w14:paraId="2A2128FA"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p>
        </w:tc>
        <w:tc>
          <w:tcPr>
            <w:tcW w:w="546" w:type="dxa"/>
            <w:tcBorders>
              <w:top w:val="nil"/>
              <w:left w:val="nil"/>
              <w:bottom w:val="nil"/>
              <w:right w:val="nil"/>
            </w:tcBorders>
            <w:shd w:val="clear" w:color="auto" w:fill="auto"/>
            <w:noWrap/>
            <w:vAlign w:val="bottom"/>
            <w:hideMark/>
          </w:tcPr>
          <w:p w14:paraId="552DB78A"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55E7163A"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1D4C9AE5"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1EDF0548"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6CDA5692"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3AD65EE8" w14:textId="77777777" w:rsidTr="00CA3E59">
        <w:trPr>
          <w:trHeight w:val="288"/>
        </w:trPr>
        <w:tc>
          <w:tcPr>
            <w:tcW w:w="1276" w:type="dxa"/>
            <w:tcBorders>
              <w:top w:val="nil"/>
              <w:left w:val="nil"/>
              <w:bottom w:val="nil"/>
              <w:right w:val="nil"/>
            </w:tcBorders>
            <w:shd w:val="clear" w:color="auto" w:fill="auto"/>
            <w:noWrap/>
            <w:vAlign w:val="center"/>
            <w:hideMark/>
          </w:tcPr>
          <w:p w14:paraId="774FBC7A"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Low</w:t>
            </w:r>
          </w:p>
        </w:tc>
        <w:tc>
          <w:tcPr>
            <w:tcW w:w="1285" w:type="dxa"/>
            <w:tcBorders>
              <w:top w:val="nil"/>
              <w:left w:val="nil"/>
              <w:bottom w:val="nil"/>
              <w:right w:val="nil"/>
            </w:tcBorders>
            <w:shd w:val="clear" w:color="auto" w:fill="auto"/>
            <w:noWrap/>
            <w:vAlign w:val="center"/>
            <w:hideMark/>
          </w:tcPr>
          <w:p w14:paraId="48FE8A42"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160</w:t>
            </w:r>
          </w:p>
        </w:tc>
        <w:tc>
          <w:tcPr>
            <w:tcW w:w="983" w:type="dxa"/>
            <w:tcBorders>
              <w:top w:val="nil"/>
              <w:left w:val="nil"/>
              <w:bottom w:val="nil"/>
              <w:right w:val="nil"/>
            </w:tcBorders>
            <w:shd w:val="clear" w:color="auto" w:fill="auto"/>
            <w:vAlign w:val="center"/>
            <w:hideMark/>
          </w:tcPr>
          <w:p w14:paraId="680ADC38"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F-statistic</w:t>
            </w:r>
          </w:p>
        </w:tc>
        <w:tc>
          <w:tcPr>
            <w:tcW w:w="1701" w:type="dxa"/>
            <w:tcBorders>
              <w:top w:val="nil"/>
              <w:left w:val="nil"/>
              <w:bottom w:val="nil"/>
              <w:right w:val="nil"/>
            </w:tcBorders>
            <w:shd w:val="clear" w:color="auto" w:fill="auto"/>
            <w:vAlign w:val="center"/>
            <w:hideMark/>
          </w:tcPr>
          <w:p w14:paraId="03AF2CCF"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10.449***</w:t>
            </w:r>
          </w:p>
        </w:tc>
        <w:tc>
          <w:tcPr>
            <w:tcW w:w="1113" w:type="dxa"/>
            <w:tcBorders>
              <w:top w:val="nil"/>
              <w:left w:val="nil"/>
              <w:bottom w:val="nil"/>
              <w:right w:val="nil"/>
            </w:tcBorders>
            <w:shd w:val="clear" w:color="auto" w:fill="auto"/>
            <w:vAlign w:val="center"/>
            <w:hideMark/>
          </w:tcPr>
          <w:p w14:paraId="7256BA38"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0.0001</w:t>
            </w:r>
          </w:p>
        </w:tc>
        <w:tc>
          <w:tcPr>
            <w:tcW w:w="1104" w:type="dxa"/>
            <w:tcBorders>
              <w:top w:val="nil"/>
              <w:left w:val="nil"/>
              <w:bottom w:val="nil"/>
              <w:right w:val="nil"/>
            </w:tcBorders>
            <w:shd w:val="clear" w:color="auto" w:fill="auto"/>
            <w:noWrap/>
            <w:vAlign w:val="bottom"/>
            <w:hideMark/>
          </w:tcPr>
          <w:p w14:paraId="0432D8F4"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2DB9BD9E"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49AC19FC"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6A6DAC3D"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0C759C3F"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16F7C893"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1DEDD501" w14:textId="77777777" w:rsidTr="00CA3E59">
        <w:trPr>
          <w:trHeight w:val="528"/>
        </w:trPr>
        <w:tc>
          <w:tcPr>
            <w:tcW w:w="1276" w:type="dxa"/>
            <w:tcBorders>
              <w:top w:val="nil"/>
              <w:left w:val="nil"/>
              <w:bottom w:val="nil"/>
              <w:right w:val="nil"/>
            </w:tcBorders>
            <w:shd w:val="clear" w:color="auto" w:fill="auto"/>
            <w:noWrap/>
            <w:vAlign w:val="center"/>
            <w:hideMark/>
          </w:tcPr>
          <w:p w14:paraId="4D03CA44"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center"/>
            <w:hideMark/>
          </w:tcPr>
          <w:p w14:paraId="25736055"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vAlign w:val="center"/>
            <w:hideMark/>
          </w:tcPr>
          <w:p w14:paraId="5643573F"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roofErr w:type="spellStart"/>
            <w:r w:rsidRPr="00CA3E59">
              <w:rPr>
                <w:rFonts w:ascii="Times New Roman" w:eastAsia="Times New Roman" w:hAnsi="Times New Roman" w:cs="Times New Roman"/>
                <w:color w:val="000000"/>
                <w:sz w:val="20"/>
                <w:szCs w:val="20"/>
              </w:rPr>
              <w:t>Obs</w:t>
            </w:r>
            <w:proofErr w:type="spellEnd"/>
            <w:r w:rsidRPr="00CA3E59">
              <w:rPr>
                <w:rFonts w:ascii="Times New Roman" w:eastAsia="Times New Roman" w:hAnsi="Times New Roman" w:cs="Times New Roman"/>
                <w:color w:val="000000"/>
                <w:sz w:val="20"/>
                <w:szCs w:val="20"/>
              </w:rPr>
              <w:t>*R-squared</w:t>
            </w:r>
          </w:p>
        </w:tc>
        <w:tc>
          <w:tcPr>
            <w:tcW w:w="1701" w:type="dxa"/>
            <w:tcBorders>
              <w:top w:val="nil"/>
              <w:left w:val="nil"/>
              <w:bottom w:val="nil"/>
              <w:right w:val="nil"/>
            </w:tcBorders>
            <w:shd w:val="clear" w:color="auto" w:fill="auto"/>
            <w:vAlign w:val="center"/>
            <w:hideMark/>
          </w:tcPr>
          <w:p w14:paraId="7076F8D4"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9.141***</w:t>
            </w:r>
          </w:p>
        </w:tc>
        <w:tc>
          <w:tcPr>
            <w:tcW w:w="1113" w:type="dxa"/>
            <w:tcBorders>
              <w:top w:val="nil"/>
              <w:left w:val="nil"/>
              <w:bottom w:val="nil"/>
              <w:right w:val="nil"/>
            </w:tcBorders>
            <w:shd w:val="clear" w:color="auto" w:fill="auto"/>
            <w:vAlign w:val="center"/>
            <w:hideMark/>
          </w:tcPr>
          <w:p w14:paraId="1F34E144"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0.0001</w:t>
            </w:r>
          </w:p>
        </w:tc>
        <w:tc>
          <w:tcPr>
            <w:tcW w:w="1104" w:type="dxa"/>
            <w:tcBorders>
              <w:top w:val="nil"/>
              <w:left w:val="nil"/>
              <w:bottom w:val="nil"/>
              <w:right w:val="nil"/>
            </w:tcBorders>
            <w:shd w:val="clear" w:color="auto" w:fill="auto"/>
            <w:noWrap/>
            <w:vAlign w:val="bottom"/>
            <w:hideMark/>
          </w:tcPr>
          <w:p w14:paraId="4AB2B81B"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454DCBCF"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5490A288"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4BB82F8B"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7404D62A"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7898EDF5"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6B456CF6" w14:textId="77777777" w:rsidTr="00CA3E59">
        <w:trPr>
          <w:trHeight w:val="288"/>
        </w:trPr>
        <w:tc>
          <w:tcPr>
            <w:tcW w:w="1276" w:type="dxa"/>
            <w:tcBorders>
              <w:top w:val="nil"/>
              <w:left w:val="nil"/>
              <w:bottom w:val="nil"/>
              <w:right w:val="nil"/>
            </w:tcBorders>
            <w:shd w:val="clear" w:color="auto" w:fill="auto"/>
            <w:noWrap/>
            <w:vAlign w:val="center"/>
            <w:hideMark/>
          </w:tcPr>
          <w:p w14:paraId="48114AB9"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2</w:t>
            </w:r>
          </w:p>
        </w:tc>
        <w:tc>
          <w:tcPr>
            <w:tcW w:w="1285" w:type="dxa"/>
            <w:tcBorders>
              <w:top w:val="nil"/>
              <w:left w:val="nil"/>
              <w:bottom w:val="nil"/>
              <w:right w:val="nil"/>
            </w:tcBorders>
            <w:shd w:val="clear" w:color="auto" w:fill="auto"/>
            <w:noWrap/>
            <w:vAlign w:val="center"/>
            <w:hideMark/>
          </w:tcPr>
          <w:p w14:paraId="5A6C805C"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159</w:t>
            </w:r>
          </w:p>
        </w:tc>
        <w:tc>
          <w:tcPr>
            <w:tcW w:w="983" w:type="dxa"/>
            <w:tcBorders>
              <w:top w:val="nil"/>
              <w:left w:val="nil"/>
              <w:bottom w:val="nil"/>
              <w:right w:val="nil"/>
            </w:tcBorders>
            <w:shd w:val="clear" w:color="auto" w:fill="auto"/>
            <w:vAlign w:val="center"/>
            <w:hideMark/>
          </w:tcPr>
          <w:p w14:paraId="0F852B82"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F-statistic</w:t>
            </w:r>
          </w:p>
        </w:tc>
        <w:tc>
          <w:tcPr>
            <w:tcW w:w="1701" w:type="dxa"/>
            <w:tcBorders>
              <w:top w:val="nil"/>
              <w:left w:val="nil"/>
              <w:bottom w:val="nil"/>
              <w:right w:val="nil"/>
            </w:tcBorders>
            <w:shd w:val="clear" w:color="auto" w:fill="auto"/>
            <w:vAlign w:val="center"/>
            <w:hideMark/>
          </w:tcPr>
          <w:p w14:paraId="02E2C4CA"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5.583**</w:t>
            </w:r>
          </w:p>
        </w:tc>
        <w:tc>
          <w:tcPr>
            <w:tcW w:w="1113" w:type="dxa"/>
            <w:tcBorders>
              <w:top w:val="nil"/>
              <w:left w:val="nil"/>
              <w:bottom w:val="nil"/>
              <w:right w:val="nil"/>
            </w:tcBorders>
            <w:shd w:val="clear" w:color="auto" w:fill="auto"/>
            <w:vAlign w:val="center"/>
            <w:hideMark/>
          </w:tcPr>
          <w:p w14:paraId="50A43374"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0.0002</w:t>
            </w:r>
          </w:p>
        </w:tc>
        <w:tc>
          <w:tcPr>
            <w:tcW w:w="1104" w:type="dxa"/>
            <w:tcBorders>
              <w:top w:val="nil"/>
              <w:left w:val="nil"/>
              <w:bottom w:val="nil"/>
              <w:right w:val="nil"/>
            </w:tcBorders>
            <w:shd w:val="clear" w:color="auto" w:fill="auto"/>
            <w:noWrap/>
            <w:vAlign w:val="bottom"/>
            <w:hideMark/>
          </w:tcPr>
          <w:p w14:paraId="4656BA37"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0832AEFE"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1B70060A"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33A47737"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477E3AB1"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509E7D9A"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4BB6BB68" w14:textId="77777777" w:rsidTr="00CA3E59">
        <w:trPr>
          <w:trHeight w:val="528"/>
        </w:trPr>
        <w:tc>
          <w:tcPr>
            <w:tcW w:w="1276" w:type="dxa"/>
            <w:tcBorders>
              <w:top w:val="nil"/>
              <w:left w:val="nil"/>
              <w:bottom w:val="nil"/>
              <w:right w:val="nil"/>
            </w:tcBorders>
            <w:shd w:val="clear" w:color="auto" w:fill="auto"/>
            <w:noWrap/>
            <w:vAlign w:val="center"/>
            <w:hideMark/>
          </w:tcPr>
          <w:p w14:paraId="61720869"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center"/>
            <w:hideMark/>
          </w:tcPr>
          <w:p w14:paraId="6EB98579"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vAlign w:val="center"/>
            <w:hideMark/>
          </w:tcPr>
          <w:p w14:paraId="5E427149"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roofErr w:type="spellStart"/>
            <w:r w:rsidRPr="00CA3E59">
              <w:rPr>
                <w:rFonts w:ascii="Times New Roman" w:eastAsia="Times New Roman" w:hAnsi="Times New Roman" w:cs="Times New Roman"/>
                <w:color w:val="000000"/>
                <w:sz w:val="20"/>
                <w:szCs w:val="20"/>
              </w:rPr>
              <w:t>Obs</w:t>
            </w:r>
            <w:proofErr w:type="spellEnd"/>
            <w:r w:rsidRPr="00CA3E59">
              <w:rPr>
                <w:rFonts w:ascii="Times New Roman" w:eastAsia="Times New Roman" w:hAnsi="Times New Roman" w:cs="Times New Roman"/>
                <w:color w:val="000000"/>
                <w:sz w:val="20"/>
                <w:szCs w:val="20"/>
              </w:rPr>
              <w:t>*R-squared</w:t>
            </w:r>
          </w:p>
        </w:tc>
        <w:tc>
          <w:tcPr>
            <w:tcW w:w="1701" w:type="dxa"/>
            <w:tcBorders>
              <w:top w:val="nil"/>
              <w:left w:val="nil"/>
              <w:bottom w:val="nil"/>
              <w:right w:val="nil"/>
            </w:tcBorders>
            <w:shd w:val="clear" w:color="auto" w:fill="auto"/>
            <w:vAlign w:val="center"/>
            <w:hideMark/>
          </w:tcPr>
          <w:p w14:paraId="3600E0F3"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5.461**</w:t>
            </w:r>
          </w:p>
        </w:tc>
        <w:tc>
          <w:tcPr>
            <w:tcW w:w="1113" w:type="dxa"/>
            <w:tcBorders>
              <w:top w:val="nil"/>
              <w:left w:val="nil"/>
              <w:bottom w:val="nil"/>
              <w:right w:val="nil"/>
            </w:tcBorders>
            <w:shd w:val="clear" w:color="auto" w:fill="auto"/>
            <w:vAlign w:val="center"/>
            <w:hideMark/>
          </w:tcPr>
          <w:p w14:paraId="5AC2A58A"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0.0190</w:t>
            </w:r>
          </w:p>
        </w:tc>
        <w:tc>
          <w:tcPr>
            <w:tcW w:w="1104" w:type="dxa"/>
            <w:tcBorders>
              <w:top w:val="nil"/>
              <w:left w:val="nil"/>
              <w:bottom w:val="nil"/>
              <w:right w:val="nil"/>
            </w:tcBorders>
            <w:shd w:val="clear" w:color="auto" w:fill="auto"/>
            <w:noWrap/>
            <w:vAlign w:val="bottom"/>
            <w:hideMark/>
          </w:tcPr>
          <w:p w14:paraId="7855821C"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036D6A5B"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1795D40B"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69F45933"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5E0EE400"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7C4DB21B"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6EAAB375" w14:textId="77777777" w:rsidTr="00CA3E59">
        <w:trPr>
          <w:trHeight w:val="288"/>
        </w:trPr>
        <w:tc>
          <w:tcPr>
            <w:tcW w:w="1276" w:type="dxa"/>
            <w:tcBorders>
              <w:top w:val="nil"/>
              <w:left w:val="nil"/>
              <w:bottom w:val="nil"/>
              <w:right w:val="nil"/>
            </w:tcBorders>
            <w:shd w:val="clear" w:color="auto" w:fill="auto"/>
            <w:noWrap/>
            <w:vAlign w:val="center"/>
            <w:hideMark/>
          </w:tcPr>
          <w:p w14:paraId="3C405987"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3</w:t>
            </w:r>
          </w:p>
        </w:tc>
        <w:tc>
          <w:tcPr>
            <w:tcW w:w="1285" w:type="dxa"/>
            <w:tcBorders>
              <w:top w:val="nil"/>
              <w:left w:val="nil"/>
              <w:bottom w:val="nil"/>
              <w:right w:val="nil"/>
            </w:tcBorders>
            <w:shd w:val="clear" w:color="auto" w:fill="auto"/>
            <w:noWrap/>
            <w:vAlign w:val="center"/>
            <w:hideMark/>
          </w:tcPr>
          <w:p w14:paraId="0BB7543B"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159</w:t>
            </w:r>
          </w:p>
        </w:tc>
        <w:tc>
          <w:tcPr>
            <w:tcW w:w="983" w:type="dxa"/>
            <w:tcBorders>
              <w:top w:val="nil"/>
              <w:left w:val="nil"/>
              <w:bottom w:val="nil"/>
              <w:right w:val="nil"/>
            </w:tcBorders>
            <w:shd w:val="clear" w:color="auto" w:fill="auto"/>
            <w:vAlign w:val="center"/>
            <w:hideMark/>
          </w:tcPr>
          <w:p w14:paraId="13271A27"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F-statistic</w:t>
            </w:r>
          </w:p>
        </w:tc>
        <w:tc>
          <w:tcPr>
            <w:tcW w:w="1701" w:type="dxa"/>
            <w:tcBorders>
              <w:top w:val="nil"/>
              <w:left w:val="nil"/>
              <w:bottom w:val="nil"/>
              <w:right w:val="nil"/>
            </w:tcBorders>
            <w:shd w:val="clear" w:color="auto" w:fill="auto"/>
            <w:vAlign w:val="center"/>
            <w:hideMark/>
          </w:tcPr>
          <w:p w14:paraId="5E22FEEA"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5.256**</w:t>
            </w:r>
          </w:p>
        </w:tc>
        <w:tc>
          <w:tcPr>
            <w:tcW w:w="1113" w:type="dxa"/>
            <w:tcBorders>
              <w:top w:val="nil"/>
              <w:left w:val="nil"/>
              <w:bottom w:val="nil"/>
              <w:right w:val="nil"/>
            </w:tcBorders>
            <w:shd w:val="clear" w:color="auto" w:fill="auto"/>
            <w:vAlign w:val="center"/>
            <w:hideMark/>
          </w:tcPr>
          <w:p w14:paraId="7F9A5269"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0.0195</w:t>
            </w:r>
          </w:p>
        </w:tc>
        <w:tc>
          <w:tcPr>
            <w:tcW w:w="1104" w:type="dxa"/>
            <w:tcBorders>
              <w:top w:val="nil"/>
              <w:left w:val="nil"/>
              <w:bottom w:val="nil"/>
              <w:right w:val="nil"/>
            </w:tcBorders>
            <w:shd w:val="clear" w:color="auto" w:fill="auto"/>
            <w:noWrap/>
            <w:vAlign w:val="bottom"/>
            <w:hideMark/>
          </w:tcPr>
          <w:p w14:paraId="5E588C90"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06156B6C"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7EC6D26A"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2C8337F3"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41064077"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27E3F13F"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05285F72" w14:textId="77777777" w:rsidTr="00CA3E59">
        <w:trPr>
          <w:trHeight w:val="528"/>
        </w:trPr>
        <w:tc>
          <w:tcPr>
            <w:tcW w:w="1276" w:type="dxa"/>
            <w:tcBorders>
              <w:top w:val="nil"/>
              <w:left w:val="nil"/>
              <w:bottom w:val="nil"/>
              <w:right w:val="nil"/>
            </w:tcBorders>
            <w:shd w:val="clear" w:color="auto" w:fill="auto"/>
            <w:noWrap/>
            <w:vAlign w:val="center"/>
            <w:hideMark/>
          </w:tcPr>
          <w:p w14:paraId="25B38AD6"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center"/>
            <w:hideMark/>
          </w:tcPr>
          <w:p w14:paraId="73E20CFB"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vAlign w:val="center"/>
            <w:hideMark/>
          </w:tcPr>
          <w:p w14:paraId="4218DFD6"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roofErr w:type="spellStart"/>
            <w:r w:rsidRPr="00CA3E59">
              <w:rPr>
                <w:rFonts w:ascii="Times New Roman" w:eastAsia="Times New Roman" w:hAnsi="Times New Roman" w:cs="Times New Roman"/>
                <w:color w:val="000000"/>
                <w:sz w:val="20"/>
                <w:szCs w:val="20"/>
              </w:rPr>
              <w:t>Obs</w:t>
            </w:r>
            <w:proofErr w:type="spellEnd"/>
            <w:r w:rsidRPr="00CA3E59">
              <w:rPr>
                <w:rFonts w:ascii="Times New Roman" w:eastAsia="Times New Roman" w:hAnsi="Times New Roman" w:cs="Times New Roman"/>
                <w:color w:val="000000"/>
                <w:sz w:val="20"/>
                <w:szCs w:val="20"/>
              </w:rPr>
              <w:t>*R-squared</w:t>
            </w:r>
          </w:p>
        </w:tc>
        <w:tc>
          <w:tcPr>
            <w:tcW w:w="1701" w:type="dxa"/>
            <w:tcBorders>
              <w:top w:val="nil"/>
              <w:left w:val="nil"/>
              <w:bottom w:val="nil"/>
              <w:right w:val="nil"/>
            </w:tcBorders>
            <w:shd w:val="clear" w:color="auto" w:fill="auto"/>
            <w:vAlign w:val="center"/>
            <w:hideMark/>
          </w:tcPr>
          <w:p w14:paraId="4F4FE8E3"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5.147**</w:t>
            </w:r>
          </w:p>
        </w:tc>
        <w:tc>
          <w:tcPr>
            <w:tcW w:w="1113" w:type="dxa"/>
            <w:tcBorders>
              <w:top w:val="nil"/>
              <w:left w:val="nil"/>
              <w:bottom w:val="nil"/>
              <w:right w:val="nil"/>
            </w:tcBorders>
            <w:shd w:val="clear" w:color="auto" w:fill="auto"/>
            <w:vAlign w:val="center"/>
            <w:hideMark/>
          </w:tcPr>
          <w:p w14:paraId="47A625A1"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0.0199</w:t>
            </w:r>
          </w:p>
        </w:tc>
        <w:tc>
          <w:tcPr>
            <w:tcW w:w="1104" w:type="dxa"/>
            <w:tcBorders>
              <w:top w:val="nil"/>
              <w:left w:val="nil"/>
              <w:bottom w:val="nil"/>
              <w:right w:val="nil"/>
            </w:tcBorders>
            <w:shd w:val="clear" w:color="auto" w:fill="auto"/>
            <w:noWrap/>
            <w:vAlign w:val="bottom"/>
            <w:hideMark/>
          </w:tcPr>
          <w:p w14:paraId="4BFE712C"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7B487D19"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26F4194D"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7D7B6421"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01BD38EF"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533DCE83"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70344B79" w14:textId="77777777" w:rsidTr="00CA3E59">
        <w:trPr>
          <w:trHeight w:val="288"/>
        </w:trPr>
        <w:tc>
          <w:tcPr>
            <w:tcW w:w="1276" w:type="dxa"/>
            <w:tcBorders>
              <w:top w:val="nil"/>
              <w:left w:val="nil"/>
              <w:bottom w:val="nil"/>
              <w:right w:val="nil"/>
            </w:tcBorders>
            <w:shd w:val="clear" w:color="auto" w:fill="auto"/>
            <w:noWrap/>
            <w:vAlign w:val="center"/>
            <w:hideMark/>
          </w:tcPr>
          <w:p w14:paraId="78E25973"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4</w:t>
            </w:r>
          </w:p>
        </w:tc>
        <w:tc>
          <w:tcPr>
            <w:tcW w:w="1285" w:type="dxa"/>
            <w:tcBorders>
              <w:top w:val="nil"/>
              <w:left w:val="nil"/>
              <w:bottom w:val="nil"/>
              <w:right w:val="nil"/>
            </w:tcBorders>
            <w:shd w:val="clear" w:color="auto" w:fill="auto"/>
            <w:noWrap/>
            <w:vAlign w:val="center"/>
            <w:hideMark/>
          </w:tcPr>
          <w:p w14:paraId="1E8E8418"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159</w:t>
            </w:r>
          </w:p>
        </w:tc>
        <w:tc>
          <w:tcPr>
            <w:tcW w:w="983" w:type="dxa"/>
            <w:tcBorders>
              <w:top w:val="nil"/>
              <w:left w:val="nil"/>
              <w:bottom w:val="nil"/>
              <w:right w:val="nil"/>
            </w:tcBorders>
            <w:shd w:val="clear" w:color="auto" w:fill="auto"/>
            <w:vAlign w:val="center"/>
            <w:hideMark/>
          </w:tcPr>
          <w:p w14:paraId="5C6E552C"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F-statistic</w:t>
            </w:r>
          </w:p>
        </w:tc>
        <w:tc>
          <w:tcPr>
            <w:tcW w:w="1701" w:type="dxa"/>
            <w:tcBorders>
              <w:top w:val="nil"/>
              <w:left w:val="nil"/>
              <w:bottom w:val="nil"/>
              <w:right w:val="nil"/>
            </w:tcBorders>
            <w:shd w:val="clear" w:color="auto" w:fill="auto"/>
            <w:vAlign w:val="center"/>
            <w:hideMark/>
          </w:tcPr>
          <w:p w14:paraId="0FC66BA1"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6.236**</w:t>
            </w:r>
          </w:p>
        </w:tc>
        <w:tc>
          <w:tcPr>
            <w:tcW w:w="1113" w:type="dxa"/>
            <w:tcBorders>
              <w:top w:val="nil"/>
              <w:left w:val="nil"/>
              <w:bottom w:val="nil"/>
              <w:right w:val="nil"/>
            </w:tcBorders>
            <w:shd w:val="clear" w:color="auto" w:fill="auto"/>
            <w:vAlign w:val="center"/>
            <w:hideMark/>
          </w:tcPr>
          <w:p w14:paraId="4A1BAF84"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0.0112</w:t>
            </w:r>
          </w:p>
        </w:tc>
        <w:tc>
          <w:tcPr>
            <w:tcW w:w="1104" w:type="dxa"/>
            <w:tcBorders>
              <w:top w:val="nil"/>
              <w:left w:val="nil"/>
              <w:bottom w:val="nil"/>
              <w:right w:val="nil"/>
            </w:tcBorders>
            <w:shd w:val="clear" w:color="auto" w:fill="auto"/>
            <w:noWrap/>
            <w:vAlign w:val="bottom"/>
            <w:hideMark/>
          </w:tcPr>
          <w:p w14:paraId="2329455A"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015664D7"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6A674918"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176C1861"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28F00D71"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1C40777A"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6258C547" w14:textId="77777777" w:rsidTr="00CA3E59">
        <w:trPr>
          <w:trHeight w:val="528"/>
        </w:trPr>
        <w:tc>
          <w:tcPr>
            <w:tcW w:w="1276" w:type="dxa"/>
            <w:tcBorders>
              <w:top w:val="nil"/>
              <w:left w:val="nil"/>
              <w:bottom w:val="nil"/>
              <w:right w:val="nil"/>
            </w:tcBorders>
            <w:shd w:val="clear" w:color="auto" w:fill="auto"/>
            <w:noWrap/>
            <w:vAlign w:val="center"/>
            <w:hideMark/>
          </w:tcPr>
          <w:p w14:paraId="21405E17"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center"/>
            <w:hideMark/>
          </w:tcPr>
          <w:p w14:paraId="3D665905" w14:textId="77777777" w:rsidR="00CA3E59" w:rsidRPr="00CA3E59" w:rsidRDefault="00CA3E59" w:rsidP="00CA3E59">
            <w:pPr>
              <w:spacing w:after="0" w:line="240" w:lineRule="auto"/>
              <w:jc w:val="center"/>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vAlign w:val="center"/>
            <w:hideMark/>
          </w:tcPr>
          <w:p w14:paraId="1A71E54B"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roofErr w:type="spellStart"/>
            <w:r w:rsidRPr="00CA3E59">
              <w:rPr>
                <w:rFonts w:ascii="Times New Roman" w:eastAsia="Times New Roman" w:hAnsi="Times New Roman" w:cs="Times New Roman"/>
                <w:color w:val="000000"/>
                <w:sz w:val="20"/>
                <w:szCs w:val="20"/>
              </w:rPr>
              <w:t>Obs</w:t>
            </w:r>
            <w:proofErr w:type="spellEnd"/>
            <w:r w:rsidRPr="00CA3E59">
              <w:rPr>
                <w:rFonts w:ascii="Times New Roman" w:eastAsia="Times New Roman" w:hAnsi="Times New Roman" w:cs="Times New Roman"/>
                <w:color w:val="000000"/>
                <w:sz w:val="20"/>
                <w:szCs w:val="20"/>
              </w:rPr>
              <w:t>*R-squared</w:t>
            </w:r>
          </w:p>
        </w:tc>
        <w:tc>
          <w:tcPr>
            <w:tcW w:w="1701" w:type="dxa"/>
            <w:tcBorders>
              <w:top w:val="nil"/>
              <w:left w:val="nil"/>
              <w:bottom w:val="nil"/>
              <w:right w:val="nil"/>
            </w:tcBorders>
            <w:shd w:val="clear" w:color="auto" w:fill="auto"/>
            <w:vAlign w:val="center"/>
            <w:hideMark/>
          </w:tcPr>
          <w:p w14:paraId="1E7624DF"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6.287**</w:t>
            </w:r>
          </w:p>
        </w:tc>
        <w:tc>
          <w:tcPr>
            <w:tcW w:w="1113" w:type="dxa"/>
            <w:tcBorders>
              <w:top w:val="nil"/>
              <w:left w:val="nil"/>
              <w:bottom w:val="nil"/>
              <w:right w:val="nil"/>
            </w:tcBorders>
            <w:shd w:val="clear" w:color="auto" w:fill="auto"/>
            <w:vAlign w:val="center"/>
            <w:hideMark/>
          </w:tcPr>
          <w:p w14:paraId="35714273"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0.0115</w:t>
            </w:r>
          </w:p>
        </w:tc>
        <w:tc>
          <w:tcPr>
            <w:tcW w:w="1104" w:type="dxa"/>
            <w:tcBorders>
              <w:top w:val="nil"/>
              <w:left w:val="nil"/>
              <w:bottom w:val="nil"/>
              <w:right w:val="nil"/>
            </w:tcBorders>
            <w:shd w:val="clear" w:color="auto" w:fill="auto"/>
            <w:noWrap/>
            <w:vAlign w:val="bottom"/>
            <w:hideMark/>
          </w:tcPr>
          <w:p w14:paraId="550EFB89"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3AD494BB"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085A9B3C"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17020359"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434729CD"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1C1B675B"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7B6304E1" w14:textId="77777777" w:rsidTr="00CA3E59">
        <w:trPr>
          <w:trHeight w:val="288"/>
        </w:trPr>
        <w:tc>
          <w:tcPr>
            <w:tcW w:w="1276" w:type="dxa"/>
            <w:tcBorders>
              <w:top w:val="nil"/>
              <w:left w:val="nil"/>
              <w:bottom w:val="nil"/>
              <w:right w:val="nil"/>
            </w:tcBorders>
            <w:shd w:val="clear" w:color="auto" w:fill="auto"/>
            <w:noWrap/>
            <w:vAlign w:val="center"/>
            <w:hideMark/>
          </w:tcPr>
          <w:p w14:paraId="02952FFB" w14:textId="77777777" w:rsidR="00CA3E59" w:rsidRPr="00CA3E59" w:rsidRDefault="00CA3E59" w:rsidP="00CA3E59">
            <w:pPr>
              <w:spacing w:after="0" w:line="240" w:lineRule="auto"/>
              <w:jc w:val="center"/>
              <w:rPr>
                <w:rFonts w:ascii="Times New Roman" w:eastAsia="Times New Roman" w:hAnsi="Times New Roman" w:cs="Times New Roman"/>
                <w:b/>
                <w:bCs/>
                <w:color w:val="000000"/>
                <w:sz w:val="20"/>
                <w:szCs w:val="20"/>
              </w:rPr>
            </w:pPr>
            <w:r w:rsidRPr="00CA3E59">
              <w:rPr>
                <w:rFonts w:ascii="Times New Roman" w:eastAsia="Times New Roman" w:hAnsi="Times New Roman" w:cs="Times New Roman"/>
                <w:b/>
                <w:bCs/>
                <w:color w:val="000000"/>
                <w:sz w:val="20"/>
                <w:szCs w:val="20"/>
              </w:rPr>
              <w:t>High</w:t>
            </w:r>
          </w:p>
        </w:tc>
        <w:tc>
          <w:tcPr>
            <w:tcW w:w="1285" w:type="dxa"/>
            <w:tcBorders>
              <w:top w:val="nil"/>
              <w:left w:val="nil"/>
              <w:bottom w:val="nil"/>
              <w:right w:val="nil"/>
            </w:tcBorders>
            <w:shd w:val="clear" w:color="auto" w:fill="auto"/>
            <w:noWrap/>
            <w:vAlign w:val="center"/>
            <w:hideMark/>
          </w:tcPr>
          <w:p w14:paraId="305E54FA"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162</w:t>
            </w:r>
          </w:p>
        </w:tc>
        <w:tc>
          <w:tcPr>
            <w:tcW w:w="983" w:type="dxa"/>
            <w:tcBorders>
              <w:top w:val="nil"/>
              <w:left w:val="nil"/>
              <w:bottom w:val="nil"/>
              <w:right w:val="nil"/>
            </w:tcBorders>
            <w:shd w:val="clear" w:color="auto" w:fill="auto"/>
            <w:vAlign w:val="center"/>
            <w:hideMark/>
          </w:tcPr>
          <w:p w14:paraId="2DEEB56B"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F-statistic</w:t>
            </w:r>
          </w:p>
        </w:tc>
        <w:tc>
          <w:tcPr>
            <w:tcW w:w="1701" w:type="dxa"/>
            <w:tcBorders>
              <w:top w:val="nil"/>
              <w:left w:val="nil"/>
              <w:bottom w:val="nil"/>
              <w:right w:val="nil"/>
            </w:tcBorders>
            <w:shd w:val="clear" w:color="auto" w:fill="auto"/>
            <w:vAlign w:val="center"/>
            <w:hideMark/>
          </w:tcPr>
          <w:p w14:paraId="39B29600"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7.706***</w:t>
            </w:r>
          </w:p>
        </w:tc>
        <w:tc>
          <w:tcPr>
            <w:tcW w:w="1113" w:type="dxa"/>
            <w:tcBorders>
              <w:top w:val="nil"/>
              <w:left w:val="nil"/>
              <w:bottom w:val="nil"/>
              <w:right w:val="nil"/>
            </w:tcBorders>
            <w:shd w:val="clear" w:color="auto" w:fill="auto"/>
            <w:vAlign w:val="center"/>
            <w:hideMark/>
          </w:tcPr>
          <w:p w14:paraId="13314675"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0.0027</w:t>
            </w:r>
          </w:p>
        </w:tc>
        <w:tc>
          <w:tcPr>
            <w:tcW w:w="1104" w:type="dxa"/>
            <w:tcBorders>
              <w:top w:val="nil"/>
              <w:left w:val="nil"/>
              <w:bottom w:val="nil"/>
              <w:right w:val="nil"/>
            </w:tcBorders>
            <w:shd w:val="clear" w:color="auto" w:fill="auto"/>
            <w:noWrap/>
            <w:vAlign w:val="bottom"/>
            <w:hideMark/>
          </w:tcPr>
          <w:p w14:paraId="6468C2C7"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2205490D"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3FD03BC2"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3291589F"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0D0188C2"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0EE82869"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1AFF7F3E" w14:textId="77777777" w:rsidTr="00CA3E59">
        <w:trPr>
          <w:trHeight w:val="528"/>
        </w:trPr>
        <w:tc>
          <w:tcPr>
            <w:tcW w:w="1276" w:type="dxa"/>
            <w:tcBorders>
              <w:top w:val="nil"/>
              <w:left w:val="nil"/>
              <w:bottom w:val="single" w:sz="4" w:space="0" w:color="auto"/>
              <w:right w:val="nil"/>
            </w:tcBorders>
            <w:shd w:val="clear" w:color="auto" w:fill="auto"/>
            <w:noWrap/>
            <w:vAlign w:val="center"/>
            <w:hideMark/>
          </w:tcPr>
          <w:p w14:paraId="20BF298C"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 </w:t>
            </w:r>
          </w:p>
        </w:tc>
        <w:tc>
          <w:tcPr>
            <w:tcW w:w="1285" w:type="dxa"/>
            <w:tcBorders>
              <w:top w:val="nil"/>
              <w:left w:val="nil"/>
              <w:bottom w:val="single" w:sz="4" w:space="0" w:color="auto"/>
              <w:right w:val="nil"/>
            </w:tcBorders>
            <w:shd w:val="clear" w:color="auto" w:fill="auto"/>
            <w:noWrap/>
            <w:vAlign w:val="center"/>
            <w:hideMark/>
          </w:tcPr>
          <w:p w14:paraId="60A9926F"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4639D77"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roofErr w:type="spellStart"/>
            <w:r w:rsidRPr="00CA3E59">
              <w:rPr>
                <w:rFonts w:ascii="Times New Roman" w:eastAsia="Times New Roman" w:hAnsi="Times New Roman" w:cs="Times New Roman"/>
                <w:color w:val="000000"/>
                <w:sz w:val="20"/>
                <w:szCs w:val="20"/>
              </w:rPr>
              <w:t>Obs</w:t>
            </w:r>
            <w:proofErr w:type="spellEnd"/>
            <w:r w:rsidRPr="00CA3E59">
              <w:rPr>
                <w:rFonts w:ascii="Times New Roman" w:eastAsia="Times New Roman" w:hAnsi="Times New Roman" w:cs="Times New Roman"/>
                <w:color w:val="000000"/>
                <w:sz w:val="20"/>
                <w:szCs w:val="20"/>
              </w:rPr>
              <w:t>*R-squared</w:t>
            </w:r>
          </w:p>
        </w:tc>
        <w:tc>
          <w:tcPr>
            <w:tcW w:w="1701" w:type="dxa"/>
            <w:tcBorders>
              <w:top w:val="nil"/>
              <w:left w:val="nil"/>
              <w:bottom w:val="single" w:sz="4" w:space="0" w:color="auto"/>
              <w:right w:val="nil"/>
            </w:tcBorders>
            <w:shd w:val="clear" w:color="auto" w:fill="auto"/>
            <w:vAlign w:val="center"/>
            <w:hideMark/>
          </w:tcPr>
          <w:p w14:paraId="5C9CC2B5"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7.454***</w:t>
            </w:r>
          </w:p>
        </w:tc>
        <w:tc>
          <w:tcPr>
            <w:tcW w:w="1113" w:type="dxa"/>
            <w:tcBorders>
              <w:top w:val="nil"/>
              <w:left w:val="nil"/>
              <w:bottom w:val="single" w:sz="4" w:space="0" w:color="auto"/>
              <w:right w:val="nil"/>
            </w:tcBorders>
            <w:shd w:val="clear" w:color="auto" w:fill="auto"/>
            <w:vAlign w:val="center"/>
            <w:hideMark/>
          </w:tcPr>
          <w:p w14:paraId="04E689DA"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r w:rsidRPr="00CA3E59">
              <w:rPr>
                <w:rFonts w:ascii="Times New Roman" w:eastAsia="Times New Roman" w:hAnsi="Times New Roman" w:cs="Times New Roman"/>
                <w:color w:val="000000"/>
                <w:sz w:val="20"/>
                <w:szCs w:val="20"/>
              </w:rPr>
              <w:t>0.0029</w:t>
            </w:r>
          </w:p>
        </w:tc>
        <w:tc>
          <w:tcPr>
            <w:tcW w:w="1104" w:type="dxa"/>
            <w:tcBorders>
              <w:top w:val="nil"/>
              <w:left w:val="nil"/>
              <w:bottom w:val="nil"/>
              <w:right w:val="nil"/>
            </w:tcBorders>
            <w:shd w:val="clear" w:color="auto" w:fill="auto"/>
            <w:noWrap/>
            <w:vAlign w:val="bottom"/>
            <w:hideMark/>
          </w:tcPr>
          <w:p w14:paraId="1B43197C" w14:textId="77777777" w:rsidR="00CA3E59" w:rsidRPr="00CA3E59" w:rsidRDefault="00CA3E59" w:rsidP="00CA3E59">
            <w:pPr>
              <w:spacing w:after="0" w:line="240" w:lineRule="auto"/>
              <w:jc w:val="center"/>
              <w:rPr>
                <w:rFonts w:ascii="Times New Roman" w:eastAsia="Times New Roman" w:hAnsi="Times New Roman" w:cs="Times New Roman"/>
                <w:color w:val="000000"/>
                <w:sz w:val="20"/>
                <w:szCs w:val="20"/>
              </w:rPr>
            </w:pPr>
          </w:p>
        </w:tc>
        <w:tc>
          <w:tcPr>
            <w:tcW w:w="546" w:type="dxa"/>
            <w:tcBorders>
              <w:top w:val="nil"/>
              <w:left w:val="nil"/>
              <w:bottom w:val="nil"/>
              <w:right w:val="nil"/>
            </w:tcBorders>
            <w:shd w:val="clear" w:color="auto" w:fill="auto"/>
            <w:noWrap/>
            <w:vAlign w:val="bottom"/>
            <w:hideMark/>
          </w:tcPr>
          <w:p w14:paraId="783560BE"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32CD49CB"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0894B276"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4B8F17CE"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4B9129DA"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r w:rsidR="00CA3E59" w:rsidRPr="00CA3E59" w14:paraId="4CF714DF" w14:textId="77777777" w:rsidTr="00CA3E59">
        <w:trPr>
          <w:trHeight w:val="288"/>
        </w:trPr>
        <w:tc>
          <w:tcPr>
            <w:tcW w:w="6358" w:type="dxa"/>
            <w:gridSpan w:val="5"/>
            <w:tcBorders>
              <w:top w:val="single" w:sz="4" w:space="0" w:color="auto"/>
              <w:left w:val="nil"/>
              <w:bottom w:val="nil"/>
              <w:right w:val="nil"/>
            </w:tcBorders>
            <w:shd w:val="clear" w:color="auto" w:fill="auto"/>
            <w:noWrap/>
            <w:vAlign w:val="bottom"/>
            <w:hideMark/>
          </w:tcPr>
          <w:p w14:paraId="56C12857" w14:textId="77777777" w:rsidR="00CA3E59" w:rsidRPr="00CA3E59" w:rsidRDefault="00CA3E59" w:rsidP="00CA3E59">
            <w:pPr>
              <w:spacing w:after="0" w:line="240" w:lineRule="auto"/>
              <w:rPr>
                <w:rFonts w:ascii="Calibri" w:eastAsia="Times New Roman" w:hAnsi="Calibri" w:cs="Calibri"/>
                <w:color w:val="000000"/>
              </w:rPr>
            </w:pPr>
            <w:r w:rsidRPr="00CA3E59">
              <w:rPr>
                <w:rFonts w:ascii="Calibri" w:eastAsia="Times New Roman" w:hAnsi="Calibri" w:cs="Calibri"/>
                <w:color w:val="000000"/>
              </w:rPr>
              <w:t>***represent significance at 1%, ** at 5% and * at 10%</w:t>
            </w:r>
          </w:p>
        </w:tc>
        <w:tc>
          <w:tcPr>
            <w:tcW w:w="1104" w:type="dxa"/>
            <w:tcBorders>
              <w:top w:val="nil"/>
              <w:left w:val="nil"/>
              <w:bottom w:val="nil"/>
              <w:right w:val="nil"/>
            </w:tcBorders>
            <w:shd w:val="clear" w:color="auto" w:fill="auto"/>
            <w:noWrap/>
            <w:vAlign w:val="bottom"/>
            <w:hideMark/>
          </w:tcPr>
          <w:p w14:paraId="4B3581FF" w14:textId="77777777" w:rsidR="00CA3E59" w:rsidRPr="00CA3E59" w:rsidRDefault="00CA3E59" w:rsidP="00CA3E59">
            <w:pPr>
              <w:spacing w:after="0" w:line="240" w:lineRule="auto"/>
              <w:rPr>
                <w:rFonts w:ascii="Calibri" w:eastAsia="Times New Roman" w:hAnsi="Calibri" w:cs="Calibri"/>
                <w:color w:val="000000"/>
              </w:rPr>
            </w:pPr>
          </w:p>
        </w:tc>
        <w:tc>
          <w:tcPr>
            <w:tcW w:w="546" w:type="dxa"/>
            <w:tcBorders>
              <w:top w:val="nil"/>
              <w:left w:val="nil"/>
              <w:bottom w:val="nil"/>
              <w:right w:val="nil"/>
            </w:tcBorders>
            <w:shd w:val="clear" w:color="auto" w:fill="auto"/>
            <w:noWrap/>
            <w:vAlign w:val="bottom"/>
            <w:hideMark/>
          </w:tcPr>
          <w:p w14:paraId="5EC8FF28"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5FF19478"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51D9B1DC"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27891ED6" w14:textId="77777777" w:rsidR="00CA3E59" w:rsidRPr="00CA3E59" w:rsidRDefault="00CA3E59" w:rsidP="00CA3E59">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14:paraId="5270D062" w14:textId="77777777" w:rsidR="00CA3E59" w:rsidRPr="00CA3E59" w:rsidRDefault="00CA3E59" w:rsidP="00CA3E59">
            <w:pPr>
              <w:spacing w:after="0" w:line="240" w:lineRule="auto"/>
              <w:rPr>
                <w:rFonts w:ascii="Times New Roman" w:eastAsia="Times New Roman" w:hAnsi="Times New Roman" w:cs="Times New Roman"/>
                <w:sz w:val="20"/>
                <w:szCs w:val="20"/>
              </w:rPr>
            </w:pPr>
          </w:p>
        </w:tc>
      </w:tr>
    </w:tbl>
    <w:p w14:paraId="470C201B" w14:textId="77777777" w:rsidR="00446B21" w:rsidRDefault="00446B21" w:rsidP="00655A01">
      <w:pPr>
        <w:widowControl w:val="0"/>
        <w:autoSpaceDE w:val="0"/>
        <w:autoSpaceDN w:val="0"/>
        <w:adjustRightInd w:val="0"/>
        <w:spacing w:line="240" w:lineRule="auto"/>
        <w:ind w:left="480" w:hanging="480"/>
        <w:rPr>
          <w:rFonts w:ascii="Times New Roman" w:hAnsi="Times New Roman" w:cs="Times New Roman"/>
          <w:sz w:val="24"/>
          <w:szCs w:val="24"/>
        </w:rPr>
      </w:pPr>
    </w:p>
    <w:sectPr w:rsidR="00446B21" w:rsidSect="00CA3E59">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579B4" w14:textId="77777777" w:rsidR="001D640B" w:rsidRDefault="001D640B" w:rsidP="00867686">
      <w:pPr>
        <w:spacing w:after="0" w:line="240" w:lineRule="auto"/>
      </w:pPr>
      <w:r>
        <w:separator/>
      </w:r>
    </w:p>
  </w:endnote>
  <w:endnote w:type="continuationSeparator" w:id="0">
    <w:p w14:paraId="0F0DA100" w14:textId="77777777" w:rsidR="001D640B" w:rsidRDefault="001D640B" w:rsidP="0086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37136"/>
      <w:docPartObj>
        <w:docPartGallery w:val="Page Numbers (Bottom of Page)"/>
        <w:docPartUnique/>
      </w:docPartObj>
    </w:sdtPr>
    <w:sdtEndPr>
      <w:rPr>
        <w:noProof/>
      </w:rPr>
    </w:sdtEndPr>
    <w:sdtContent>
      <w:p w14:paraId="6DB22EC0" w14:textId="402E0551" w:rsidR="00945608" w:rsidRDefault="0094560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B4F4455" w14:textId="77777777" w:rsidR="00945608" w:rsidRDefault="0094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989C7" w14:textId="77777777" w:rsidR="001D640B" w:rsidRDefault="001D640B" w:rsidP="00867686">
      <w:pPr>
        <w:spacing w:after="0" w:line="240" w:lineRule="auto"/>
      </w:pPr>
      <w:r>
        <w:separator/>
      </w:r>
    </w:p>
  </w:footnote>
  <w:footnote w:type="continuationSeparator" w:id="0">
    <w:p w14:paraId="3E847BAE" w14:textId="77777777" w:rsidR="001D640B" w:rsidRDefault="001D640B" w:rsidP="00867686">
      <w:pPr>
        <w:spacing w:after="0" w:line="240" w:lineRule="auto"/>
      </w:pPr>
      <w:r>
        <w:continuationSeparator/>
      </w:r>
    </w:p>
  </w:footnote>
  <w:footnote w:id="1">
    <w:p w14:paraId="50631542" w14:textId="4CADFC92" w:rsidR="00945608" w:rsidRPr="00E94AEA" w:rsidRDefault="00945608">
      <w:pPr>
        <w:pStyle w:val="FootnoteText"/>
      </w:pPr>
      <w:r>
        <w:rPr>
          <w:rStyle w:val="FootnoteReference"/>
        </w:rPr>
        <w:t>*</w:t>
      </w:r>
      <w:r>
        <w:t xml:space="preserve"> Corresponding author</w:t>
      </w:r>
    </w:p>
  </w:footnote>
  <w:footnote w:id="2">
    <w:p w14:paraId="26E36BA1" w14:textId="77777777" w:rsidR="00945608" w:rsidRPr="002242CB" w:rsidRDefault="00945608">
      <w:pPr>
        <w:pStyle w:val="FootnoteText"/>
        <w:rPr>
          <w:rFonts w:ascii="Times New Roman" w:hAnsi="Times New Roman" w:cs="Times New Roman"/>
          <w:sz w:val="18"/>
          <w:szCs w:val="18"/>
        </w:rPr>
      </w:pPr>
      <w:r w:rsidRPr="002242CB">
        <w:rPr>
          <w:rStyle w:val="FootnoteReference"/>
          <w:rFonts w:ascii="Times New Roman" w:hAnsi="Times New Roman" w:cs="Times New Roman"/>
          <w:sz w:val="18"/>
          <w:szCs w:val="18"/>
        </w:rPr>
        <w:footnoteRef/>
      </w:r>
      <w:r w:rsidRPr="002242CB">
        <w:rPr>
          <w:rFonts w:ascii="Times New Roman" w:hAnsi="Times New Roman" w:cs="Times New Roman"/>
          <w:sz w:val="18"/>
          <w:szCs w:val="18"/>
        </w:rPr>
        <w:t xml:space="preserve"> The data library is open source and accessible at </w:t>
      </w:r>
      <w:hyperlink r:id="rId1" w:history="1">
        <w:r w:rsidRPr="002242CB">
          <w:rPr>
            <w:rStyle w:val="Hyperlink"/>
            <w:rFonts w:ascii="Times New Roman" w:hAnsi="Times New Roman" w:cs="Times New Roman"/>
            <w:sz w:val="18"/>
            <w:szCs w:val="18"/>
          </w:rPr>
          <w:t>http://mba.tuck.dartmouth.edu/pages/faculty/ken.french/data_library.html</w:t>
        </w:r>
      </w:hyperlink>
    </w:p>
    <w:p w14:paraId="7DA4D474" w14:textId="77777777" w:rsidR="00945608" w:rsidRPr="002242CB" w:rsidRDefault="00945608">
      <w:pPr>
        <w:pStyle w:val="FootnoteText"/>
        <w:rPr>
          <w:rFonts w:ascii="Times New Roman" w:hAnsi="Times New Roman" w:cs="Times New Roman"/>
          <w:sz w:val="18"/>
          <w:szCs w:val="18"/>
        </w:rPr>
      </w:pPr>
      <w:r w:rsidRPr="002242CB">
        <w:rPr>
          <w:rFonts w:ascii="Times New Roman" w:hAnsi="Times New Roman" w:cs="Times New Roman"/>
          <w:sz w:val="18"/>
          <w:szCs w:val="18"/>
        </w:rPr>
        <w:t>The factors’ daily data is available till April 30</w:t>
      </w:r>
      <w:r w:rsidRPr="002242CB">
        <w:rPr>
          <w:rFonts w:ascii="Times New Roman" w:hAnsi="Times New Roman" w:cs="Times New Roman"/>
          <w:sz w:val="18"/>
          <w:szCs w:val="18"/>
          <w:vertAlign w:val="superscript"/>
        </w:rPr>
        <w:t>th</w:t>
      </w:r>
      <w:proofErr w:type="gramStart"/>
      <w:r w:rsidRPr="002242CB">
        <w:rPr>
          <w:rFonts w:ascii="Times New Roman" w:hAnsi="Times New Roman" w:cs="Times New Roman"/>
          <w:sz w:val="18"/>
          <w:szCs w:val="18"/>
        </w:rPr>
        <w:t xml:space="preserve"> 2020</w:t>
      </w:r>
      <w:proofErr w:type="gramEnd"/>
      <w:r w:rsidRPr="002242CB">
        <w:rPr>
          <w:rFonts w:ascii="Times New Roman" w:hAnsi="Times New Roman" w:cs="Times New Roman"/>
          <w:sz w:val="18"/>
          <w:szCs w:val="18"/>
        </w:rPr>
        <w:t>. Using Kenneth French methodology, we compute these factors for the remaining period (May 1</w:t>
      </w:r>
      <w:r w:rsidRPr="002242CB">
        <w:rPr>
          <w:rFonts w:ascii="Times New Roman" w:hAnsi="Times New Roman" w:cs="Times New Roman"/>
          <w:sz w:val="18"/>
          <w:szCs w:val="18"/>
          <w:vertAlign w:val="superscript"/>
        </w:rPr>
        <w:t>st</w:t>
      </w:r>
      <w:r w:rsidRPr="002242CB">
        <w:rPr>
          <w:rFonts w:ascii="Times New Roman" w:hAnsi="Times New Roman" w:cs="Times New Roman"/>
          <w:sz w:val="18"/>
          <w:szCs w:val="18"/>
        </w:rPr>
        <w:t xml:space="preserve"> to June 2</w:t>
      </w:r>
      <w:r w:rsidRPr="002242CB">
        <w:rPr>
          <w:rFonts w:ascii="Times New Roman" w:hAnsi="Times New Roman" w:cs="Times New Roman"/>
          <w:sz w:val="18"/>
          <w:szCs w:val="18"/>
          <w:vertAlign w:val="superscript"/>
        </w:rPr>
        <w:t>nd</w:t>
      </w:r>
      <w:r w:rsidRPr="002242CB">
        <w:rPr>
          <w:rFonts w:ascii="Times New Roman" w:hAnsi="Times New Roman" w:cs="Times New Roman"/>
          <w:sz w:val="18"/>
          <w:szCs w:val="18"/>
        </w:rPr>
        <w:t xml:space="preserve">). The data is translated into equivalent of Euros. </w:t>
      </w:r>
    </w:p>
  </w:footnote>
  <w:footnote w:id="3">
    <w:p w14:paraId="37776598" w14:textId="77777777" w:rsidR="00945608" w:rsidRPr="002242CB" w:rsidRDefault="00945608" w:rsidP="00C9318D">
      <w:pPr>
        <w:pStyle w:val="FootnoteText"/>
        <w:jc w:val="both"/>
        <w:rPr>
          <w:rFonts w:ascii="Times New Roman" w:hAnsi="Times New Roman" w:cs="Times New Roman"/>
          <w:sz w:val="18"/>
          <w:szCs w:val="18"/>
        </w:rPr>
      </w:pPr>
      <w:r w:rsidRPr="002242CB">
        <w:rPr>
          <w:rStyle w:val="FootnoteReference"/>
          <w:rFonts w:ascii="Times New Roman" w:hAnsi="Times New Roman" w:cs="Times New Roman"/>
          <w:sz w:val="18"/>
          <w:szCs w:val="18"/>
        </w:rPr>
        <w:footnoteRef/>
      </w:r>
      <w:r w:rsidRPr="002242CB">
        <w:rPr>
          <w:rFonts w:ascii="Times New Roman" w:hAnsi="Times New Roman" w:cs="Times New Roman"/>
          <w:sz w:val="18"/>
          <w:szCs w:val="18"/>
        </w:rPr>
        <w:t xml:space="preserve"> </w:t>
      </w:r>
      <w:r w:rsidRPr="002242CB">
        <w:rPr>
          <w:rFonts w:ascii="Times New Roman" w:hAnsi="Times New Roman" w:cs="Times New Roman"/>
          <w:color w:val="000000"/>
          <w:sz w:val="18"/>
          <w:szCs w:val="18"/>
          <w:shd w:val="clear" w:color="auto" w:fill="FFFFFF"/>
        </w:rPr>
        <w:t>The S&amp;P Europe 350 consists of 350 leading blue-chip companies drawn from 16 developed European markets.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F4789"/>
    <w:multiLevelType w:val="hybridMultilevel"/>
    <w:tmpl w:val="AAD439BA"/>
    <w:lvl w:ilvl="0" w:tplc="26304DD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IwNjQxNDI1MTWzNLBU0lEKTi0uzszPAykwrAUAhpTMbSwAAAA="/>
  </w:docVars>
  <w:rsids>
    <w:rsidRoot w:val="00583EDD"/>
    <w:rsid w:val="00001185"/>
    <w:rsid w:val="0003168D"/>
    <w:rsid w:val="00032CF8"/>
    <w:rsid w:val="00047C59"/>
    <w:rsid w:val="0005018E"/>
    <w:rsid w:val="00052842"/>
    <w:rsid w:val="00054A13"/>
    <w:rsid w:val="0005640E"/>
    <w:rsid w:val="00056EFA"/>
    <w:rsid w:val="000612D3"/>
    <w:rsid w:val="0006429C"/>
    <w:rsid w:val="000745F1"/>
    <w:rsid w:val="00081058"/>
    <w:rsid w:val="00081A86"/>
    <w:rsid w:val="000907B1"/>
    <w:rsid w:val="00091AC4"/>
    <w:rsid w:val="00092CFC"/>
    <w:rsid w:val="0009756F"/>
    <w:rsid w:val="000C0A92"/>
    <w:rsid w:val="000C496A"/>
    <w:rsid w:val="000C5EBC"/>
    <w:rsid w:val="000C7F7F"/>
    <w:rsid w:val="000E04BB"/>
    <w:rsid w:val="000E3270"/>
    <w:rsid w:val="000F1338"/>
    <w:rsid w:val="000F21A6"/>
    <w:rsid w:val="000F687D"/>
    <w:rsid w:val="0010152D"/>
    <w:rsid w:val="00104C10"/>
    <w:rsid w:val="00110421"/>
    <w:rsid w:val="00120944"/>
    <w:rsid w:val="00130AE6"/>
    <w:rsid w:val="0013318C"/>
    <w:rsid w:val="0013326D"/>
    <w:rsid w:val="0013343C"/>
    <w:rsid w:val="00137F51"/>
    <w:rsid w:val="001418D5"/>
    <w:rsid w:val="0014223E"/>
    <w:rsid w:val="00142FA1"/>
    <w:rsid w:val="00147362"/>
    <w:rsid w:val="00154EC2"/>
    <w:rsid w:val="00167E1E"/>
    <w:rsid w:val="001729B2"/>
    <w:rsid w:val="00196FBB"/>
    <w:rsid w:val="001A39D1"/>
    <w:rsid w:val="001A3C99"/>
    <w:rsid w:val="001A78C4"/>
    <w:rsid w:val="001C0EE2"/>
    <w:rsid w:val="001C7534"/>
    <w:rsid w:val="001D640B"/>
    <w:rsid w:val="001E5B19"/>
    <w:rsid w:val="001E6943"/>
    <w:rsid w:val="001F712A"/>
    <w:rsid w:val="00203358"/>
    <w:rsid w:val="00214C31"/>
    <w:rsid w:val="002158B1"/>
    <w:rsid w:val="00222E5E"/>
    <w:rsid w:val="002242CB"/>
    <w:rsid w:val="00243638"/>
    <w:rsid w:val="002754B4"/>
    <w:rsid w:val="00277D97"/>
    <w:rsid w:val="002964AE"/>
    <w:rsid w:val="00297332"/>
    <w:rsid w:val="002A0BC1"/>
    <w:rsid w:val="002A18B1"/>
    <w:rsid w:val="002A5DE2"/>
    <w:rsid w:val="002B0A16"/>
    <w:rsid w:val="002C0985"/>
    <w:rsid w:val="002C559B"/>
    <w:rsid w:val="002C5B36"/>
    <w:rsid w:val="002D1216"/>
    <w:rsid w:val="002D5A2A"/>
    <w:rsid w:val="002D5D26"/>
    <w:rsid w:val="002E45D7"/>
    <w:rsid w:val="002F543D"/>
    <w:rsid w:val="002F75D4"/>
    <w:rsid w:val="00306ACF"/>
    <w:rsid w:val="003117DF"/>
    <w:rsid w:val="00314638"/>
    <w:rsid w:val="00314804"/>
    <w:rsid w:val="00326841"/>
    <w:rsid w:val="00326B81"/>
    <w:rsid w:val="00335F5A"/>
    <w:rsid w:val="00372F4E"/>
    <w:rsid w:val="00376CEE"/>
    <w:rsid w:val="00382599"/>
    <w:rsid w:val="00384254"/>
    <w:rsid w:val="00386C62"/>
    <w:rsid w:val="003876B1"/>
    <w:rsid w:val="00390D3D"/>
    <w:rsid w:val="00392A17"/>
    <w:rsid w:val="003A2522"/>
    <w:rsid w:val="003A5BD9"/>
    <w:rsid w:val="003A6308"/>
    <w:rsid w:val="003A6572"/>
    <w:rsid w:val="003A6D50"/>
    <w:rsid w:val="003A75D7"/>
    <w:rsid w:val="003B4FA3"/>
    <w:rsid w:val="003C2E92"/>
    <w:rsid w:val="003C2EF9"/>
    <w:rsid w:val="003D1BF7"/>
    <w:rsid w:val="003D397C"/>
    <w:rsid w:val="003D7922"/>
    <w:rsid w:val="003E108C"/>
    <w:rsid w:val="003F0CDE"/>
    <w:rsid w:val="004138A7"/>
    <w:rsid w:val="004146CA"/>
    <w:rsid w:val="0041555A"/>
    <w:rsid w:val="0042787B"/>
    <w:rsid w:val="004328E8"/>
    <w:rsid w:val="00437C4F"/>
    <w:rsid w:val="00442959"/>
    <w:rsid w:val="00446ACB"/>
    <w:rsid w:val="00446B21"/>
    <w:rsid w:val="00454D5B"/>
    <w:rsid w:val="00455E59"/>
    <w:rsid w:val="00456FDD"/>
    <w:rsid w:val="00457AB1"/>
    <w:rsid w:val="004600AA"/>
    <w:rsid w:val="0046690B"/>
    <w:rsid w:val="00466A5E"/>
    <w:rsid w:val="00476115"/>
    <w:rsid w:val="004812F3"/>
    <w:rsid w:val="004958EA"/>
    <w:rsid w:val="004A071B"/>
    <w:rsid w:val="004A0B43"/>
    <w:rsid w:val="004B1FF5"/>
    <w:rsid w:val="004B5315"/>
    <w:rsid w:val="004B6081"/>
    <w:rsid w:val="004C2000"/>
    <w:rsid w:val="004C3191"/>
    <w:rsid w:val="004C3919"/>
    <w:rsid w:val="004C50E3"/>
    <w:rsid w:val="004C70B8"/>
    <w:rsid w:val="004D0983"/>
    <w:rsid w:val="004D1D05"/>
    <w:rsid w:val="004D6ECC"/>
    <w:rsid w:val="004E09C9"/>
    <w:rsid w:val="004E4FE8"/>
    <w:rsid w:val="004F209E"/>
    <w:rsid w:val="004F5EC9"/>
    <w:rsid w:val="005046C1"/>
    <w:rsid w:val="00510190"/>
    <w:rsid w:val="005259C3"/>
    <w:rsid w:val="00535AD1"/>
    <w:rsid w:val="005442B5"/>
    <w:rsid w:val="00556695"/>
    <w:rsid w:val="00560B4B"/>
    <w:rsid w:val="005646E4"/>
    <w:rsid w:val="00565EAA"/>
    <w:rsid w:val="005736DE"/>
    <w:rsid w:val="00573C22"/>
    <w:rsid w:val="00583EDD"/>
    <w:rsid w:val="0059034B"/>
    <w:rsid w:val="00597CA1"/>
    <w:rsid w:val="005A1731"/>
    <w:rsid w:val="005A3314"/>
    <w:rsid w:val="005A7E5C"/>
    <w:rsid w:val="005B2F49"/>
    <w:rsid w:val="005B3699"/>
    <w:rsid w:val="005C1766"/>
    <w:rsid w:val="005C4478"/>
    <w:rsid w:val="005C709D"/>
    <w:rsid w:val="005D0A88"/>
    <w:rsid w:val="005D0E15"/>
    <w:rsid w:val="005D6830"/>
    <w:rsid w:val="005F11C9"/>
    <w:rsid w:val="005F3F26"/>
    <w:rsid w:val="005F53D9"/>
    <w:rsid w:val="00600410"/>
    <w:rsid w:val="00600BEB"/>
    <w:rsid w:val="00625800"/>
    <w:rsid w:val="0063024F"/>
    <w:rsid w:val="00634F34"/>
    <w:rsid w:val="0064005E"/>
    <w:rsid w:val="006400B1"/>
    <w:rsid w:val="006503C4"/>
    <w:rsid w:val="0065114A"/>
    <w:rsid w:val="00655A01"/>
    <w:rsid w:val="00660BE6"/>
    <w:rsid w:val="00661532"/>
    <w:rsid w:val="00663209"/>
    <w:rsid w:val="0066456E"/>
    <w:rsid w:val="00666496"/>
    <w:rsid w:val="0066670C"/>
    <w:rsid w:val="00672311"/>
    <w:rsid w:val="006769B6"/>
    <w:rsid w:val="006922D8"/>
    <w:rsid w:val="00697EC4"/>
    <w:rsid w:val="006B5273"/>
    <w:rsid w:val="006C6C12"/>
    <w:rsid w:val="006C6F2A"/>
    <w:rsid w:val="006D062A"/>
    <w:rsid w:val="006D1CB9"/>
    <w:rsid w:val="006D2628"/>
    <w:rsid w:val="006D42D9"/>
    <w:rsid w:val="006E25A4"/>
    <w:rsid w:val="006F6ECC"/>
    <w:rsid w:val="00701A89"/>
    <w:rsid w:val="00713C47"/>
    <w:rsid w:val="00722CC1"/>
    <w:rsid w:val="007302BA"/>
    <w:rsid w:val="00730E93"/>
    <w:rsid w:val="00747152"/>
    <w:rsid w:val="00751839"/>
    <w:rsid w:val="00760EC2"/>
    <w:rsid w:val="00764948"/>
    <w:rsid w:val="00766DB8"/>
    <w:rsid w:val="00770D23"/>
    <w:rsid w:val="00780D05"/>
    <w:rsid w:val="00781017"/>
    <w:rsid w:val="00786F5B"/>
    <w:rsid w:val="00790CDE"/>
    <w:rsid w:val="007951D3"/>
    <w:rsid w:val="00797FC6"/>
    <w:rsid w:val="007A65D7"/>
    <w:rsid w:val="007B55D0"/>
    <w:rsid w:val="007C2124"/>
    <w:rsid w:val="007C2C12"/>
    <w:rsid w:val="007C628F"/>
    <w:rsid w:val="007D3F16"/>
    <w:rsid w:val="007D7F2A"/>
    <w:rsid w:val="007F1086"/>
    <w:rsid w:val="007F30CB"/>
    <w:rsid w:val="007F4DF3"/>
    <w:rsid w:val="0080048A"/>
    <w:rsid w:val="00800677"/>
    <w:rsid w:val="008029CA"/>
    <w:rsid w:val="0080533C"/>
    <w:rsid w:val="0080563B"/>
    <w:rsid w:val="008121B4"/>
    <w:rsid w:val="00817D95"/>
    <w:rsid w:val="00820911"/>
    <w:rsid w:val="00837777"/>
    <w:rsid w:val="008401FE"/>
    <w:rsid w:val="00841581"/>
    <w:rsid w:val="008426F8"/>
    <w:rsid w:val="00844321"/>
    <w:rsid w:val="0085029A"/>
    <w:rsid w:val="00855E5C"/>
    <w:rsid w:val="00856397"/>
    <w:rsid w:val="008566F9"/>
    <w:rsid w:val="008666BB"/>
    <w:rsid w:val="0086732A"/>
    <w:rsid w:val="00867686"/>
    <w:rsid w:val="00871299"/>
    <w:rsid w:val="00871628"/>
    <w:rsid w:val="00875E3D"/>
    <w:rsid w:val="0087734E"/>
    <w:rsid w:val="0088178A"/>
    <w:rsid w:val="00895523"/>
    <w:rsid w:val="008976CA"/>
    <w:rsid w:val="008A157D"/>
    <w:rsid w:val="008B09A7"/>
    <w:rsid w:val="008B595A"/>
    <w:rsid w:val="008E3DF6"/>
    <w:rsid w:val="008E7DCB"/>
    <w:rsid w:val="008F0434"/>
    <w:rsid w:val="008F4BFB"/>
    <w:rsid w:val="008F77B6"/>
    <w:rsid w:val="008F79FD"/>
    <w:rsid w:val="00903FD8"/>
    <w:rsid w:val="0090640A"/>
    <w:rsid w:val="00907BF6"/>
    <w:rsid w:val="00932CC7"/>
    <w:rsid w:val="00937FAD"/>
    <w:rsid w:val="0094345B"/>
    <w:rsid w:val="00945608"/>
    <w:rsid w:val="0095425A"/>
    <w:rsid w:val="00967062"/>
    <w:rsid w:val="009770AB"/>
    <w:rsid w:val="00983B45"/>
    <w:rsid w:val="00985BA9"/>
    <w:rsid w:val="00990370"/>
    <w:rsid w:val="00991585"/>
    <w:rsid w:val="009A7F2B"/>
    <w:rsid w:val="009B10F0"/>
    <w:rsid w:val="009C1B33"/>
    <w:rsid w:val="009C6B86"/>
    <w:rsid w:val="009C6E8A"/>
    <w:rsid w:val="009D2C6F"/>
    <w:rsid w:val="009D5231"/>
    <w:rsid w:val="009D556A"/>
    <w:rsid w:val="009E7DAA"/>
    <w:rsid w:val="009F2A7F"/>
    <w:rsid w:val="00A00D33"/>
    <w:rsid w:val="00A03E1E"/>
    <w:rsid w:val="00A20456"/>
    <w:rsid w:val="00A26384"/>
    <w:rsid w:val="00A56394"/>
    <w:rsid w:val="00A70DA9"/>
    <w:rsid w:val="00A76ACD"/>
    <w:rsid w:val="00A80002"/>
    <w:rsid w:val="00A8263B"/>
    <w:rsid w:val="00A8321A"/>
    <w:rsid w:val="00A90B9A"/>
    <w:rsid w:val="00AA0625"/>
    <w:rsid w:val="00AA1BF4"/>
    <w:rsid w:val="00AC5B39"/>
    <w:rsid w:val="00AD0269"/>
    <w:rsid w:val="00AE0788"/>
    <w:rsid w:val="00AE16E0"/>
    <w:rsid w:val="00B01246"/>
    <w:rsid w:val="00B02AE9"/>
    <w:rsid w:val="00B05EFB"/>
    <w:rsid w:val="00B06AC9"/>
    <w:rsid w:val="00B10A21"/>
    <w:rsid w:val="00B11EB5"/>
    <w:rsid w:val="00B15750"/>
    <w:rsid w:val="00B2074F"/>
    <w:rsid w:val="00B27F9B"/>
    <w:rsid w:val="00B35807"/>
    <w:rsid w:val="00B421C2"/>
    <w:rsid w:val="00B45A65"/>
    <w:rsid w:val="00B45FE7"/>
    <w:rsid w:val="00B5308B"/>
    <w:rsid w:val="00B57663"/>
    <w:rsid w:val="00B652F2"/>
    <w:rsid w:val="00B75622"/>
    <w:rsid w:val="00B767BD"/>
    <w:rsid w:val="00B77F58"/>
    <w:rsid w:val="00B846C0"/>
    <w:rsid w:val="00B857DC"/>
    <w:rsid w:val="00B871F4"/>
    <w:rsid w:val="00B9772F"/>
    <w:rsid w:val="00BA63FC"/>
    <w:rsid w:val="00BB321F"/>
    <w:rsid w:val="00BB3991"/>
    <w:rsid w:val="00BC07C7"/>
    <w:rsid w:val="00BE6943"/>
    <w:rsid w:val="00BE77A6"/>
    <w:rsid w:val="00BF2C52"/>
    <w:rsid w:val="00BF310B"/>
    <w:rsid w:val="00BF639C"/>
    <w:rsid w:val="00C01F32"/>
    <w:rsid w:val="00C13B18"/>
    <w:rsid w:val="00C16D1E"/>
    <w:rsid w:val="00C26EEC"/>
    <w:rsid w:val="00C31DB4"/>
    <w:rsid w:val="00C33017"/>
    <w:rsid w:val="00C344AB"/>
    <w:rsid w:val="00C34D92"/>
    <w:rsid w:val="00C41BAE"/>
    <w:rsid w:val="00C4678F"/>
    <w:rsid w:val="00C47186"/>
    <w:rsid w:val="00C64637"/>
    <w:rsid w:val="00C66853"/>
    <w:rsid w:val="00C7098A"/>
    <w:rsid w:val="00C7686E"/>
    <w:rsid w:val="00C8087C"/>
    <w:rsid w:val="00C843E1"/>
    <w:rsid w:val="00C86FBE"/>
    <w:rsid w:val="00C9318D"/>
    <w:rsid w:val="00C939A8"/>
    <w:rsid w:val="00C956F0"/>
    <w:rsid w:val="00CA2447"/>
    <w:rsid w:val="00CA3E59"/>
    <w:rsid w:val="00CA712B"/>
    <w:rsid w:val="00CB3D15"/>
    <w:rsid w:val="00CC25B0"/>
    <w:rsid w:val="00CD2110"/>
    <w:rsid w:val="00CD55C3"/>
    <w:rsid w:val="00CE5FCA"/>
    <w:rsid w:val="00CF0C87"/>
    <w:rsid w:val="00CF1139"/>
    <w:rsid w:val="00CF4F06"/>
    <w:rsid w:val="00D07201"/>
    <w:rsid w:val="00D13EAA"/>
    <w:rsid w:val="00D14D64"/>
    <w:rsid w:val="00D1554E"/>
    <w:rsid w:val="00D2385E"/>
    <w:rsid w:val="00D251FA"/>
    <w:rsid w:val="00D26BBE"/>
    <w:rsid w:val="00D27D14"/>
    <w:rsid w:val="00D30352"/>
    <w:rsid w:val="00D37C16"/>
    <w:rsid w:val="00D415F6"/>
    <w:rsid w:val="00D430E2"/>
    <w:rsid w:val="00D44CAC"/>
    <w:rsid w:val="00D62B3B"/>
    <w:rsid w:val="00D6406C"/>
    <w:rsid w:val="00D66A92"/>
    <w:rsid w:val="00D71644"/>
    <w:rsid w:val="00D769D6"/>
    <w:rsid w:val="00D77994"/>
    <w:rsid w:val="00D85E58"/>
    <w:rsid w:val="00D96E8A"/>
    <w:rsid w:val="00D97A42"/>
    <w:rsid w:val="00DA2C25"/>
    <w:rsid w:val="00DA69CA"/>
    <w:rsid w:val="00DA74AD"/>
    <w:rsid w:val="00DC48F5"/>
    <w:rsid w:val="00DD713B"/>
    <w:rsid w:val="00DD7FFC"/>
    <w:rsid w:val="00DE0B50"/>
    <w:rsid w:val="00DE6A30"/>
    <w:rsid w:val="00DE7429"/>
    <w:rsid w:val="00DE7B25"/>
    <w:rsid w:val="00DF0689"/>
    <w:rsid w:val="00DF11EA"/>
    <w:rsid w:val="00DF51F4"/>
    <w:rsid w:val="00DF5B0D"/>
    <w:rsid w:val="00E04F62"/>
    <w:rsid w:val="00E05D01"/>
    <w:rsid w:val="00E20648"/>
    <w:rsid w:val="00E3078F"/>
    <w:rsid w:val="00E30895"/>
    <w:rsid w:val="00E41558"/>
    <w:rsid w:val="00E43819"/>
    <w:rsid w:val="00E50412"/>
    <w:rsid w:val="00E60FB1"/>
    <w:rsid w:val="00E82EE3"/>
    <w:rsid w:val="00E94AEA"/>
    <w:rsid w:val="00E9595B"/>
    <w:rsid w:val="00EA0B2A"/>
    <w:rsid w:val="00EA0C81"/>
    <w:rsid w:val="00EB0787"/>
    <w:rsid w:val="00EB1D14"/>
    <w:rsid w:val="00EC0A00"/>
    <w:rsid w:val="00EC1ABD"/>
    <w:rsid w:val="00EC3240"/>
    <w:rsid w:val="00ED28A4"/>
    <w:rsid w:val="00ED5000"/>
    <w:rsid w:val="00ED6896"/>
    <w:rsid w:val="00EE285C"/>
    <w:rsid w:val="00EE36F8"/>
    <w:rsid w:val="00EE63A6"/>
    <w:rsid w:val="00EF1A4F"/>
    <w:rsid w:val="00EF6EC2"/>
    <w:rsid w:val="00F0058E"/>
    <w:rsid w:val="00F04478"/>
    <w:rsid w:val="00F103E3"/>
    <w:rsid w:val="00F25CCC"/>
    <w:rsid w:val="00F314F9"/>
    <w:rsid w:val="00F37636"/>
    <w:rsid w:val="00F376EA"/>
    <w:rsid w:val="00F53072"/>
    <w:rsid w:val="00F57126"/>
    <w:rsid w:val="00F6213E"/>
    <w:rsid w:val="00F67A08"/>
    <w:rsid w:val="00F72A76"/>
    <w:rsid w:val="00F75EFA"/>
    <w:rsid w:val="00F75FF6"/>
    <w:rsid w:val="00F80413"/>
    <w:rsid w:val="00F81369"/>
    <w:rsid w:val="00F92E6A"/>
    <w:rsid w:val="00F959A6"/>
    <w:rsid w:val="00F95E35"/>
    <w:rsid w:val="00F97F0B"/>
    <w:rsid w:val="00FB65C2"/>
    <w:rsid w:val="00FC7695"/>
    <w:rsid w:val="00FD3C2E"/>
    <w:rsid w:val="00FD745A"/>
    <w:rsid w:val="00FE07C4"/>
    <w:rsid w:val="00FE1016"/>
    <w:rsid w:val="00FE129E"/>
    <w:rsid w:val="00FE3110"/>
    <w:rsid w:val="00FE362D"/>
    <w:rsid w:val="00FE3646"/>
    <w:rsid w:val="00FE5FE8"/>
    <w:rsid w:val="00FE6E8E"/>
    <w:rsid w:val="00FF190C"/>
    <w:rsid w:val="00FF311E"/>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8342D"/>
  <w15:chartTrackingRefBased/>
  <w15:docId w15:val="{BDA308FC-6B45-4CCA-BA72-55FD6724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7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686"/>
    <w:rPr>
      <w:sz w:val="20"/>
      <w:szCs w:val="20"/>
    </w:rPr>
  </w:style>
  <w:style w:type="character" w:styleId="FootnoteReference">
    <w:name w:val="footnote reference"/>
    <w:basedOn w:val="DefaultParagraphFont"/>
    <w:uiPriority w:val="99"/>
    <w:semiHidden/>
    <w:unhideWhenUsed/>
    <w:rsid w:val="00867686"/>
    <w:rPr>
      <w:vertAlign w:val="superscript"/>
    </w:rPr>
  </w:style>
  <w:style w:type="character" w:styleId="Hyperlink">
    <w:name w:val="Hyperlink"/>
    <w:basedOn w:val="DefaultParagraphFont"/>
    <w:uiPriority w:val="99"/>
    <w:semiHidden/>
    <w:unhideWhenUsed/>
    <w:rsid w:val="006400B1"/>
    <w:rPr>
      <w:color w:val="0000FF"/>
      <w:u w:val="single"/>
    </w:rPr>
  </w:style>
  <w:style w:type="paragraph" w:styleId="ListParagraph">
    <w:name w:val="List Paragraph"/>
    <w:basedOn w:val="Normal"/>
    <w:uiPriority w:val="34"/>
    <w:qFormat/>
    <w:rsid w:val="00A90B9A"/>
    <w:pPr>
      <w:ind w:left="720"/>
      <w:contextualSpacing/>
    </w:pPr>
  </w:style>
  <w:style w:type="paragraph" w:styleId="BalloonText">
    <w:name w:val="Balloon Text"/>
    <w:basedOn w:val="Normal"/>
    <w:link w:val="BalloonTextChar"/>
    <w:uiPriority w:val="99"/>
    <w:semiHidden/>
    <w:unhideWhenUsed/>
    <w:rsid w:val="00FE1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29E"/>
    <w:rPr>
      <w:rFonts w:ascii="Segoe UI" w:hAnsi="Segoe UI" w:cs="Segoe UI"/>
      <w:sz w:val="18"/>
      <w:szCs w:val="18"/>
    </w:rPr>
  </w:style>
  <w:style w:type="character" w:styleId="CommentReference">
    <w:name w:val="annotation reference"/>
    <w:basedOn w:val="DefaultParagraphFont"/>
    <w:uiPriority w:val="99"/>
    <w:semiHidden/>
    <w:unhideWhenUsed/>
    <w:rsid w:val="00032CF8"/>
    <w:rPr>
      <w:sz w:val="16"/>
      <w:szCs w:val="16"/>
    </w:rPr>
  </w:style>
  <w:style w:type="paragraph" w:styleId="CommentText">
    <w:name w:val="annotation text"/>
    <w:basedOn w:val="Normal"/>
    <w:link w:val="CommentTextChar"/>
    <w:uiPriority w:val="99"/>
    <w:semiHidden/>
    <w:unhideWhenUsed/>
    <w:rsid w:val="00032CF8"/>
    <w:pPr>
      <w:spacing w:line="240" w:lineRule="auto"/>
    </w:pPr>
    <w:rPr>
      <w:sz w:val="20"/>
      <w:szCs w:val="20"/>
    </w:rPr>
  </w:style>
  <w:style w:type="character" w:customStyle="1" w:styleId="CommentTextChar">
    <w:name w:val="Comment Text Char"/>
    <w:basedOn w:val="DefaultParagraphFont"/>
    <w:link w:val="CommentText"/>
    <w:uiPriority w:val="99"/>
    <w:semiHidden/>
    <w:rsid w:val="00032CF8"/>
    <w:rPr>
      <w:sz w:val="20"/>
      <w:szCs w:val="20"/>
    </w:rPr>
  </w:style>
  <w:style w:type="paragraph" w:styleId="CommentSubject">
    <w:name w:val="annotation subject"/>
    <w:basedOn w:val="CommentText"/>
    <w:next w:val="CommentText"/>
    <w:link w:val="CommentSubjectChar"/>
    <w:uiPriority w:val="99"/>
    <w:semiHidden/>
    <w:unhideWhenUsed/>
    <w:rsid w:val="00032CF8"/>
    <w:rPr>
      <w:b/>
      <w:bCs/>
    </w:rPr>
  </w:style>
  <w:style w:type="character" w:customStyle="1" w:styleId="CommentSubjectChar">
    <w:name w:val="Comment Subject Char"/>
    <w:basedOn w:val="CommentTextChar"/>
    <w:link w:val="CommentSubject"/>
    <w:uiPriority w:val="99"/>
    <w:semiHidden/>
    <w:rsid w:val="00032CF8"/>
    <w:rPr>
      <w:b/>
      <w:bCs/>
      <w:sz w:val="20"/>
      <w:szCs w:val="20"/>
    </w:rPr>
  </w:style>
  <w:style w:type="paragraph" w:styleId="Header">
    <w:name w:val="header"/>
    <w:basedOn w:val="Normal"/>
    <w:link w:val="HeaderChar"/>
    <w:uiPriority w:val="99"/>
    <w:unhideWhenUsed/>
    <w:rsid w:val="00AD0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269"/>
  </w:style>
  <w:style w:type="paragraph" w:styleId="Footer">
    <w:name w:val="footer"/>
    <w:basedOn w:val="Normal"/>
    <w:link w:val="FooterChar"/>
    <w:uiPriority w:val="99"/>
    <w:unhideWhenUsed/>
    <w:rsid w:val="00AD0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0688">
      <w:bodyDiv w:val="1"/>
      <w:marLeft w:val="0"/>
      <w:marRight w:val="0"/>
      <w:marTop w:val="0"/>
      <w:marBottom w:val="0"/>
      <w:divBdr>
        <w:top w:val="none" w:sz="0" w:space="0" w:color="auto"/>
        <w:left w:val="none" w:sz="0" w:space="0" w:color="auto"/>
        <w:bottom w:val="none" w:sz="0" w:space="0" w:color="auto"/>
        <w:right w:val="none" w:sz="0" w:space="0" w:color="auto"/>
      </w:divBdr>
    </w:div>
    <w:div w:id="176313000">
      <w:bodyDiv w:val="1"/>
      <w:marLeft w:val="0"/>
      <w:marRight w:val="0"/>
      <w:marTop w:val="0"/>
      <w:marBottom w:val="0"/>
      <w:divBdr>
        <w:top w:val="none" w:sz="0" w:space="0" w:color="auto"/>
        <w:left w:val="none" w:sz="0" w:space="0" w:color="auto"/>
        <w:bottom w:val="none" w:sz="0" w:space="0" w:color="auto"/>
        <w:right w:val="none" w:sz="0" w:space="0" w:color="auto"/>
      </w:divBdr>
    </w:div>
    <w:div w:id="395275415">
      <w:bodyDiv w:val="1"/>
      <w:marLeft w:val="0"/>
      <w:marRight w:val="0"/>
      <w:marTop w:val="0"/>
      <w:marBottom w:val="0"/>
      <w:divBdr>
        <w:top w:val="none" w:sz="0" w:space="0" w:color="auto"/>
        <w:left w:val="none" w:sz="0" w:space="0" w:color="auto"/>
        <w:bottom w:val="none" w:sz="0" w:space="0" w:color="auto"/>
        <w:right w:val="none" w:sz="0" w:space="0" w:color="auto"/>
      </w:divBdr>
    </w:div>
    <w:div w:id="774448093">
      <w:bodyDiv w:val="1"/>
      <w:marLeft w:val="0"/>
      <w:marRight w:val="0"/>
      <w:marTop w:val="0"/>
      <w:marBottom w:val="0"/>
      <w:divBdr>
        <w:top w:val="none" w:sz="0" w:space="0" w:color="auto"/>
        <w:left w:val="none" w:sz="0" w:space="0" w:color="auto"/>
        <w:bottom w:val="none" w:sz="0" w:space="0" w:color="auto"/>
        <w:right w:val="none" w:sz="0" w:space="0" w:color="auto"/>
      </w:divBdr>
    </w:div>
    <w:div w:id="877162566">
      <w:bodyDiv w:val="1"/>
      <w:marLeft w:val="0"/>
      <w:marRight w:val="0"/>
      <w:marTop w:val="0"/>
      <w:marBottom w:val="0"/>
      <w:divBdr>
        <w:top w:val="none" w:sz="0" w:space="0" w:color="auto"/>
        <w:left w:val="none" w:sz="0" w:space="0" w:color="auto"/>
        <w:bottom w:val="none" w:sz="0" w:space="0" w:color="auto"/>
        <w:right w:val="none" w:sz="0" w:space="0" w:color="auto"/>
      </w:divBdr>
    </w:div>
    <w:div w:id="958998485">
      <w:bodyDiv w:val="1"/>
      <w:marLeft w:val="0"/>
      <w:marRight w:val="0"/>
      <w:marTop w:val="0"/>
      <w:marBottom w:val="0"/>
      <w:divBdr>
        <w:top w:val="none" w:sz="0" w:space="0" w:color="auto"/>
        <w:left w:val="none" w:sz="0" w:space="0" w:color="auto"/>
        <w:bottom w:val="none" w:sz="0" w:space="0" w:color="auto"/>
        <w:right w:val="none" w:sz="0" w:space="0" w:color="auto"/>
      </w:divBdr>
    </w:div>
    <w:div w:id="1096096382">
      <w:bodyDiv w:val="1"/>
      <w:marLeft w:val="0"/>
      <w:marRight w:val="0"/>
      <w:marTop w:val="0"/>
      <w:marBottom w:val="0"/>
      <w:divBdr>
        <w:top w:val="none" w:sz="0" w:space="0" w:color="auto"/>
        <w:left w:val="none" w:sz="0" w:space="0" w:color="auto"/>
        <w:bottom w:val="none" w:sz="0" w:space="0" w:color="auto"/>
        <w:right w:val="none" w:sz="0" w:space="0" w:color="auto"/>
      </w:divBdr>
    </w:div>
    <w:div w:id="1545411223">
      <w:bodyDiv w:val="1"/>
      <w:marLeft w:val="0"/>
      <w:marRight w:val="0"/>
      <w:marTop w:val="0"/>
      <w:marBottom w:val="0"/>
      <w:divBdr>
        <w:top w:val="none" w:sz="0" w:space="0" w:color="auto"/>
        <w:left w:val="none" w:sz="0" w:space="0" w:color="auto"/>
        <w:bottom w:val="none" w:sz="0" w:space="0" w:color="auto"/>
        <w:right w:val="none" w:sz="0" w:space="0" w:color="auto"/>
      </w:divBdr>
    </w:div>
    <w:div w:id="16939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otnotes.xml.rels><?xml version="1.0" encoding="UTF-8" standalone="yes"?>
<Relationships xmlns="http://schemas.openxmlformats.org/package/2006/relationships"><Relationship Id="rId1" Type="http://schemas.openxmlformats.org/officeDocument/2006/relationships/hyperlink" Target="http://mba.tuck.dartmouth.edu/pages/faculty/ken.french/data_library.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B2DA-5886-4389-899E-E825700D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16840</Words>
  <Characters>95989</Characters>
  <Application>Microsoft Office Word</Application>
  <DocSecurity>0</DocSecurity>
  <Lines>799</Lines>
  <Paragraphs>225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ELAHI Mirza-Nawazish</dc:creator>
  <cp:keywords/>
  <dc:description/>
  <cp:lastModifiedBy>Yarovaya L.</cp:lastModifiedBy>
  <cp:revision>6</cp:revision>
  <dcterms:created xsi:type="dcterms:W3CDTF">2020-08-28T13:54:00Z</dcterms:created>
  <dcterms:modified xsi:type="dcterms:W3CDTF">2020-08-28T14:30:00Z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7cabbb68-82a4-30d1-9b27-70bac98783fa</vt:lpwstr>
  </property>
  <property fmtid="{D5CDD505-2E9C-101B-9397-08002B2CF9AE}" pid="24" name="Mendeley Citation Style_1">
    <vt:lpwstr>http://www.zotero.org/styles/apa</vt:lpwstr>
  </property>
</Properties>
</file>