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FB" w:rsidRPr="00104104" w:rsidRDefault="00EE65FB" w:rsidP="00F01732">
      <w:pPr>
        <w:spacing w:line="480" w:lineRule="auto"/>
        <w:rPr>
          <w:b/>
          <w:sz w:val="24"/>
          <w:szCs w:val="24"/>
        </w:rPr>
      </w:pPr>
      <w:bookmarkStart w:id="0" w:name="_GoBack"/>
      <w:bookmarkEnd w:id="0"/>
      <w:r w:rsidRPr="00104104">
        <w:rPr>
          <w:b/>
          <w:sz w:val="24"/>
          <w:szCs w:val="24"/>
        </w:rPr>
        <w:t xml:space="preserve">How do we improve adolescent diet and physical activity in India and sub-Saharan Africa? Findings from the Transforming Adolescent Lives through Nutrition (TALENT) consortium </w:t>
      </w:r>
    </w:p>
    <w:p w:rsidR="00EE65FB" w:rsidRPr="00104104" w:rsidRDefault="00EE65FB" w:rsidP="00F01732">
      <w:pPr>
        <w:spacing w:line="480" w:lineRule="auto"/>
        <w:rPr>
          <w:rFonts w:ascii="Calibri" w:hAnsi="Calibri"/>
          <w:b/>
          <w:sz w:val="24"/>
          <w:szCs w:val="24"/>
        </w:rPr>
      </w:pPr>
    </w:p>
    <w:p w:rsidR="00F01732" w:rsidRPr="00F01732" w:rsidRDefault="00F01732" w:rsidP="00F01732">
      <w:pPr>
        <w:spacing w:line="480" w:lineRule="auto"/>
        <w:rPr>
          <w:b/>
          <w:sz w:val="24"/>
          <w:szCs w:val="24"/>
        </w:rPr>
      </w:pPr>
      <w:r w:rsidRPr="00F01732">
        <w:rPr>
          <w:b/>
          <w:sz w:val="24"/>
          <w:szCs w:val="24"/>
        </w:rPr>
        <w:t>Abstract:</w:t>
      </w:r>
    </w:p>
    <w:p w:rsidR="00D64FAD" w:rsidRDefault="00D64FAD" w:rsidP="00F01732">
      <w:pPr>
        <w:spacing w:line="480" w:lineRule="auto"/>
        <w:rPr>
          <w:sz w:val="24"/>
          <w:szCs w:val="24"/>
        </w:rPr>
      </w:pPr>
      <w:r w:rsidRPr="00D64FAD">
        <w:rPr>
          <w:b/>
          <w:sz w:val="24"/>
          <w:szCs w:val="24"/>
        </w:rPr>
        <w:t>Objective.</w:t>
      </w:r>
      <w:r>
        <w:rPr>
          <w:sz w:val="24"/>
          <w:szCs w:val="24"/>
        </w:rPr>
        <w:t xml:space="preserve"> </w:t>
      </w:r>
      <w:r w:rsidR="00F01732" w:rsidRPr="00F01732">
        <w:rPr>
          <w:sz w:val="24"/>
          <w:szCs w:val="24"/>
        </w:rPr>
        <w:t xml:space="preserve">Adolescent diet, physical activity and nutritional status are generally known to be sub-optimal. </w:t>
      </w:r>
      <w:r w:rsidR="00EB3A1D">
        <w:rPr>
          <w:sz w:val="24"/>
          <w:szCs w:val="24"/>
        </w:rPr>
        <w:t xml:space="preserve">This is an introduction to a special issue of papers </w:t>
      </w:r>
      <w:r w:rsidR="00F01732" w:rsidRPr="00F01732">
        <w:rPr>
          <w:sz w:val="24"/>
          <w:szCs w:val="24"/>
        </w:rPr>
        <w:t>devoted to exploring factors affecting diet and physical activity in adolescents, including food insecure and vulne</w:t>
      </w:r>
      <w:r>
        <w:rPr>
          <w:sz w:val="24"/>
          <w:szCs w:val="24"/>
        </w:rPr>
        <w:t xml:space="preserve">rable groups. </w:t>
      </w:r>
    </w:p>
    <w:p w:rsidR="00D64FAD" w:rsidRDefault="00D64FAD" w:rsidP="00F01732">
      <w:pPr>
        <w:spacing w:line="480" w:lineRule="auto"/>
        <w:rPr>
          <w:sz w:val="24"/>
          <w:szCs w:val="24"/>
        </w:rPr>
      </w:pPr>
      <w:r w:rsidRPr="00D64FAD">
        <w:rPr>
          <w:b/>
          <w:sz w:val="24"/>
          <w:szCs w:val="24"/>
        </w:rPr>
        <w:t>Setting.</w:t>
      </w:r>
      <w:r>
        <w:rPr>
          <w:sz w:val="24"/>
          <w:szCs w:val="24"/>
        </w:rPr>
        <w:t xml:space="preserve"> E</w:t>
      </w:r>
      <w:r w:rsidR="00B026FE">
        <w:rPr>
          <w:sz w:val="24"/>
          <w:szCs w:val="24"/>
        </w:rPr>
        <w:t>ight settings including</w:t>
      </w:r>
      <w:r w:rsidR="00B026FE" w:rsidRPr="00F01732">
        <w:rPr>
          <w:sz w:val="24"/>
          <w:szCs w:val="24"/>
        </w:rPr>
        <w:t xml:space="preserve"> urban, peri-urban and rural </w:t>
      </w:r>
      <w:r w:rsidR="00F01732" w:rsidRPr="007F16B9">
        <w:rPr>
          <w:color w:val="FF0000"/>
          <w:sz w:val="24"/>
          <w:szCs w:val="24"/>
        </w:rPr>
        <w:t xml:space="preserve">across </w:t>
      </w:r>
      <w:r w:rsidR="007F16B9" w:rsidRPr="007F16B9">
        <w:rPr>
          <w:color w:val="FF0000"/>
          <w:sz w:val="24"/>
          <w:szCs w:val="24"/>
        </w:rPr>
        <w:t xml:space="preserve">sites from </w:t>
      </w:r>
      <w:r w:rsidR="00F01732" w:rsidRPr="007F16B9">
        <w:rPr>
          <w:color w:val="FF0000"/>
          <w:sz w:val="24"/>
          <w:szCs w:val="24"/>
        </w:rPr>
        <w:t xml:space="preserve">five different </w:t>
      </w:r>
      <w:r>
        <w:rPr>
          <w:color w:val="FF0000"/>
          <w:sz w:val="24"/>
          <w:szCs w:val="24"/>
        </w:rPr>
        <w:t>LMICs</w:t>
      </w:r>
      <w:r w:rsidR="00F01732" w:rsidRPr="007F16B9">
        <w:rPr>
          <w:color w:val="FF0000"/>
          <w:sz w:val="24"/>
          <w:szCs w:val="24"/>
        </w:rPr>
        <w:t>.</w:t>
      </w:r>
      <w:r w:rsidR="00F01732" w:rsidRPr="00F01732">
        <w:rPr>
          <w:sz w:val="24"/>
          <w:szCs w:val="24"/>
        </w:rPr>
        <w:t xml:space="preserve"> </w:t>
      </w:r>
    </w:p>
    <w:p w:rsidR="00D64FAD" w:rsidRDefault="00D64FAD" w:rsidP="00F01732">
      <w:pPr>
        <w:spacing w:line="480" w:lineRule="auto"/>
        <w:rPr>
          <w:sz w:val="24"/>
          <w:szCs w:val="24"/>
        </w:rPr>
      </w:pPr>
      <w:r w:rsidRPr="00D64FAD">
        <w:rPr>
          <w:b/>
          <w:sz w:val="24"/>
          <w:szCs w:val="24"/>
        </w:rPr>
        <w:t>Design.</w:t>
      </w:r>
      <w:r>
        <w:rPr>
          <w:sz w:val="24"/>
          <w:szCs w:val="24"/>
        </w:rPr>
        <w:t xml:space="preserve"> </w:t>
      </w:r>
      <w:r w:rsidR="00F01732" w:rsidRPr="00F01732">
        <w:rPr>
          <w:sz w:val="24"/>
          <w:szCs w:val="24"/>
        </w:rPr>
        <w:t>Focus groups with adolescents and caregivers car</w:t>
      </w:r>
      <w:r>
        <w:rPr>
          <w:sz w:val="24"/>
          <w:szCs w:val="24"/>
        </w:rPr>
        <w:t xml:space="preserve">ried-out by trained researchers. </w:t>
      </w:r>
    </w:p>
    <w:p w:rsidR="00D64FAD" w:rsidRDefault="00D64FAD" w:rsidP="00F01732">
      <w:pPr>
        <w:spacing w:line="480" w:lineRule="auto"/>
        <w:rPr>
          <w:sz w:val="24"/>
          <w:szCs w:val="24"/>
        </w:rPr>
      </w:pPr>
      <w:r w:rsidRPr="00D64FAD">
        <w:rPr>
          <w:b/>
          <w:sz w:val="24"/>
          <w:szCs w:val="24"/>
        </w:rPr>
        <w:t>Results.</w:t>
      </w:r>
      <w:r>
        <w:rPr>
          <w:sz w:val="24"/>
          <w:szCs w:val="24"/>
        </w:rPr>
        <w:t xml:space="preserve"> </w:t>
      </w:r>
      <w:r w:rsidR="00F01732" w:rsidRPr="00F01732">
        <w:rPr>
          <w:sz w:val="24"/>
          <w:szCs w:val="24"/>
        </w:rPr>
        <w:t>Our results show that adolescents, even in poor settings, know about healthy diet and lifestyles. They want to have energy, feel happy, look good and live longer, but their desire for autonomy, a need to ‘belong’ in their peer group, plus vul</w:t>
      </w:r>
      <w:r w:rsidR="00B026FE">
        <w:rPr>
          <w:sz w:val="24"/>
          <w:szCs w:val="24"/>
        </w:rPr>
        <w:t xml:space="preserve">nerability to marketing exploiting </w:t>
      </w:r>
      <w:r w:rsidR="00F01732" w:rsidRPr="00F01732">
        <w:rPr>
          <w:sz w:val="24"/>
          <w:szCs w:val="24"/>
        </w:rPr>
        <w:t>their aspirations, leads them to make unhealthy choices. They describe significant gender, culture and context specific barriers. For example, urban adolescents had easy access to c</w:t>
      </w:r>
      <w:r w:rsidR="00527E21">
        <w:rPr>
          <w:sz w:val="24"/>
          <w:szCs w:val="24"/>
        </w:rPr>
        <w:t xml:space="preserve">alorie dense, unhealthy </w:t>
      </w:r>
      <w:r w:rsidR="00F01732" w:rsidRPr="00F01732">
        <w:rPr>
          <w:sz w:val="24"/>
          <w:szCs w:val="24"/>
        </w:rPr>
        <w:t>foods</w:t>
      </w:r>
      <w:r w:rsidR="00527E21" w:rsidRPr="00527E21">
        <w:rPr>
          <w:color w:val="FF0000"/>
          <w:sz w:val="24"/>
          <w:szCs w:val="24"/>
        </w:rPr>
        <w:t xml:space="preserve"> bought outside the home</w:t>
      </w:r>
      <w:r w:rsidR="00F01732" w:rsidRPr="00F01732">
        <w:rPr>
          <w:sz w:val="24"/>
          <w:szCs w:val="24"/>
        </w:rPr>
        <w:t xml:space="preserve">, whereas junk foods were only beginning to permeate rural sites. Among adolescents in Indian sites, </w:t>
      </w:r>
      <w:r w:rsidR="00B026FE">
        <w:rPr>
          <w:sz w:val="24"/>
          <w:szCs w:val="24"/>
        </w:rPr>
        <w:t>pressure to excel in exams meant</w:t>
      </w:r>
      <w:r w:rsidR="00F01732" w:rsidRPr="00F01732">
        <w:rPr>
          <w:sz w:val="24"/>
          <w:szCs w:val="24"/>
        </w:rPr>
        <w:t xml:space="preserve"> that academic studies </w:t>
      </w:r>
      <w:r w:rsidR="00B026FE">
        <w:rPr>
          <w:sz w:val="24"/>
          <w:szCs w:val="24"/>
        </w:rPr>
        <w:t>we</w:t>
      </w:r>
      <w:r w:rsidR="00F01732" w:rsidRPr="00F01732">
        <w:rPr>
          <w:sz w:val="24"/>
          <w:szCs w:val="24"/>
        </w:rPr>
        <w:t>re squeezing out physical activity time.</w:t>
      </w:r>
    </w:p>
    <w:p w:rsidR="00F01732" w:rsidRPr="00F01732" w:rsidRDefault="00D64FAD" w:rsidP="00F01732">
      <w:pPr>
        <w:spacing w:line="480" w:lineRule="auto"/>
        <w:rPr>
          <w:sz w:val="24"/>
          <w:szCs w:val="24"/>
        </w:rPr>
      </w:pPr>
      <w:r>
        <w:rPr>
          <w:b/>
          <w:sz w:val="24"/>
          <w:szCs w:val="24"/>
        </w:rPr>
        <w:t xml:space="preserve">Conclusions. </w:t>
      </w:r>
      <w:r w:rsidR="00F01732" w:rsidRPr="00F01732">
        <w:rPr>
          <w:sz w:val="24"/>
          <w:szCs w:val="24"/>
        </w:rPr>
        <w:t xml:space="preserve">Interventions to improve adolescents’ diets and physical activity levels must therefore address structural and environmental issues and influences in their homes and schools, since it is clear that their food and activity choices are the product of an interacting complex of factors. </w:t>
      </w:r>
      <w:r w:rsidR="00872661" w:rsidRPr="00872661">
        <w:rPr>
          <w:color w:val="FF0000"/>
          <w:sz w:val="24"/>
          <w:szCs w:val="24"/>
        </w:rPr>
        <w:t>In the next phase of work, t</w:t>
      </w:r>
      <w:r w:rsidR="00F01732" w:rsidRPr="00872661">
        <w:rPr>
          <w:color w:val="FF0000"/>
          <w:sz w:val="24"/>
          <w:szCs w:val="24"/>
        </w:rPr>
        <w:t xml:space="preserve">he TALENT consortium </w:t>
      </w:r>
      <w:r w:rsidR="00666667">
        <w:rPr>
          <w:color w:val="FF0000"/>
          <w:sz w:val="24"/>
          <w:szCs w:val="24"/>
        </w:rPr>
        <w:t>will employ groups of adolescents,</w:t>
      </w:r>
      <w:r w:rsidR="00F01732" w:rsidRPr="00872661">
        <w:rPr>
          <w:color w:val="FF0000"/>
          <w:sz w:val="24"/>
          <w:szCs w:val="24"/>
        </w:rPr>
        <w:t xml:space="preserve"> caregivers and local stakeholders in each site </w:t>
      </w:r>
      <w:r w:rsidR="00872661">
        <w:rPr>
          <w:color w:val="FF0000"/>
          <w:sz w:val="24"/>
          <w:szCs w:val="24"/>
        </w:rPr>
        <w:t>to</w:t>
      </w:r>
      <w:r w:rsidR="00666667">
        <w:rPr>
          <w:color w:val="FF0000"/>
          <w:sz w:val="24"/>
          <w:szCs w:val="24"/>
        </w:rPr>
        <w:t xml:space="preserve"> </w:t>
      </w:r>
      <w:r w:rsidR="001C1374">
        <w:rPr>
          <w:color w:val="FF0000"/>
          <w:sz w:val="24"/>
          <w:szCs w:val="24"/>
        </w:rPr>
        <w:t xml:space="preserve">develop interventions to </w:t>
      </w:r>
      <w:r w:rsidR="001C1374">
        <w:rPr>
          <w:color w:val="FF0000"/>
          <w:sz w:val="24"/>
          <w:szCs w:val="24"/>
        </w:rPr>
        <w:lastRenderedPageBreak/>
        <w:t xml:space="preserve">improve adolescent nutritional status. </w:t>
      </w:r>
      <w:r w:rsidR="00872661">
        <w:rPr>
          <w:color w:val="FF0000"/>
          <w:sz w:val="24"/>
          <w:szCs w:val="24"/>
        </w:rPr>
        <w:t xml:space="preserve"> </w:t>
      </w:r>
    </w:p>
    <w:p w:rsidR="00F01732" w:rsidRPr="00F01732" w:rsidRDefault="00F01732" w:rsidP="00F01732">
      <w:pPr>
        <w:spacing w:line="480" w:lineRule="auto"/>
        <w:rPr>
          <w:sz w:val="24"/>
          <w:szCs w:val="24"/>
        </w:rPr>
      </w:pPr>
    </w:p>
    <w:p w:rsidR="00F01732" w:rsidRPr="00F01732" w:rsidRDefault="00F01732" w:rsidP="00F01732">
      <w:pPr>
        <w:spacing w:line="480" w:lineRule="auto"/>
        <w:rPr>
          <w:b/>
          <w:sz w:val="24"/>
          <w:szCs w:val="24"/>
        </w:rPr>
      </w:pPr>
      <w:r w:rsidRPr="00F01732">
        <w:rPr>
          <w:b/>
          <w:sz w:val="24"/>
          <w:szCs w:val="24"/>
        </w:rPr>
        <w:t>Introduction</w:t>
      </w:r>
    </w:p>
    <w:p w:rsidR="00F01732" w:rsidRPr="00F01732" w:rsidRDefault="00F01732" w:rsidP="00F01732">
      <w:pPr>
        <w:spacing w:line="480" w:lineRule="auto"/>
        <w:rPr>
          <w:sz w:val="24"/>
          <w:szCs w:val="24"/>
        </w:rPr>
      </w:pPr>
      <w:r w:rsidRPr="00F01732">
        <w:rPr>
          <w:sz w:val="24"/>
          <w:szCs w:val="24"/>
        </w:rPr>
        <w:t xml:space="preserve">Measured against any global standard, adolescent diet, physical activity and nutritional status are often sub-optimal. This special issue is devoted to exploring factors affecting diet and physical activity in adolescent boys and girls, including </w:t>
      </w:r>
      <w:r w:rsidR="00895FD4">
        <w:rPr>
          <w:sz w:val="24"/>
          <w:szCs w:val="24"/>
        </w:rPr>
        <w:t xml:space="preserve">those from </w:t>
      </w:r>
      <w:r w:rsidRPr="00F01732">
        <w:rPr>
          <w:sz w:val="24"/>
          <w:szCs w:val="24"/>
        </w:rPr>
        <w:t>food insecure and vulnerable group</w:t>
      </w:r>
      <w:r w:rsidR="00895FD4">
        <w:rPr>
          <w:sz w:val="24"/>
          <w:szCs w:val="24"/>
        </w:rPr>
        <w:t>s</w:t>
      </w:r>
      <w:r w:rsidRPr="00F01732">
        <w:rPr>
          <w:sz w:val="24"/>
          <w:szCs w:val="24"/>
        </w:rPr>
        <w:t xml:space="preserve"> and </w:t>
      </w:r>
      <w:r w:rsidR="00B026FE">
        <w:rPr>
          <w:sz w:val="24"/>
          <w:szCs w:val="24"/>
        </w:rPr>
        <w:t xml:space="preserve">in </w:t>
      </w:r>
      <w:r w:rsidRPr="00F01732">
        <w:rPr>
          <w:sz w:val="24"/>
          <w:szCs w:val="24"/>
        </w:rPr>
        <w:t xml:space="preserve">urban, </w:t>
      </w:r>
      <w:r w:rsidR="00B026FE">
        <w:rPr>
          <w:sz w:val="24"/>
          <w:szCs w:val="24"/>
        </w:rPr>
        <w:t>peri-urban and rural settings from</w:t>
      </w:r>
      <w:r w:rsidRPr="00F01732">
        <w:rPr>
          <w:sz w:val="24"/>
          <w:szCs w:val="24"/>
        </w:rPr>
        <w:t xml:space="preserve"> a range of low- and middle-income countries (LMICs). Specifically, the questions addressed in this collection of papers are: What are adolescents eating, what types of physical activity are they engaged with, and what influences these behaviours? Bringing these papers together as a special issue foregrounds the factors that are common in influencing adolescent diet and physical activity whilst also making clear the challenges unique to each context.</w:t>
      </w:r>
    </w:p>
    <w:p w:rsidR="00F01732" w:rsidRPr="00F01732" w:rsidRDefault="00F01732" w:rsidP="00F01732">
      <w:pPr>
        <w:spacing w:line="480" w:lineRule="auto"/>
        <w:rPr>
          <w:sz w:val="24"/>
          <w:szCs w:val="24"/>
        </w:rPr>
      </w:pPr>
    </w:p>
    <w:p w:rsidR="00F01732" w:rsidRPr="00F01732" w:rsidRDefault="00F01732" w:rsidP="00F01732">
      <w:pPr>
        <w:spacing w:line="480" w:lineRule="auto"/>
        <w:rPr>
          <w:sz w:val="24"/>
          <w:szCs w:val="24"/>
        </w:rPr>
      </w:pPr>
      <w:r w:rsidRPr="00F01732">
        <w:rPr>
          <w:sz w:val="24"/>
          <w:szCs w:val="24"/>
        </w:rPr>
        <w:t>Adolescence is the stage of life (10-19 years) in which a child transitions into an adulthood. It is characterized by accelerated growth, sexual maturation, substantial brain re-modelling, and an increase in the complexity of social interactions. The age of onset of puberty has fallen globally over the last century, while social changes such as longer schooling and later marriage have postponed the transition to independent ad</w:t>
      </w:r>
      <w:r w:rsidR="004B2902">
        <w:rPr>
          <w:sz w:val="24"/>
          <w:szCs w:val="24"/>
        </w:rPr>
        <w:t>ulthood, prolonging adolescence</w:t>
      </w:r>
      <w:r w:rsidR="00CE3A40" w:rsidRPr="00CE3A40">
        <w:rPr>
          <w:sz w:val="24"/>
          <w:szCs w:val="24"/>
          <w:vertAlign w:val="superscript"/>
        </w:rPr>
        <w:t>(1)</w:t>
      </w:r>
      <w:r w:rsidRPr="00F01732">
        <w:rPr>
          <w:sz w:val="24"/>
          <w:szCs w:val="24"/>
        </w:rPr>
        <w:t>. There are more than a billion adolescents in the world, the largest number in human history and a doubling since 1970. Half live in sub-Saharan Africa and South Asia, where they form 20-35% of the population</w:t>
      </w:r>
      <w:r w:rsidR="00CE3A40" w:rsidRPr="00CE3A40">
        <w:rPr>
          <w:sz w:val="24"/>
          <w:szCs w:val="24"/>
          <w:vertAlign w:val="superscript"/>
        </w:rPr>
        <w:t>(</w:t>
      </w:r>
      <w:r w:rsidRPr="00CE3A40">
        <w:rPr>
          <w:sz w:val="24"/>
          <w:szCs w:val="24"/>
          <w:vertAlign w:val="superscript"/>
        </w:rPr>
        <w:t>2,3</w:t>
      </w:r>
      <w:r w:rsidR="00CE3A40" w:rsidRPr="00CE3A40">
        <w:rPr>
          <w:sz w:val="24"/>
          <w:szCs w:val="24"/>
          <w:vertAlign w:val="superscript"/>
        </w:rPr>
        <w:t>)</w:t>
      </w:r>
      <w:r w:rsidRPr="00F01732">
        <w:rPr>
          <w:sz w:val="24"/>
          <w:szCs w:val="24"/>
        </w:rPr>
        <w:t>.</w:t>
      </w:r>
    </w:p>
    <w:p w:rsidR="00F01732" w:rsidRPr="00F01732" w:rsidRDefault="00F01732" w:rsidP="00F01732">
      <w:pPr>
        <w:spacing w:line="480" w:lineRule="auto"/>
        <w:rPr>
          <w:sz w:val="24"/>
          <w:szCs w:val="24"/>
        </w:rPr>
      </w:pPr>
    </w:p>
    <w:p w:rsidR="00F01732" w:rsidRPr="00E250E7" w:rsidRDefault="00F01732" w:rsidP="00F01732">
      <w:pPr>
        <w:spacing w:line="480" w:lineRule="auto"/>
        <w:rPr>
          <w:b/>
          <w:sz w:val="24"/>
          <w:szCs w:val="24"/>
        </w:rPr>
      </w:pPr>
      <w:r w:rsidRPr="00F01732">
        <w:rPr>
          <w:b/>
          <w:sz w:val="24"/>
          <w:szCs w:val="24"/>
        </w:rPr>
        <w:t>Adolescent nutrition and long-term health</w:t>
      </w:r>
    </w:p>
    <w:p w:rsidR="00F01732" w:rsidRPr="00F01732" w:rsidRDefault="00F01732" w:rsidP="00F01732">
      <w:pPr>
        <w:spacing w:line="480" w:lineRule="auto"/>
        <w:rPr>
          <w:sz w:val="24"/>
          <w:szCs w:val="24"/>
        </w:rPr>
      </w:pPr>
      <w:r w:rsidRPr="00F01732">
        <w:rPr>
          <w:sz w:val="24"/>
          <w:szCs w:val="24"/>
        </w:rPr>
        <w:t xml:space="preserve">Adolescence has a special importance for long-term health because it is a critical period of development, in which the physical, psychological, behavioural, social and economic </w:t>
      </w:r>
      <w:r w:rsidRPr="00F01732">
        <w:rPr>
          <w:sz w:val="24"/>
          <w:szCs w:val="24"/>
        </w:rPr>
        <w:lastRenderedPageBreak/>
        <w:t>foundations of adult health are consolidated. Adolescence is a key time for acquiring muscle and bone mass, and peak and cardio-respiratory fitness, which are nutritionally sensitive are achieved. Adiposity, which is also influenced by nutrition, is related to later health</w:t>
      </w:r>
      <w:r w:rsidR="00E250E7">
        <w:rPr>
          <w:sz w:val="24"/>
          <w:szCs w:val="24"/>
          <w:vertAlign w:val="superscript"/>
        </w:rPr>
        <w:t xml:space="preserve"> (4</w:t>
      </w:r>
      <w:r w:rsidRPr="00E250E7">
        <w:rPr>
          <w:sz w:val="24"/>
          <w:szCs w:val="24"/>
          <w:vertAlign w:val="superscript"/>
        </w:rPr>
        <w:t>,5</w:t>
      </w:r>
      <w:r w:rsidR="00E250E7" w:rsidRPr="00E250E7">
        <w:rPr>
          <w:sz w:val="24"/>
          <w:szCs w:val="24"/>
          <w:vertAlign w:val="superscript"/>
        </w:rPr>
        <w:t>)</w:t>
      </w:r>
      <w:r w:rsidRPr="00E250E7">
        <w:rPr>
          <w:sz w:val="24"/>
          <w:szCs w:val="24"/>
        </w:rPr>
        <w:t>.</w:t>
      </w:r>
      <w:r w:rsidRPr="00F01732">
        <w:rPr>
          <w:sz w:val="24"/>
          <w:szCs w:val="24"/>
        </w:rPr>
        <w:t xml:space="preserve"> Widespread brain re-modelling during adolescence leads to a large increase in cognitive ability</w:t>
      </w:r>
      <w:r w:rsidR="00E250E7" w:rsidRPr="00E250E7">
        <w:rPr>
          <w:sz w:val="24"/>
          <w:szCs w:val="24"/>
          <w:vertAlign w:val="superscript"/>
        </w:rPr>
        <w:t>(6)</w:t>
      </w:r>
      <w:r w:rsidRPr="00F01732">
        <w:rPr>
          <w:sz w:val="24"/>
          <w:szCs w:val="24"/>
        </w:rPr>
        <w:t>. It is a key time for the development of executive function and ‘agency’, the capaci</w:t>
      </w:r>
      <w:r w:rsidR="00E250E7">
        <w:rPr>
          <w:sz w:val="24"/>
          <w:szCs w:val="24"/>
        </w:rPr>
        <w:t>ty to make independent choices and achieve goals,</w:t>
      </w:r>
      <w:r w:rsidRPr="00F01732">
        <w:rPr>
          <w:sz w:val="24"/>
          <w:szCs w:val="24"/>
        </w:rPr>
        <w:t xml:space="preserve"> and the ability to form healthy social networks and sexual relationships. Lifelong adaptive or maladaptive behaviour patterns are established, such as choices about diet, physical activity, tobacco and alcohol</w:t>
      </w:r>
      <w:r w:rsidR="00790810">
        <w:rPr>
          <w:sz w:val="24"/>
          <w:szCs w:val="24"/>
        </w:rPr>
        <w:t xml:space="preserve"> </w:t>
      </w:r>
      <w:r w:rsidR="00790810" w:rsidRPr="00790810">
        <w:rPr>
          <w:color w:val="FF0000"/>
          <w:sz w:val="24"/>
          <w:szCs w:val="24"/>
        </w:rPr>
        <w:t>shaped by adolescents</w:t>
      </w:r>
      <w:r w:rsidR="00F807D4">
        <w:rPr>
          <w:color w:val="FF0000"/>
          <w:sz w:val="24"/>
          <w:szCs w:val="24"/>
        </w:rPr>
        <w:t xml:space="preserve"> decreasing reward sensitivity and</w:t>
      </w:r>
      <w:r w:rsidR="00790810" w:rsidRPr="00790810">
        <w:rPr>
          <w:color w:val="FF0000"/>
          <w:sz w:val="24"/>
          <w:szCs w:val="24"/>
        </w:rPr>
        <w:t xml:space="preserve"> increasing ability to consider the future and to delay gratification</w:t>
      </w:r>
      <w:r w:rsidR="00790810" w:rsidRPr="00790810">
        <w:rPr>
          <w:color w:val="FF0000"/>
          <w:sz w:val="24"/>
          <w:szCs w:val="24"/>
          <w:vertAlign w:val="superscript"/>
        </w:rPr>
        <w:t xml:space="preserve"> </w:t>
      </w:r>
      <w:r w:rsidR="00E250E7" w:rsidRPr="00E250E7">
        <w:rPr>
          <w:sz w:val="24"/>
          <w:szCs w:val="24"/>
          <w:vertAlign w:val="superscript"/>
        </w:rPr>
        <w:t>(</w:t>
      </w:r>
      <w:r w:rsidRPr="00E250E7">
        <w:rPr>
          <w:sz w:val="24"/>
          <w:szCs w:val="24"/>
          <w:vertAlign w:val="superscript"/>
        </w:rPr>
        <w:t>7-</w:t>
      </w:r>
      <w:r w:rsidR="00F807D4">
        <w:rPr>
          <w:sz w:val="24"/>
          <w:szCs w:val="24"/>
          <w:vertAlign w:val="superscript"/>
        </w:rPr>
        <w:t>10</w:t>
      </w:r>
      <w:r w:rsidR="00E250E7" w:rsidRPr="00E250E7">
        <w:rPr>
          <w:sz w:val="24"/>
          <w:szCs w:val="24"/>
          <w:vertAlign w:val="superscript"/>
        </w:rPr>
        <w:t>)</w:t>
      </w:r>
      <w:r w:rsidRPr="00F01732">
        <w:rPr>
          <w:sz w:val="24"/>
          <w:szCs w:val="24"/>
        </w:rPr>
        <w:t>. It has been suggested that adolescence is also a critical period in which optimal nutrition could mitigate the effects of poor fetal and infant nutrition</w:t>
      </w:r>
      <w:r w:rsidR="00E250E7" w:rsidRPr="00E250E7">
        <w:rPr>
          <w:sz w:val="24"/>
          <w:szCs w:val="24"/>
          <w:vertAlign w:val="superscript"/>
        </w:rPr>
        <w:t>(</w:t>
      </w:r>
      <w:r w:rsidR="00F807D4">
        <w:rPr>
          <w:sz w:val="24"/>
          <w:szCs w:val="24"/>
          <w:vertAlign w:val="superscript"/>
        </w:rPr>
        <w:t>11,12</w:t>
      </w:r>
      <w:r w:rsidR="00E250E7" w:rsidRPr="00E250E7">
        <w:rPr>
          <w:sz w:val="24"/>
          <w:szCs w:val="24"/>
          <w:vertAlign w:val="superscript"/>
        </w:rPr>
        <w:t>)</w:t>
      </w:r>
      <w:r w:rsidRPr="00F01732">
        <w:rPr>
          <w:sz w:val="24"/>
          <w:szCs w:val="24"/>
        </w:rPr>
        <w:t>. However, the potential for good adolescent nutrition to remedy stunting or adverse early life cardiovascular and metabolic programming remains largely unknown. There is a need for better understanding of the impact of nutrition in adolescence on pubertal growth, body composition and later health. Adole</w:t>
      </w:r>
      <w:r w:rsidR="00C65C95">
        <w:rPr>
          <w:sz w:val="24"/>
          <w:szCs w:val="24"/>
        </w:rPr>
        <w:t>scents are also future parents</w:t>
      </w:r>
      <w:r w:rsidRPr="00F01732">
        <w:rPr>
          <w:sz w:val="24"/>
          <w:szCs w:val="24"/>
        </w:rPr>
        <w:t>. Parents’ knowledge of and attitudes to nutrition have a significant impact on the way they feed their children and their children’s dietary preferences</w:t>
      </w:r>
      <w:r w:rsidR="00E250E7" w:rsidRPr="00E250E7">
        <w:rPr>
          <w:sz w:val="24"/>
          <w:szCs w:val="24"/>
          <w:vertAlign w:val="superscript"/>
        </w:rPr>
        <w:t>(</w:t>
      </w:r>
      <w:r w:rsidRPr="00E250E7">
        <w:rPr>
          <w:sz w:val="24"/>
          <w:szCs w:val="24"/>
          <w:vertAlign w:val="superscript"/>
        </w:rPr>
        <w:t>13</w:t>
      </w:r>
      <w:r w:rsidR="00F807D4">
        <w:rPr>
          <w:sz w:val="24"/>
          <w:szCs w:val="24"/>
          <w:vertAlign w:val="superscript"/>
        </w:rPr>
        <w:t>,14</w:t>
      </w:r>
      <w:r w:rsidR="00E250E7" w:rsidRPr="00E250E7">
        <w:rPr>
          <w:sz w:val="24"/>
          <w:szCs w:val="24"/>
          <w:vertAlign w:val="superscript"/>
        </w:rPr>
        <w:t>)</w:t>
      </w:r>
      <w:r w:rsidRPr="00F01732">
        <w:rPr>
          <w:sz w:val="24"/>
          <w:szCs w:val="24"/>
        </w:rPr>
        <w:t xml:space="preserve">. In addition, </w:t>
      </w:r>
      <w:r w:rsidR="00C65C95">
        <w:rPr>
          <w:sz w:val="24"/>
          <w:szCs w:val="24"/>
        </w:rPr>
        <w:t xml:space="preserve">maternal nutrition is known to influence metabolism throughout life </w:t>
      </w:r>
      <w:r w:rsidRPr="00F01732">
        <w:rPr>
          <w:sz w:val="24"/>
          <w:szCs w:val="24"/>
        </w:rPr>
        <w:t>through eff</w:t>
      </w:r>
      <w:r w:rsidR="00C65C95">
        <w:rPr>
          <w:sz w:val="24"/>
          <w:szCs w:val="24"/>
        </w:rPr>
        <w:t>ects on fetal development</w:t>
      </w:r>
      <w:r w:rsidR="009C5E84">
        <w:rPr>
          <w:sz w:val="24"/>
          <w:szCs w:val="24"/>
        </w:rPr>
        <w:t>; b</w:t>
      </w:r>
      <w:r w:rsidRPr="00F01732">
        <w:rPr>
          <w:sz w:val="24"/>
          <w:szCs w:val="24"/>
        </w:rPr>
        <w:t>oth maternal undernutrition and obesity adversely ‘programme’ the fetus, leading to an increased risk of</w:t>
      </w:r>
      <w:r w:rsidR="009C5E84">
        <w:rPr>
          <w:sz w:val="24"/>
          <w:szCs w:val="24"/>
        </w:rPr>
        <w:t xml:space="preserve"> adult non-communicable disease</w:t>
      </w:r>
      <w:r w:rsidR="00247547">
        <w:rPr>
          <w:sz w:val="24"/>
          <w:szCs w:val="24"/>
        </w:rPr>
        <w:t>(NCD)</w:t>
      </w:r>
      <w:r w:rsidR="009C5E84" w:rsidRPr="009C5E84">
        <w:rPr>
          <w:sz w:val="24"/>
          <w:szCs w:val="24"/>
          <w:vertAlign w:val="superscript"/>
        </w:rPr>
        <w:t>(</w:t>
      </w:r>
      <w:r w:rsidRPr="009C5E84">
        <w:rPr>
          <w:sz w:val="24"/>
          <w:szCs w:val="24"/>
          <w:vertAlign w:val="superscript"/>
        </w:rPr>
        <w:t>1</w:t>
      </w:r>
      <w:r w:rsidR="00F807D4">
        <w:rPr>
          <w:sz w:val="24"/>
          <w:szCs w:val="24"/>
          <w:vertAlign w:val="superscript"/>
        </w:rPr>
        <w:t>5-18</w:t>
      </w:r>
      <w:r w:rsidR="009C5E84" w:rsidRPr="009C5E84">
        <w:rPr>
          <w:sz w:val="24"/>
          <w:szCs w:val="24"/>
          <w:vertAlign w:val="superscript"/>
        </w:rPr>
        <w:t>)</w:t>
      </w:r>
      <w:r w:rsidRPr="00F01732">
        <w:rPr>
          <w:sz w:val="24"/>
          <w:szCs w:val="24"/>
        </w:rPr>
        <w:t>. Research in animals suggests that there are paternal and maternal effects on offspring epigenetic characteristics</w:t>
      </w:r>
      <w:r w:rsidR="009C5E84" w:rsidRPr="009C5E84">
        <w:rPr>
          <w:sz w:val="24"/>
          <w:szCs w:val="24"/>
          <w:vertAlign w:val="superscript"/>
        </w:rPr>
        <w:t>(</w:t>
      </w:r>
      <w:r w:rsidRPr="009C5E84">
        <w:rPr>
          <w:sz w:val="24"/>
          <w:szCs w:val="24"/>
          <w:vertAlign w:val="superscript"/>
        </w:rPr>
        <w:t>19</w:t>
      </w:r>
      <w:r w:rsidR="00F807D4">
        <w:rPr>
          <w:sz w:val="24"/>
          <w:szCs w:val="24"/>
          <w:vertAlign w:val="superscript"/>
        </w:rPr>
        <w:t>,20</w:t>
      </w:r>
      <w:r w:rsidR="009C5E84" w:rsidRPr="009C5E84">
        <w:rPr>
          <w:sz w:val="24"/>
          <w:szCs w:val="24"/>
          <w:vertAlign w:val="superscript"/>
        </w:rPr>
        <w:t>)</w:t>
      </w:r>
      <w:r w:rsidRPr="00F01732">
        <w:rPr>
          <w:sz w:val="24"/>
          <w:szCs w:val="24"/>
        </w:rPr>
        <w:t xml:space="preserve">, highlighting the </w:t>
      </w:r>
      <w:r w:rsidR="009C5E84">
        <w:rPr>
          <w:sz w:val="24"/>
          <w:szCs w:val="24"/>
        </w:rPr>
        <w:t xml:space="preserve">significance </w:t>
      </w:r>
      <w:r w:rsidRPr="00F01732">
        <w:rPr>
          <w:sz w:val="24"/>
          <w:szCs w:val="24"/>
        </w:rPr>
        <w:t>of nutrition among young men for inter-generational health effects. Optimising adolescent diet and nutrition therefore has the potential to deliver triple benefits: to i) increase physical, psychological and cognitive capital; ii) protect against future disease</w:t>
      </w:r>
      <w:r w:rsidR="00A50E71">
        <w:rPr>
          <w:sz w:val="24"/>
          <w:szCs w:val="24"/>
        </w:rPr>
        <w:t xml:space="preserve">, </w:t>
      </w:r>
      <w:r w:rsidRPr="00F01732">
        <w:rPr>
          <w:sz w:val="24"/>
          <w:szCs w:val="24"/>
        </w:rPr>
        <w:t>and</w:t>
      </w:r>
      <w:r w:rsidR="00A50E71">
        <w:rPr>
          <w:sz w:val="24"/>
          <w:szCs w:val="24"/>
        </w:rPr>
        <w:t>;</w:t>
      </w:r>
      <w:r w:rsidRPr="00F01732">
        <w:rPr>
          <w:sz w:val="24"/>
          <w:szCs w:val="24"/>
        </w:rPr>
        <w:t xml:space="preserve"> iii) improve the development and health of the next generation.</w:t>
      </w:r>
    </w:p>
    <w:p w:rsidR="00F01732" w:rsidRPr="00F01732" w:rsidRDefault="00F01732" w:rsidP="00F01732">
      <w:pPr>
        <w:spacing w:line="480" w:lineRule="auto"/>
        <w:rPr>
          <w:sz w:val="24"/>
          <w:szCs w:val="24"/>
        </w:rPr>
      </w:pPr>
    </w:p>
    <w:p w:rsidR="00F01732" w:rsidRPr="00F01732" w:rsidRDefault="00F01732" w:rsidP="00F01732">
      <w:pPr>
        <w:spacing w:line="480" w:lineRule="auto"/>
        <w:rPr>
          <w:b/>
          <w:sz w:val="24"/>
          <w:szCs w:val="24"/>
        </w:rPr>
      </w:pPr>
      <w:r w:rsidRPr="00F01732">
        <w:rPr>
          <w:b/>
          <w:sz w:val="24"/>
          <w:szCs w:val="24"/>
        </w:rPr>
        <w:t>Adolescent nutrition research</w:t>
      </w:r>
    </w:p>
    <w:p w:rsidR="00054883" w:rsidRPr="00054883" w:rsidRDefault="00F01732" w:rsidP="00054883">
      <w:pPr>
        <w:spacing w:line="480" w:lineRule="auto"/>
        <w:rPr>
          <w:color w:val="FF0000"/>
          <w:sz w:val="24"/>
          <w:szCs w:val="24"/>
        </w:rPr>
      </w:pPr>
      <w:r w:rsidRPr="00F01732">
        <w:rPr>
          <w:sz w:val="24"/>
          <w:szCs w:val="24"/>
        </w:rPr>
        <w:t>Despite this potential, and the recognition that adolescents have increased nutritional requirements for growth and maturation, nutrition at this age has been relatively neglected</w:t>
      </w:r>
      <w:r w:rsidR="00247547" w:rsidRPr="00247547">
        <w:rPr>
          <w:sz w:val="24"/>
          <w:szCs w:val="24"/>
          <w:vertAlign w:val="superscript"/>
        </w:rPr>
        <w:t>(</w:t>
      </w:r>
      <w:r w:rsidR="00F807D4">
        <w:rPr>
          <w:sz w:val="24"/>
          <w:szCs w:val="24"/>
          <w:vertAlign w:val="superscript"/>
        </w:rPr>
        <w:t>21</w:t>
      </w:r>
      <w:r w:rsidR="00247547" w:rsidRPr="00247547">
        <w:rPr>
          <w:sz w:val="24"/>
          <w:szCs w:val="24"/>
          <w:vertAlign w:val="superscript"/>
        </w:rPr>
        <w:t>)</w:t>
      </w:r>
      <w:r w:rsidRPr="00F01732">
        <w:rPr>
          <w:sz w:val="24"/>
          <w:szCs w:val="24"/>
        </w:rPr>
        <w:t>.  Research has tended to focus on ‘problem behaviours’ (accidents, sexually transmitted disease and addictions) including nutritional ‘problem behaviours’ (eating disorders) with little focus on communicable or chronic diseases or on environmental impact on growth. In LMICs, adolescence is seen as a relatively healthy age, coming after the high infectious disease mortality of infancy and childhood, approaching the attainment of peak physical and cognitive capacity, and before the onset of degenerative and NCDs</w:t>
      </w:r>
      <w:r w:rsidR="006F7669" w:rsidRPr="006F7669">
        <w:rPr>
          <w:color w:val="FF0000"/>
          <w:sz w:val="24"/>
          <w:szCs w:val="24"/>
          <w:vertAlign w:val="superscript"/>
        </w:rPr>
        <w:t>(6)</w:t>
      </w:r>
      <w:r w:rsidRPr="00F01732">
        <w:rPr>
          <w:sz w:val="24"/>
          <w:szCs w:val="24"/>
        </w:rPr>
        <w:t>. Adolescents are often seen as difficult to engage in thinking about their health, prioritising t</w:t>
      </w:r>
      <w:r w:rsidR="00247547">
        <w:rPr>
          <w:sz w:val="24"/>
          <w:szCs w:val="24"/>
        </w:rPr>
        <w:t>he immediate over the long-term</w:t>
      </w:r>
      <w:r w:rsidR="00F807D4">
        <w:rPr>
          <w:sz w:val="24"/>
          <w:szCs w:val="24"/>
          <w:vertAlign w:val="superscript"/>
        </w:rPr>
        <w:t>(</w:t>
      </w:r>
      <w:r w:rsidR="001E6F5B" w:rsidRPr="001E6F5B">
        <w:rPr>
          <w:color w:val="FF0000"/>
          <w:sz w:val="24"/>
          <w:szCs w:val="24"/>
          <w:vertAlign w:val="superscript"/>
        </w:rPr>
        <w:t>7,</w:t>
      </w:r>
      <w:r w:rsidR="00F807D4">
        <w:rPr>
          <w:sz w:val="24"/>
          <w:szCs w:val="24"/>
          <w:vertAlign w:val="superscript"/>
        </w:rPr>
        <w:t>22</w:t>
      </w:r>
      <w:r w:rsidR="00247547" w:rsidRPr="00247547">
        <w:rPr>
          <w:sz w:val="24"/>
          <w:szCs w:val="24"/>
          <w:vertAlign w:val="superscript"/>
        </w:rPr>
        <w:t>)</w:t>
      </w:r>
      <w:r w:rsidR="00247547">
        <w:rPr>
          <w:sz w:val="24"/>
          <w:szCs w:val="24"/>
        </w:rPr>
        <w:t>.</w:t>
      </w:r>
      <w:r w:rsidRPr="00F01732">
        <w:rPr>
          <w:sz w:val="24"/>
          <w:szCs w:val="24"/>
        </w:rPr>
        <w:t xml:space="preserve"> </w:t>
      </w:r>
      <w:r w:rsidR="00054883" w:rsidRPr="007C4412">
        <w:rPr>
          <w:color w:val="FF0000"/>
          <w:sz w:val="24"/>
          <w:szCs w:val="24"/>
        </w:rPr>
        <w:t xml:space="preserve">In the context of food choice and this stage of cognitive development, </w:t>
      </w:r>
      <w:r w:rsidR="007C4412" w:rsidRPr="007C4412">
        <w:rPr>
          <w:color w:val="FF0000"/>
          <w:sz w:val="24"/>
          <w:szCs w:val="24"/>
        </w:rPr>
        <w:t xml:space="preserve">adolescent impulsivity and reward sensitivity </w:t>
      </w:r>
      <w:r w:rsidR="00054883" w:rsidRPr="00054883">
        <w:rPr>
          <w:color w:val="FF0000"/>
          <w:sz w:val="24"/>
          <w:szCs w:val="24"/>
        </w:rPr>
        <w:t>may manifest as choosing foods</w:t>
      </w:r>
    </w:p>
    <w:p w:rsidR="00710935" w:rsidRDefault="00054883" w:rsidP="00054883">
      <w:pPr>
        <w:spacing w:line="480" w:lineRule="auto"/>
        <w:rPr>
          <w:sz w:val="24"/>
          <w:szCs w:val="24"/>
        </w:rPr>
      </w:pPr>
      <w:r w:rsidRPr="00054883">
        <w:rPr>
          <w:color w:val="FF0000"/>
          <w:sz w:val="24"/>
          <w:szCs w:val="24"/>
        </w:rPr>
        <w:t>that are both more available and pleasurable, at the expense of</w:t>
      </w:r>
      <w:r w:rsidR="007C4412">
        <w:rPr>
          <w:color w:val="FF0000"/>
          <w:sz w:val="24"/>
          <w:szCs w:val="24"/>
        </w:rPr>
        <w:t xml:space="preserve"> </w:t>
      </w:r>
      <w:r w:rsidRPr="00054883">
        <w:rPr>
          <w:color w:val="FF0000"/>
          <w:sz w:val="24"/>
          <w:szCs w:val="24"/>
        </w:rPr>
        <w:t>planning, preparing and eating healthier alternatives</w:t>
      </w:r>
      <w:r w:rsidR="00330E24">
        <w:rPr>
          <w:color w:val="FF0000"/>
          <w:sz w:val="24"/>
          <w:szCs w:val="24"/>
          <w:vertAlign w:val="superscript"/>
        </w:rPr>
        <w:t>(23</w:t>
      </w:r>
      <w:r w:rsidR="007C4412" w:rsidRPr="007C4412">
        <w:rPr>
          <w:color w:val="FF0000"/>
          <w:sz w:val="24"/>
          <w:szCs w:val="24"/>
          <w:vertAlign w:val="superscript"/>
        </w:rPr>
        <w:t>)</w:t>
      </w:r>
      <w:r w:rsidR="007C4412">
        <w:rPr>
          <w:color w:val="FF0000"/>
          <w:sz w:val="24"/>
          <w:szCs w:val="24"/>
        </w:rPr>
        <w:t xml:space="preserve">. </w:t>
      </w:r>
      <w:r w:rsidR="00330E24">
        <w:rPr>
          <w:sz w:val="24"/>
          <w:szCs w:val="24"/>
        </w:rPr>
        <w:t>Adolescents</w:t>
      </w:r>
      <w:r w:rsidR="00F01732" w:rsidRPr="00F01732">
        <w:rPr>
          <w:sz w:val="24"/>
          <w:szCs w:val="24"/>
        </w:rPr>
        <w:t xml:space="preserve"> are also socially and educationally busy, and less likely to comply with interventions than younger children</w:t>
      </w:r>
      <w:r w:rsidR="00247547" w:rsidRPr="00247547">
        <w:rPr>
          <w:sz w:val="24"/>
          <w:szCs w:val="24"/>
          <w:vertAlign w:val="superscript"/>
        </w:rPr>
        <w:t>(</w:t>
      </w:r>
      <w:r w:rsidR="00330E24">
        <w:rPr>
          <w:sz w:val="24"/>
          <w:szCs w:val="24"/>
          <w:vertAlign w:val="superscript"/>
        </w:rPr>
        <w:t>12</w:t>
      </w:r>
      <w:r w:rsidR="00247547" w:rsidRPr="00247547">
        <w:rPr>
          <w:sz w:val="24"/>
          <w:szCs w:val="24"/>
          <w:vertAlign w:val="superscript"/>
        </w:rPr>
        <w:t>)</w:t>
      </w:r>
      <w:r w:rsidR="00247547">
        <w:rPr>
          <w:sz w:val="24"/>
          <w:szCs w:val="24"/>
        </w:rPr>
        <w:t>.</w:t>
      </w:r>
      <w:r w:rsidR="00F01732" w:rsidRPr="00F01732">
        <w:rPr>
          <w:sz w:val="24"/>
          <w:szCs w:val="24"/>
        </w:rPr>
        <w:t xml:space="preserve"> </w:t>
      </w:r>
    </w:p>
    <w:p w:rsidR="00BB6FCE" w:rsidRDefault="00BB6FCE" w:rsidP="00F01732">
      <w:pPr>
        <w:spacing w:line="480" w:lineRule="auto"/>
        <w:rPr>
          <w:sz w:val="24"/>
          <w:szCs w:val="24"/>
        </w:rPr>
      </w:pPr>
    </w:p>
    <w:p w:rsidR="00BB6FCE" w:rsidRDefault="00710935" w:rsidP="00F01732">
      <w:pPr>
        <w:spacing w:line="480" w:lineRule="auto"/>
        <w:rPr>
          <w:sz w:val="24"/>
          <w:szCs w:val="24"/>
        </w:rPr>
      </w:pPr>
      <w:r>
        <w:rPr>
          <w:sz w:val="24"/>
          <w:szCs w:val="24"/>
        </w:rPr>
        <w:t xml:space="preserve">Notwithstanding the resulting knowledge gap, it </w:t>
      </w:r>
      <w:r w:rsidR="00F01732" w:rsidRPr="00F01732">
        <w:rPr>
          <w:sz w:val="24"/>
          <w:szCs w:val="24"/>
        </w:rPr>
        <w:t>is clear</w:t>
      </w:r>
      <w:r>
        <w:rPr>
          <w:sz w:val="24"/>
          <w:szCs w:val="24"/>
        </w:rPr>
        <w:t xml:space="preserve"> there is</w:t>
      </w:r>
      <w:r w:rsidR="00F01732" w:rsidRPr="00F01732">
        <w:rPr>
          <w:sz w:val="24"/>
          <w:szCs w:val="24"/>
        </w:rPr>
        <w:t xml:space="preserve"> a ‘dual burden of malnutriti</w:t>
      </w:r>
      <w:r>
        <w:rPr>
          <w:sz w:val="24"/>
          <w:szCs w:val="24"/>
        </w:rPr>
        <w:t>on’ among young people in LMICs</w:t>
      </w:r>
      <w:r w:rsidRPr="00E25E96">
        <w:rPr>
          <w:sz w:val="24"/>
          <w:szCs w:val="24"/>
          <w:vertAlign w:val="superscript"/>
        </w:rPr>
        <w:t>(</w:t>
      </w:r>
      <w:r w:rsidR="00272ADF">
        <w:rPr>
          <w:sz w:val="24"/>
          <w:szCs w:val="24"/>
          <w:vertAlign w:val="superscript"/>
        </w:rPr>
        <w:t>21</w:t>
      </w:r>
      <w:r w:rsidRPr="00E25E96">
        <w:rPr>
          <w:sz w:val="24"/>
          <w:szCs w:val="24"/>
          <w:vertAlign w:val="superscript"/>
        </w:rPr>
        <w:t>)</w:t>
      </w:r>
      <w:r w:rsidR="00F01732" w:rsidRPr="00F01732">
        <w:rPr>
          <w:sz w:val="24"/>
          <w:szCs w:val="24"/>
        </w:rPr>
        <w:t>. Under- nutrition, food insecurity and poor-quality monotonous diets remain common, especially in vulnerable populations in sub-Saharan Africa and South Asia, resulting in continuing high rates of underweight, stunting and anaemia which impair growth and development. Gender gaps in nutrition are often small in childhood, but girls tend to become disadvantaged in adolescence</w:t>
      </w:r>
      <w:r w:rsidR="00E25E96" w:rsidRPr="00E25E96">
        <w:rPr>
          <w:sz w:val="24"/>
          <w:szCs w:val="24"/>
          <w:vertAlign w:val="superscript"/>
        </w:rPr>
        <w:t>(</w:t>
      </w:r>
      <w:r w:rsidR="00272ADF">
        <w:rPr>
          <w:sz w:val="24"/>
          <w:szCs w:val="24"/>
          <w:vertAlign w:val="superscript"/>
        </w:rPr>
        <w:t>2</w:t>
      </w:r>
      <w:r w:rsidR="008D24ED">
        <w:rPr>
          <w:sz w:val="24"/>
          <w:szCs w:val="24"/>
          <w:vertAlign w:val="superscript"/>
        </w:rPr>
        <w:t>,24</w:t>
      </w:r>
      <w:r w:rsidR="00E25E96" w:rsidRPr="00E25E96">
        <w:rPr>
          <w:sz w:val="24"/>
          <w:szCs w:val="24"/>
          <w:vertAlign w:val="superscript"/>
        </w:rPr>
        <w:t>)</w:t>
      </w:r>
      <w:r w:rsidR="00F01732" w:rsidRPr="00F01732">
        <w:rPr>
          <w:sz w:val="24"/>
          <w:szCs w:val="24"/>
        </w:rPr>
        <w:t>. Adolescent marriage and childbearing are common in some countries, presenting major nutritional challenges and leading to poor maternal, newborn and child outcomes</w:t>
      </w:r>
      <w:r w:rsidR="00E25E96" w:rsidRPr="00E25E96">
        <w:rPr>
          <w:sz w:val="24"/>
          <w:szCs w:val="24"/>
          <w:vertAlign w:val="superscript"/>
        </w:rPr>
        <w:t>(</w:t>
      </w:r>
      <w:r w:rsidR="00F01732" w:rsidRPr="00E25E96">
        <w:rPr>
          <w:sz w:val="24"/>
          <w:szCs w:val="24"/>
          <w:vertAlign w:val="superscript"/>
        </w:rPr>
        <w:t>2</w:t>
      </w:r>
      <w:r w:rsidR="00B92427">
        <w:rPr>
          <w:sz w:val="24"/>
          <w:szCs w:val="24"/>
          <w:vertAlign w:val="superscript"/>
        </w:rPr>
        <w:t>5</w:t>
      </w:r>
      <w:r w:rsidR="00F01732" w:rsidRPr="00E25E96">
        <w:rPr>
          <w:sz w:val="24"/>
          <w:szCs w:val="24"/>
          <w:vertAlign w:val="superscript"/>
        </w:rPr>
        <w:t>-2</w:t>
      </w:r>
      <w:r w:rsidR="00B92427">
        <w:rPr>
          <w:sz w:val="24"/>
          <w:szCs w:val="24"/>
          <w:vertAlign w:val="superscript"/>
        </w:rPr>
        <w:t>7</w:t>
      </w:r>
      <w:r w:rsidR="00E25E96" w:rsidRPr="00E25E96">
        <w:rPr>
          <w:sz w:val="24"/>
          <w:szCs w:val="24"/>
          <w:vertAlign w:val="superscript"/>
        </w:rPr>
        <w:t>)</w:t>
      </w:r>
      <w:r w:rsidR="00F01732" w:rsidRPr="00F01732">
        <w:rPr>
          <w:sz w:val="24"/>
          <w:szCs w:val="24"/>
        </w:rPr>
        <w:t>. Alongside persisting under-nutrition, growing access to energy-dense micronutrient-poor processed foods and insufficient physical activity are leading to obesity in some settings, with concomitant metabolic disorders that predict a high future burden of diabetes and cardiovascular disease</w:t>
      </w:r>
      <w:r w:rsidR="00BB6FCE" w:rsidRPr="00BB6FCE">
        <w:rPr>
          <w:sz w:val="24"/>
          <w:szCs w:val="24"/>
          <w:vertAlign w:val="superscript"/>
        </w:rPr>
        <w:t>(</w:t>
      </w:r>
      <w:r w:rsidR="00F01732" w:rsidRPr="00BB6FCE">
        <w:rPr>
          <w:sz w:val="24"/>
          <w:szCs w:val="24"/>
          <w:vertAlign w:val="superscript"/>
        </w:rPr>
        <w:t>2</w:t>
      </w:r>
      <w:r w:rsidR="00B92427">
        <w:rPr>
          <w:sz w:val="24"/>
          <w:szCs w:val="24"/>
          <w:vertAlign w:val="superscript"/>
        </w:rPr>
        <w:t>1</w:t>
      </w:r>
      <w:r w:rsidR="00F01732" w:rsidRPr="00BB6FCE">
        <w:rPr>
          <w:sz w:val="24"/>
          <w:szCs w:val="24"/>
          <w:vertAlign w:val="superscript"/>
        </w:rPr>
        <w:t>,2</w:t>
      </w:r>
      <w:r w:rsidR="00B92427">
        <w:rPr>
          <w:sz w:val="24"/>
          <w:szCs w:val="24"/>
          <w:vertAlign w:val="superscript"/>
        </w:rPr>
        <w:t>8</w:t>
      </w:r>
      <w:r w:rsidR="00BB6FCE" w:rsidRPr="00BB6FCE">
        <w:rPr>
          <w:sz w:val="24"/>
          <w:szCs w:val="24"/>
          <w:vertAlign w:val="superscript"/>
        </w:rPr>
        <w:t>)</w:t>
      </w:r>
      <w:r w:rsidR="00F01732" w:rsidRPr="00F01732">
        <w:rPr>
          <w:sz w:val="24"/>
          <w:szCs w:val="24"/>
        </w:rPr>
        <w:t>. Adolescents are vulnerable to marketing and social pressures that can lead to unhealthy food choices</w:t>
      </w:r>
      <w:r w:rsidR="00BB6FCE" w:rsidRPr="00BB6FCE">
        <w:rPr>
          <w:sz w:val="24"/>
          <w:szCs w:val="24"/>
          <w:vertAlign w:val="superscript"/>
        </w:rPr>
        <w:t>(</w:t>
      </w:r>
      <w:r w:rsidR="00272ADF">
        <w:rPr>
          <w:sz w:val="24"/>
          <w:szCs w:val="24"/>
          <w:vertAlign w:val="superscript"/>
        </w:rPr>
        <w:t>2</w:t>
      </w:r>
      <w:r w:rsidR="00B92427">
        <w:rPr>
          <w:sz w:val="24"/>
          <w:szCs w:val="24"/>
          <w:vertAlign w:val="superscript"/>
        </w:rPr>
        <w:t>9</w:t>
      </w:r>
      <w:r w:rsidR="00BB6FCE" w:rsidRPr="00BB6FCE">
        <w:rPr>
          <w:sz w:val="24"/>
          <w:szCs w:val="24"/>
          <w:vertAlign w:val="superscript"/>
        </w:rPr>
        <w:t>)</w:t>
      </w:r>
      <w:r w:rsidR="00F01732" w:rsidRPr="00F01732">
        <w:rPr>
          <w:sz w:val="24"/>
          <w:szCs w:val="24"/>
        </w:rPr>
        <w:t>. They are acutely sens</w:t>
      </w:r>
      <w:r w:rsidR="00BB6FCE">
        <w:rPr>
          <w:sz w:val="24"/>
          <w:szCs w:val="24"/>
        </w:rPr>
        <w:t xml:space="preserve">itive to the opinions of peers, and </w:t>
      </w:r>
      <w:r w:rsidR="00F01732" w:rsidRPr="00F01732">
        <w:rPr>
          <w:sz w:val="24"/>
          <w:szCs w:val="24"/>
        </w:rPr>
        <w:t>a desire for new experiences goes hand-in-hand with a need to ‘belong’. What foods they eat, a</w:t>
      </w:r>
      <w:r w:rsidR="00BB6FCE">
        <w:rPr>
          <w:sz w:val="24"/>
          <w:szCs w:val="24"/>
        </w:rPr>
        <w:t xml:space="preserve">nd share with their friends, has </w:t>
      </w:r>
      <w:r w:rsidR="00F01732" w:rsidRPr="00F01732">
        <w:rPr>
          <w:sz w:val="24"/>
          <w:szCs w:val="24"/>
        </w:rPr>
        <w:t>‘social currency’</w:t>
      </w:r>
      <w:r w:rsidR="00BB6FCE" w:rsidRPr="00BB6FCE">
        <w:rPr>
          <w:sz w:val="24"/>
          <w:szCs w:val="24"/>
          <w:vertAlign w:val="superscript"/>
        </w:rPr>
        <w:t>(</w:t>
      </w:r>
      <w:r w:rsidR="00B92427">
        <w:rPr>
          <w:sz w:val="24"/>
          <w:szCs w:val="24"/>
          <w:vertAlign w:val="superscript"/>
        </w:rPr>
        <w:t>30</w:t>
      </w:r>
      <w:r w:rsidR="00BB6FCE" w:rsidRPr="00BB6FCE">
        <w:rPr>
          <w:sz w:val="24"/>
          <w:szCs w:val="24"/>
          <w:vertAlign w:val="superscript"/>
        </w:rPr>
        <w:t>)</w:t>
      </w:r>
      <w:r w:rsidR="00BB6FCE">
        <w:rPr>
          <w:sz w:val="24"/>
          <w:szCs w:val="24"/>
        </w:rPr>
        <w:t>.</w:t>
      </w:r>
      <w:r w:rsidR="00F01732" w:rsidRPr="00F01732">
        <w:rPr>
          <w:sz w:val="24"/>
          <w:szCs w:val="24"/>
        </w:rPr>
        <w:t xml:space="preserve"> Physical activity varies between settings but is increasingly inadequate. Although many rural adolescents help with farming and domestic work and may walk long distances to school, few engage in high intensity physical activity that meets the WHO recommendations</w:t>
      </w:r>
      <w:r w:rsidR="00BB6FCE" w:rsidRPr="00BB6FCE">
        <w:rPr>
          <w:sz w:val="24"/>
          <w:szCs w:val="24"/>
          <w:vertAlign w:val="superscript"/>
        </w:rPr>
        <w:t>(</w:t>
      </w:r>
      <w:r w:rsidR="00B92427">
        <w:rPr>
          <w:sz w:val="24"/>
          <w:szCs w:val="24"/>
          <w:vertAlign w:val="superscript"/>
        </w:rPr>
        <w:t>31</w:t>
      </w:r>
      <w:r w:rsidR="00BB6FCE" w:rsidRPr="00BB6FCE">
        <w:rPr>
          <w:sz w:val="24"/>
          <w:szCs w:val="24"/>
          <w:vertAlign w:val="superscript"/>
        </w:rPr>
        <w:t>)</w:t>
      </w:r>
      <w:r w:rsidR="00F01732" w:rsidRPr="00F01732">
        <w:rPr>
          <w:sz w:val="24"/>
          <w:szCs w:val="24"/>
        </w:rPr>
        <w:t>. The built environment, transport infrastructure in towns and cities and academic pressures limit opportunities for activity</w:t>
      </w:r>
      <w:r w:rsidR="00BB6FCE" w:rsidRPr="00BB6FCE">
        <w:rPr>
          <w:sz w:val="24"/>
          <w:szCs w:val="24"/>
          <w:vertAlign w:val="superscript"/>
        </w:rPr>
        <w:t>(</w:t>
      </w:r>
      <w:r w:rsidR="00272ADF">
        <w:rPr>
          <w:sz w:val="24"/>
          <w:szCs w:val="24"/>
          <w:vertAlign w:val="superscript"/>
        </w:rPr>
        <w:t>3</w:t>
      </w:r>
      <w:r w:rsidR="00B92427">
        <w:rPr>
          <w:sz w:val="24"/>
          <w:szCs w:val="24"/>
          <w:vertAlign w:val="superscript"/>
        </w:rPr>
        <w:t>2</w:t>
      </w:r>
      <w:r w:rsidR="00BB6FCE" w:rsidRPr="00BB6FCE">
        <w:rPr>
          <w:sz w:val="24"/>
          <w:szCs w:val="24"/>
          <w:vertAlign w:val="superscript"/>
        </w:rPr>
        <w:t>)</w:t>
      </w:r>
      <w:r w:rsidR="00F01732" w:rsidRPr="00F01732">
        <w:rPr>
          <w:sz w:val="24"/>
          <w:szCs w:val="24"/>
        </w:rPr>
        <w:t xml:space="preserve"> and, in girls, cultural barriers to </w:t>
      </w:r>
      <w:r w:rsidR="00BB6FCE">
        <w:rPr>
          <w:sz w:val="24"/>
          <w:szCs w:val="24"/>
        </w:rPr>
        <w:t xml:space="preserve">physical </w:t>
      </w:r>
      <w:r w:rsidR="00F01732" w:rsidRPr="00F01732">
        <w:rPr>
          <w:sz w:val="24"/>
          <w:szCs w:val="24"/>
        </w:rPr>
        <w:t>activity tend to emerge in adolescence</w:t>
      </w:r>
      <w:r w:rsidR="00BB6FCE" w:rsidRPr="00BB6FCE">
        <w:rPr>
          <w:sz w:val="24"/>
          <w:szCs w:val="24"/>
          <w:vertAlign w:val="superscript"/>
        </w:rPr>
        <w:t>(</w:t>
      </w:r>
      <w:r w:rsidR="00F01732" w:rsidRPr="00BB6FCE">
        <w:rPr>
          <w:sz w:val="24"/>
          <w:szCs w:val="24"/>
          <w:vertAlign w:val="superscript"/>
        </w:rPr>
        <w:t>3</w:t>
      </w:r>
      <w:r w:rsidR="00B92427">
        <w:rPr>
          <w:sz w:val="24"/>
          <w:szCs w:val="24"/>
          <w:vertAlign w:val="superscript"/>
        </w:rPr>
        <w:t>3</w:t>
      </w:r>
      <w:r w:rsidR="00BB6FCE" w:rsidRPr="00BB6FCE">
        <w:rPr>
          <w:sz w:val="24"/>
          <w:szCs w:val="24"/>
          <w:vertAlign w:val="superscript"/>
        </w:rPr>
        <w:t>)</w:t>
      </w:r>
      <w:r w:rsidR="00F01732" w:rsidRPr="00F01732">
        <w:rPr>
          <w:sz w:val="24"/>
          <w:szCs w:val="24"/>
        </w:rPr>
        <w:t xml:space="preserve">. </w:t>
      </w:r>
    </w:p>
    <w:p w:rsidR="00BB6FCE" w:rsidRDefault="00BB6FCE" w:rsidP="00F01732">
      <w:pPr>
        <w:spacing w:line="480" w:lineRule="auto"/>
        <w:rPr>
          <w:sz w:val="24"/>
          <w:szCs w:val="24"/>
        </w:rPr>
      </w:pPr>
    </w:p>
    <w:p w:rsidR="00F01732" w:rsidRPr="00F01732" w:rsidRDefault="00F01732" w:rsidP="00F01732">
      <w:pPr>
        <w:spacing w:line="480" w:lineRule="auto"/>
        <w:rPr>
          <w:sz w:val="24"/>
          <w:szCs w:val="24"/>
        </w:rPr>
      </w:pPr>
      <w:r w:rsidRPr="00F01732">
        <w:rPr>
          <w:sz w:val="24"/>
          <w:szCs w:val="24"/>
        </w:rPr>
        <w:t>Action to address this ‘broad’ picture is hampered by a lack of detail. A recent report highlighted a lack of rigorous, comprehensive, longitudinal and context-specific information about adolescent nutrition in LMICs</w:t>
      </w:r>
      <w:r w:rsidR="00BA3072" w:rsidRPr="00BA3072">
        <w:rPr>
          <w:sz w:val="24"/>
          <w:szCs w:val="24"/>
          <w:vertAlign w:val="superscript"/>
        </w:rPr>
        <w:t>(</w:t>
      </w:r>
      <w:r w:rsidR="00272ADF">
        <w:rPr>
          <w:sz w:val="24"/>
          <w:szCs w:val="24"/>
          <w:vertAlign w:val="superscript"/>
        </w:rPr>
        <w:t>21</w:t>
      </w:r>
      <w:r w:rsidR="00BA3072" w:rsidRPr="00BA3072">
        <w:rPr>
          <w:sz w:val="24"/>
          <w:szCs w:val="24"/>
          <w:vertAlign w:val="superscript"/>
        </w:rPr>
        <w:t>)</w:t>
      </w:r>
      <w:r w:rsidRPr="00F01732">
        <w:rPr>
          <w:sz w:val="24"/>
          <w:szCs w:val="24"/>
        </w:rPr>
        <w:t>. Existing data are often limited to weight, height and anaemia prevalence, and usually cross-sectional. Small surveys and indirect estimates from intakes have identified common deficiencies in iron, zinc, calcium, and vitamins A, B1, B2, B12, D and folate but recent data from different settings and on other micronutrients is lacking</w:t>
      </w:r>
      <w:r w:rsidR="00BA3072" w:rsidRPr="00BA3072">
        <w:rPr>
          <w:sz w:val="24"/>
          <w:szCs w:val="24"/>
          <w:vertAlign w:val="superscript"/>
        </w:rPr>
        <w:t>(</w:t>
      </w:r>
      <w:r w:rsidR="00B92427">
        <w:rPr>
          <w:sz w:val="24"/>
          <w:szCs w:val="24"/>
          <w:vertAlign w:val="superscript"/>
        </w:rPr>
        <w:t>34</w:t>
      </w:r>
      <w:r w:rsidRPr="00BA3072">
        <w:rPr>
          <w:sz w:val="24"/>
          <w:szCs w:val="24"/>
          <w:vertAlign w:val="superscript"/>
        </w:rPr>
        <w:t>,3</w:t>
      </w:r>
      <w:r w:rsidR="00B92427">
        <w:rPr>
          <w:sz w:val="24"/>
          <w:szCs w:val="24"/>
          <w:vertAlign w:val="superscript"/>
        </w:rPr>
        <w:t>5</w:t>
      </w:r>
      <w:r w:rsidR="00BA3072" w:rsidRPr="00BA3072">
        <w:rPr>
          <w:sz w:val="24"/>
          <w:szCs w:val="24"/>
          <w:vertAlign w:val="superscript"/>
        </w:rPr>
        <w:t>)</w:t>
      </w:r>
      <w:r w:rsidRPr="00F01732">
        <w:rPr>
          <w:sz w:val="24"/>
          <w:szCs w:val="24"/>
        </w:rPr>
        <w:t>. There are few, if any, longitudinal studies to understand how diet, activity and nutritional status change through adolescence, what determines these changes, and how they relate to health outcomes</w:t>
      </w:r>
      <w:r w:rsidR="00BA3072" w:rsidRPr="00BA3072">
        <w:rPr>
          <w:sz w:val="24"/>
          <w:szCs w:val="24"/>
          <w:vertAlign w:val="superscript"/>
        </w:rPr>
        <w:t>(</w:t>
      </w:r>
      <w:r w:rsidRPr="00BA3072">
        <w:rPr>
          <w:sz w:val="24"/>
          <w:szCs w:val="24"/>
          <w:vertAlign w:val="superscript"/>
        </w:rPr>
        <w:t>4,3</w:t>
      </w:r>
      <w:r w:rsidR="00B92427">
        <w:rPr>
          <w:sz w:val="24"/>
          <w:szCs w:val="24"/>
          <w:vertAlign w:val="superscript"/>
        </w:rPr>
        <w:t>6</w:t>
      </w:r>
      <w:r w:rsidR="00272ADF">
        <w:rPr>
          <w:sz w:val="24"/>
          <w:szCs w:val="24"/>
          <w:vertAlign w:val="superscript"/>
        </w:rPr>
        <w:t>-3</w:t>
      </w:r>
      <w:r w:rsidR="00B92427">
        <w:rPr>
          <w:sz w:val="24"/>
          <w:szCs w:val="24"/>
          <w:vertAlign w:val="superscript"/>
        </w:rPr>
        <w:t>8</w:t>
      </w:r>
      <w:r w:rsidR="00BA3072" w:rsidRPr="00BA3072">
        <w:rPr>
          <w:sz w:val="24"/>
          <w:szCs w:val="24"/>
          <w:vertAlign w:val="superscript"/>
        </w:rPr>
        <w:t>)</w:t>
      </w:r>
      <w:r w:rsidRPr="00F01732">
        <w:rPr>
          <w:sz w:val="24"/>
          <w:szCs w:val="24"/>
        </w:rPr>
        <w:t>. Few studies have evaluated the effectiveness, optimal timing, and beneficial versus adverse effects of nutritional interventions in adolescents</w:t>
      </w:r>
      <w:r w:rsidR="00BA3072" w:rsidRPr="00BA3072">
        <w:rPr>
          <w:sz w:val="24"/>
          <w:szCs w:val="24"/>
          <w:vertAlign w:val="superscript"/>
        </w:rPr>
        <w:t>(</w:t>
      </w:r>
      <w:r w:rsidR="00272ADF">
        <w:rPr>
          <w:sz w:val="24"/>
          <w:szCs w:val="24"/>
          <w:vertAlign w:val="superscript"/>
        </w:rPr>
        <w:t>3</w:t>
      </w:r>
      <w:r w:rsidR="00B92427">
        <w:rPr>
          <w:sz w:val="24"/>
          <w:szCs w:val="24"/>
          <w:vertAlign w:val="superscript"/>
        </w:rPr>
        <w:t>9</w:t>
      </w:r>
      <w:r w:rsidR="00272ADF">
        <w:rPr>
          <w:sz w:val="24"/>
          <w:szCs w:val="24"/>
          <w:vertAlign w:val="superscript"/>
        </w:rPr>
        <w:t>,</w:t>
      </w:r>
      <w:r w:rsidR="00B92427">
        <w:rPr>
          <w:sz w:val="24"/>
          <w:szCs w:val="24"/>
          <w:vertAlign w:val="superscript"/>
        </w:rPr>
        <w:t>40</w:t>
      </w:r>
      <w:r w:rsidR="00BA3072" w:rsidRPr="00BA3072">
        <w:rPr>
          <w:sz w:val="24"/>
          <w:szCs w:val="24"/>
          <w:vertAlign w:val="superscript"/>
        </w:rPr>
        <w:t>)</w:t>
      </w:r>
      <w:r w:rsidRPr="00F01732">
        <w:rPr>
          <w:sz w:val="24"/>
          <w:szCs w:val="24"/>
        </w:rPr>
        <w:t>. We do not know how to change unhealthy food choices among adolescents in LMICs, and they are rarely invited to contribute to the design of interventions</w:t>
      </w:r>
      <w:r w:rsidR="00BA3072" w:rsidRPr="00BA3072">
        <w:rPr>
          <w:sz w:val="24"/>
          <w:szCs w:val="24"/>
          <w:vertAlign w:val="superscript"/>
        </w:rPr>
        <w:t>(</w:t>
      </w:r>
      <w:r w:rsidR="00B92427">
        <w:rPr>
          <w:sz w:val="24"/>
          <w:szCs w:val="24"/>
          <w:vertAlign w:val="superscript"/>
        </w:rPr>
        <w:t>41</w:t>
      </w:r>
      <w:r w:rsidR="00BA3072" w:rsidRPr="00BA3072">
        <w:rPr>
          <w:sz w:val="24"/>
          <w:szCs w:val="24"/>
          <w:vertAlign w:val="superscript"/>
        </w:rPr>
        <w:t>)</w:t>
      </w:r>
      <w:r w:rsidRPr="00F01732">
        <w:rPr>
          <w:sz w:val="24"/>
          <w:szCs w:val="24"/>
        </w:rPr>
        <w:t>. Epigenetic changes in adolescence have been linked to brain development but little is known about their sensitivity to nutrition and relationship to health and disease</w:t>
      </w:r>
      <w:r w:rsidR="00B92427">
        <w:rPr>
          <w:sz w:val="24"/>
          <w:szCs w:val="24"/>
          <w:vertAlign w:val="superscript"/>
        </w:rPr>
        <w:t>(42</w:t>
      </w:r>
      <w:r w:rsidR="00BA3072" w:rsidRPr="00BA3072">
        <w:rPr>
          <w:sz w:val="24"/>
          <w:szCs w:val="24"/>
          <w:vertAlign w:val="superscript"/>
        </w:rPr>
        <w:t>)</w:t>
      </w:r>
      <w:r w:rsidRPr="00F01732">
        <w:rPr>
          <w:sz w:val="24"/>
          <w:szCs w:val="24"/>
        </w:rPr>
        <w:t>. Thus, while recent reports have highlighted the importance of adolescent nutrition and called for its greater prioritisation at policy level</w:t>
      </w:r>
      <w:r w:rsidR="00A0511F" w:rsidRPr="00A0511F">
        <w:rPr>
          <w:sz w:val="24"/>
          <w:szCs w:val="24"/>
          <w:vertAlign w:val="superscript"/>
        </w:rPr>
        <w:t>(</w:t>
      </w:r>
      <w:r w:rsidR="00272ADF">
        <w:rPr>
          <w:sz w:val="24"/>
          <w:szCs w:val="24"/>
          <w:vertAlign w:val="superscript"/>
        </w:rPr>
        <w:t>2,21</w:t>
      </w:r>
      <w:r w:rsidR="00561F21">
        <w:rPr>
          <w:sz w:val="24"/>
          <w:szCs w:val="24"/>
          <w:vertAlign w:val="superscript"/>
        </w:rPr>
        <w:t>,41</w:t>
      </w:r>
      <w:r w:rsidR="00272ADF">
        <w:rPr>
          <w:sz w:val="24"/>
          <w:szCs w:val="24"/>
          <w:vertAlign w:val="superscript"/>
        </w:rPr>
        <w:t>,4</w:t>
      </w:r>
      <w:r w:rsidR="00561F21">
        <w:rPr>
          <w:sz w:val="24"/>
          <w:szCs w:val="24"/>
          <w:vertAlign w:val="superscript"/>
        </w:rPr>
        <w:t>3</w:t>
      </w:r>
      <w:r w:rsidR="00272ADF">
        <w:rPr>
          <w:sz w:val="24"/>
          <w:szCs w:val="24"/>
          <w:vertAlign w:val="superscript"/>
        </w:rPr>
        <w:t>-4</w:t>
      </w:r>
      <w:r w:rsidR="00561F21">
        <w:rPr>
          <w:sz w:val="24"/>
          <w:szCs w:val="24"/>
          <w:vertAlign w:val="superscript"/>
        </w:rPr>
        <w:t>5</w:t>
      </w:r>
      <w:r w:rsidR="00A0511F" w:rsidRPr="00A0511F">
        <w:rPr>
          <w:sz w:val="24"/>
          <w:szCs w:val="24"/>
          <w:vertAlign w:val="superscript"/>
        </w:rPr>
        <w:t>)</w:t>
      </w:r>
      <w:r w:rsidRPr="00F01732">
        <w:rPr>
          <w:sz w:val="24"/>
          <w:szCs w:val="24"/>
        </w:rPr>
        <w:t>; we argue that insufficient data hinders the formulation of specific policies. This may explain why few LMICs have specific nutritional policies for adolescents, and why those that exist are limited in scope (e.g., iron/folate supplementation) and rarely integrated</w:t>
      </w:r>
      <w:r w:rsidR="00D16C92" w:rsidRPr="00D16C92">
        <w:rPr>
          <w:sz w:val="24"/>
          <w:szCs w:val="24"/>
          <w:vertAlign w:val="superscript"/>
        </w:rPr>
        <w:t>(</w:t>
      </w:r>
      <w:r w:rsidRPr="00D16C92">
        <w:rPr>
          <w:sz w:val="24"/>
          <w:szCs w:val="24"/>
          <w:vertAlign w:val="superscript"/>
        </w:rPr>
        <w:t>4</w:t>
      </w:r>
      <w:r w:rsidR="00561F21">
        <w:rPr>
          <w:sz w:val="24"/>
          <w:szCs w:val="24"/>
          <w:vertAlign w:val="superscript"/>
        </w:rPr>
        <w:t>6</w:t>
      </w:r>
      <w:r w:rsidR="00D16C92" w:rsidRPr="00D16C92">
        <w:rPr>
          <w:sz w:val="24"/>
          <w:szCs w:val="24"/>
          <w:vertAlign w:val="superscript"/>
        </w:rPr>
        <w:t>)</w:t>
      </w:r>
      <w:r w:rsidRPr="00F01732">
        <w:rPr>
          <w:sz w:val="24"/>
          <w:szCs w:val="24"/>
        </w:rPr>
        <w:t>. Biomedical research tends to be purely nutritional and has neglected psychological, environmental and social influences, with adolescents’ voices usually absent from such research and intervention design. Adolescents are increasingly seen as driving forces in global health and international development</w:t>
      </w:r>
      <w:r w:rsidR="00D16C92" w:rsidRPr="00D16C92">
        <w:rPr>
          <w:sz w:val="24"/>
          <w:szCs w:val="24"/>
          <w:vertAlign w:val="superscript"/>
        </w:rPr>
        <w:t>(</w:t>
      </w:r>
      <w:r w:rsidR="00E11592">
        <w:rPr>
          <w:sz w:val="24"/>
          <w:szCs w:val="24"/>
          <w:vertAlign w:val="superscript"/>
        </w:rPr>
        <w:t>47</w:t>
      </w:r>
      <w:r w:rsidRPr="00D16C92">
        <w:rPr>
          <w:sz w:val="24"/>
          <w:szCs w:val="24"/>
          <w:vertAlign w:val="superscript"/>
        </w:rPr>
        <w:t>,4</w:t>
      </w:r>
      <w:r w:rsidR="00E11592">
        <w:rPr>
          <w:sz w:val="24"/>
          <w:szCs w:val="24"/>
          <w:vertAlign w:val="superscript"/>
        </w:rPr>
        <w:t>8</w:t>
      </w:r>
      <w:r w:rsidR="00D16C92" w:rsidRPr="00D16C92">
        <w:rPr>
          <w:sz w:val="24"/>
          <w:szCs w:val="24"/>
          <w:vertAlign w:val="superscript"/>
        </w:rPr>
        <w:t>)</w:t>
      </w:r>
      <w:r w:rsidRPr="00F01732">
        <w:rPr>
          <w:sz w:val="24"/>
          <w:szCs w:val="24"/>
        </w:rPr>
        <w:t>. The WHO Global Accelerated Action for the Health of Adolescents guidance promotes the philosophy ‘nothing about us without us’, emphasising that young people are passionate and effective advocates for adolescent health but are rarely given a place in discussions</w:t>
      </w:r>
      <w:r w:rsidR="00D16C92" w:rsidRPr="00D16C92">
        <w:rPr>
          <w:sz w:val="24"/>
          <w:szCs w:val="24"/>
          <w:vertAlign w:val="superscript"/>
        </w:rPr>
        <w:t>(</w:t>
      </w:r>
      <w:r w:rsidR="00E11592">
        <w:rPr>
          <w:sz w:val="24"/>
          <w:szCs w:val="24"/>
          <w:vertAlign w:val="superscript"/>
        </w:rPr>
        <w:t>49</w:t>
      </w:r>
      <w:r w:rsidR="00D16C92" w:rsidRPr="00D16C92">
        <w:rPr>
          <w:sz w:val="24"/>
          <w:szCs w:val="24"/>
          <w:vertAlign w:val="superscript"/>
        </w:rPr>
        <w:t>)</w:t>
      </w:r>
      <w:r w:rsidRPr="00F01732">
        <w:rPr>
          <w:sz w:val="24"/>
          <w:szCs w:val="24"/>
        </w:rPr>
        <w:t>.</w:t>
      </w:r>
    </w:p>
    <w:p w:rsidR="00F01732" w:rsidRPr="00F01732" w:rsidRDefault="00F01732" w:rsidP="00F01732">
      <w:pPr>
        <w:spacing w:line="480" w:lineRule="auto"/>
        <w:rPr>
          <w:sz w:val="24"/>
          <w:szCs w:val="24"/>
        </w:rPr>
      </w:pPr>
    </w:p>
    <w:p w:rsidR="00F01732" w:rsidRPr="00F01732" w:rsidRDefault="00F01732" w:rsidP="00F01732">
      <w:pPr>
        <w:spacing w:line="480" w:lineRule="auto"/>
        <w:rPr>
          <w:b/>
          <w:sz w:val="24"/>
          <w:szCs w:val="24"/>
        </w:rPr>
      </w:pPr>
      <w:r w:rsidRPr="00F01732">
        <w:rPr>
          <w:b/>
          <w:sz w:val="24"/>
          <w:szCs w:val="24"/>
        </w:rPr>
        <w:t xml:space="preserve">The </w:t>
      </w:r>
      <w:r w:rsidR="003662DE">
        <w:rPr>
          <w:b/>
          <w:sz w:val="24"/>
          <w:szCs w:val="24"/>
        </w:rPr>
        <w:t xml:space="preserve">Transforming Adolescent Lives Through Nutrition or </w:t>
      </w:r>
      <w:r w:rsidRPr="00F01732">
        <w:rPr>
          <w:b/>
          <w:sz w:val="24"/>
          <w:szCs w:val="24"/>
        </w:rPr>
        <w:t>TALENT consortium</w:t>
      </w:r>
    </w:p>
    <w:p w:rsidR="00F01732" w:rsidRPr="00F01732" w:rsidRDefault="00F01732" w:rsidP="00F01732">
      <w:pPr>
        <w:spacing w:line="480" w:lineRule="auto"/>
        <w:rPr>
          <w:sz w:val="24"/>
          <w:szCs w:val="24"/>
        </w:rPr>
      </w:pPr>
    </w:p>
    <w:p w:rsidR="00F01732" w:rsidRPr="00F01732" w:rsidRDefault="00F01732" w:rsidP="00F01732">
      <w:pPr>
        <w:spacing w:line="480" w:lineRule="auto"/>
        <w:rPr>
          <w:sz w:val="24"/>
          <w:szCs w:val="24"/>
        </w:rPr>
      </w:pPr>
      <w:r w:rsidRPr="00F01732">
        <w:rPr>
          <w:sz w:val="24"/>
          <w:szCs w:val="24"/>
        </w:rPr>
        <w:t xml:space="preserve">A key purpose of TALENT was, therefore, to give adolescents a voice and to learn </w:t>
      </w:r>
      <w:r w:rsidR="00527E21">
        <w:rPr>
          <w:sz w:val="24"/>
          <w:szCs w:val="24"/>
        </w:rPr>
        <w:t>about their</w:t>
      </w:r>
      <w:r w:rsidRPr="00F01732">
        <w:rPr>
          <w:sz w:val="24"/>
          <w:szCs w:val="24"/>
        </w:rPr>
        <w:t xml:space="preserve"> experience</w:t>
      </w:r>
      <w:r w:rsidR="00527E21">
        <w:rPr>
          <w:sz w:val="24"/>
          <w:szCs w:val="24"/>
        </w:rPr>
        <w:t>s</w:t>
      </w:r>
      <w:r w:rsidRPr="00F01732">
        <w:rPr>
          <w:sz w:val="24"/>
          <w:szCs w:val="24"/>
        </w:rPr>
        <w:t xml:space="preserve"> and how they viewed diet and physical activity as part of their lives. The TALENT consortium comprises research teams in eight LMIC sites: in Sub-Saharan Africa, Abidjan, Cote D’Ivoire; Jimma, Ethiopia; Keneba, The Gambia; and Soweto, South Africa; in India, Dervan, Mumbai, Mysore, Pu</w:t>
      </w:r>
      <w:r w:rsidR="009A5A8A">
        <w:rPr>
          <w:sz w:val="24"/>
          <w:szCs w:val="24"/>
        </w:rPr>
        <w:t xml:space="preserve">ne. It is overseen by a team </w:t>
      </w:r>
      <w:r w:rsidR="009A5A8A" w:rsidRPr="009A5A8A">
        <w:rPr>
          <w:color w:val="FF0000"/>
          <w:sz w:val="24"/>
          <w:szCs w:val="24"/>
        </w:rPr>
        <w:t xml:space="preserve">from the University of </w:t>
      </w:r>
      <w:r w:rsidRPr="00F01732">
        <w:rPr>
          <w:sz w:val="24"/>
          <w:szCs w:val="24"/>
        </w:rPr>
        <w:t>Southampton, UK. All LMIC sites have strong links to their communities and the consortium has expertise spanning adolescent health and youth studies, behavioural science, nutrition, intervention development, education, health economics, and adolescent and policymaker engagement.  Though TALENT also aimed to fill knowledge gaps about adolescent nutritional status, an early decision was made initially to focus on developing a qualitative understanding of the evidence base for interventions to improve adolescent nutrition in LMICs. This special issue is therefore devoted to reporting findings from an analysis of q</w:t>
      </w:r>
      <w:r w:rsidR="00377D3B">
        <w:rPr>
          <w:sz w:val="24"/>
          <w:szCs w:val="24"/>
        </w:rPr>
        <w:t xml:space="preserve">ualitative data collected in </w:t>
      </w:r>
      <w:r w:rsidRPr="00F01732">
        <w:rPr>
          <w:sz w:val="24"/>
          <w:szCs w:val="24"/>
        </w:rPr>
        <w:t>eight LMIC sites. These data are from focus group discussions held to explore adolescents’ and their caregivers’ attitudes to, and their suggestions as to how to improve, diet and physical activity. This activity was supported by a capacity-building programme for biomedical scientists in qualitative youth research. The text box describes the programme of capacity-building workshops</w:t>
      </w:r>
    </w:p>
    <w:p w:rsidR="00F01732" w:rsidRPr="00F01732" w:rsidRDefault="00D64FAD" w:rsidP="00F01732">
      <w:pPr>
        <w:spacing w:line="480" w:lineRule="auto"/>
        <w:rPr>
          <w:i/>
          <w:sz w:val="24"/>
          <w:szCs w:val="24"/>
        </w:rPr>
      </w:pPr>
      <w:r>
        <w:rPr>
          <w:i/>
          <w:sz w:val="24"/>
          <w:szCs w:val="24"/>
        </w:rPr>
        <w:t xml:space="preserve">Insert </w:t>
      </w:r>
      <w:r w:rsidR="00F01732" w:rsidRPr="00F01732">
        <w:rPr>
          <w:i/>
          <w:sz w:val="24"/>
          <w:szCs w:val="24"/>
        </w:rPr>
        <w:t>Box: Description of TALENT capacity building workshops</w:t>
      </w:r>
    </w:p>
    <w:p w:rsidR="00F01732" w:rsidRPr="00F01732" w:rsidRDefault="00F01732" w:rsidP="00F01732">
      <w:pPr>
        <w:spacing w:line="480" w:lineRule="auto"/>
        <w:rPr>
          <w:sz w:val="24"/>
          <w:szCs w:val="24"/>
        </w:rPr>
      </w:pPr>
      <w:r w:rsidRPr="00F01732">
        <w:rPr>
          <w:sz w:val="24"/>
          <w:szCs w:val="24"/>
        </w:rPr>
        <w:t xml:space="preserve">The training in qualitative research methods </w:t>
      </w:r>
      <w:r w:rsidRPr="009A5A8A">
        <w:rPr>
          <w:color w:val="FF0000"/>
          <w:sz w:val="24"/>
          <w:szCs w:val="24"/>
        </w:rPr>
        <w:t xml:space="preserve">provided by the </w:t>
      </w:r>
      <w:r w:rsidR="009A5A8A" w:rsidRPr="009A5A8A">
        <w:rPr>
          <w:color w:val="FF0000"/>
          <w:sz w:val="24"/>
          <w:szCs w:val="24"/>
        </w:rPr>
        <w:t xml:space="preserve">University of </w:t>
      </w:r>
      <w:r w:rsidRPr="009A5A8A">
        <w:rPr>
          <w:color w:val="FF0000"/>
          <w:sz w:val="24"/>
          <w:szCs w:val="24"/>
        </w:rPr>
        <w:t xml:space="preserve">Southampton team </w:t>
      </w:r>
      <w:r w:rsidRPr="00F01732">
        <w:rPr>
          <w:sz w:val="24"/>
          <w:szCs w:val="24"/>
        </w:rPr>
        <w:t>was based on beliefs about the importance of involving adolescents</w:t>
      </w:r>
      <w:r w:rsidR="00527E21">
        <w:rPr>
          <w:sz w:val="24"/>
          <w:szCs w:val="24"/>
        </w:rPr>
        <w:t xml:space="preserve"> in the research process. Youth-</w:t>
      </w:r>
      <w:r w:rsidRPr="00F01732">
        <w:rPr>
          <w:sz w:val="24"/>
          <w:szCs w:val="24"/>
        </w:rPr>
        <w:t>centred qualitative research in the social sciences has flourished in the last 20 years</w:t>
      </w:r>
      <w:r w:rsidR="00527E21" w:rsidRPr="00527E21">
        <w:rPr>
          <w:sz w:val="24"/>
          <w:szCs w:val="24"/>
          <w:vertAlign w:val="superscript"/>
        </w:rPr>
        <w:t>(</w:t>
      </w:r>
      <w:r w:rsidR="00E11592">
        <w:rPr>
          <w:sz w:val="24"/>
          <w:szCs w:val="24"/>
          <w:vertAlign w:val="superscript"/>
        </w:rPr>
        <w:t>50-52</w:t>
      </w:r>
      <w:r w:rsidR="00527E21" w:rsidRPr="00527E21">
        <w:rPr>
          <w:sz w:val="24"/>
          <w:szCs w:val="24"/>
          <w:vertAlign w:val="superscript"/>
        </w:rPr>
        <w:t>)</w:t>
      </w:r>
      <w:r w:rsidRPr="00F01732">
        <w:rPr>
          <w:sz w:val="24"/>
          <w:szCs w:val="24"/>
        </w:rPr>
        <w:t xml:space="preserve"> . Many proponents have been critical of biological framings of adolescence and much of this work is framed conceptually by understandings of childhood and youth as socially constructed</w:t>
      </w:r>
      <w:r w:rsidR="00527E21" w:rsidRPr="00527E21">
        <w:rPr>
          <w:sz w:val="24"/>
          <w:szCs w:val="24"/>
          <w:vertAlign w:val="superscript"/>
        </w:rPr>
        <w:t>(</w:t>
      </w:r>
      <w:r w:rsidR="00E11592">
        <w:rPr>
          <w:sz w:val="24"/>
          <w:szCs w:val="24"/>
          <w:vertAlign w:val="superscript"/>
        </w:rPr>
        <w:t>53,54</w:t>
      </w:r>
      <w:r w:rsidR="00527E21" w:rsidRPr="00527E21">
        <w:rPr>
          <w:sz w:val="24"/>
          <w:szCs w:val="24"/>
          <w:vertAlign w:val="superscript"/>
        </w:rPr>
        <w:t>)</w:t>
      </w:r>
      <w:r w:rsidRPr="00F01732">
        <w:rPr>
          <w:sz w:val="24"/>
          <w:szCs w:val="24"/>
        </w:rPr>
        <w:t>;  that experiences and definitions of childhood and youth are not universal but rather determined by the culture, society and period of history in which young people live. From this perspective, young people are viewed as competent social actors and experts in their own lives. New knowledge is generated using qualitative, and often participatory and creative methods to access young people’s voices; their experiences and perspectives are central to interpretations of the phenomenon under study. This approach was common to the qualitative research carried out by TALENT researchers and is reflected in the qualitative research papers in this special issue; they exemplify the centrality of the adolescent voice and locate findings with the specific social and environmental context.</w:t>
      </w:r>
    </w:p>
    <w:p w:rsidR="00F01732" w:rsidRPr="00F01732" w:rsidRDefault="00F01732" w:rsidP="00F01732">
      <w:pPr>
        <w:spacing w:line="480" w:lineRule="auto"/>
        <w:rPr>
          <w:sz w:val="24"/>
          <w:szCs w:val="24"/>
        </w:rPr>
      </w:pPr>
    </w:p>
    <w:p w:rsidR="00F01732" w:rsidRPr="00F01732" w:rsidRDefault="00F01732" w:rsidP="00F01732">
      <w:pPr>
        <w:spacing w:line="480" w:lineRule="auto"/>
        <w:rPr>
          <w:sz w:val="24"/>
          <w:szCs w:val="24"/>
        </w:rPr>
      </w:pPr>
    </w:p>
    <w:p w:rsidR="00F01732" w:rsidRPr="00F01732" w:rsidRDefault="00F01732" w:rsidP="00F01732">
      <w:pPr>
        <w:spacing w:line="480" w:lineRule="auto"/>
        <w:rPr>
          <w:b/>
          <w:sz w:val="24"/>
          <w:szCs w:val="24"/>
        </w:rPr>
      </w:pPr>
      <w:r w:rsidRPr="00F01732">
        <w:rPr>
          <w:b/>
          <w:sz w:val="24"/>
          <w:szCs w:val="24"/>
        </w:rPr>
        <w:t>TALENT data collection and analysis</w:t>
      </w:r>
    </w:p>
    <w:p w:rsidR="00F01732" w:rsidRPr="00F01732" w:rsidRDefault="00F01732" w:rsidP="00F01732">
      <w:pPr>
        <w:spacing w:line="480" w:lineRule="auto"/>
        <w:rPr>
          <w:sz w:val="24"/>
          <w:szCs w:val="24"/>
        </w:rPr>
      </w:pPr>
    </w:p>
    <w:p w:rsidR="00F01732" w:rsidRPr="00F01732" w:rsidRDefault="00F01732" w:rsidP="00F01732">
      <w:pPr>
        <w:spacing w:line="480" w:lineRule="auto"/>
        <w:rPr>
          <w:sz w:val="24"/>
          <w:szCs w:val="24"/>
        </w:rPr>
      </w:pPr>
      <w:r w:rsidRPr="00F01732">
        <w:rPr>
          <w:sz w:val="24"/>
          <w:szCs w:val="24"/>
        </w:rPr>
        <w:t>Qualitative data were collected in order to understand adolescents’ perspectives on issues of diet and physical activity with the aim of supporting the development of adolescent-centred interventions and policies.</w:t>
      </w:r>
      <w:r w:rsidR="00CF32E3">
        <w:rPr>
          <w:sz w:val="24"/>
          <w:szCs w:val="24"/>
        </w:rPr>
        <w:t xml:space="preserve"> </w:t>
      </w:r>
      <w:r w:rsidR="00CF32E3" w:rsidRPr="00F96E7C">
        <w:rPr>
          <w:color w:val="FF0000"/>
          <w:sz w:val="24"/>
          <w:szCs w:val="24"/>
        </w:rPr>
        <w:t>A small-scale quantitative survey</w:t>
      </w:r>
      <w:r w:rsidR="00F96E7C">
        <w:rPr>
          <w:color w:val="FF0000"/>
          <w:sz w:val="24"/>
          <w:szCs w:val="24"/>
        </w:rPr>
        <w:t xml:space="preserve"> of about 40 boys and 40 girls providing data on adolescent diet, body composition and socio-economic status was also carried out in each site. </w:t>
      </w:r>
      <w:r w:rsidRPr="00F01732">
        <w:rPr>
          <w:sz w:val="24"/>
          <w:szCs w:val="24"/>
        </w:rPr>
        <w:t xml:space="preserve">Following the first workshop, researchers in each site recruited participants from amongst those adolescents and caregivers who had been involved in the quantitative survey. Focus group discussions were conducted with adolescents separated by age group and gender in each of the eight sites. </w:t>
      </w:r>
      <w:r w:rsidR="003E533A" w:rsidRPr="003E533A">
        <w:rPr>
          <w:color w:val="FF0000"/>
          <w:sz w:val="24"/>
          <w:szCs w:val="24"/>
        </w:rPr>
        <w:t xml:space="preserve">Two age groups were chosen for this study. The </w:t>
      </w:r>
      <w:r w:rsidR="003E533A">
        <w:rPr>
          <w:color w:val="FF0000"/>
          <w:sz w:val="24"/>
          <w:szCs w:val="24"/>
        </w:rPr>
        <w:t>first, aged between 10 and 12 years,</w:t>
      </w:r>
      <w:r w:rsidR="003E533A" w:rsidRPr="003E533A">
        <w:rPr>
          <w:color w:val="FF0000"/>
          <w:sz w:val="24"/>
          <w:szCs w:val="24"/>
        </w:rPr>
        <w:t xml:space="preserve"> were chosen to represent a pre-or early pubertal stage of development, when adolescents are still largely under parental control for most aspects of their lives. The older group</w:t>
      </w:r>
      <w:r w:rsidR="003E533A">
        <w:rPr>
          <w:color w:val="FF0000"/>
          <w:sz w:val="24"/>
          <w:szCs w:val="24"/>
        </w:rPr>
        <w:t>, aged 15 to 17 years,</w:t>
      </w:r>
      <w:r w:rsidR="003E533A" w:rsidRPr="003E533A">
        <w:rPr>
          <w:color w:val="FF0000"/>
          <w:sz w:val="24"/>
          <w:szCs w:val="24"/>
        </w:rPr>
        <w:t xml:space="preserve"> represents late or completed pubertal development greater independence from parents in relation to diet and activity. </w:t>
      </w:r>
      <w:r w:rsidRPr="00F01732">
        <w:rPr>
          <w:sz w:val="24"/>
          <w:szCs w:val="24"/>
        </w:rPr>
        <w:t xml:space="preserve">Discussions were designed to explore what adolescents and caregivers think about diet, nutrition and activity and their influence on health; how important these are to them; what and who decide and shape their eating and activity habits; and what might engage them in changing their diet and activity. Where appropriate during the discussions, probing questions were also asked about household food insecurity, eating outside the family, food-sharing with friends and gender differences and what the adolescents think about participating in research. Verbatim transcriptions of the focus group discussions were translated into English and subject to thematic analysis by members of the research team in each site, supported by researchers from the Southampton hub. A common coding frame was developed at Workshop 2 (see text box) based on themes arising from the analyses of the first two transcripts from each site. Coding was largely inductive and developed using </w:t>
      </w:r>
      <w:r w:rsidR="004942F4">
        <w:rPr>
          <w:sz w:val="24"/>
          <w:szCs w:val="24"/>
        </w:rPr>
        <w:t>a constant comparative approach</w:t>
      </w:r>
      <w:r w:rsidR="004942F4" w:rsidRPr="004942F4">
        <w:rPr>
          <w:sz w:val="24"/>
          <w:szCs w:val="24"/>
          <w:vertAlign w:val="superscript"/>
        </w:rPr>
        <w:t>(</w:t>
      </w:r>
      <w:r w:rsidR="00E11592">
        <w:rPr>
          <w:sz w:val="24"/>
          <w:szCs w:val="24"/>
          <w:vertAlign w:val="superscript"/>
        </w:rPr>
        <w:t>55,56</w:t>
      </w:r>
      <w:r w:rsidR="004942F4" w:rsidRPr="004942F4">
        <w:rPr>
          <w:sz w:val="24"/>
          <w:szCs w:val="24"/>
          <w:vertAlign w:val="superscript"/>
        </w:rPr>
        <w:t>)</w:t>
      </w:r>
      <w:r w:rsidRPr="00F01732">
        <w:rPr>
          <w:sz w:val="24"/>
          <w:szCs w:val="24"/>
        </w:rPr>
        <w:t xml:space="preserve">. The coding frame was refined by each site as necessary. Regular virtual meetings were held by the Southampton team with researchers in each site to raise and discuss any queries with the coding process. Themes and subthemes were compiled, and the data are presented in each site paper, illustrated with verbatim quotations. </w:t>
      </w:r>
    </w:p>
    <w:p w:rsidR="00F01732" w:rsidRPr="00F01732" w:rsidRDefault="00F01732" w:rsidP="00F01732">
      <w:pPr>
        <w:spacing w:line="480" w:lineRule="auto"/>
        <w:rPr>
          <w:b/>
          <w:sz w:val="24"/>
          <w:szCs w:val="24"/>
        </w:rPr>
      </w:pPr>
      <w:r w:rsidRPr="00F01732">
        <w:rPr>
          <w:b/>
          <w:sz w:val="24"/>
          <w:szCs w:val="24"/>
        </w:rPr>
        <w:t>TALENT findings</w:t>
      </w:r>
    </w:p>
    <w:p w:rsidR="00F01732" w:rsidRPr="00F01732" w:rsidRDefault="00F01732" w:rsidP="00F01732">
      <w:pPr>
        <w:spacing w:line="480" w:lineRule="auto"/>
        <w:rPr>
          <w:sz w:val="24"/>
          <w:szCs w:val="24"/>
        </w:rPr>
      </w:pPr>
      <w:r w:rsidRPr="00F01732">
        <w:rPr>
          <w:sz w:val="24"/>
          <w:szCs w:val="24"/>
        </w:rPr>
        <w:t xml:space="preserve">As part of Workshop One (Dervan, India, February 2018), PIs, early career researchers and members of the TALENT advisory board synthesised ideas and expertise to develop a conceptual map (see Figure) detailing potential influences on adolescent nutritional status. </w:t>
      </w:r>
      <w:r w:rsidR="00F32B82" w:rsidRPr="007C40CC">
        <w:rPr>
          <w:color w:val="FF0000"/>
          <w:sz w:val="24"/>
          <w:szCs w:val="24"/>
        </w:rPr>
        <w:t xml:space="preserve">This conceptual map represents the </w:t>
      </w:r>
      <w:r w:rsidR="007C40CC" w:rsidRPr="007C40CC">
        <w:rPr>
          <w:color w:val="FF0000"/>
          <w:sz w:val="24"/>
          <w:szCs w:val="24"/>
        </w:rPr>
        <w:t xml:space="preserve">views of many </w:t>
      </w:r>
      <w:r w:rsidR="00F32B82" w:rsidRPr="007C40CC">
        <w:rPr>
          <w:color w:val="FF0000"/>
          <w:sz w:val="24"/>
          <w:szCs w:val="24"/>
        </w:rPr>
        <w:t>stakeholders</w:t>
      </w:r>
      <w:r w:rsidR="007C40CC" w:rsidRPr="007C40CC">
        <w:rPr>
          <w:color w:val="FF0000"/>
          <w:sz w:val="24"/>
          <w:szCs w:val="24"/>
        </w:rPr>
        <w:t xml:space="preserve"> in the field of adolescent nutrition</w:t>
      </w:r>
      <w:r w:rsidR="00F32B82" w:rsidRPr="007C40CC">
        <w:rPr>
          <w:color w:val="FF0000"/>
          <w:sz w:val="24"/>
          <w:szCs w:val="24"/>
        </w:rPr>
        <w:t xml:space="preserve"> and </w:t>
      </w:r>
      <w:r w:rsidR="007C40CC" w:rsidRPr="007C40CC">
        <w:rPr>
          <w:color w:val="FF0000"/>
          <w:sz w:val="24"/>
          <w:szCs w:val="24"/>
        </w:rPr>
        <w:t xml:space="preserve">as such, </w:t>
      </w:r>
      <w:r w:rsidR="00F32B82" w:rsidRPr="007C40CC">
        <w:rPr>
          <w:color w:val="FF0000"/>
          <w:sz w:val="24"/>
          <w:szCs w:val="24"/>
        </w:rPr>
        <w:t xml:space="preserve">reflects the </w:t>
      </w:r>
      <w:r w:rsidR="007C40CC" w:rsidRPr="007C40CC">
        <w:rPr>
          <w:color w:val="FF0000"/>
          <w:sz w:val="24"/>
          <w:szCs w:val="24"/>
        </w:rPr>
        <w:t xml:space="preserve">consortium’s philosophy which is to recognize and credit site-specific expertise. For this reason, the conceptual map </w:t>
      </w:r>
      <w:r w:rsidR="00F32B82" w:rsidRPr="007C40CC">
        <w:rPr>
          <w:color w:val="FF0000"/>
          <w:sz w:val="24"/>
          <w:szCs w:val="24"/>
        </w:rPr>
        <w:t xml:space="preserve">was used to organize the group’s thinking about adolescent nutrition </w:t>
      </w:r>
      <w:r w:rsidR="007C40CC" w:rsidRPr="007C40CC">
        <w:rPr>
          <w:color w:val="FF0000"/>
          <w:sz w:val="24"/>
          <w:szCs w:val="24"/>
        </w:rPr>
        <w:t xml:space="preserve">rather than pre-existing theory. </w:t>
      </w:r>
      <w:r w:rsidRPr="00F01732">
        <w:rPr>
          <w:sz w:val="24"/>
          <w:szCs w:val="24"/>
        </w:rPr>
        <w:t xml:space="preserve">Three main areas of influence were identified plus a small number of factors which were specific to adolescence as a developmental stage. At the individual level, psychological factors such as self-efficacy and body image were seen as combining with biological factors such as growth in early life and experience of infections to influence adolescent nutritional status either directly or via diet, physical activity and food choices. Familial and socio-cultural influences included diverse factors such as maternal nutritional status and family level of education, religious beliefs and taboos in combination with the impact of living in an urban or rural setting. Most of these factors were believed to influence adolescent nutritional status through their capacity to affect diet and physical activity. Three influences were identified as operating at a national/international level, two of which were national food policies and food industry practices, and the third identified the impact of advertising and media, including social media. Food policies and the food industry were described as shaping adolescent nutritional status through their impact on maternal nutritional status and food choices, where advertising and media were seen to shape both food choices and psychological factors. Socio-cultural (adolescent purchasing power) and biological (brain maturation, pubertal status) factors specific to adolescence were seen as having an effect on adolescent nutritional status, the former affecting food choice and diet and the latter affecting physical activity. </w:t>
      </w:r>
    </w:p>
    <w:p w:rsidR="00F01732" w:rsidRPr="00F01732" w:rsidRDefault="00F01732" w:rsidP="00F01732">
      <w:pPr>
        <w:spacing w:line="480" w:lineRule="auto"/>
        <w:rPr>
          <w:i/>
          <w:sz w:val="24"/>
          <w:szCs w:val="24"/>
        </w:rPr>
      </w:pPr>
      <w:r w:rsidRPr="00F01732">
        <w:rPr>
          <w:i/>
          <w:sz w:val="24"/>
          <w:szCs w:val="24"/>
        </w:rPr>
        <w:t>Figure 1: A conceptual map of potential influences on adolescent nutritional status</w:t>
      </w:r>
    </w:p>
    <w:p w:rsidR="00F01732" w:rsidRPr="00F01732" w:rsidRDefault="00F01732" w:rsidP="00F01732">
      <w:pPr>
        <w:spacing w:line="480" w:lineRule="auto"/>
        <w:rPr>
          <w:i/>
          <w:sz w:val="24"/>
          <w:szCs w:val="24"/>
        </w:rPr>
      </w:pPr>
    </w:p>
    <w:p w:rsidR="00F01732" w:rsidRPr="00F01732" w:rsidRDefault="00F01732" w:rsidP="00F01732">
      <w:pPr>
        <w:spacing w:line="480" w:lineRule="auto"/>
        <w:rPr>
          <w:i/>
          <w:sz w:val="24"/>
          <w:szCs w:val="24"/>
        </w:rPr>
      </w:pPr>
      <w:r w:rsidRPr="00F01732">
        <w:rPr>
          <w:i/>
          <w:sz w:val="24"/>
          <w:szCs w:val="24"/>
        </w:rPr>
        <w:t>Figure 1: Key</w:t>
      </w:r>
    </w:p>
    <w:p w:rsidR="00F01732" w:rsidRPr="00F01732" w:rsidRDefault="00F01732" w:rsidP="00F01732">
      <w:pPr>
        <w:spacing w:line="480" w:lineRule="auto"/>
        <w:rPr>
          <w:b/>
          <w:sz w:val="24"/>
          <w:szCs w:val="24"/>
        </w:rPr>
      </w:pPr>
    </w:p>
    <w:p w:rsidR="00F01732" w:rsidRPr="00F01732" w:rsidRDefault="00F01732" w:rsidP="00F01732">
      <w:pPr>
        <w:spacing w:line="480" w:lineRule="auto"/>
        <w:rPr>
          <w:b/>
          <w:sz w:val="24"/>
          <w:szCs w:val="24"/>
        </w:rPr>
      </w:pPr>
      <w:r w:rsidRPr="00F01732">
        <w:rPr>
          <w:b/>
          <w:sz w:val="24"/>
          <w:szCs w:val="24"/>
        </w:rPr>
        <w:t>What are adolescents eating, what physical activity are they doing, what influences these behaviours and how can we intervene to improve their diets and increase their physical activity levels?</w:t>
      </w:r>
    </w:p>
    <w:p w:rsidR="00F01732" w:rsidRPr="00A354AB" w:rsidRDefault="00F01732" w:rsidP="00F01732">
      <w:pPr>
        <w:spacing w:line="480" w:lineRule="auto"/>
        <w:rPr>
          <w:color w:val="FF0000"/>
          <w:sz w:val="24"/>
          <w:szCs w:val="24"/>
        </w:rPr>
      </w:pPr>
    </w:p>
    <w:p w:rsidR="00F01732" w:rsidRPr="00F01732" w:rsidRDefault="00F01732" w:rsidP="00F01732">
      <w:pPr>
        <w:spacing w:line="480" w:lineRule="auto"/>
        <w:rPr>
          <w:sz w:val="24"/>
          <w:szCs w:val="24"/>
        </w:rPr>
      </w:pPr>
      <w:r w:rsidRPr="00A354AB">
        <w:rPr>
          <w:color w:val="FF0000"/>
          <w:sz w:val="24"/>
          <w:szCs w:val="24"/>
        </w:rPr>
        <w:t xml:space="preserve">The data collected in the TALENT sites </w:t>
      </w:r>
      <w:r w:rsidR="00A354AB" w:rsidRPr="00A354AB">
        <w:rPr>
          <w:color w:val="FF0000"/>
          <w:sz w:val="24"/>
          <w:szCs w:val="24"/>
        </w:rPr>
        <w:t xml:space="preserve">reflected </w:t>
      </w:r>
      <w:r w:rsidRPr="00A354AB">
        <w:rPr>
          <w:color w:val="FF0000"/>
          <w:sz w:val="24"/>
          <w:szCs w:val="24"/>
        </w:rPr>
        <w:t>many of the factors identified in the conceptual map above</w:t>
      </w:r>
      <w:r w:rsidR="00A354AB" w:rsidRPr="00A354AB">
        <w:rPr>
          <w:color w:val="FF0000"/>
          <w:sz w:val="24"/>
          <w:szCs w:val="24"/>
        </w:rPr>
        <w:t>, and revealed the way individual, familial and socio-cultural and national/international factors shape adolescent nutrition in these sites.</w:t>
      </w:r>
      <w:r w:rsidRPr="00F01732">
        <w:rPr>
          <w:sz w:val="24"/>
          <w:szCs w:val="24"/>
        </w:rPr>
        <w:t xml:space="preserve"> Findings from a small, quantitative pilot survey conducted in each site are described by Fall and colleagues in this specia</w:t>
      </w:r>
      <w:r w:rsidR="00D31578">
        <w:rPr>
          <w:sz w:val="24"/>
          <w:szCs w:val="24"/>
        </w:rPr>
        <w:t xml:space="preserve">l issue. They report </w:t>
      </w:r>
      <w:r w:rsidRPr="00F01732">
        <w:rPr>
          <w:sz w:val="24"/>
          <w:szCs w:val="24"/>
        </w:rPr>
        <w:t xml:space="preserve">diversity in all indicators of adolescent nutritional status, with more overweight and obesity tending to be seen in urban rather than rural settings. As is common in high-income settings, adolescents in these low- and middle-income sites describe eating little fruit and few vegetables and substantial quantities of salty and sugary snack foods. </w:t>
      </w:r>
      <w:r w:rsidR="00467F5A">
        <w:rPr>
          <w:sz w:val="24"/>
          <w:szCs w:val="24"/>
        </w:rPr>
        <w:t>Three</w:t>
      </w:r>
      <w:r w:rsidRPr="00F01732">
        <w:rPr>
          <w:sz w:val="24"/>
          <w:szCs w:val="24"/>
        </w:rPr>
        <w:t xml:space="preserve"> papers in this special issue offer qualitative insights into influences on diet and physical activity habits of adolescents in India. Data from the </w:t>
      </w:r>
      <w:r w:rsidR="00D03BC8">
        <w:rPr>
          <w:sz w:val="24"/>
          <w:szCs w:val="24"/>
        </w:rPr>
        <w:t>u</w:t>
      </w:r>
      <w:r w:rsidRPr="00F01732">
        <w:rPr>
          <w:sz w:val="24"/>
          <w:szCs w:val="24"/>
        </w:rPr>
        <w:t>rban setting</w:t>
      </w:r>
      <w:r w:rsidR="00D03BC8">
        <w:rPr>
          <w:sz w:val="24"/>
          <w:szCs w:val="24"/>
        </w:rPr>
        <w:t>, Mumbai</w:t>
      </w:r>
      <w:r w:rsidRPr="00F01732">
        <w:rPr>
          <w:sz w:val="24"/>
          <w:szCs w:val="24"/>
        </w:rPr>
        <w:t xml:space="preserve">, suggest that diet and physical activity during adolescence are determined by a combination of adult caregivers’ desires for the children to eat healthily and be active but primarily to do well at school, and adolescents’ desire for autonomy in their food choices and wish to spend time being active with their friends. </w:t>
      </w:r>
    </w:p>
    <w:p w:rsidR="00F01732" w:rsidRDefault="00F01732" w:rsidP="00F01732">
      <w:pPr>
        <w:spacing w:line="480" w:lineRule="auto"/>
        <w:rPr>
          <w:sz w:val="24"/>
          <w:szCs w:val="24"/>
        </w:rPr>
      </w:pPr>
      <w:r w:rsidRPr="00F01732">
        <w:rPr>
          <w:sz w:val="24"/>
          <w:szCs w:val="24"/>
        </w:rPr>
        <w:t>There is dramatic contrast with the experience of adolescents in rural villages in t</w:t>
      </w:r>
      <w:r w:rsidR="00D2363F">
        <w:rPr>
          <w:sz w:val="24"/>
          <w:szCs w:val="24"/>
        </w:rPr>
        <w:t>he Konkan Region of Maharashtra,</w:t>
      </w:r>
      <w:r w:rsidRPr="00F01732">
        <w:rPr>
          <w:sz w:val="24"/>
          <w:szCs w:val="24"/>
        </w:rPr>
        <w:t xml:space="preserve"> an area barely touched by the economic and social transition taki</w:t>
      </w:r>
      <w:r w:rsidR="00D2363F">
        <w:rPr>
          <w:sz w:val="24"/>
          <w:szCs w:val="24"/>
        </w:rPr>
        <w:t>ng place in many parts of India.</w:t>
      </w:r>
      <w:r w:rsidRPr="00F01732">
        <w:rPr>
          <w:sz w:val="24"/>
          <w:szCs w:val="24"/>
        </w:rPr>
        <w:t xml:space="preserve"> Banavali and colleagues describe a situation where adolescents report only rarely having their dietary needs met or being given sufficient opportunities for physical activity other than through carrying-out household and agricultural chores. Fundamentally, participants in this region felt that for adolescent nutritional status to improve, local infrastructure including that necessary to increase access to fresh food needed substantial investment. In a number of semi-rural villages outside the city of Pune, Maharashtra, Joshi-Reddy and colleagues identify the impact of India’s social and economic transition on adolescents’ dietary behaviour and physical activity. The food environment in the home, availability of food outside the home, household food security and exposure to television and digital media were all key influences and all reflect the dramatic increase in prosperity in these villages following irrigation and small-scale industrialisation. In Africa, in TALENT’s most economically transitioned community, Wrottesley and colleagues report that adolescent girls and boys living in Soweto demonstrate a good understanding of health and of the relationships between diet and physical activity an</w:t>
      </w:r>
      <w:r w:rsidR="00871C0F">
        <w:rPr>
          <w:sz w:val="24"/>
          <w:szCs w:val="24"/>
        </w:rPr>
        <w:t xml:space="preserve">d health, but </w:t>
      </w:r>
      <w:r w:rsidRPr="00F01732">
        <w:rPr>
          <w:sz w:val="24"/>
          <w:szCs w:val="24"/>
        </w:rPr>
        <w:t xml:space="preserve">their eating and activity behaviours, however, seems to reflect little of this understanding. </w:t>
      </w:r>
      <w:r w:rsidR="006731F0">
        <w:rPr>
          <w:sz w:val="24"/>
          <w:szCs w:val="24"/>
        </w:rPr>
        <w:t>A</w:t>
      </w:r>
      <w:r w:rsidRPr="00F01732">
        <w:rPr>
          <w:sz w:val="24"/>
          <w:szCs w:val="24"/>
        </w:rPr>
        <w:t xml:space="preserve">dolescents from Soweto explain their regular consumption </w:t>
      </w:r>
      <w:r w:rsidR="006731F0">
        <w:rPr>
          <w:sz w:val="24"/>
          <w:szCs w:val="24"/>
        </w:rPr>
        <w:t xml:space="preserve">of </w:t>
      </w:r>
      <w:r w:rsidR="006731F0" w:rsidRPr="00F01732">
        <w:rPr>
          <w:sz w:val="24"/>
          <w:szCs w:val="24"/>
        </w:rPr>
        <w:t xml:space="preserve">high-fat, high-sugar street food </w:t>
      </w:r>
      <w:r w:rsidRPr="00F01732">
        <w:rPr>
          <w:sz w:val="24"/>
          <w:szCs w:val="24"/>
        </w:rPr>
        <w:t>on the basis that it is tasty and c</w:t>
      </w:r>
      <w:r w:rsidR="009C1985">
        <w:rPr>
          <w:sz w:val="24"/>
          <w:szCs w:val="24"/>
        </w:rPr>
        <w:t>onvenient, perhaps</w:t>
      </w:r>
      <w:r w:rsidR="009C1985" w:rsidRPr="009C1985">
        <w:rPr>
          <w:color w:val="FF0000"/>
          <w:sz w:val="24"/>
          <w:szCs w:val="24"/>
        </w:rPr>
        <w:t xml:space="preserve"> reflecting the heightened reward sensitivity that is a feature of adolescence,</w:t>
      </w:r>
      <w:r w:rsidR="009C1985">
        <w:rPr>
          <w:sz w:val="24"/>
          <w:szCs w:val="24"/>
        </w:rPr>
        <w:t xml:space="preserve"> </w:t>
      </w:r>
      <w:r w:rsidRPr="00F01732">
        <w:rPr>
          <w:sz w:val="24"/>
          <w:szCs w:val="24"/>
        </w:rPr>
        <w:t xml:space="preserve">but also because </w:t>
      </w:r>
      <w:r w:rsidR="009C1985">
        <w:rPr>
          <w:sz w:val="24"/>
          <w:szCs w:val="24"/>
        </w:rPr>
        <w:t>sharing these foods with</w:t>
      </w:r>
      <w:r w:rsidRPr="00F01732">
        <w:rPr>
          <w:sz w:val="24"/>
          <w:szCs w:val="24"/>
        </w:rPr>
        <w:t xml:space="preserve"> friends</w:t>
      </w:r>
      <w:r w:rsidR="009C1985">
        <w:rPr>
          <w:sz w:val="24"/>
          <w:szCs w:val="24"/>
        </w:rPr>
        <w:t xml:space="preserve"> has a social currency.</w:t>
      </w:r>
      <w:r w:rsidRPr="00F01732">
        <w:rPr>
          <w:sz w:val="24"/>
          <w:szCs w:val="24"/>
        </w:rPr>
        <w:t xml:space="preserve"> </w:t>
      </w:r>
      <w:r w:rsidR="00871C0F">
        <w:rPr>
          <w:sz w:val="24"/>
          <w:szCs w:val="24"/>
        </w:rPr>
        <w:t>R</w:t>
      </w:r>
      <w:r w:rsidRPr="00F01732">
        <w:rPr>
          <w:sz w:val="24"/>
          <w:szCs w:val="24"/>
        </w:rPr>
        <w:t xml:space="preserve">esistance to physical activity is apparent amongst older girls who want to preserve the fuller figures which signify beauty and health in this culture. Interventions to improve diet and physical activity in Soweto therefore have to contend with both an obesogenic environment and culturally-defined expectations of female beauty.  The papers focusing on adolescent diet and physical activity in The Gambia, Ethiopia and Côte d’Ivoire, are believed to be amongst the first accounts of qualitative work on adolescent nutrition in these parts of sub-Saharan Africa. Drawing on their research in rural Gambian villages, Janha and colleagues explore key influences on adolescent diet and physical activity in an area mainly comprising subsistence farming. Their paper highlights important influences on diet diversity including food security and the economic resources available to households; seasonal availability of vegetables and fruit; cultural and religious practices; and familial norms around domestic decision-making. </w:t>
      </w:r>
      <w:r w:rsidR="00E70A1C" w:rsidRPr="00A53822">
        <w:rPr>
          <w:color w:val="FF0000"/>
          <w:sz w:val="24"/>
          <w:szCs w:val="24"/>
        </w:rPr>
        <w:t>L</w:t>
      </w:r>
      <w:r w:rsidRPr="00A53822">
        <w:rPr>
          <w:color w:val="FF0000"/>
          <w:sz w:val="24"/>
          <w:szCs w:val="24"/>
        </w:rPr>
        <w:t xml:space="preserve">and </w:t>
      </w:r>
      <w:r w:rsidR="00E70A1C" w:rsidRPr="00A53822">
        <w:rPr>
          <w:color w:val="FF0000"/>
          <w:sz w:val="24"/>
          <w:szCs w:val="24"/>
        </w:rPr>
        <w:t xml:space="preserve">use and seasonality, </w:t>
      </w:r>
      <w:r w:rsidRPr="00A53822">
        <w:rPr>
          <w:color w:val="FF0000"/>
          <w:sz w:val="24"/>
          <w:szCs w:val="24"/>
        </w:rPr>
        <w:t xml:space="preserve">poor local infrastructure, and expectations </w:t>
      </w:r>
      <w:r w:rsidR="00E70A1C" w:rsidRPr="00A53822">
        <w:rPr>
          <w:color w:val="FF0000"/>
          <w:sz w:val="24"/>
          <w:szCs w:val="24"/>
        </w:rPr>
        <w:t>about</w:t>
      </w:r>
      <w:r w:rsidRPr="00A53822">
        <w:rPr>
          <w:color w:val="FF0000"/>
          <w:sz w:val="24"/>
          <w:szCs w:val="24"/>
        </w:rPr>
        <w:t xml:space="preserve"> the role of adolescents, mean</w:t>
      </w:r>
      <w:r w:rsidR="00014468">
        <w:rPr>
          <w:color w:val="FF0000"/>
          <w:sz w:val="24"/>
          <w:szCs w:val="24"/>
        </w:rPr>
        <w:t>t that regular physical work</w:t>
      </w:r>
      <w:r w:rsidRPr="00A53822">
        <w:rPr>
          <w:color w:val="FF0000"/>
          <w:sz w:val="24"/>
          <w:szCs w:val="24"/>
        </w:rPr>
        <w:t xml:space="preserve"> </w:t>
      </w:r>
      <w:r w:rsidR="00E70A1C" w:rsidRPr="00A53822">
        <w:rPr>
          <w:color w:val="FF0000"/>
          <w:sz w:val="24"/>
          <w:szCs w:val="24"/>
        </w:rPr>
        <w:t xml:space="preserve">was </w:t>
      </w:r>
      <w:r w:rsidR="00014468">
        <w:rPr>
          <w:color w:val="FF0000"/>
          <w:sz w:val="24"/>
          <w:szCs w:val="24"/>
        </w:rPr>
        <w:t xml:space="preserve">an </w:t>
      </w:r>
      <w:r w:rsidR="00E70A1C" w:rsidRPr="00A53822">
        <w:rPr>
          <w:color w:val="FF0000"/>
          <w:sz w:val="24"/>
          <w:szCs w:val="24"/>
        </w:rPr>
        <w:t>essential</w:t>
      </w:r>
      <w:r w:rsidR="00014468">
        <w:rPr>
          <w:color w:val="FF0000"/>
          <w:sz w:val="24"/>
          <w:szCs w:val="24"/>
        </w:rPr>
        <w:t xml:space="preserve"> part of their lives and key to </w:t>
      </w:r>
      <w:r w:rsidR="00E70A1C" w:rsidRPr="00A53822">
        <w:rPr>
          <w:color w:val="FF0000"/>
          <w:sz w:val="24"/>
          <w:szCs w:val="24"/>
        </w:rPr>
        <w:t>transportation and farming.</w:t>
      </w:r>
      <w:r w:rsidRPr="00A53822">
        <w:rPr>
          <w:color w:val="FF0000"/>
          <w:sz w:val="24"/>
          <w:szCs w:val="24"/>
        </w:rPr>
        <w:t xml:space="preserve"> </w:t>
      </w:r>
      <w:r w:rsidRPr="00F01732">
        <w:rPr>
          <w:sz w:val="24"/>
          <w:szCs w:val="24"/>
        </w:rPr>
        <w:t>Abera and colleagues report that an ethnically diverse group of adolescents from low- and lower- - middle-income families in an urban Ethiopian setting talked eloquently about psychological health and well-being and their relationship with diet and physical activity. They and their carers felt that social and cultural factors were the main drivers of adolescent health behaviours. Within this culture, gender roles dictate that older boys have opportunity to purchase food outside the home and to be physically active in a way that girls had none. In a similarly urban but different geographical context, Jesson, Kouakou and colleagues’</w:t>
      </w:r>
      <w:r w:rsidR="00E70A1C">
        <w:rPr>
          <w:sz w:val="24"/>
          <w:szCs w:val="24"/>
        </w:rPr>
        <w:t xml:space="preserve"> </w:t>
      </w:r>
      <w:r w:rsidRPr="00F01732">
        <w:rPr>
          <w:sz w:val="24"/>
          <w:szCs w:val="24"/>
        </w:rPr>
        <w:t>contribution explores adolescents’ and carers’ perceptions and knowledge of nutrition and physical acti</w:t>
      </w:r>
      <w:r w:rsidR="00E70A1C">
        <w:rPr>
          <w:sz w:val="24"/>
          <w:szCs w:val="24"/>
        </w:rPr>
        <w:t xml:space="preserve">vity </w:t>
      </w:r>
      <w:r w:rsidRPr="00F01732">
        <w:rPr>
          <w:sz w:val="24"/>
          <w:szCs w:val="24"/>
        </w:rPr>
        <w:t xml:space="preserve">in two low-income suburbs of the capital of Côte d’Ivoire, Abidjan. Despite their understanding of good nutritional practices, the adolescents and carers in this study, were aware that their food choices were limited by the resources available to them and, for many, the lack of diet diversity was a source of conflict between adolescents and carers. Furthermore, issues of safety, pollution and hygiene in the locality, restricted adolescents’ opportunities to engage in regular sport and exercise. </w:t>
      </w:r>
      <w:r w:rsidR="00D2363F">
        <w:rPr>
          <w:sz w:val="24"/>
          <w:szCs w:val="24"/>
        </w:rPr>
        <w:t>A</w:t>
      </w:r>
      <w:r w:rsidRPr="00F01732">
        <w:rPr>
          <w:sz w:val="24"/>
          <w:szCs w:val="24"/>
        </w:rPr>
        <w:t xml:space="preserve"> secondary analysis of pooled data from all eight TAL</w:t>
      </w:r>
      <w:r w:rsidR="00D2363F">
        <w:rPr>
          <w:sz w:val="24"/>
          <w:szCs w:val="24"/>
        </w:rPr>
        <w:t>ENT sites (Weller and colleagues)</w:t>
      </w:r>
      <w:r w:rsidRPr="00F01732">
        <w:rPr>
          <w:sz w:val="24"/>
          <w:szCs w:val="24"/>
        </w:rPr>
        <w:t xml:space="preserve"> comment</w:t>
      </w:r>
      <w:r w:rsidR="00D2363F">
        <w:rPr>
          <w:sz w:val="24"/>
          <w:szCs w:val="24"/>
        </w:rPr>
        <w:t>s</w:t>
      </w:r>
      <w:r w:rsidRPr="00F01732">
        <w:rPr>
          <w:sz w:val="24"/>
          <w:szCs w:val="24"/>
        </w:rPr>
        <w:t xml:space="preserve"> on generational differences in nutrition education and knowledge between adolescents and their caregivers, on carer-adolescent power relations, and on the salience of wider societal transitions in shaping adolescent diet and physical activity habits. </w:t>
      </w:r>
      <w:r w:rsidR="00D2363F">
        <w:rPr>
          <w:sz w:val="24"/>
          <w:szCs w:val="24"/>
        </w:rPr>
        <w:t xml:space="preserve">There is a </w:t>
      </w:r>
      <w:r w:rsidRPr="00F01732">
        <w:rPr>
          <w:sz w:val="24"/>
          <w:szCs w:val="24"/>
        </w:rPr>
        <w:t>contrast between the urban, more transitioned environments where street and junk food are widely availa</w:t>
      </w:r>
      <w:r w:rsidR="00D2363F">
        <w:rPr>
          <w:sz w:val="24"/>
          <w:szCs w:val="24"/>
        </w:rPr>
        <w:t>ble and accessed by adolescents</w:t>
      </w:r>
      <w:r w:rsidRPr="00F01732">
        <w:rPr>
          <w:sz w:val="24"/>
          <w:szCs w:val="24"/>
        </w:rPr>
        <w:t xml:space="preserve"> and the rural settings where diets are conditioned much more by seasonality and tradition</w:t>
      </w:r>
      <w:r w:rsidR="00D2363F">
        <w:rPr>
          <w:sz w:val="24"/>
          <w:szCs w:val="24"/>
        </w:rPr>
        <w:t>,</w:t>
      </w:r>
      <w:r w:rsidRPr="00F01732">
        <w:rPr>
          <w:sz w:val="24"/>
          <w:szCs w:val="24"/>
        </w:rPr>
        <w:t xml:space="preserve"> but point out that this is changing even in the most rural sites. Other features of urban environments such as crime and over-crowding impinge on adolescents’ capacity to be physically active as do parental desires for academic success and more traditional gender norms. The authors call for recognition of broad</w:t>
      </w:r>
      <w:r w:rsidR="006731F0">
        <w:rPr>
          <w:sz w:val="24"/>
          <w:szCs w:val="24"/>
        </w:rPr>
        <w:t xml:space="preserve"> (national/international/socio-cultural)</w:t>
      </w:r>
      <w:r w:rsidRPr="00F01732">
        <w:rPr>
          <w:sz w:val="24"/>
          <w:szCs w:val="24"/>
        </w:rPr>
        <w:t xml:space="preserve"> as well as specific</w:t>
      </w:r>
      <w:r w:rsidR="006731F0">
        <w:rPr>
          <w:sz w:val="24"/>
          <w:szCs w:val="24"/>
        </w:rPr>
        <w:t xml:space="preserve"> (familial/individual)</w:t>
      </w:r>
      <w:r w:rsidRPr="00F01732">
        <w:rPr>
          <w:sz w:val="24"/>
          <w:szCs w:val="24"/>
        </w:rPr>
        <w:t xml:space="preserve"> context in the design of interventions to improve adolescent nutritional status, but also for attention to gender inequalities which continue to exist in even the most economically transitioned sites.</w:t>
      </w:r>
    </w:p>
    <w:p w:rsidR="00F01732" w:rsidRPr="00F01732" w:rsidRDefault="00F01732" w:rsidP="00F01732">
      <w:pPr>
        <w:spacing w:line="480" w:lineRule="auto"/>
        <w:rPr>
          <w:sz w:val="24"/>
          <w:szCs w:val="24"/>
        </w:rPr>
      </w:pPr>
    </w:p>
    <w:p w:rsidR="00F01732" w:rsidRPr="00F01732" w:rsidRDefault="00F01732" w:rsidP="00F01732">
      <w:pPr>
        <w:spacing w:line="480" w:lineRule="auto"/>
        <w:rPr>
          <w:b/>
          <w:sz w:val="24"/>
          <w:szCs w:val="24"/>
        </w:rPr>
      </w:pPr>
      <w:r w:rsidRPr="00F01732">
        <w:rPr>
          <w:b/>
          <w:sz w:val="24"/>
          <w:szCs w:val="24"/>
        </w:rPr>
        <w:t>The future fo</w:t>
      </w:r>
      <w:r>
        <w:rPr>
          <w:b/>
          <w:sz w:val="24"/>
          <w:szCs w:val="24"/>
        </w:rPr>
        <w:t>r adolescent nutrition research</w:t>
      </w:r>
    </w:p>
    <w:p w:rsidR="00F01732" w:rsidRPr="00F01732" w:rsidRDefault="00F01732" w:rsidP="00F01732">
      <w:pPr>
        <w:spacing w:line="480" w:lineRule="auto"/>
        <w:rPr>
          <w:sz w:val="24"/>
          <w:szCs w:val="24"/>
        </w:rPr>
      </w:pPr>
      <w:r w:rsidRPr="00F01732">
        <w:rPr>
          <w:sz w:val="24"/>
          <w:szCs w:val="24"/>
        </w:rPr>
        <w:t>Most importantly, papers in this special issue demonstrate the insights and enthusiasm that adolescents and their families can offer to the process of devising strategies to improve their nutritional status. Qualitative research conducted by local, trained research staff has captured rich and nuanced data on adolescents’ everyday lived experiences, highlighted the complexity of diet and physical activity influences, and demonstrated salience of the broader contexts and processes that shape their health in transitioning societies. All of this demonstrates the value of listening to the adolescent voice and significance of these insights for the design of future interventions. The Lancet commission on adolescent health contends that the health and prosperity of the next generation depends upon finding ways of supporting young people to develop skills to become effective advocates and partners</w:t>
      </w:r>
      <w:r w:rsidR="007B1B6D" w:rsidRPr="007B1B6D">
        <w:rPr>
          <w:sz w:val="24"/>
          <w:szCs w:val="24"/>
          <w:vertAlign w:val="superscript"/>
        </w:rPr>
        <w:t>(</w:t>
      </w:r>
      <w:r w:rsidRPr="007B1B6D">
        <w:rPr>
          <w:sz w:val="24"/>
          <w:szCs w:val="24"/>
          <w:vertAlign w:val="superscript"/>
        </w:rPr>
        <w:t>5</w:t>
      </w:r>
      <w:r w:rsidR="006A4FB6">
        <w:rPr>
          <w:sz w:val="24"/>
          <w:szCs w:val="24"/>
          <w:vertAlign w:val="superscript"/>
        </w:rPr>
        <w:t>7</w:t>
      </w:r>
      <w:r w:rsidR="007B1B6D" w:rsidRPr="007B1B6D">
        <w:rPr>
          <w:sz w:val="24"/>
          <w:szCs w:val="24"/>
          <w:vertAlign w:val="superscript"/>
        </w:rPr>
        <w:t>)</w:t>
      </w:r>
      <w:r w:rsidRPr="00F01732">
        <w:rPr>
          <w:sz w:val="24"/>
          <w:szCs w:val="24"/>
        </w:rPr>
        <w:t>. Notable examples of recent attempts to address this call include new toolkits produced by Save the Children for facilitating adolescent contributions to nutrition improvement and from the WHO to support adolescent advocacy for health improvement</w:t>
      </w:r>
      <w:r w:rsidR="0083102A" w:rsidRPr="0083102A">
        <w:rPr>
          <w:sz w:val="24"/>
          <w:szCs w:val="24"/>
          <w:vertAlign w:val="superscript"/>
        </w:rPr>
        <w:t>(</w:t>
      </w:r>
      <w:r w:rsidR="006A4FB6">
        <w:rPr>
          <w:sz w:val="24"/>
          <w:szCs w:val="24"/>
          <w:vertAlign w:val="superscript"/>
        </w:rPr>
        <w:t>41,58</w:t>
      </w:r>
      <w:r w:rsidR="0083102A" w:rsidRPr="0083102A">
        <w:rPr>
          <w:sz w:val="24"/>
          <w:szCs w:val="24"/>
          <w:vertAlign w:val="superscript"/>
        </w:rPr>
        <w:t>)</w:t>
      </w:r>
      <w:r w:rsidRPr="00F01732">
        <w:rPr>
          <w:sz w:val="24"/>
          <w:szCs w:val="24"/>
        </w:rPr>
        <w:t>.</w:t>
      </w:r>
    </w:p>
    <w:p w:rsidR="00F01732" w:rsidRPr="00F01732" w:rsidRDefault="00F01732" w:rsidP="00F01732">
      <w:pPr>
        <w:spacing w:line="480" w:lineRule="auto"/>
        <w:rPr>
          <w:sz w:val="24"/>
          <w:szCs w:val="24"/>
        </w:rPr>
      </w:pPr>
      <w:r w:rsidRPr="00F01732">
        <w:rPr>
          <w:sz w:val="24"/>
          <w:szCs w:val="24"/>
        </w:rPr>
        <w:t>The next step for the TALENT consortium is to work with communities using the capacity built in each site and harness the adolescent voice to co-produce and test strategies to improve adolescent diet and physical activity.</w:t>
      </w:r>
      <w:r w:rsidRPr="00FF2410">
        <w:rPr>
          <w:color w:val="FF0000"/>
          <w:sz w:val="24"/>
          <w:szCs w:val="24"/>
        </w:rPr>
        <w:t xml:space="preserve"> </w:t>
      </w:r>
      <w:r w:rsidR="00FF2410" w:rsidRPr="00FF2410">
        <w:rPr>
          <w:color w:val="FF0000"/>
          <w:sz w:val="24"/>
          <w:szCs w:val="24"/>
        </w:rPr>
        <w:t>Stakeholder groups in each community will be engaged in</w:t>
      </w:r>
      <w:r w:rsidR="00FF2410">
        <w:rPr>
          <w:color w:val="FF0000"/>
          <w:sz w:val="24"/>
          <w:szCs w:val="24"/>
        </w:rPr>
        <w:t xml:space="preserve"> developing interventions to address the issues preventing optimal adolescent nutrition identified in the site-specific papers in this special issue. With support from the UK intervention de</w:t>
      </w:r>
      <w:r w:rsidR="005E2C12">
        <w:rPr>
          <w:color w:val="FF0000"/>
          <w:sz w:val="24"/>
          <w:szCs w:val="24"/>
        </w:rPr>
        <w:t>velopment team, they will adapt</w:t>
      </w:r>
      <w:r w:rsidR="00FF2410">
        <w:rPr>
          <w:color w:val="FF0000"/>
          <w:sz w:val="24"/>
          <w:szCs w:val="24"/>
        </w:rPr>
        <w:t xml:space="preserve"> and feasibility test interventions </w:t>
      </w:r>
      <w:r w:rsidR="005E2C12">
        <w:rPr>
          <w:color w:val="FF0000"/>
          <w:sz w:val="24"/>
          <w:szCs w:val="24"/>
        </w:rPr>
        <w:t xml:space="preserve">to improve diet and physical activity levels </w:t>
      </w:r>
      <w:r w:rsidR="00FF2410">
        <w:rPr>
          <w:color w:val="FF0000"/>
          <w:sz w:val="24"/>
          <w:szCs w:val="24"/>
        </w:rPr>
        <w:t xml:space="preserve">based on a range of educational, interpersonal, digital and structural platforms already in use to support </w:t>
      </w:r>
      <w:r w:rsidR="00FF2410" w:rsidRPr="005E2C12">
        <w:rPr>
          <w:color w:val="FF0000"/>
          <w:sz w:val="24"/>
          <w:szCs w:val="24"/>
        </w:rPr>
        <w:t xml:space="preserve">improvements in adolescent </w:t>
      </w:r>
      <w:r w:rsidR="005E2C12" w:rsidRPr="005E2C12">
        <w:rPr>
          <w:color w:val="FF0000"/>
          <w:sz w:val="24"/>
          <w:szCs w:val="24"/>
        </w:rPr>
        <w:t>health.</w:t>
      </w:r>
      <w:r w:rsidR="00FF2410" w:rsidRPr="005E2C12">
        <w:rPr>
          <w:color w:val="FF0000"/>
          <w:sz w:val="24"/>
          <w:szCs w:val="24"/>
        </w:rPr>
        <w:t xml:space="preserve"> </w:t>
      </w:r>
      <w:r w:rsidR="005E2C12" w:rsidRPr="005E2C12">
        <w:rPr>
          <w:color w:val="FF0000"/>
          <w:sz w:val="24"/>
          <w:szCs w:val="24"/>
        </w:rPr>
        <w:t xml:space="preserve">Interventions will have to address structural and environmental issues, as well as, influences in homes and schools, since TALENT data have made clear that adolescents’ food and activity choices are the product of an interacting complex of factors. </w:t>
      </w:r>
      <w:r w:rsidRPr="00F01732">
        <w:rPr>
          <w:sz w:val="24"/>
          <w:szCs w:val="24"/>
        </w:rPr>
        <w:t xml:space="preserve">An additional long-term aim is to fill knowledge gaps by collecting data on the nutritional status of adolescents and change as adolescence progresses, and how it relates to adolescent growth and development. </w:t>
      </w:r>
      <w:r w:rsidR="005E2C12" w:rsidRPr="00677DE6">
        <w:rPr>
          <w:color w:val="FF0000"/>
          <w:sz w:val="24"/>
          <w:szCs w:val="24"/>
        </w:rPr>
        <w:t>T</w:t>
      </w:r>
      <w:r w:rsidRPr="00677DE6">
        <w:rPr>
          <w:color w:val="FF0000"/>
          <w:sz w:val="24"/>
          <w:szCs w:val="24"/>
        </w:rPr>
        <w:t>he next phase of TALENT</w:t>
      </w:r>
      <w:r w:rsidR="005E2C12" w:rsidRPr="00677DE6">
        <w:rPr>
          <w:color w:val="FF0000"/>
          <w:sz w:val="24"/>
          <w:szCs w:val="24"/>
        </w:rPr>
        <w:t xml:space="preserve"> therefore involves </w:t>
      </w:r>
      <w:r w:rsidRPr="00677DE6">
        <w:rPr>
          <w:color w:val="FF0000"/>
          <w:sz w:val="24"/>
          <w:szCs w:val="24"/>
        </w:rPr>
        <w:t>bring</w:t>
      </w:r>
      <w:r w:rsidR="005E2C12" w:rsidRPr="00677DE6">
        <w:rPr>
          <w:color w:val="FF0000"/>
          <w:sz w:val="24"/>
          <w:szCs w:val="24"/>
        </w:rPr>
        <w:t>ing</w:t>
      </w:r>
      <w:r w:rsidRPr="00677DE6">
        <w:rPr>
          <w:color w:val="FF0000"/>
          <w:sz w:val="24"/>
          <w:szCs w:val="24"/>
        </w:rPr>
        <w:t xml:space="preserve"> together adolescents, their caregivers and local stakeholders </w:t>
      </w:r>
      <w:r w:rsidRPr="00FF2410">
        <w:rPr>
          <w:color w:val="FF0000"/>
          <w:sz w:val="24"/>
          <w:szCs w:val="24"/>
        </w:rPr>
        <w:t xml:space="preserve">in each site to co-create solutions to </w:t>
      </w:r>
      <w:r w:rsidR="00FF2410" w:rsidRPr="00FF2410">
        <w:rPr>
          <w:color w:val="FF0000"/>
          <w:sz w:val="24"/>
          <w:szCs w:val="24"/>
        </w:rPr>
        <w:t>improving adolescent nutritional status.</w:t>
      </w:r>
      <w:r w:rsidRPr="00F01732">
        <w:rPr>
          <w:sz w:val="24"/>
          <w:szCs w:val="24"/>
        </w:rPr>
        <w:t xml:space="preserve"> </w:t>
      </w:r>
    </w:p>
    <w:p w:rsidR="00F01732" w:rsidRPr="00F01732" w:rsidRDefault="00F01732" w:rsidP="00F01732">
      <w:pPr>
        <w:spacing w:line="480" w:lineRule="auto"/>
        <w:rPr>
          <w:sz w:val="24"/>
          <w:szCs w:val="24"/>
        </w:rPr>
      </w:pPr>
    </w:p>
    <w:p w:rsidR="004B2902" w:rsidRDefault="004B2902">
      <w:pPr>
        <w:widowControl/>
        <w:autoSpaceDE/>
        <w:autoSpaceDN/>
        <w:spacing w:after="160" w:line="259" w:lineRule="auto"/>
        <w:rPr>
          <w:b/>
          <w:sz w:val="24"/>
          <w:szCs w:val="24"/>
        </w:rPr>
      </w:pPr>
      <w:r>
        <w:rPr>
          <w:b/>
          <w:sz w:val="24"/>
          <w:szCs w:val="24"/>
        </w:rPr>
        <w:br w:type="page"/>
      </w:r>
    </w:p>
    <w:p w:rsidR="00F01732" w:rsidRPr="00F01732" w:rsidRDefault="00F01732" w:rsidP="00F01732">
      <w:pPr>
        <w:spacing w:line="480" w:lineRule="auto"/>
        <w:rPr>
          <w:b/>
          <w:sz w:val="24"/>
          <w:szCs w:val="24"/>
        </w:rPr>
      </w:pPr>
      <w:r w:rsidRPr="00F01732">
        <w:rPr>
          <w:b/>
          <w:sz w:val="24"/>
          <w:szCs w:val="24"/>
        </w:rPr>
        <w:t>References:</w:t>
      </w:r>
    </w:p>
    <w:p w:rsidR="00F01732" w:rsidRPr="00F01732" w:rsidRDefault="00F01732" w:rsidP="00F01732">
      <w:pPr>
        <w:spacing w:line="480" w:lineRule="auto"/>
        <w:rPr>
          <w:sz w:val="24"/>
          <w:szCs w:val="24"/>
        </w:rPr>
      </w:pPr>
      <w:r w:rsidRPr="00F01732">
        <w:rPr>
          <w:sz w:val="24"/>
          <w:szCs w:val="24"/>
        </w:rPr>
        <w:t>1.</w:t>
      </w:r>
      <w:r w:rsidRPr="00F01732">
        <w:rPr>
          <w:sz w:val="24"/>
          <w:szCs w:val="24"/>
        </w:rPr>
        <w:tab/>
        <w:t>Sawyer SM, Azzopardi PS, Wickremarathne D, Patton GC. The age of adolescence. The Lancet Child &amp; Adolescent Health. 2018;2(3):223-228.</w:t>
      </w:r>
    </w:p>
    <w:p w:rsidR="00F01732" w:rsidRPr="00F01732" w:rsidRDefault="00F01732" w:rsidP="00F01732">
      <w:pPr>
        <w:spacing w:line="480" w:lineRule="auto"/>
        <w:rPr>
          <w:sz w:val="24"/>
          <w:szCs w:val="24"/>
        </w:rPr>
      </w:pPr>
      <w:r w:rsidRPr="00F01732">
        <w:rPr>
          <w:sz w:val="24"/>
          <w:szCs w:val="24"/>
        </w:rPr>
        <w:t>2.</w:t>
      </w:r>
      <w:r w:rsidRPr="00F01732">
        <w:rPr>
          <w:sz w:val="24"/>
          <w:szCs w:val="24"/>
        </w:rPr>
        <w:tab/>
        <w:t>United Nations Children’s Fund (UNICEF). Adolescence: An Age of Opportunity. 2011.</w:t>
      </w:r>
    </w:p>
    <w:p w:rsidR="00F01732" w:rsidRPr="00F01732" w:rsidRDefault="00F01732" w:rsidP="00F01732">
      <w:pPr>
        <w:spacing w:line="480" w:lineRule="auto"/>
        <w:rPr>
          <w:sz w:val="24"/>
          <w:szCs w:val="24"/>
        </w:rPr>
      </w:pPr>
      <w:r w:rsidRPr="00F01732">
        <w:rPr>
          <w:sz w:val="24"/>
          <w:szCs w:val="24"/>
        </w:rPr>
        <w:t>3.</w:t>
      </w:r>
      <w:r w:rsidRPr="00F01732">
        <w:rPr>
          <w:sz w:val="24"/>
          <w:szCs w:val="24"/>
        </w:rPr>
        <w:tab/>
        <w:t>Cappa C, Wardlaw T, Langevin-Falcon C, Diers J. Progress for children: a report card on adolescents. Lancet. 2012;379(9834):2323-2325.</w:t>
      </w:r>
    </w:p>
    <w:p w:rsidR="00F01732" w:rsidRPr="00F01732" w:rsidRDefault="00F01732" w:rsidP="00F01732">
      <w:pPr>
        <w:spacing w:line="480" w:lineRule="auto"/>
        <w:rPr>
          <w:sz w:val="24"/>
          <w:szCs w:val="24"/>
        </w:rPr>
      </w:pPr>
      <w:r w:rsidRPr="00F01732">
        <w:rPr>
          <w:sz w:val="24"/>
          <w:szCs w:val="24"/>
        </w:rPr>
        <w:t>4.</w:t>
      </w:r>
      <w:r w:rsidRPr="00F01732">
        <w:rPr>
          <w:sz w:val="24"/>
          <w:szCs w:val="24"/>
        </w:rPr>
        <w:tab/>
        <w:t>Adair LS, Fall CH, Osmond C, et al. Associations of linear growth and relative weight gain during early life with adult health and human capital in countries of low and middle income: findings from five birth cohort studies. Lancet. 2013;382(9891):525-534.</w:t>
      </w:r>
    </w:p>
    <w:p w:rsidR="00F01732" w:rsidRPr="00F01732" w:rsidRDefault="00F01732" w:rsidP="00F01732">
      <w:pPr>
        <w:spacing w:line="480" w:lineRule="auto"/>
        <w:rPr>
          <w:sz w:val="24"/>
          <w:szCs w:val="24"/>
        </w:rPr>
      </w:pPr>
      <w:r w:rsidRPr="00F01732">
        <w:rPr>
          <w:sz w:val="24"/>
          <w:szCs w:val="24"/>
        </w:rPr>
        <w:t>5.</w:t>
      </w:r>
      <w:r w:rsidRPr="00F01732">
        <w:rPr>
          <w:sz w:val="24"/>
          <w:szCs w:val="24"/>
        </w:rPr>
        <w:tab/>
        <w:t>Emerging Risk Factors Collaboration. Adult height and the risk of cause-specific death and vascular morbidity in 1 million people: individual participant meta-analysis. Int J Epidemiol. 2012;41(5):1419-1433.</w:t>
      </w:r>
    </w:p>
    <w:p w:rsidR="00C2610C" w:rsidRDefault="00F01732" w:rsidP="00F01732">
      <w:pPr>
        <w:spacing w:line="480" w:lineRule="auto"/>
        <w:rPr>
          <w:sz w:val="24"/>
          <w:szCs w:val="24"/>
        </w:rPr>
      </w:pPr>
      <w:r w:rsidRPr="00F01732">
        <w:rPr>
          <w:sz w:val="24"/>
          <w:szCs w:val="24"/>
        </w:rPr>
        <w:t>6.</w:t>
      </w:r>
      <w:r w:rsidRPr="00F01732">
        <w:rPr>
          <w:sz w:val="24"/>
          <w:szCs w:val="24"/>
        </w:rPr>
        <w:tab/>
        <w:t>Patton GC, Sawyer SM, Santelli JS, et al. Our future: a Lancet commission on adolescent health and wellbeing. The Lan</w:t>
      </w:r>
      <w:r w:rsidR="00C2610C">
        <w:rPr>
          <w:sz w:val="24"/>
          <w:szCs w:val="24"/>
        </w:rPr>
        <w:t>cet. 2016;387(10036):2423-2478.</w:t>
      </w:r>
    </w:p>
    <w:p w:rsidR="00C2610C" w:rsidRDefault="00C2610C" w:rsidP="00F01732">
      <w:pPr>
        <w:spacing w:line="480" w:lineRule="auto"/>
        <w:rPr>
          <w:sz w:val="24"/>
          <w:szCs w:val="24"/>
        </w:rPr>
      </w:pPr>
      <w:r>
        <w:rPr>
          <w:sz w:val="24"/>
          <w:szCs w:val="24"/>
        </w:rPr>
        <w:t xml:space="preserve">7. </w:t>
      </w:r>
      <w:r>
        <w:rPr>
          <w:sz w:val="24"/>
          <w:szCs w:val="24"/>
        </w:rPr>
        <w:tab/>
      </w:r>
      <w:r w:rsidRPr="00C2610C">
        <w:rPr>
          <w:sz w:val="24"/>
          <w:szCs w:val="24"/>
        </w:rPr>
        <w:t>Blakemore SJ. Adolescence and mental health. The Lancet. 2019 May 18;393(10185):2030-1.</w:t>
      </w:r>
    </w:p>
    <w:p w:rsidR="00F01732" w:rsidRPr="00F01732" w:rsidRDefault="00C2610C" w:rsidP="00F01732">
      <w:pPr>
        <w:spacing w:line="480" w:lineRule="auto"/>
        <w:rPr>
          <w:sz w:val="24"/>
          <w:szCs w:val="24"/>
        </w:rPr>
      </w:pPr>
      <w:r>
        <w:rPr>
          <w:sz w:val="24"/>
          <w:szCs w:val="24"/>
        </w:rPr>
        <w:t>8.</w:t>
      </w:r>
      <w:r>
        <w:rPr>
          <w:sz w:val="24"/>
          <w:szCs w:val="24"/>
        </w:rPr>
        <w:tab/>
      </w:r>
      <w:r w:rsidR="00F01732" w:rsidRPr="00F01732">
        <w:rPr>
          <w:sz w:val="24"/>
          <w:szCs w:val="24"/>
        </w:rPr>
        <w:t>Kelder SH, Perry CL, Klepp KI, Lytle LL. Longitudinal tracking of adolescent smoking, physical activity, and food choice behaviours. Am J Public Health. 1994;84(7):1121-1126.</w:t>
      </w:r>
    </w:p>
    <w:p w:rsidR="00F01732" w:rsidRPr="00F01732" w:rsidRDefault="00790810" w:rsidP="00F01732">
      <w:pPr>
        <w:spacing w:line="480" w:lineRule="auto"/>
        <w:rPr>
          <w:sz w:val="24"/>
          <w:szCs w:val="24"/>
        </w:rPr>
      </w:pPr>
      <w:r>
        <w:rPr>
          <w:sz w:val="24"/>
          <w:szCs w:val="24"/>
        </w:rPr>
        <w:t>9</w:t>
      </w:r>
      <w:r w:rsidR="00F01732" w:rsidRPr="00F01732">
        <w:rPr>
          <w:sz w:val="24"/>
          <w:szCs w:val="24"/>
        </w:rPr>
        <w:t>.</w:t>
      </w:r>
      <w:r w:rsidR="00F01732" w:rsidRPr="00F01732">
        <w:rPr>
          <w:sz w:val="24"/>
          <w:szCs w:val="24"/>
        </w:rPr>
        <w:tab/>
        <w:t>Craigie AM, Lake AA, Kelly SA, Adamson AJ, Mathers JC. Tracking of obesity-related behaviours from childhood to adulthood: a systematic review. Maturitas. 2011;70.</w:t>
      </w:r>
    </w:p>
    <w:p w:rsidR="00F01732" w:rsidRPr="00F01732" w:rsidRDefault="00790810" w:rsidP="00F01732">
      <w:pPr>
        <w:spacing w:line="480" w:lineRule="auto"/>
        <w:rPr>
          <w:sz w:val="24"/>
          <w:szCs w:val="24"/>
        </w:rPr>
      </w:pPr>
      <w:r>
        <w:rPr>
          <w:sz w:val="24"/>
          <w:szCs w:val="24"/>
        </w:rPr>
        <w:t>10</w:t>
      </w:r>
      <w:r w:rsidR="00F01732" w:rsidRPr="00F01732">
        <w:rPr>
          <w:sz w:val="24"/>
          <w:szCs w:val="24"/>
        </w:rPr>
        <w:t>.</w:t>
      </w:r>
      <w:r w:rsidR="00F01732" w:rsidRPr="00F01732">
        <w:rPr>
          <w:sz w:val="24"/>
          <w:szCs w:val="24"/>
        </w:rPr>
        <w:tab/>
        <w:t>Maimaris W, McCambridge J. Age of first drinking and adult alcohol problems: systematic review of prospective cohort studies. Journal of epidemiology and community health. 2014;68(3):268-274.</w:t>
      </w:r>
    </w:p>
    <w:p w:rsidR="00F01732" w:rsidRPr="00F01732" w:rsidRDefault="00F01732" w:rsidP="00F01732">
      <w:pPr>
        <w:spacing w:line="480" w:lineRule="auto"/>
        <w:rPr>
          <w:sz w:val="24"/>
          <w:szCs w:val="24"/>
        </w:rPr>
      </w:pPr>
      <w:r w:rsidRPr="00F01732">
        <w:rPr>
          <w:sz w:val="24"/>
          <w:szCs w:val="24"/>
        </w:rPr>
        <w:t>1</w:t>
      </w:r>
      <w:r w:rsidR="00790810">
        <w:rPr>
          <w:sz w:val="24"/>
          <w:szCs w:val="24"/>
        </w:rPr>
        <w:t>1</w:t>
      </w:r>
      <w:r w:rsidR="008D24ED">
        <w:rPr>
          <w:sz w:val="24"/>
          <w:szCs w:val="24"/>
        </w:rPr>
        <w:t>.</w:t>
      </w:r>
      <w:r w:rsidR="00330E24">
        <w:rPr>
          <w:sz w:val="24"/>
          <w:szCs w:val="24"/>
        </w:rPr>
        <w:tab/>
      </w:r>
      <w:r w:rsidRPr="00F01732">
        <w:rPr>
          <w:sz w:val="24"/>
          <w:szCs w:val="24"/>
        </w:rPr>
        <w:t>Viner RM, Ross D, Hardy R, et al. Life course epidemiology: recognising the importance of adolescence. Journal of epidemiology and community health. 2015.</w:t>
      </w:r>
    </w:p>
    <w:p w:rsidR="00F01732" w:rsidRPr="00F01732" w:rsidRDefault="00790810" w:rsidP="00F01732">
      <w:pPr>
        <w:spacing w:line="480" w:lineRule="auto"/>
        <w:rPr>
          <w:sz w:val="24"/>
          <w:szCs w:val="24"/>
        </w:rPr>
      </w:pPr>
      <w:r>
        <w:rPr>
          <w:sz w:val="24"/>
          <w:szCs w:val="24"/>
        </w:rPr>
        <w:t>12</w:t>
      </w:r>
      <w:r w:rsidR="00F01732" w:rsidRPr="00F01732">
        <w:rPr>
          <w:sz w:val="24"/>
          <w:szCs w:val="24"/>
        </w:rPr>
        <w:t>.</w:t>
      </w:r>
      <w:r w:rsidR="00F01732" w:rsidRPr="00F01732">
        <w:rPr>
          <w:sz w:val="24"/>
          <w:szCs w:val="24"/>
        </w:rPr>
        <w:tab/>
        <w:t>Blakemore SJ, Mills KL. Is adolescence a sensitive period for sociocultural processing? Annu Rev Psychol. 2014;65:187-207.</w:t>
      </w:r>
    </w:p>
    <w:p w:rsidR="00F01732" w:rsidRPr="00F01732" w:rsidRDefault="00790810" w:rsidP="00F01732">
      <w:pPr>
        <w:spacing w:line="480" w:lineRule="auto"/>
        <w:rPr>
          <w:sz w:val="24"/>
          <w:szCs w:val="24"/>
        </w:rPr>
      </w:pPr>
      <w:r>
        <w:rPr>
          <w:sz w:val="24"/>
          <w:szCs w:val="24"/>
        </w:rPr>
        <w:t>13</w:t>
      </w:r>
      <w:r w:rsidR="00F01732" w:rsidRPr="00F01732">
        <w:rPr>
          <w:sz w:val="24"/>
          <w:szCs w:val="24"/>
        </w:rPr>
        <w:t>.</w:t>
      </w:r>
      <w:r w:rsidR="00F01732" w:rsidRPr="00F01732">
        <w:rPr>
          <w:sz w:val="24"/>
          <w:szCs w:val="24"/>
        </w:rPr>
        <w:tab/>
        <w:t>Rhodes K, Chan F, Prichard I, Coveney J, Ward P, Wilson C. Intergenerational transmission of dietary behaviours: A qualitative study of Anglo-Australian, Chinese-Australian and Italian-Australian three-generation families. Appetite. 2016;103:309-317.</w:t>
      </w:r>
    </w:p>
    <w:p w:rsidR="00F01732" w:rsidRPr="00F01732" w:rsidRDefault="00790810" w:rsidP="00F01732">
      <w:pPr>
        <w:spacing w:line="480" w:lineRule="auto"/>
        <w:rPr>
          <w:sz w:val="24"/>
          <w:szCs w:val="24"/>
        </w:rPr>
      </w:pPr>
      <w:r>
        <w:rPr>
          <w:sz w:val="24"/>
          <w:szCs w:val="24"/>
        </w:rPr>
        <w:t>14</w:t>
      </w:r>
      <w:r w:rsidR="00F01732" w:rsidRPr="00F01732">
        <w:rPr>
          <w:sz w:val="24"/>
          <w:szCs w:val="24"/>
        </w:rPr>
        <w:t>.</w:t>
      </w:r>
      <w:r w:rsidR="00F01732" w:rsidRPr="00F01732">
        <w:rPr>
          <w:sz w:val="24"/>
          <w:szCs w:val="24"/>
        </w:rPr>
        <w:tab/>
        <w:t>Fisk CM, Crozier SR, Inskip HM, et al. Influences on the quality of young children's diets: the importance of maternal food choices. British Journal of Nutrition. 2011;105(2):287-296.</w:t>
      </w:r>
    </w:p>
    <w:p w:rsidR="00F01732" w:rsidRPr="00F01732" w:rsidRDefault="00790810" w:rsidP="00F01732">
      <w:pPr>
        <w:spacing w:line="480" w:lineRule="auto"/>
        <w:rPr>
          <w:sz w:val="24"/>
          <w:szCs w:val="24"/>
        </w:rPr>
      </w:pPr>
      <w:r>
        <w:rPr>
          <w:sz w:val="24"/>
          <w:szCs w:val="24"/>
        </w:rPr>
        <w:t>15</w:t>
      </w:r>
      <w:r w:rsidR="00F01732" w:rsidRPr="00F01732">
        <w:rPr>
          <w:sz w:val="24"/>
          <w:szCs w:val="24"/>
        </w:rPr>
        <w:t>.</w:t>
      </w:r>
      <w:r w:rsidR="00F01732" w:rsidRPr="00F01732">
        <w:rPr>
          <w:sz w:val="24"/>
          <w:szCs w:val="24"/>
        </w:rPr>
        <w:tab/>
        <w:t>Barker DJ. The fetal and infant origins of disease. European journal of clinical investigation. 1995;25(7):457-463.</w:t>
      </w:r>
    </w:p>
    <w:p w:rsidR="00F01732" w:rsidRPr="00F01732" w:rsidRDefault="00790810" w:rsidP="00F01732">
      <w:pPr>
        <w:spacing w:line="480" w:lineRule="auto"/>
        <w:rPr>
          <w:sz w:val="24"/>
          <w:szCs w:val="24"/>
        </w:rPr>
      </w:pPr>
      <w:r>
        <w:rPr>
          <w:sz w:val="24"/>
          <w:szCs w:val="24"/>
        </w:rPr>
        <w:t>16</w:t>
      </w:r>
      <w:r w:rsidR="00F01732" w:rsidRPr="00F01732">
        <w:rPr>
          <w:sz w:val="24"/>
          <w:szCs w:val="24"/>
        </w:rPr>
        <w:t>.</w:t>
      </w:r>
      <w:r w:rsidR="00F01732" w:rsidRPr="00F01732">
        <w:rPr>
          <w:sz w:val="24"/>
          <w:szCs w:val="24"/>
        </w:rPr>
        <w:tab/>
        <w:t>Krishnaveni GV, Veena SR, Hill JC, Kehoe S, Karat SC, Fall CH. Intrauterine exposure to maternal diabetes is associated with higher adiposity and insulin resistance and clustering of cardiovascular risk markers in Indian children. Diabetes care. 2010;33(2):402-404.</w:t>
      </w:r>
    </w:p>
    <w:p w:rsidR="00F01732" w:rsidRPr="00F01732" w:rsidRDefault="00790810" w:rsidP="00F01732">
      <w:pPr>
        <w:spacing w:line="480" w:lineRule="auto"/>
        <w:rPr>
          <w:sz w:val="24"/>
          <w:szCs w:val="24"/>
        </w:rPr>
      </w:pPr>
      <w:r>
        <w:rPr>
          <w:sz w:val="24"/>
          <w:szCs w:val="24"/>
        </w:rPr>
        <w:t>17</w:t>
      </w:r>
      <w:r w:rsidR="00F01732" w:rsidRPr="00F01732">
        <w:rPr>
          <w:sz w:val="24"/>
          <w:szCs w:val="24"/>
        </w:rPr>
        <w:t>.</w:t>
      </w:r>
      <w:r w:rsidR="00F01732" w:rsidRPr="00F01732">
        <w:rPr>
          <w:sz w:val="24"/>
          <w:szCs w:val="24"/>
        </w:rPr>
        <w:tab/>
        <w:t>Dabelea D, Pettitt DJ. Intrauterine diabetic environment confers risks for type 2 diabetes mellitus and obesity in the offspring, in addition to genetic susceptibility. Journal of Pediatric Endocrinology and Metabolism. 2001;14(8):1085-1092.</w:t>
      </w:r>
    </w:p>
    <w:p w:rsidR="00F01732" w:rsidRPr="00F01732" w:rsidRDefault="00790810" w:rsidP="00F01732">
      <w:pPr>
        <w:spacing w:line="480" w:lineRule="auto"/>
        <w:rPr>
          <w:sz w:val="24"/>
          <w:szCs w:val="24"/>
        </w:rPr>
      </w:pPr>
      <w:r>
        <w:rPr>
          <w:sz w:val="24"/>
          <w:szCs w:val="24"/>
        </w:rPr>
        <w:t>18</w:t>
      </w:r>
      <w:r w:rsidR="00F01732" w:rsidRPr="00F01732">
        <w:rPr>
          <w:sz w:val="24"/>
          <w:szCs w:val="24"/>
        </w:rPr>
        <w:t>.</w:t>
      </w:r>
      <w:r w:rsidR="00F01732" w:rsidRPr="00F01732">
        <w:rPr>
          <w:sz w:val="24"/>
          <w:szCs w:val="24"/>
        </w:rPr>
        <w:tab/>
        <w:t>Warner MJ, Ozanne SE. Mechanisms involved in the developmental programming of adulthood disease. Biochemical Journal. 2010;427(3):333-347.</w:t>
      </w:r>
    </w:p>
    <w:p w:rsidR="00F01732" w:rsidRPr="00F01732" w:rsidRDefault="00790810" w:rsidP="00F01732">
      <w:pPr>
        <w:spacing w:line="480" w:lineRule="auto"/>
        <w:rPr>
          <w:sz w:val="24"/>
          <w:szCs w:val="24"/>
        </w:rPr>
      </w:pPr>
      <w:r>
        <w:rPr>
          <w:sz w:val="24"/>
          <w:szCs w:val="24"/>
        </w:rPr>
        <w:t>19</w:t>
      </w:r>
      <w:r w:rsidR="00F01732" w:rsidRPr="00F01732">
        <w:rPr>
          <w:sz w:val="24"/>
          <w:szCs w:val="24"/>
        </w:rPr>
        <w:t>.</w:t>
      </w:r>
      <w:r w:rsidR="00F01732" w:rsidRPr="00F01732">
        <w:rPr>
          <w:sz w:val="24"/>
          <w:szCs w:val="24"/>
        </w:rPr>
        <w:tab/>
        <w:t>Fleming TP, Watkins AJ, Velazquez MA, et al. Origins of lifetime health around the time of conception: causes and consequences. The Lancet. 2018;391(10132):1842-1852.</w:t>
      </w:r>
    </w:p>
    <w:p w:rsidR="00F01732" w:rsidRPr="00F01732" w:rsidRDefault="00790810" w:rsidP="00F01732">
      <w:pPr>
        <w:spacing w:line="480" w:lineRule="auto"/>
        <w:rPr>
          <w:sz w:val="24"/>
          <w:szCs w:val="24"/>
        </w:rPr>
      </w:pPr>
      <w:r>
        <w:rPr>
          <w:sz w:val="24"/>
          <w:szCs w:val="24"/>
        </w:rPr>
        <w:t>20</w:t>
      </w:r>
      <w:r w:rsidR="00F01732" w:rsidRPr="00F01732">
        <w:rPr>
          <w:sz w:val="24"/>
          <w:szCs w:val="24"/>
        </w:rPr>
        <w:t>.</w:t>
      </w:r>
      <w:r w:rsidR="00F01732" w:rsidRPr="00F01732">
        <w:rPr>
          <w:sz w:val="24"/>
          <w:szCs w:val="24"/>
        </w:rPr>
        <w:tab/>
        <w:t>Soubry A. Epigenetic inheritance and evolution: a paternal perspective on dietary influences. Progress in biophysics and molecular biology. 2015;118(1-2):79-85.</w:t>
      </w:r>
    </w:p>
    <w:p w:rsidR="00F01732" w:rsidRPr="00F01732" w:rsidRDefault="00790810" w:rsidP="00F01732">
      <w:pPr>
        <w:spacing w:line="480" w:lineRule="auto"/>
        <w:rPr>
          <w:sz w:val="24"/>
          <w:szCs w:val="24"/>
        </w:rPr>
      </w:pPr>
      <w:r>
        <w:rPr>
          <w:sz w:val="24"/>
          <w:szCs w:val="24"/>
        </w:rPr>
        <w:t>21</w:t>
      </w:r>
      <w:r w:rsidR="00F01732" w:rsidRPr="00F01732">
        <w:rPr>
          <w:sz w:val="24"/>
          <w:szCs w:val="24"/>
        </w:rPr>
        <w:t>.</w:t>
      </w:r>
      <w:r w:rsidR="00F01732" w:rsidRPr="00F01732">
        <w:rPr>
          <w:sz w:val="24"/>
          <w:szCs w:val="24"/>
        </w:rPr>
        <w:tab/>
        <w:t>Akseer N, Al-Gashm S, Mehta S, Mokdad A, Bhutta ZA. Global and regional trends in the nutritional status of young people: a critical and neglected age group. Annals of the New York Academy of Sciences. 2017;1393(1):3-20.</w:t>
      </w:r>
    </w:p>
    <w:p w:rsidR="00F01732" w:rsidRPr="00F01732" w:rsidRDefault="00790810" w:rsidP="00F01732">
      <w:pPr>
        <w:spacing w:line="480" w:lineRule="auto"/>
        <w:rPr>
          <w:sz w:val="24"/>
          <w:szCs w:val="24"/>
        </w:rPr>
      </w:pPr>
      <w:r>
        <w:rPr>
          <w:sz w:val="24"/>
          <w:szCs w:val="24"/>
        </w:rPr>
        <w:t>22</w:t>
      </w:r>
      <w:r w:rsidR="00F01732" w:rsidRPr="00F01732">
        <w:rPr>
          <w:sz w:val="24"/>
          <w:szCs w:val="24"/>
        </w:rPr>
        <w:t>.</w:t>
      </w:r>
      <w:r w:rsidR="00F01732" w:rsidRPr="00F01732">
        <w:rPr>
          <w:sz w:val="24"/>
          <w:szCs w:val="24"/>
        </w:rPr>
        <w:tab/>
        <w:t>Blakemore SJ. The developing social brain: implications for education. Neuron. 2010;65(6):744-747.</w:t>
      </w:r>
    </w:p>
    <w:p w:rsidR="008D24ED" w:rsidRDefault="00790810" w:rsidP="00F01732">
      <w:pPr>
        <w:spacing w:line="480" w:lineRule="auto"/>
        <w:rPr>
          <w:sz w:val="24"/>
          <w:szCs w:val="24"/>
        </w:rPr>
      </w:pPr>
      <w:r>
        <w:rPr>
          <w:sz w:val="24"/>
          <w:szCs w:val="24"/>
        </w:rPr>
        <w:t>23</w:t>
      </w:r>
      <w:r w:rsidR="00F01732" w:rsidRPr="00F01732">
        <w:rPr>
          <w:sz w:val="24"/>
          <w:szCs w:val="24"/>
        </w:rPr>
        <w:t>.</w:t>
      </w:r>
      <w:r w:rsidR="00F01732" w:rsidRPr="00F01732">
        <w:rPr>
          <w:sz w:val="24"/>
          <w:szCs w:val="24"/>
        </w:rPr>
        <w:tab/>
      </w:r>
      <w:r w:rsidR="008D24ED" w:rsidRPr="00330E24">
        <w:rPr>
          <w:sz w:val="24"/>
          <w:szCs w:val="24"/>
        </w:rPr>
        <w:t>Stevenson RJ. Psychological correlates of habitual diet in healthy adults. Psychological bulletin. 2017 Jan;143(1):53.</w:t>
      </w:r>
    </w:p>
    <w:p w:rsidR="00F01732" w:rsidRPr="00F01732" w:rsidRDefault="008D24ED" w:rsidP="00F01732">
      <w:pPr>
        <w:spacing w:line="480" w:lineRule="auto"/>
        <w:rPr>
          <w:sz w:val="24"/>
          <w:szCs w:val="24"/>
        </w:rPr>
      </w:pPr>
      <w:r>
        <w:rPr>
          <w:sz w:val="24"/>
          <w:szCs w:val="24"/>
        </w:rPr>
        <w:t xml:space="preserve">24. </w:t>
      </w:r>
      <w:r w:rsidR="00F01732" w:rsidRPr="00F01732">
        <w:rPr>
          <w:sz w:val="24"/>
          <w:szCs w:val="24"/>
        </w:rPr>
        <w:t>Aurino E. Do boys eat better than girls in India? Longitudinal evidence on dietary diversity and food consumption disparities among children and adolescents. Economics &amp; Human Biology. 2017;25:99-111.</w:t>
      </w:r>
    </w:p>
    <w:p w:rsidR="00F01732" w:rsidRPr="00F01732" w:rsidRDefault="008D24ED" w:rsidP="00F01732">
      <w:pPr>
        <w:spacing w:line="480" w:lineRule="auto"/>
        <w:rPr>
          <w:sz w:val="24"/>
          <w:szCs w:val="24"/>
        </w:rPr>
      </w:pPr>
      <w:r>
        <w:rPr>
          <w:sz w:val="24"/>
          <w:szCs w:val="24"/>
        </w:rPr>
        <w:t>25</w:t>
      </w:r>
      <w:r w:rsidR="00F01732" w:rsidRPr="00F01732">
        <w:rPr>
          <w:sz w:val="24"/>
          <w:szCs w:val="24"/>
        </w:rPr>
        <w:t>.</w:t>
      </w:r>
      <w:r w:rsidR="00F01732" w:rsidRPr="00F01732">
        <w:rPr>
          <w:sz w:val="24"/>
          <w:szCs w:val="24"/>
        </w:rPr>
        <w:tab/>
        <w:t>Rah JH, Christian P, Shamim AA, Arju UT, Labrique AB, Rashid M. Pregnancy and lactation hinder growth and nutritional status of adolescent girls in rural Bangladesh. The Journal of nutrition. 2008;138(8):1505-1511.</w:t>
      </w:r>
    </w:p>
    <w:p w:rsidR="00F01732" w:rsidRPr="00F01732" w:rsidRDefault="008D24ED" w:rsidP="00F01732">
      <w:pPr>
        <w:spacing w:line="480" w:lineRule="auto"/>
        <w:rPr>
          <w:sz w:val="24"/>
          <w:szCs w:val="24"/>
        </w:rPr>
      </w:pPr>
      <w:r>
        <w:rPr>
          <w:sz w:val="24"/>
          <w:szCs w:val="24"/>
        </w:rPr>
        <w:t>26</w:t>
      </w:r>
      <w:r w:rsidR="00F01732" w:rsidRPr="00F01732">
        <w:rPr>
          <w:sz w:val="24"/>
          <w:szCs w:val="24"/>
        </w:rPr>
        <w:t>.</w:t>
      </w:r>
      <w:r w:rsidR="00F01732" w:rsidRPr="00F01732">
        <w:rPr>
          <w:sz w:val="24"/>
          <w:szCs w:val="24"/>
        </w:rPr>
        <w:tab/>
        <w:t>Scholl TO, Hediger ML. A review of the epidemiology of nutrition and adolescent pregnancy: maternal growth during pregnancy and its effect on the fetus. Journal of the American College of Nutrition. 1993;12(2):101-107.</w:t>
      </w:r>
    </w:p>
    <w:p w:rsidR="00F01732" w:rsidRPr="00F01732" w:rsidRDefault="008D24ED" w:rsidP="00F01732">
      <w:pPr>
        <w:spacing w:line="480" w:lineRule="auto"/>
        <w:rPr>
          <w:sz w:val="24"/>
          <w:szCs w:val="24"/>
        </w:rPr>
      </w:pPr>
      <w:r>
        <w:rPr>
          <w:sz w:val="24"/>
          <w:szCs w:val="24"/>
        </w:rPr>
        <w:t>27</w:t>
      </w:r>
      <w:r w:rsidR="00F01732" w:rsidRPr="00F01732">
        <w:rPr>
          <w:sz w:val="24"/>
          <w:szCs w:val="24"/>
        </w:rPr>
        <w:t>.</w:t>
      </w:r>
      <w:r w:rsidR="00F01732" w:rsidRPr="00F01732">
        <w:rPr>
          <w:sz w:val="24"/>
          <w:szCs w:val="24"/>
        </w:rPr>
        <w:tab/>
        <w:t>Kim THM. Teen, Optimal, and Advanced Age Mothers in Canada: Differences in Social Support, Parenting, and Child Behavioural Outcomes. 2017.</w:t>
      </w:r>
    </w:p>
    <w:p w:rsidR="00F01732" w:rsidRPr="00F01732" w:rsidRDefault="008D24ED" w:rsidP="00F01732">
      <w:pPr>
        <w:spacing w:line="480" w:lineRule="auto"/>
        <w:rPr>
          <w:sz w:val="24"/>
          <w:szCs w:val="24"/>
        </w:rPr>
      </w:pPr>
      <w:r>
        <w:rPr>
          <w:sz w:val="24"/>
          <w:szCs w:val="24"/>
        </w:rPr>
        <w:t>28</w:t>
      </w:r>
      <w:r w:rsidR="00F01732" w:rsidRPr="00F01732">
        <w:rPr>
          <w:sz w:val="24"/>
          <w:szCs w:val="24"/>
        </w:rPr>
        <w:t>.</w:t>
      </w:r>
      <w:r w:rsidR="00F01732" w:rsidRPr="00F01732">
        <w:rPr>
          <w:sz w:val="24"/>
          <w:szCs w:val="24"/>
        </w:rPr>
        <w:tab/>
        <w:t>Reilly JJ, Kelly J. Long-term impact of overweight and obesity in childhood and adolescence on morbidity and premature mortality in adulthood: systematic review. International journal of obesity (2005). 2011;35(7):891-898.</w:t>
      </w:r>
    </w:p>
    <w:p w:rsidR="00F01732" w:rsidRPr="00F01732" w:rsidRDefault="008D24ED" w:rsidP="00F01732">
      <w:pPr>
        <w:spacing w:line="480" w:lineRule="auto"/>
        <w:rPr>
          <w:sz w:val="24"/>
          <w:szCs w:val="24"/>
        </w:rPr>
      </w:pPr>
      <w:r>
        <w:rPr>
          <w:sz w:val="24"/>
          <w:szCs w:val="24"/>
        </w:rPr>
        <w:t>29</w:t>
      </w:r>
      <w:r w:rsidR="00F01732" w:rsidRPr="00F01732">
        <w:rPr>
          <w:sz w:val="24"/>
          <w:szCs w:val="24"/>
        </w:rPr>
        <w:t>.</w:t>
      </w:r>
      <w:r w:rsidR="00F01732" w:rsidRPr="00F01732">
        <w:rPr>
          <w:sz w:val="24"/>
          <w:szCs w:val="24"/>
        </w:rPr>
        <w:tab/>
        <w:t>Ochola S, Masibo PK. Dietary Intake of Schoolchildren and Adolescents in Developing Countries. Annals of Nutrition and Metabolism. 2014;64(suppl 2)(Suppl. 2):24-40.</w:t>
      </w:r>
    </w:p>
    <w:p w:rsidR="00F01732" w:rsidRPr="00F01732" w:rsidRDefault="008D24ED" w:rsidP="00F01732">
      <w:pPr>
        <w:spacing w:line="480" w:lineRule="auto"/>
        <w:rPr>
          <w:sz w:val="24"/>
          <w:szCs w:val="24"/>
        </w:rPr>
      </w:pPr>
      <w:r>
        <w:rPr>
          <w:sz w:val="24"/>
          <w:szCs w:val="24"/>
        </w:rPr>
        <w:t>30</w:t>
      </w:r>
      <w:r w:rsidR="00F01732" w:rsidRPr="00F01732">
        <w:rPr>
          <w:sz w:val="24"/>
          <w:szCs w:val="24"/>
        </w:rPr>
        <w:t>.</w:t>
      </w:r>
      <w:r w:rsidR="00F01732" w:rsidRPr="00F01732">
        <w:rPr>
          <w:sz w:val="24"/>
          <w:szCs w:val="24"/>
        </w:rPr>
        <w:tab/>
        <w:t>Voorend CG, Norris SA, Griffiths PL, Sedibe MH, Westerman MJ, Doak CM. ‘We eat together; today she buys, tomorrow I will buy the food’: adolescent best friends’ food choices and dietary practices in Soweto, South Africa. Public health nutrition. 2013;16(3):559-567.</w:t>
      </w:r>
    </w:p>
    <w:p w:rsidR="00F01732" w:rsidRPr="00F01732" w:rsidRDefault="008D24ED" w:rsidP="00F01732">
      <w:pPr>
        <w:spacing w:line="480" w:lineRule="auto"/>
        <w:rPr>
          <w:sz w:val="24"/>
          <w:szCs w:val="24"/>
        </w:rPr>
      </w:pPr>
      <w:r>
        <w:rPr>
          <w:sz w:val="24"/>
          <w:szCs w:val="24"/>
        </w:rPr>
        <w:t>31</w:t>
      </w:r>
      <w:r w:rsidR="00F01732" w:rsidRPr="00F01732">
        <w:rPr>
          <w:sz w:val="24"/>
          <w:szCs w:val="24"/>
        </w:rPr>
        <w:t>.</w:t>
      </w:r>
      <w:r w:rsidR="00F01732" w:rsidRPr="00F01732">
        <w:rPr>
          <w:sz w:val="24"/>
          <w:szCs w:val="24"/>
        </w:rPr>
        <w:tab/>
        <w:t>Craig E, Bland R, Reilly J. Objectively measured physical activity levels of children and adolescents in rural South Africa: high volume of physical activity at low intensity. Applied Physiology, Nutrition, and Metabolism. 2013;38(999):81-84.</w:t>
      </w:r>
    </w:p>
    <w:p w:rsidR="00F01732" w:rsidRPr="00F01732" w:rsidRDefault="008D24ED" w:rsidP="00F01732">
      <w:pPr>
        <w:spacing w:line="480" w:lineRule="auto"/>
        <w:rPr>
          <w:sz w:val="24"/>
          <w:szCs w:val="24"/>
        </w:rPr>
      </w:pPr>
      <w:r>
        <w:rPr>
          <w:sz w:val="24"/>
          <w:szCs w:val="24"/>
        </w:rPr>
        <w:t>32</w:t>
      </w:r>
      <w:r w:rsidR="00F01732" w:rsidRPr="00F01732">
        <w:rPr>
          <w:sz w:val="24"/>
          <w:szCs w:val="24"/>
        </w:rPr>
        <w:t>.</w:t>
      </w:r>
      <w:r w:rsidR="00F01732" w:rsidRPr="00F01732">
        <w:rPr>
          <w:sz w:val="24"/>
          <w:szCs w:val="24"/>
        </w:rPr>
        <w:tab/>
        <w:t>Rajaraman D, Correa N, Punthakee Z, et al. Perceived benefits, facilitators, disadvantages, and barriers for physical activity amongst South Asian adolescents in India and Canada. Journal of physical activity and health. 2015;12(7):931-941.</w:t>
      </w:r>
    </w:p>
    <w:p w:rsidR="00F01732" w:rsidRPr="00F01732" w:rsidRDefault="008D24ED" w:rsidP="00F01732">
      <w:pPr>
        <w:spacing w:line="480" w:lineRule="auto"/>
        <w:rPr>
          <w:sz w:val="24"/>
          <w:szCs w:val="24"/>
        </w:rPr>
      </w:pPr>
      <w:r>
        <w:rPr>
          <w:sz w:val="24"/>
          <w:szCs w:val="24"/>
        </w:rPr>
        <w:t>33</w:t>
      </w:r>
      <w:r w:rsidR="00F01732" w:rsidRPr="00F01732">
        <w:rPr>
          <w:sz w:val="24"/>
          <w:szCs w:val="24"/>
        </w:rPr>
        <w:t>.</w:t>
      </w:r>
      <w:r w:rsidR="00F01732" w:rsidRPr="00F01732">
        <w:rPr>
          <w:sz w:val="24"/>
          <w:szCs w:val="24"/>
        </w:rPr>
        <w:tab/>
        <w:t>Patton GC, Coffey C, Cappa C, et al. Health of the world's adolescents: a synthesis of internationally comparable data. The Lancet. 2012;379(9826):1665-1675.</w:t>
      </w:r>
    </w:p>
    <w:p w:rsidR="00F01732" w:rsidRPr="00F01732" w:rsidRDefault="008D24ED" w:rsidP="00F01732">
      <w:pPr>
        <w:spacing w:line="480" w:lineRule="auto"/>
        <w:rPr>
          <w:sz w:val="24"/>
          <w:szCs w:val="24"/>
        </w:rPr>
      </w:pPr>
      <w:r>
        <w:rPr>
          <w:sz w:val="24"/>
          <w:szCs w:val="24"/>
        </w:rPr>
        <w:t>34</w:t>
      </w:r>
      <w:r w:rsidR="00F01732" w:rsidRPr="00F01732">
        <w:rPr>
          <w:sz w:val="24"/>
          <w:szCs w:val="24"/>
        </w:rPr>
        <w:t>.</w:t>
      </w:r>
      <w:r w:rsidR="00F01732" w:rsidRPr="00F01732">
        <w:rPr>
          <w:sz w:val="24"/>
          <w:szCs w:val="24"/>
        </w:rPr>
        <w:tab/>
        <w:t>Amare B, Moges B, Fantahun B, et al. Micronutrient levels and nutritional status of school children living in Northwest Ethiopia. Nutrition journal. 2012;11(1):108.</w:t>
      </w:r>
    </w:p>
    <w:p w:rsidR="00F01732" w:rsidRPr="00F01732" w:rsidRDefault="00790810" w:rsidP="00F01732">
      <w:pPr>
        <w:spacing w:line="480" w:lineRule="auto"/>
        <w:rPr>
          <w:sz w:val="24"/>
          <w:szCs w:val="24"/>
        </w:rPr>
      </w:pPr>
      <w:r>
        <w:rPr>
          <w:sz w:val="24"/>
          <w:szCs w:val="24"/>
        </w:rPr>
        <w:t>3</w:t>
      </w:r>
      <w:r w:rsidR="008D24ED">
        <w:rPr>
          <w:sz w:val="24"/>
          <w:szCs w:val="24"/>
        </w:rPr>
        <w:t>5</w:t>
      </w:r>
      <w:r w:rsidR="00F01732" w:rsidRPr="00F01732">
        <w:rPr>
          <w:sz w:val="24"/>
          <w:szCs w:val="24"/>
        </w:rPr>
        <w:t>.</w:t>
      </w:r>
      <w:r w:rsidR="00F01732" w:rsidRPr="00F01732">
        <w:rPr>
          <w:sz w:val="24"/>
          <w:szCs w:val="24"/>
        </w:rPr>
        <w:tab/>
        <w:t>Mark HE, Houghton LA, Gibson RS, Monterrosa E, Kraemer K. Estimating dietary micronutrient supply and the prevalence of inadequate intakes from national Food Balance Sheets in the South Asia region. Asia Pacific Journal of Clinical Nutrition. 2016;25(2):368.</w:t>
      </w:r>
    </w:p>
    <w:p w:rsidR="00F01732" w:rsidRPr="00F01732" w:rsidRDefault="008D24ED" w:rsidP="00F01732">
      <w:pPr>
        <w:spacing w:line="480" w:lineRule="auto"/>
        <w:rPr>
          <w:sz w:val="24"/>
          <w:szCs w:val="24"/>
        </w:rPr>
      </w:pPr>
      <w:r>
        <w:rPr>
          <w:sz w:val="24"/>
          <w:szCs w:val="24"/>
        </w:rPr>
        <w:t>36</w:t>
      </w:r>
      <w:r w:rsidR="00F01732" w:rsidRPr="00F01732">
        <w:rPr>
          <w:sz w:val="24"/>
          <w:szCs w:val="24"/>
        </w:rPr>
        <w:t>.</w:t>
      </w:r>
      <w:r w:rsidR="00F01732" w:rsidRPr="00F01732">
        <w:rPr>
          <w:sz w:val="24"/>
          <w:szCs w:val="24"/>
        </w:rPr>
        <w:tab/>
        <w:t>Cole TJ, Kuh D, Johnson W, et al. Using Super-Imposition by Translation And Rotation (SITAR) to relate pubertal growth to bone health in later life: the Medical Research Council (MRC) National Survey of Health and Development. International journal of epidemiology. 2016;45(4):1125-1134.</w:t>
      </w:r>
    </w:p>
    <w:p w:rsidR="00F01732" w:rsidRPr="00F01732" w:rsidRDefault="008D24ED" w:rsidP="00F01732">
      <w:pPr>
        <w:spacing w:line="480" w:lineRule="auto"/>
        <w:rPr>
          <w:sz w:val="24"/>
          <w:szCs w:val="24"/>
        </w:rPr>
      </w:pPr>
      <w:r>
        <w:rPr>
          <w:sz w:val="24"/>
          <w:szCs w:val="24"/>
        </w:rPr>
        <w:t>37</w:t>
      </w:r>
      <w:r w:rsidR="00F01732" w:rsidRPr="00F01732">
        <w:rPr>
          <w:sz w:val="24"/>
          <w:szCs w:val="24"/>
        </w:rPr>
        <w:t>.</w:t>
      </w:r>
      <w:r w:rsidR="00F01732" w:rsidRPr="00F01732">
        <w:rPr>
          <w:sz w:val="24"/>
          <w:szCs w:val="24"/>
        </w:rPr>
        <w:tab/>
        <w:t>Prentice AM, Ward KA, Goldberg GR, et al. Critical windows for nutritional interventions against stunting. The American of Clinical Nutrition. 2013;97(5):911-918.</w:t>
      </w:r>
    </w:p>
    <w:p w:rsidR="00F01732" w:rsidRPr="00F01732" w:rsidRDefault="008D24ED" w:rsidP="00F01732">
      <w:pPr>
        <w:spacing w:line="480" w:lineRule="auto"/>
        <w:rPr>
          <w:sz w:val="24"/>
          <w:szCs w:val="24"/>
        </w:rPr>
      </w:pPr>
      <w:r>
        <w:rPr>
          <w:sz w:val="24"/>
          <w:szCs w:val="24"/>
        </w:rPr>
        <w:t>38</w:t>
      </w:r>
      <w:r w:rsidR="00F01732" w:rsidRPr="00F01732">
        <w:rPr>
          <w:sz w:val="24"/>
          <w:szCs w:val="24"/>
        </w:rPr>
        <w:t>.</w:t>
      </w:r>
      <w:r w:rsidR="00F01732" w:rsidRPr="00F01732">
        <w:rPr>
          <w:sz w:val="24"/>
          <w:szCs w:val="24"/>
        </w:rPr>
        <w:tab/>
        <w:t>Prentice A, Dibba B, Sawo Y, Cole TJ. The effect of prepubertal calcium carbonate supplementation on the age of peak height velocity in Gambian adolescents. The American journal of clinical nutrition. 2012;96(5):1042-1050.</w:t>
      </w:r>
    </w:p>
    <w:p w:rsidR="00F01732" w:rsidRPr="00F01732" w:rsidRDefault="008D24ED" w:rsidP="00F01732">
      <w:pPr>
        <w:spacing w:line="480" w:lineRule="auto"/>
        <w:rPr>
          <w:sz w:val="24"/>
          <w:szCs w:val="24"/>
        </w:rPr>
      </w:pPr>
      <w:r>
        <w:rPr>
          <w:sz w:val="24"/>
          <w:szCs w:val="24"/>
        </w:rPr>
        <w:t>39</w:t>
      </w:r>
      <w:r w:rsidR="00F01732" w:rsidRPr="00F01732">
        <w:rPr>
          <w:sz w:val="24"/>
          <w:szCs w:val="24"/>
        </w:rPr>
        <w:t>.</w:t>
      </w:r>
      <w:r w:rsidR="00F01732" w:rsidRPr="00F01732">
        <w:rPr>
          <w:sz w:val="24"/>
          <w:szCs w:val="24"/>
        </w:rPr>
        <w:tab/>
        <w:t>Aguayo VM, Paintal K, Singh G. The Adolescent Girls’ Anaemia Control Programme: a decade of programming experience to break the inter-generational cycle of malnutrition in India. Public health nutrition. 2013;16(9):1667-1676.</w:t>
      </w:r>
    </w:p>
    <w:p w:rsidR="00F01732" w:rsidRPr="00F01732" w:rsidRDefault="008D24ED" w:rsidP="00F01732">
      <w:pPr>
        <w:spacing w:line="480" w:lineRule="auto"/>
        <w:rPr>
          <w:sz w:val="24"/>
          <w:szCs w:val="24"/>
        </w:rPr>
      </w:pPr>
      <w:r>
        <w:rPr>
          <w:sz w:val="24"/>
          <w:szCs w:val="24"/>
        </w:rPr>
        <w:t>40</w:t>
      </w:r>
      <w:r w:rsidR="00F01732" w:rsidRPr="00F01732">
        <w:rPr>
          <w:sz w:val="24"/>
          <w:szCs w:val="24"/>
        </w:rPr>
        <w:t>.</w:t>
      </w:r>
      <w:r w:rsidR="00F01732" w:rsidRPr="00F01732">
        <w:rPr>
          <w:sz w:val="24"/>
          <w:szCs w:val="24"/>
        </w:rPr>
        <w:tab/>
        <w:t>Lassi ZS, Moin A, Das JK, Salam RA, Bhutta ZA. Systematic review on evidence-based adolescent nutrition interventions. Annals of the New York Academy of Sciences. 2017;1393(1):34-50.</w:t>
      </w:r>
    </w:p>
    <w:p w:rsidR="00F01732" w:rsidRPr="00F01732" w:rsidRDefault="008D24ED" w:rsidP="00F01732">
      <w:pPr>
        <w:spacing w:line="480" w:lineRule="auto"/>
        <w:rPr>
          <w:sz w:val="24"/>
          <w:szCs w:val="24"/>
        </w:rPr>
      </w:pPr>
      <w:r>
        <w:rPr>
          <w:sz w:val="24"/>
          <w:szCs w:val="24"/>
        </w:rPr>
        <w:t>41</w:t>
      </w:r>
      <w:r w:rsidR="00F01732" w:rsidRPr="00F01732">
        <w:rPr>
          <w:sz w:val="24"/>
          <w:szCs w:val="24"/>
        </w:rPr>
        <w:t>.</w:t>
      </w:r>
      <w:r w:rsidR="00F01732" w:rsidRPr="00F01732">
        <w:rPr>
          <w:sz w:val="24"/>
          <w:szCs w:val="24"/>
        </w:rPr>
        <w:tab/>
        <w:t>Save the Ch</w:t>
      </w:r>
      <w:r w:rsidR="006A4FB6">
        <w:rPr>
          <w:sz w:val="24"/>
          <w:szCs w:val="24"/>
        </w:rPr>
        <w:t>ildren. Youth Leaders for Nutri</w:t>
      </w:r>
      <w:r w:rsidR="00F01732" w:rsidRPr="00F01732">
        <w:rPr>
          <w:sz w:val="24"/>
          <w:szCs w:val="24"/>
        </w:rPr>
        <w:t>t</w:t>
      </w:r>
      <w:r w:rsidR="006A4FB6">
        <w:rPr>
          <w:sz w:val="24"/>
          <w:szCs w:val="24"/>
        </w:rPr>
        <w:t>i</w:t>
      </w:r>
      <w:r w:rsidR="00F01732" w:rsidRPr="00F01732">
        <w:rPr>
          <w:sz w:val="24"/>
          <w:szCs w:val="24"/>
        </w:rPr>
        <w:t>on Advocacy Toolkit. 2019; https://resourcecentre.savethechildren.net/library/youth-leaders-nutrition-advocacy-toolkit.</w:t>
      </w:r>
    </w:p>
    <w:p w:rsidR="00F01732" w:rsidRPr="00F01732" w:rsidRDefault="008D24ED" w:rsidP="00F01732">
      <w:pPr>
        <w:spacing w:line="480" w:lineRule="auto"/>
        <w:rPr>
          <w:sz w:val="24"/>
          <w:szCs w:val="24"/>
        </w:rPr>
      </w:pPr>
      <w:r>
        <w:rPr>
          <w:sz w:val="24"/>
          <w:szCs w:val="24"/>
        </w:rPr>
        <w:t>42</w:t>
      </w:r>
      <w:r w:rsidR="00F01732" w:rsidRPr="00F01732">
        <w:rPr>
          <w:sz w:val="24"/>
          <w:szCs w:val="24"/>
        </w:rPr>
        <w:t>.</w:t>
      </w:r>
      <w:r w:rsidR="00F01732" w:rsidRPr="00F01732">
        <w:rPr>
          <w:sz w:val="24"/>
          <w:szCs w:val="24"/>
        </w:rPr>
        <w:tab/>
        <w:t>Morrison KE, Rodgers AB, Morgan CP, Bale TL. Epigenetic mechanisms in pubertal brain maturation. Neuroscience. 2014;264:17-24.</w:t>
      </w:r>
    </w:p>
    <w:p w:rsidR="00F01732" w:rsidRPr="00F01732" w:rsidRDefault="008D24ED" w:rsidP="00F01732">
      <w:pPr>
        <w:spacing w:line="480" w:lineRule="auto"/>
        <w:rPr>
          <w:sz w:val="24"/>
          <w:szCs w:val="24"/>
        </w:rPr>
      </w:pPr>
      <w:r>
        <w:rPr>
          <w:sz w:val="24"/>
          <w:szCs w:val="24"/>
        </w:rPr>
        <w:t>43</w:t>
      </w:r>
      <w:r w:rsidR="00F01732" w:rsidRPr="00F01732">
        <w:rPr>
          <w:sz w:val="24"/>
          <w:szCs w:val="24"/>
        </w:rPr>
        <w:t>.</w:t>
      </w:r>
      <w:r w:rsidR="00F01732" w:rsidRPr="00F01732">
        <w:rPr>
          <w:sz w:val="24"/>
          <w:szCs w:val="24"/>
        </w:rPr>
        <w:tab/>
        <w:t>Krebs N, Bagby S, Bhutta ZA, et al. International summit on the nutrition of adolescent girls and young women: consensus statement. Annals of the New York Academy of Sciences. 2017;1400(1):3.</w:t>
      </w:r>
    </w:p>
    <w:p w:rsidR="00F01732" w:rsidRPr="00F01732" w:rsidRDefault="008D24ED" w:rsidP="00F01732">
      <w:pPr>
        <w:spacing w:line="480" w:lineRule="auto"/>
        <w:rPr>
          <w:sz w:val="24"/>
          <w:szCs w:val="24"/>
        </w:rPr>
      </w:pPr>
      <w:r>
        <w:rPr>
          <w:sz w:val="24"/>
          <w:szCs w:val="24"/>
        </w:rPr>
        <w:t>44</w:t>
      </w:r>
      <w:r w:rsidR="00F01732" w:rsidRPr="00F01732">
        <w:rPr>
          <w:sz w:val="24"/>
          <w:szCs w:val="24"/>
        </w:rPr>
        <w:t>.</w:t>
      </w:r>
      <w:r w:rsidR="00F01732" w:rsidRPr="00F01732">
        <w:rPr>
          <w:sz w:val="24"/>
          <w:szCs w:val="24"/>
        </w:rPr>
        <w:tab/>
        <w:t>Hanson MA, Bardsley A, De-Regil LM, et al. The International Federation of Gynecology and Obstetrics (FIGO) recommendations on adolescent, preconception, and maternal nutrition: "Think Nutrition First". International journal of gynaecology and obstetrics: the official organ of the International Federation of Gynaecology and Obstetrics. 2015;131 Suppl 4:S213-253.</w:t>
      </w:r>
    </w:p>
    <w:p w:rsidR="00F01732" w:rsidRPr="00F01732" w:rsidRDefault="008D24ED" w:rsidP="00F01732">
      <w:pPr>
        <w:spacing w:line="480" w:lineRule="auto"/>
        <w:rPr>
          <w:sz w:val="24"/>
          <w:szCs w:val="24"/>
        </w:rPr>
      </w:pPr>
      <w:r>
        <w:rPr>
          <w:sz w:val="24"/>
          <w:szCs w:val="24"/>
        </w:rPr>
        <w:t>45</w:t>
      </w:r>
      <w:r w:rsidR="00F01732" w:rsidRPr="00F01732">
        <w:rPr>
          <w:sz w:val="24"/>
          <w:szCs w:val="24"/>
        </w:rPr>
        <w:t>.</w:t>
      </w:r>
      <w:r w:rsidR="00F01732" w:rsidRPr="00F01732">
        <w:rPr>
          <w:sz w:val="24"/>
          <w:szCs w:val="24"/>
        </w:rPr>
        <w:tab/>
        <w:t>World Health Organisation. Health for the World's Adolescents: a second chance in the second decade. 2014; http://apps.who.int/adolescent/second-decade/. Accessed 21/09/19, 2019.</w:t>
      </w:r>
    </w:p>
    <w:p w:rsidR="00F01732" w:rsidRPr="00F01732" w:rsidRDefault="008D24ED" w:rsidP="00F01732">
      <w:pPr>
        <w:spacing w:line="480" w:lineRule="auto"/>
        <w:rPr>
          <w:sz w:val="24"/>
          <w:szCs w:val="24"/>
        </w:rPr>
      </w:pPr>
      <w:r>
        <w:rPr>
          <w:sz w:val="24"/>
          <w:szCs w:val="24"/>
        </w:rPr>
        <w:t>46</w:t>
      </w:r>
      <w:r w:rsidR="00F01732" w:rsidRPr="00F01732">
        <w:rPr>
          <w:sz w:val="24"/>
          <w:szCs w:val="24"/>
        </w:rPr>
        <w:t>.</w:t>
      </w:r>
      <w:r w:rsidR="00F01732" w:rsidRPr="00F01732">
        <w:rPr>
          <w:sz w:val="24"/>
          <w:szCs w:val="24"/>
        </w:rPr>
        <w:tab/>
        <w:t>Khara T, Mates E. Adolescent Nutrition: policy and programming in SUN+ countries. Save the Children, UK; 26 2015.</w:t>
      </w:r>
    </w:p>
    <w:p w:rsidR="00F01732" w:rsidRPr="00F01732" w:rsidRDefault="008D24ED" w:rsidP="00F01732">
      <w:pPr>
        <w:spacing w:line="480" w:lineRule="auto"/>
        <w:rPr>
          <w:sz w:val="24"/>
          <w:szCs w:val="24"/>
        </w:rPr>
      </w:pPr>
      <w:r>
        <w:rPr>
          <w:sz w:val="24"/>
          <w:szCs w:val="24"/>
        </w:rPr>
        <w:t>47</w:t>
      </w:r>
      <w:r w:rsidR="00F01732" w:rsidRPr="00F01732">
        <w:rPr>
          <w:sz w:val="24"/>
          <w:szCs w:val="24"/>
        </w:rPr>
        <w:t>.</w:t>
      </w:r>
      <w:r w:rsidR="00F01732" w:rsidRPr="00F01732">
        <w:rPr>
          <w:sz w:val="24"/>
          <w:szCs w:val="24"/>
        </w:rPr>
        <w:tab/>
        <w:t>Ki-moon B. Sustainability - engaging future generations now. The Lancet. 2016;387(10036):2356-2358.</w:t>
      </w:r>
    </w:p>
    <w:p w:rsidR="00F01732" w:rsidRPr="00F01732" w:rsidRDefault="008D24ED" w:rsidP="00F01732">
      <w:pPr>
        <w:spacing w:line="480" w:lineRule="auto"/>
        <w:rPr>
          <w:sz w:val="24"/>
          <w:szCs w:val="24"/>
        </w:rPr>
      </w:pPr>
      <w:r>
        <w:rPr>
          <w:sz w:val="24"/>
          <w:szCs w:val="24"/>
        </w:rPr>
        <w:t>48</w:t>
      </w:r>
      <w:r w:rsidR="00F01732" w:rsidRPr="00F01732">
        <w:rPr>
          <w:sz w:val="24"/>
          <w:szCs w:val="24"/>
        </w:rPr>
        <w:t>.</w:t>
      </w:r>
      <w:r w:rsidR="00F01732" w:rsidRPr="00F01732">
        <w:rPr>
          <w:sz w:val="24"/>
          <w:szCs w:val="24"/>
        </w:rPr>
        <w:tab/>
        <w:t>Gates M. Advancing the adolescent health agenda. The Lancet. 2016;387(10036):2358-2359.</w:t>
      </w:r>
    </w:p>
    <w:p w:rsidR="00F01732" w:rsidRPr="00F01732" w:rsidRDefault="008D24ED" w:rsidP="00F01732">
      <w:pPr>
        <w:spacing w:line="480" w:lineRule="auto"/>
        <w:rPr>
          <w:sz w:val="24"/>
          <w:szCs w:val="24"/>
        </w:rPr>
      </w:pPr>
      <w:r>
        <w:rPr>
          <w:sz w:val="24"/>
          <w:szCs w:val="24"/>
        </w:rPr>
        <w:t>49</w:t>
      </w:r>
      <w:r w:rsidR="00F01732" w:rsidRPr="00F01732">
        <w:rPr>
          <w:sz w:val="24"/>
          <w:szCs w:val="24"/>
        </w:rPr>
        <w:t>.</w:t>
      </w:r>
      <w:r w:rsidR="00F01732" w:rsidRPr="00F01732">
        <w:rPr>
          <w:sz w:val="24"/>
          <w:szCs w:val="24"/>
        </w:rPr>
        <w:tab/>
        <w:t>World Health Organisation. Global Accelerated Action for the Health of Adolescents (AA-HA!): guidance to support country implementation. Geneva: World Health Organisation;2017.</w:t>
      </w:r>
    </w:p>
    <w:p w:rsidR="00F01732" w:rsidRPr="00F01732" w:rsidRDefault="008D24ED" w:rsidP="00F01732">
      <w:pPr>
        <w:spacing w:line="480" w:lineRule="auto"/>
        <w:rPr>
          <w:sz w:val="24"/>
          <w:szCs w:val="24"/>
        </w:rPr>
      </w:pPr>
      <w:r>
        <w:rPr>
          <w:sz w:val="24"/>
          <w:szCs w:val="24"/>
        </w:rPr>
        <w:t>50</w:t>
      </w:r>
      <w:r w:rsidR="00F01732" w:rsidRPr="00F01732">
        <w:rPr>
          <w:sz w:val="24"/>
          <w:szCs w:val="24"/>
        </w:rPr>
        <w:t>.</w:t>
      </w:r>
      <w:r w:rsidR="00F01732" w:rsidRPr="00F01732">
        <w:rPr>
          <w:sz w:val="24"/>
          <w:szCs w:val="24"/>
        </w:rPr>
        <w:tab/>
        <w:t>Qvortrup J, Corsaro WA, Honig M-S, Valentine G. The Palgrave handbook of childhood studies. Springer; 2009.</w:t>
      </w:r>
    </w:p>
    <w:p w:rsidR="00F01732" w:rsidRPr="00F01732" w:rsidRDefault="008D24ED" w:rsidP="00F01732">
      <w:pPr>
        <w:spacing w:line="480" w:lineRule="auto"/>
        <w:rPr>
          <w:sz w:val="24"/>
          <w:szCs w:val="24"/>
        </w:rPr>
      </w:pPr>
      <w:r>
        <w:rPr>
          <w:sz w:val="24"/>
          <w:szCs w:val="24"/>
        </w:rPr>
        <w:t>51</w:t>
      </w:r>
      <w:r w:rsidR="00F01732" w:rsidRPr="00F01732">
        <w:rPr>
          <w:sz w:val="24"/>
          <w:szCs w:val="24"/>
        </w:rPr>
        <w:t>.</w:t>
      </w:r>
      <w:r w:rsidR="00F01732" w:rsidRPr="00F01732">
        <w:rPr>
          <w:sz w:val="24"/>
          <w:szCs w:val="24"/>
        </w:rPr>
        <w:tab/>
        <w:t>Weller S. Evolving creativity in qualitative longitudinal research with children and teenagers. International Journal of Social Research Methodology. 2012;15(2):119-133.</w:t>
      </w:r>
    </w:p>
    <w:p w:rsidR="00F01732" w:rsidRPr="00F01732" w:rsidRDefault="008D24ED" w:rsidP="00F01732">
      <w:pPr>
        <w:spacing w:line="480" w:lineRule="auto"/>
        <w:rPr>
          <w:sz w:val="24"/>
          <w:szCs w:val="24"/>
        </w:rPr>
      </w:pPr>
      <w:r>
        <w:rPr>
          <w:sz w:val="24"/>
          <w:szCs w:val="24"/>
        </w:rPr>
        <w:t>52</w:t>
      </w:r>
      <w:r w:rsidR="00F01732" w:rsidRPr="00F01732">
        <w:rPr>
          <w:sz w:val="24"/>
          <w:szCs w:val="24"/>
        </w:rPr>
        <w:t>.</w:t>
      </w:r>
      <w:r w:rsidR="00F01732" w:rsidRPr="00F01732">
        <w:rPr>
          <w:sz w:val="24"/>
          <w:szCs w:val="24"/>
        </w:rPr>
        <w:tab/>
        <w:t>McNamee S. The social study of childhood: An introduction. Macmillan International Higher Education; 2016.</w:t>
      </w:r>
    </w:p>
    <w:p w:rsidR="00F01732" w:rsidRPr="00F01732" w:rsidRDefault="008D24ED" w:rsidP="00F01732">
      <w:pPr>
        <w:spacing w:line="480" w:lineRule="auto"/>
        <w:rPr>
          <w:sz w:val="24"/>
          <w:szCs w:val="24"/>
        </w:rPr>
      </w:pPr>
      <w:r>
        <w:rPr>
          <w:sz w:val="24"/>
          <w:szCs w:val="24"/>
        </w:rPr>
        <w:t>53</w:t>
      </w:r>
      <w:r w:rsidR="00F01732" w:rsidRPr="00F01732">
        <w:rPr>
          <w:sz w:val="24"/>
          <w:szCs w:val="24"/>
        </w:rPr>
        <w:t>.</w:t>
      </w:r>
      <w:r w:rsidR="00F01732" w:rsidRPr="00F01732">
        <w:rPr>
          <w:sz w:val="24"/>
          <w:szCs w:val="24"/>
        </w:rPr>
        <w:tab/>
        <w:t>MacDonald R, Shildrick T, Woodman D. The Future of Youth Research and the Journal of Youth Studies: editorial statement, January 2019. In: Taylor &amp; Francis; 2019.</w:t>
      </w:r>
    </w:p>
    <w:p w:rsidR="00F01732" w:rsidRPr="00F01732" w:rsidRDefault="008D24ED" w:rsidP="00F01732">
      <w:pPr>
        <w:spacing w:line="480" w:lineRule="auto"/>
        <w:rPr>
          <w:sz w:val="24"/>
          <w:szCs w:val="24"/>
        </w:rPr>
      </w:pPr>
      <w:r>
        <w:rPr>
          <w:sz w:val="24"/>
          <w:szCs w:val="24"/>
        </w:rPr>
        <w:t>54</w:t>
      </w:r>
      <w:r w:rsidR="00F01732" w:rsidRPr="00F01732">
        <w:rPr>
          <w:sz w:val="24"/>
          <w:szCs w:val="24"/>
        </w:rPr>
        <w:t>.</w:t>
      </w:r>
      <w:r w:rsidR="00F01732" w:rsidRPr="00F01732">
        <w:rPr>
          <w:sz w:val="24"/>
          <w:szCs w:val="24"/>
        </w:rPr>
        <w:tab/>
        <w:t>Norozi SA, Moen T. Childhood as a social construction. Journal of Educational and Social Research. 2016;6(2):75.</w:t>
      </w:r>
    </w:p>
    <w:p w:rsidR="00F01732" w:rsidRPr="00F01732" w:rsidRDefault="008D24ED" w:rsidP="00F01732">
      <w:pPr>
        <w:spacing w:line="480" w:lineRule="auto"/>
        <w:rPr>
          <w:sz w:val="24"/>
          <w:szCs w:val="24"/>
        </w:rPr>
      </w:pPr>
      <w:r>
        <w:rPr>
          <w:sz w:val="24"/>
          <w:szCs w:val="24"/>
        </w:rPr>
        <w:t>55</w:t>
      </w:r>
      <w:r w:rsidR="00F01732" w:rsidRPr="00F01732">
        <w:rPr>
          <w:sz w:val="24"/>
          <w:szCs w:val="24"/>
        </w:rPr>
        <w:t>.</w:t>
      </w:r>
      <w:r w:rsidR="00F01732" w:rsidRPr="00F01732">
        <w:rPr>
          <w:sz w:val="24"/>
          <w:szCs w:val="24"/>
        </w:rPr>
        <w:tab/>
        <w:t>Swift J, Tischler V. Qualitative research in nutrition and dietetics: getting started. Journal of Human Nutrition and Dietetics. 2010;23(6):559-566.</w:t>
      </w:r>
    </w:p>
    <w:p w:rsidR="00F01732" w:rsidRPr="00F01732" w:rsidRDefault="008D24ED" w:rsidP="00F01732">
      <w:pPr>
        <w:spacing w:line="480" w:lineRule="auto"/>
        <w:rPr>
          <w:sz w:val="24"/>
          <w:szCs w:val="24"/>
        </w:rPr>
      </w:pPr>
      <w:r>
        <w:rPr>
          <w:sz w:val="24"/>
          <w:szCs w:val="24"/>
        </w:rPr>
        <w:t>56</w:t>
      </w:r>
      <w:r w:rsidR="00F01732" w:rsidRPr="00F01732">
        <w:rPr>
          <w:sz w:val="24"/>
          <w:szCs w:val="24"/>
        </w:rPr>
        <w:t>.</w:t>
      </w:r>
      <w:r w:rsidR="00F01732" w:rsidRPr="00F01732">
        <w:rPr>
          <w:sz w:val="24"/>
          <w:szCs w:val="24"/>
        </w:rPr>
        <w:tab/>
        <w:t>Boyatzis RE. Transforming qualitative information: Thematic analysis and code development. Sage; 1998.</w:t>
      </w:r>
    </w:p>
    <w:p w:rsidR="00F01732" w:rsidRPr="00F01732" w:rsidRDefault="008D24ED" w:rsidP="00F01732">
      <w:pPr>
        <w:spacing w:line="480" w:lineRule="auto"/>
        <w:rPr>
          <w:sz w:val="24"/>
          <w:szCs w:val="24"/>
        </w:rPr>
      </w:pPr>
      <w:r>
        <w:rPr>
          <w:sz w:val="24"/>
          <w:szCs w:val="24"/>
        </w:rPr>
        <w:t>57</w:t>
      </w:r>
      <w:r w:rsidR="00F01732" w:rsidRPr="00F01732">
        <w:rPr>
          <w:sz w:val="24"/>
          <w:szCs w:val="24"/>
        </w:rPr>
        <w:t>.</w:t>
      </w:r>
      <w:r w:rsidR="00F01732" w:rsidRPr="00F01732">
        <w:rPr>
          <w:sz w:val="24"/>
          <w:szCs w:val="24"/>
        </w:rPr>
        <w:tab/>
        <w:t>Patton GC, Ross DA, Santelli JS, Sawyer SM, Viner RM, Kleinert S. Next steps for adolescent health: a Lancet Commission. Lancet. 2014;383(9915):385-386.</w:t>
      </w:r>
    </w:p>
    <w:p w:rsidR="00F01732" w:rsidRPr="00F01732" w:rsidRDefault="008D24ED" w:rsidP="00F01732">
      <w:pPr>
        <w:spacing w:line="480" w:lineRule="auto"/>
        <w:rPr>
          <w:sz w:val="24"/>
          <w:szCs w:val="24"/>
        </w:rPr>
      </w:pPr>
      <w:r>
        <w:rPr>
          <w:sz w:val="24"/>
          <w:szCs w:val="24"/>
        </w:rPr>
        <w:t>58</w:t>
      </w:r>
      <w:r w:rsidR="00F01732" w:rsidRPr="00F01732">
        <w:rPr>
          <w:sz w:val="24"/>
          <w:szCs w:val="24"/>
        </w:rPr>
        <w:t>.</w:t>
      </w:r>
      <w:r w:rsidR="00F01732" w:rsidRPr="00F01732">
        <w:rPr>
          <w:sz w:val="24"/>
          <w:szCs w:val="24"/>
        </w:rPr>
        <w:tab/>
        <w:t>World Health Organisation. Advocating for Change for Adolescents! A Practical Toolkit for Young People to Advocate for Improved Adolescent Health and Well-being Geneva: World Health Organisation;2018.</w:t>
      </w:r>
    </w:p>
    <w:p w:rsidR="009B012C" w:rsidRDefault="009B012C" w:rsidP="00F01732">
      <w:pPr>
        <w:spacing w:line="480" w:lineRule="auto"/>
        <w:rPr>
          <w:sz w:val="24"/>
          <w:szCs w:val="24"/>
        </w:rPr>
      </w:pPr>
    </w:p>
    <w:p w:rsidR="00C25F85" w:rsidRDefault="00C25F85">
      <w:pPr>
        <w:widowControl/>
        <w:autoSpaceDE/>
        <w:autoSpaceDN/>
        <w:spacing w:after="160" w:line="259" w:lineRule="auto"/>
        <w:rPr>
          <w:rFonts w:ascii="Calibri" w:eastAsia="Calibri" w:hAnsi="Calibri" w:cs="Calibri"/>
          <w:b/>
          <w:lang w:val="en-GB" w:eastAsia="en-GB"/>
        </w:rPr>
      </w:pPr>
      <w:r>
        <w:rPr>
          <w:rFonts w:ascii="Calibri" w:eastAsia="Calibri" w:hAnsi="Calibri" w:cs="Calibri"/>
          <w:b/>
          <w:lang w:val="en-GB" w:eastAsia="en-GB"/>
        </w:rPr>
        <w:br w:type="page"/>
      </w:r>
    </w:p>
    <w:p w:rsidR="0031639A" w:rsidRPr="0031639A" w:rsidRDefault="0031639A" w:rsidP="0031639A">
      <w:pPr>
        <w:widowControl/>
        <w:autoSpaceDE/>
        <w:autoSpaceDN/>
        <w:spacing w:after="160" w:line="480" w:lineRule="auto"/>
        <w:rPr>
          <w:rFonts w:ascii="Calibri" w:eastAsia="Calibri" w:hAnsi="Calibri" w:cs="Calibri"/>
          <w:lang w:val="en-GB" w:eastAsia="en-GB"/>
        </w:rPr>
      </w:pPr>
      <w:r w:rsidRPr="0031639A">
        <w:rPr>
          <w:rFonts w:ascii="Calibri" w:eastAsia="Calibri" w:hAnsi="Calibri" w:cs="Calibri"/>
          <w:lang w:val="en-GB" w:eastAsia="en-GB"/>
        </w:rPr>
        <w:br w:type="page"/>
      </w:r>
    </w:p>
    <w:p w:rsidR="0031639A" w:rsidRPr="0031639A" w:rsidRDefault="0031639A" w:rsidP="0031639A">
      <w:pPr>
        <w:widowControl/>
        <w:autoSpaceDE/>
        <w:autoSpaceDN/>
        <w:spacing w:after="160" w:line="480" w:lineRule="auto"/>
        <w:rPr>
          <w:rFonts w:ascii="Calibri" w:hAnsi="Calibri" w:cs="Calibri"/>
          <w:b/>
          <w:lang w:val="en-GB" w:eastAsia="en-GB"/>
        </w:rPr>
      </w:pPr>
    </w:p>
    <w:p w:rsidR="0031639A" w:rsidRPr="0031639A" w:rsidRDefault="0031639A" w:rsidP="0031639A">
      <w:pPr>
        <w:widowControl/>
        <w:autoSpaceDE/>
        <w:autoSpaceDN/>
        <w:spacing w:after="160" w:line="480" w:lineRule="auto"/>
        <w:rPr>
          <w:rFonts w:ascii="Calibri" w:hAnsi="Calibri" w:cs="Calibri"/>
          <w:lang w:val="en-GB" w:eastAsia="en-GB"/>
        </w:rPr>
      </w:pPr>
    </w:p>
    <w:p w:rsidR="0031639A" w:rsidRPr="0031639A" w:rsidRDefault="0031639A" w:rsidP="0031639A">
      <w:pPr>
        <w:widowControl/>
        <w:autoSpaceDE/>
        <w:autoSpaceDN/>
        <w:spacing w:after="160" w:line="480" w:lineRule="auto"/>
        <w:rPr>
          <w:rFonts w:ascii="Calibri" w:eastAsia="Calibri" w:hAnsi="Calibri" w:cs="Calibri"/>
          <w:lang w:val="en-GB" w:eastAsia="en-GB"/>
        </w:rPr>
      </w:pPr>
    </w:p>
    <w:p w:rsidR="00C2610C" w:rsidRDefault="00C2610C" w:rsidP="00F01732">
      <w:pPr>
        <w:spacing w:line="480" w:lineRule="auto"/>
        <w:rPr>
          <w:sz w:val="24"/>
          <w:szCs w:val="24"/>
        </w:rPr>
      </w:pPr>
    </w:p>
    <w:p w:rsidR="00C2610C" w:rsidRDefault="00C2610C" w:rsidP="00F01732">
      <w:pPr>
        <w:spacing w:line="480" w:lineRule="auto"/>
        <w:rPr>
          <w:sz w:val="24"/>
          <w:szCs w:val="24"/>
        </w:rPr>
      </w:pPr>
    </w:p>
    <w:p w:rsidR="0031639A" w:rsidRPr="00F01732" w:rsidRDefault="00C2610C" w:rsidP="00C2610C">
      <w:pPr>
        <w:rPr>
          <w:sz w:val="24"/>
          <w:szCs w:val="24"/>
        </w:rPr>
      </w:pPr>
      <w:r>
        <w:rPr>
          <w:sz w:val="24"/>
          <w:szCs w:val="24"/>
        </w:rPr>
        <w:fldChar w:fldCharType="begin"/>
      </w:r>
      <w:r>
        <w:rPr>
          <w:sz w:val="24"/>
          <w:szCs w:val="24"/>
        </w:rPr>
        <w:instrText xml:space="preserve"> ADDIN EN.REFLIST </w:instrText>
      </w:r>
      <w:r>
        <w:rPr>
          <w:sz w:val="24"/>
          <w:szCs w:val="24"/>
        </w:rPr>
        <w:fldChar w:fldCharType="end"/>
      </w:r>
    </w:p>
    <w:sectPr w:rsidR="0031639A" w:rsidRPr="00F01732" w:rsidSect="00EE65FB">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ED" w:rsidRDefault="00CC29ED" w:rsidP="00EE65FB">
      <w:r>
        <w:separator/>
      </w:r>
    </w:p>
  </w:endnote>
  <w:endnote w:type="continuationSeparator" w:id="0">
    <w:p w:rsidR="00CC29ED" w:rsidRDefault="00CC29ED" w:rsidP="00EE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80778"/>
      <w:docPartObj>
        <w:docPartGallery w:val="Page Numbers (Bottom of Page)"/>
        <w:docPartUnique/>
      </w:docPartObj>
    </w:sdtPr>
    <w:sdtEndPr>
      <w:rPr>
        <w:noProof/>
      </w:rPr>
    </w:sdtEndPr>
    <w:sdtContent>
      <w:p w:rsidR="0030053E" w:rsidRDefault="0030053E">
        <w:pPr>
          <w:pStyle w:val="Footer"/>
          <w:jc w:val="center"/>
        </w:pPr>
        <w:r>
          <w:fldChar w:fldCharType="begin"/>
        </w:r>
        <w:r>
          <w:instrText xml:space="preserve"> PAGE   \* MERGEFORMAT </w:instrText>
        </w:r>
        <w:r>
          <w:fldChar w:fldCharType="separate"/>
        </w:r>
        <w:r w:rsidR="00F11633">
          <w:rPr>
            <w:noProof/>
          </w:rPr>
          <w:t>1</w:t>
        </w:r>
        <w:r>
          <w:rPr>
            <w:noProof/>
          </w:rPr>
          <w:fldChar w:fldCharType="end"/>
        </w:r>
      </w:p>
    </w:sdtContent>
  </w:sdt>
  <w:p w:rsidR="0030053E" w:rsidRDefault="003005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ED" w:rsidRDefault="00CC29ED" w:rsidP="00EE65FB">
      <w:r>
        <w:separator/>
      </w:r>
    </w:p>
  </w:footnote>
  <w:footnote w:type="continuationSeparator" w:id="0">
    <w:p w:rsidR="00CC29ED" w:rsidRDefault="00CC29ED" w:rsidP="00EE65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F9"/>
    <w:multiLevelType w:val="hybridMultilevel"/>
    <w:tmpl w:val="58E815F2"/>
    <w:lvl w:ilvl="0" w:tplc="44F49ECC">
      <w:start w:val="414"/>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9A4A9276">
      <w:numFmt w:val="bullet"/>
      <w:lvlText w:val="•"/>
      <w:lvlJc w:val="left"/>
      <w:pPr>
        <w:ind w:left="1778" w:hanging="695"/>
      </w:pPr>
      <w:rPr>
        <w:rFonts w:hint="default"/>
        <w:lang w:val="en-US" w:eastAsia="en-US" w:bidi="ar-SA"/>
      </w:rPr>
    </w:lvl>
    <w:lvl w:ilvl="2" w:tplc="2D8CDC0C">
      <w:numFmt w:val="bullet"/>
      <w:lvlText w:val="•"/>
      <w:lvlJc w:val="left"/>
      <w:pPr>
        <w:ind w:left="2697" w:hanging="695"/>
      </w:pPr>
      <w:rPr>
        <w:rFonts w:hint="default"/>
        <w:lang w:val="en-US" w:eastAsia="en-US" w:bidi="ar-SA"/>
      </w:rPr>
    </w:lvl>
    <w:lvl w:ilvl="3" w:tplc="78109C36">
      <w:numFmt w:val="bullet"/>
      <w:lvlText w:val="•"/>
      <w:lvlJc w:val="left"/>
      <w:pPr>
        <w:ind w:left="3615" w:hanging="695"/>
      </w:pPr>
      <w:rPr>
        <w:rFonts w:hint="default"/>
        <w:lang w:val="en-US" w:eastAsia="en-US" w:bidi="ar-SA"/>
      </w:rPr>
    </w:lvl>
    <w:lvl w:ilvl="4" w:tplc="5E52E432">
      <w:numFmt w:val="bullet"/>
      <w:lvlText w:val="•"/>
      <w:lvlJc w:val="left"/>
      <w:pPr>
        <w:ind w:left="4534" w:hanging="695"/>
      </w:pPr>
      <w:rPr>
        <w:rFonts w:hint="default"/>
        <w:lang w:val="en-US" w:eastAsia="en-US" w:bidi="ar-SA"/>
      </w:rPr>
    </w:lvl>
    <w:lvl w:ilvl="5" w:tplc="0A441274">
      <w:numFmt w:val="bullet"/>
      <w:lvlText w:val="•"/>
      <w:lvlJc w:val="left"/>
      <w:pPr>
        <w:ind w:left="5453" w:hanging="695"/>
      </w:pPr>
      <w:rPr>
        <w:rFonts w:hint="default"/>
        <w:lang w:val="en-US" w:eastAsia="en-US" w:bidi="ar-SA"/>
      </w:rPr>
    </w:lvl>
    <w:lvl w:ilvl="6" w:tplc="589CCB08">
      <w:numFmt w:val="bullet"/>
      <w:lvlText w:val="•"/>
      <w:lvlJc w:val="left"/>
      <w:pPr>
        <w:ind w:left="6371" w:hanging="695"/>
      </w:pPr>
      <w:rPr>
        <w:rFonts w:hint="default"/>
        <w:lang w:val="en-US" w:eastAsia="en-US" w:bidi="ar-SA"/>
      </w:rPr>
    </w:lvl>
    <w:lvl w:ilvl="7" w:tplc="A8F410BC">
      <w:numFmt w:val="bullet"/>
      <w:lvlText w:val="•"/>
      <w:lvlJc w:val="left"/>
      <w:pPr>
        <w:ind w:left="7290" w:hanging="695"/>
      </w:pPr>
      <w:rPr>
        <w:rFonts w:hint="default"/>
        <w:lang w:val="en-US" w:eastAsia="en-US" w:bidi="ar-SA"/>
      </w:rPr>
    </w:lvl>
    <w:lvl w:ilvl="8" w:tplc="7B527AD6">
      <w:numFmt w:val="bullet"/>
      <w:lvlText w:val="•"/>
      <w:lvlJc w:val="left"/>
      <w:pPr>
        <w:ind w:left="8208" w:hanging="695"/>
      </w:pPr>
      <w:rPr>
        <w:rFonts w:hint="default"/>
        <w:lang w:val="en-US" w:eastAsia="en-US" w:bidi="ar-SA"/>
      </w:rPr>
    </w:lvl>
  </w:abstractNum>
  <w:abstractNum w:abstractNumId="1" w15:restartNumberingAfterBreak="0">
    <w:nsid w:val="00561EFB"/>
    <w:multiLevelType w:val="hybridMultilevel"/>
    <w:tmpl w:val="60CCE4F2"/>
    <w:lvl w:ilvl="0" w:tplc="CE788AEC">
      <w:start w:val="420"/>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F6BE623A">
      <w:numFmt w:val="bullet"/>
      <w:lvlText w:val="•"/>
      <w:lvlJc w:val="left"/>
      <w:pPr>
        <w:ind w:left="1778" w:hanging="695"/>
      </w:pPr>
      <w:rPr>
        <w:rFonts w:hint="default"/>
        <w:lang w:val="en-US" w:eastAsia="en-US" w:bidi="ar-SA"/>
      </w:rPr>
    </w:lvl>
    <w:lvl w:ilvl="2" w:tplc="E1645D42">
      <w:numFmt w:val="bullet"/>
      <w:lvlText w:val="•"/>
      <w:lvlJc w:val="left"/>
      <w:pPr>
        <w:ind w:left="2697" w:hanging="695"/>
      </w:pPr>
      <w:rPr>
        <w:rFonts w:hint="default"/>
        <w:lang w:val="en-US" w:eastAsia="en-US" w:bidi="ar-SA"/>
      </w:rPr>
    </w:lvl>
    <w:lvl w:ilvl="3" w:tplc="0C081398">
      <w:numFmt w:val="bullet"/>
      <w:lvlText w:val="•"/>
      <w:lvlJc w:val="left"/>
      <w:pPr>
        <w:ind w:left="3615" w:hanging="695"/>
      </w:pPr>
      <w:rPr>
        <w:rFonts w:hint="default"/>
        <w:lang w:val="en-US" w:eastAsia="en-US" w:bidi="ar-SA"/>
      </w:rPr>
    </w:lvl>
    <w:lvl w:ilvl="4" w:tplc="184C8DAC">
      <w:numFmt w:val="bullet"/>
      <w:lvlText w:val="•"/>
      <w:lvlJc w:val="left"/>
      <w:pPr>
        <w:ind w:left="4534" w:hanging="695"/>
      </w:pPr>
      <w:rPr>
        <w:rFonts w:hint="default"/>
        <w:lang w:val="en-US" w:eastAsia="en-US" w:bidi="ar-SA"/>
      </w:rPr>
    </w:lvl>
    <w:lvl w:ilvl="5" w:tplc="A622E4B6">
      <w:numFmt w:val="bullet"/>
      <w:lvlText w:val="•"/>
      <w:lvlJc w:val="left"/>
      <w:pPr>
        <w:ind w:left="5453" w:hanging="695"/>
      </w:pPr>
      <w:rPr>
        <w:rFonts w:hint="default"/>
        <w:lang w:val="en-US" w:eastAsia="en-US" w:bidi="ar-SA"/>
      </w:rPr>
    </w:lvl>
    <w:lvl w:ilvl="6" w:tplc="B3DA4968">
      <w:numFmt w:val="bullet"/>
      <w:lvlText w:val="•"/>
      <w:lvlJc w:val="left"/>
      <w:pPr>
        <w:ind w:left="6371" w:hanging="695"/>
      </w:pPr>
      <w:rPr>
        <w:rFonts w:hint="default"/>
        <w:lang w:val="en-US" w:eastAsia="en-US" w:bidi="ar-SA"/>
      </w:rPr>
    </w:lvl>
    <w:lvl w:ilvl="7" w:tplc="7BDE6522">
      <w:numFmt w:val="bullet"/>
      <w:lvlText w:val="•"/>
      <w:lvlJc w:val="left"/>
      <w:pPr>
        <w:ind w:left="7290" w:hanging="695"/>
      </w:pPr>
      <w:rPr>
        <w:rFonts w:hint="default"/>
        <w:lang w:val="en-US" w:eastAsia="en-US" w:bidi="ar-SA"/>
      </w:rPr>
    </w:lvl>
    <w:lvl w:ilvl="8" w:tplc="37204ED0">
      <w:numFmt w:val="bullet"/>
      <w:lvlText w:val="•"/>
      <w:lvlJc w:val="left"/>
      <w:pPr>
        <w:ind w:left="8208" w:hanging="695"/>
      </w:pPr>
      <w:rPr>
        <w:rFonts w:hint="default"/>
        <w:lang w:val="en-US" w:eastAsia="en-US" w:bidi="ar-SA"/>
      </w:rPr>
    </w:lvl>
  </w:abstractNum>
  <w:abstractNum w:abstractNumId="2" w15:restartNumberingAfterBreak="0">
    <w:nsid w:val="046F58D9"/>
    <w:multiLevelType w:val="hybridMultilevel"/>
    <w:tmpl w:val="AF7845C2"/>
    <w:lvl w:ilvl="0" w:tplc="9A043BF6">
      <w:start w:val="368"/>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C3AACA1A">
      <w:numFmt w:val="bullet"/>
      <w:lvlText w:val="•"/>
      <w:lvlJc w:val="left"/>
      <w:pPr>
        <w:ind w:left="1778" w:hanging="695"/>
      </w:pPr>
      <w:rPr>
        <w:rFonts w:hint="default"/>
        <w:lang w:val="en-US" w:eastAsia="en-US" w:bidi="ar-SA"/>
      </w:rPr>
    </w:lvl>
    <w:lvl w:ilvl="2" w:tplc="EA6AAC24">
      <w:numFmt w:val="bullet"/>
      <w:lvlText w:val="•"/>
      <w:lvlJc w:val="left"/>
      <w:pPr>
        <w:ind w:left="2697" w:hanging="695"/>
      </w:pPr>
      <w:rPr>
        <w:rFonts w:hint="default"/>
        <w:lang w:val="en-US" w:eastAsia="en-US" w:bidi="ar-SA"/>
      </w:rPr>
    </w:lvl>
    <w:lvl w:ilvl="3" w:tplc="6B202E26">
      <w:numFmt w:val="bullet"/>
      <w:lvlText w:val="•"/>
      <w:lvlJc w:val="left"/>
      <w:pPr>
        <w:ind w:left="3615" w:hanging="695"/>
      </w:pPr>
      <w:rPr>
        <w:rFonts w:hint="default"/>
        <w:lang w:val="en-US" w:eastAsia="en-US" w:bidi="ar-SA"/>
      </w:rPr>
    </w:lvl>
    <w:lvl w:ilvl="4" w:tplc="EE90CB40">
      <w:numFmt w:val="bullet"/>
      <w:lvlText w:val="•"/>
      <w:lvlJc w:val="left"/>
      <w:pPr>
        <w:ind w:left="4534" w:hanging="695"/>
      </w:pPr>
      <w:rPr>
        <w:rFonts w:hint="default"/>
        <w:lang w:val="en-US" w:eastAsia="en-US" w:bidi="ar-SA"/>
      </w:rPr>
    </w:lvl>
    <w:lvl w:ilvl="5" w:tplc="DDF81B6C">
      <w:numFmt w:val="bullet"/>
      <w:lvlText w:val="•"/>
      <w:lvlJc w:val="left"/>
      <w:pPr>
        <w:ind w:left="5453" w:hanging="695"/>
      </w:pPr>
      <w:rPr>
        <w:rFonts w:hint="default"/>
        <w:lang w:val="en-US" w:eastAsia="en-US" w:bidi="ar-SA"/>
      </w:rPr>
    </w:lvl>
    <w:lvl w:ilvl="6" w:tplc="866EB588">
      <w:numFmt w:val="bullet"/>
      <w:lvlText w:val="•"/>
      <w:lvlJc w:val="left"/>
      <w:pPr>
        <w:ind w:left="6371" w:hanging="695"/>
      </w:pPr>
      <w:rPr>
        <w:rFonts w:hint="default"/>
        <w:lang w:val="en-US" w:eastAsia="en-US" w:bidi="ar-SA"/>
      </w:rPr>
    </w:lvl>
    <w:lvl w:ilvl="7" w:tplc="9FF4E902">
      <w:numFmt w:val="bullet"/>
      <w:lvlText w:val="•"/>
      <w:lvlJc w:val="left"/>
      <w:pPr>
        <w:ind w:left="7290" w:hanging="695"/>
      </w:pPr>
      <w:rPr>
        <w:rFonts w:hint="default"/>
        <w:lang w:val="en-US" w:eastAsia="en-US" w:bidi="ar-SA"/>
      </w:rPr>
    </w:lvl>
    <w:lvl w:ilvl="8" w:tplc="73FA995A">
      <w:numFmt w:val="bullet"/>
      <w:lvlText w:val="•"/>
      <w:lvlJc w:val="left"/>
      <w:pPr>
        <w:ind w:left="8208" w:hanging="695"/>
      </w:pPr>
      <w:rPr>
        <w:rFonts w:hint="default"/>
        <w:lang w:val="en-US" w:eastAsia="en-US" w:bidi="ar-SA"/>
      </w:rPr>
    </w:lvl>
  </w:abstractNum>
  <w:abstractNum w:abstractNumId="3" w15:restartNumberingAfterBreak="0">
    <w:nsid w:val="10857C66"/>
    <w:multiLevelType w:val="hybridMultilevel"/>
    <w:tmpl w:val="5CE2A348"/>
    <w:lvl w:ilvl="0" w:tplc="7B96C7AC">
      <w:start w:val="371"/>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AE7EB48A">
      <w:numFmt w:val="bullet"/>
      <w:lvlText w:val="•"/>
      <w:lvlJc w:val="left"/>
      <w:pPr>
        <w:ind w:left="1778" w:hanging="695"/>
      </w:pPr>
      <w:rPr>
        <w:rFonts w:hint="default"/>
        <w:lang w:val="en-US" w:eastAsia="en-US" w:bidi="ar-SA"/>
      </w:rPr>
    </w:lvl>
    <w:lvl w:ilvl="2" w:tplc="8AD234EC">
      <w:numFmt w:val="bullet"/>
      <w:lvlText w:val="•"/>
      <w:lvlJc w:val="left"/>
      <w:pPr>
        <w:ind w:left="2697" w:hanging="695"/>
      </w:pPr>
      <w:rPr>
        <w:rFonts w:hint="default"/>
        <w:lang w:val="en-US" w:eastAsia="en-US" w:bidi="ar-SA"/>
      </w:rPr>
    </w:lvl>
    <w:lvl w:ilvl="3" w:tplc="B69ACF14">
      <w:numFmt w:val="bullet"/>
      <w:lvlText w:val="•"/>
      <w:lvlJc w:val="left"/>
      <w:pPr>
        <w:ind w:left="3615" w:hanging="695"/>
      </w:pPr>
      <w:rPr>
        <w:rFonts w:hint="default"/>
        <w:lang w:val="en-US" w:eastAsia="en-US" w:bidi="ar-SA"/>
      </w:rPr>
    </w:lvl>
    <w:lvl w:ilvl="4" w:tplc="DD408DD0">
      <w:numFmt w:val="bullet"/>
      <w:lvlText w:val="•"/>
      <w:lvlJc w:val="left"/>
      <w:pPr>
        <w:ind w:left="4534" w:hanging="695"/>
      </w:pPr>
      <w:rPr>
        <w:rFonts w:hint="default"/>
        <w:lang w:val="en-US" w:eastAsia="en-US" w:bidi="ar-SA"/>
      </w:rPr>
    </w:lvl>
    <w:lvl w:ilvl="5" w:tplc="E25A442C">
      <w:numFmt w:val="bullet"/>
      <w:lvlText w:val="•"/>
      <w:lvlJc w:val="left"/>
      <w:pPr>
        <w:ind w:left="5453" w:hanging="695"/>
      </w:pPr>
      <w:rPr>
        <w:rFonts w:hint="default"/>
        <w:lang w:val="en-US" w:eastAsia="en-US" w:bidi="ar-SA"/>
      </w:rPr>
    </w:lvl>
    <w:lvl w:ilvl="6" w:tplc="A42CD61E">
      <w:numFmt w:val="bullet"/>
      <w:lvlText w:val="•"/>
      <w:lvlJc w:val="left"/>
      <w:pPr>
        <w:ind w:left="6371" w:hanging="695"/>
      </w:pPr>
      <w:rPr>
        <w:rFonts w:hint="default"/>
        <w:lang w:val="en-US" w:eastAsia="en-US" w:bidi="ar-SA"/>
      </w:rPr>
    </w:lvl>
    <w:lvl w:ilvl="7" w:tplc="E4ECC354">
      <w:numFmt w:val="bullet"/>
      <w:lvlText w:val="•"/>
      <w:lvlJc w:val="left"/>
      <w:pPr>
        <w:ind w:left="7290" w:hanging="695"/>
      </w:pPr>
      <w:rPr>
        <w:rFonts w:hint="default"/>
        <w:lang w:val="en-US" w:eastAsia="en-US" w:bidi="ar-SA"/>
      </w:rPr>
    </w:lvl>
    <w:lvl w:ilvl="8" w:tplc="E4261E20">
      <w:numFmt w:val="bullet"/>
      <w:lvlText w:val="•"/>
      <w:lvlJc w:val="left"/>
      <w:pPr>
        <w:ind w:left="8208" w:hanging="695"/>
      </w:pPr>
      <w:rPr>
        <w:rFonts w:hint="default"/>
        <w:lang w:val="en-US" w:eastAsia="en-US" w:bidi="ar-SA"/>
      </w:rPr>
    </w:lvl>
  </w:abstractNum>
  <w:abstractNum w:abstractNumId="4" w15:restartNumberingAfterBreak="0">
    <w:nsid w:val="124814C3"/>
    <w:multiLevelType w:val="hybridMultilevel"/>
    <w:tmpl w:val="72FCBA7E"/>
    <w:lvl w:ilvl="0" w:tplc="F850A606">
      <w:start w:val="399"/>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A00C8858">
      <w:numFmt w:val="bullet"/>
      <w:lvlText w:val="•"/>
      <w:lvlJc w:val="left"/>
      <w:pPr>
        <w:ind w:left="1778" w:hanging="695"/>
      </w:pPr>
      <w:rPr>
        <w:rFonts w:hint="default"/>
        <w:lang w:val="en-US" w:eastAsia="en-US" w:bidi="ar-SA"/>
      </w:rPr>
    </w:lvl>
    <w:lvl w:ilvl="2" w:tplc="093A7536">
      <w:numFmt w:val="bullet"/>
      <w:lvlText w:val="•"/>
      <w:lvlJc w:val="left"/>
      <w:pPr>
        <w:ind w:left="2697" w:hanging="695"/>
      </w:pPr>
      <w:rPr>
        <w:rFonts w:hint="default"/>
        <w:lang w:val="en-US" w:eastAsia="en-US" w:bidi="ar-SA"/>
      </w:rPr>
    </w:lvl>
    <w:lvl w:ilvl="3" w:tplc="2D543B0C">
      <w:numFmt w:val="bullet"/>
      <w:lvlText w:val="•"/>
      <w:lvlJc w:val="left"/>
      <w:pPr>
        <w:ind w:left="3615" w:hanging="695"/>
      </w:pPr>
      <w:rPr>
        <w:rFonts w:hint="default"/>
        <w:lang w:val="en-US" w:eastAsia="en-US" w:bidi="ar-SA"/>
      </w:rPr>
    </w:lvl>
    <w:lvl w:ilvl="4" w:tplc="9DC2A4E6">
      <w:numFmt w:val="bullet"/>
      <w:lvlText w:val="•"/>
      <w:lvlJc w:val="left"/>
      <w:pPr>
        <w:ind w:left="4534" w:hanging="695"/>
      </w:pPr>
      <w:rPr>
        <w:rFonts w:hint="default"/>
        <w:lang w:val="en-US" w:eastAsia="en-US" w:bidi="ar-SA"/>
      </w:rPr>
    </w:lvl>
    <w:lvl w:ilvl="5" w:tplc="A8D6AA1C">
      <w:numFmt w:val="bullet"/>
      <w:lvlText w:val="•"/>
      <w:lvlJc w:val="left"/>
      <w:pPr>
        <w:ind w:left="5453" w:hanging="695"/>
      </w:pPr>
      <w:rPr>
        <w:rFonts w:hint="default"/>
        <w:lang w:val="en-US" w:eastAsia="en-US" w:bidi="ar-SA"/>
      </w:rPr>
    </w:lvl>
    <w:lvl w:ilvl="6" w:tplc="7F961A14">
      <w:numFmt w:val="bullet"/>
      <w:lvlText w:val="•"/>
      <w:lvlJc w:val="left"/>
      <w:pPr>
        <w:ind w:left="6371" w:hanging="695"/>
      </w:pPr>
      <w:rPr>
        <w:rFonts w:hint="default"/>
        <w:lang w:val="en-US" w:eastAsia="en-US" w:bidi="ar-SA"/>
      </w:rPr>
    </w:lvl>
    <w:lvl w:ilvl="7" w:tplc="D9DED004">
      <w:numFmt w:val="bullet"/>
      <w:lvlText w:val="•"/>
      <w:lvlJc w:val="left"/>
      <w:pPr>
        <w:ind w:left="7290" w:hanging="695"/>
      </w:pPr>
      <w:rPr>
        <w:rFonts w:hint="default"/>
        <w:lang w:val="en-US" w:eastAsia="en-US" w:bidi="ar-SA"/>
      </w:rPr>
    </w:lvl>
    <w:lvl w:ilvl="8" w:tplc="B74A1E24">
      <w:numFmt w:val="bullet"/>
      <w:lvlText w:val="•"/>
      <w:lvlJc w:val="left"/>
      <w:pPr>
        <w:ind w:left="8208" w:hanging="695"/>
      </w:pPr>
      <w:rPr>
        <w:rFonts w:hint="default"/>
        <w:lang w:val="en-US" w:eastAsia="en-US" w:bidi="ar-SA"/>
      </w:rPr>
    </w:lvl>
  </w:abstractNum>
  <w:abstractNum w:abstractNumId="5" w15:restartNumberingAfterBreak="0">
    <w:nsid w:val="2343788C"/>
    <w:multiLevelType w:val="hybridMultilevel"/>
    <w:tmpl w:val="C4AC7F98"/>
    <w:lvl w:ilvl="0" w:tplc="5072AB44">
      <w:start w:val="465"/>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C4244246">
      <w:numFmt w:val="bullet"/>
      <w:lvlText w:val="•"/>
      <w:lvlJc w:val="left"/>
      <w:pPr>
        <w:ind w:left="1778" w:hanging="695"/>
      </w:pPr>
      <w:rPr>
        <w:rFonts w:hint="default"/>
        <w:lang w:val="en-US" w:eastAsia="en-US" w:bidi="ar-SA"/>
      </w:rPr>
    </w:lvl>
    <w:lvl w:ilvl="2" w:tplc="08389288">
      <w:numFmt w:val="bullet"/>
      <w:lvlText w:val="•"/>
      <w:lvlJc w:val="left"/>
      <w:pPr>
        <w:ind w:left="2697" w:hanging="695"/>
      </w:pPr>
      <w:rPr>
        <w:rFonts w:hint="default"/>
        <w:lang w:val="en-US" w:eastAsia="en-US" w:bidi="ar-SA"/>
      </w:rPr>
    </w:lvl>
    <w:lvl w:ilvl="3" w:tplc="164A90E6">
      <w:numFmt w:val="bullet"/>
      <w:lvlText w:val="•"/>
      <w:lvlJc w:val="left"/>
      <w:pPr>
        <w:ind w:left="3615" w:hanging="695"/>
      </w:pPr>
      <w:rPr>
        <w:rFonts w:hint="default"/>
        <w:lang w:val="en-US" w:eastAsia="en-US" w:bidi="ar-SA"/>
      </w:rPr>
    </w:lvl>
    <w:lvl w:ilvl="4" w:tplc="5C8E39EE">
      <w:numFmt w:val="bullet"/>
      <w:lvlText w:val="•"/>
      <w:lvlJc w:val="left"/>
      <w:pPr>
        <w:ind w:left="4534" w:hanging="695"/>
      </w:pPr>
      <w:rPr>
        <w:rFonts w:hint="default"/>
        <w:lang w:val="en-US" w:eastAsia="en-US" w:bidi="ar-SA"/>
      </w:rPr>
    </w:lvl>
    <w:lvl w:ilvl="5" w:tplc="AA18C6C0">
      <w:numFmt w:val="bullet"/>
      <w:lvlText w:val="•"/>
      <w:lvlJc w:val="left"/>
      <w:pPr>
        <w:ind w:left="5453" w:hanging="695"/>
      </w:pPr>
      <w:rPr>
        <w:rFonts w:hint="default"/>
        <w:lang w:val="en-US" w:eastAsia="en-US" w:bidi="ar-SA"/>
      </w:rPr>
    </w:lvl>
    <w:lvl w:ilvl="6" w:tplc="521A1CF0">
      <w:numFmt w:val="bullet"/>
      <w:lvlText w:val="•"/>
      <w:lvlJc w:val="left"/>
      <w:pPr>
        <w:ind w:left="6371" w:hanging="695"/>
      </w:pPr>
      <w:rPr>
        <w:rFonts w:hint="default"/>
        <w:lang w:val="en-US" w:eastAsia="en-US" w:bidi="ar-SA"/>
      </w:rPr>
    </w:lvl>
    <w:lvl w:ilvl="7" w:tplc="711803C0">
      <w:numFmt w:val="bullet"/>
      <w:lvlText w:val="•"/>
      <w:lvlJc w:val="left"/>
      <w:pPr>
        <w:ind w:left="7290" w:hanging="695"/>
      </w:pPr>
      <w:rPr>
        <w:rFonts w:hint="default"/>
        <w:lang w:val="en-US" w:eastAsia="en-US" w:bidi="ar-SA"/>
      </w:rPr>
    </w:lvl>
    <w:lvl w:ilvl="8" w:tplc="5E2C35C8">
      <w:numFmt w:val="bullet"/>
      <w:lvlText w:val="•"/>
      <w:lvlJc w:val="left"/>
      <w:pPr>
        <w:ind w:left="8208" w:hanging="695"/>
      </w:pPr>
      <w:rPr>
        <w:rFonts w:hint="default"/>
        <w:lang w:val="en-US" w:eastAsia="en-US" w:bidi="ar-SA"/>
      </w:rPr>
    </w:lvl>
  </w:abstractNum>
  <w:abstractNum w:abstractNumId="6" w15:restartNumberingAfterBreak="0">
    <w:nsid w:val="275E0CEB"/>
    <w:multiLevelType w:val="hybridMultilevel"/>
    <w:tmpl w:val="AE7E9D76"/>
    <w:lvl w:ilvl="0" w:tplc="5CDA9C3E">
      <w:start w:val="487"/>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A268FE88">
      <w:numFmt w:val="bullet"/>
      <w:lvlText w:val="•"/>
      <w:lvlJc w:val="left"/>
      <w:pPr>
        <w:ind w:left="1778" w:hanging="695"/>
      </w:pPr>
      <w:rPr>
        <w:rFonts w:hint="default"/>
        <w:lang w:val="en-US" w:eastAsia="en-US" w:bidi="ar-SA"/>
      </w:rPr>
    </w:lvl>
    <w:lvl w:ilvl="2" w:tplc="2B3C28DA">
      <w:numFmt w:val="bullet"/>
      <w:lvlText w:val="•"/>
      <w:lvlJc w:val="left"/>
      <w:pPr>
        <w:ind w:left="2697" w:hanging="695"/>
      </w:pPr>
      <w:rPr>
        <w:rFonts w:hint="default"/>
        <w:lang w:val="en-US" w:eastAsia="en-US" w:bidi="ar-SA"/>
      </w:rPr>
    </w:lvl>
    <w:lvl w:ilvl="3" w:tplc="B62C4AAC">
      <w:numFmt w:val="bullet"/>
      <w:lvlText w:val="•"/>
      <w:lvlJc w:val="left"/>
      <w:pPr>
        <w:ind w:left="3615" w:hanging="695"/>
      </w:pPr>
      <w:rPr>
        <w:rFonts w:hint="default"/>
        <w:lang w:val="en-US" w:eastAsia="en-US" w:bidi="ar-SA"/>
      </w:rPr>
    </w:lvl>
    <w:lvl w:ilvl="4" w:tplc="30603AA8">
      <w:numFmt w:val="bullet"/>
      <w:lvlText w:val="•"/>
      <w:lvlJc w:val="left"/>
      <w:pPr>
        <w:ind w:left="4534" w:hanging="695"/>
      </w:pPr>
      <w:rPr>
        <w:rFonts w:hint="default"/>
        <w:lang w:val="en-US" w:eastAsia="en-US" w:bidi="ar-SA"/>
      </w:rPr>
    </w:lvl>
    <w:lvl w:ilvl="5" w:tplc="CF4ADE60">
      <w:numFmt w:val="bullet"/>
      <w:lvlText w:val="•"/>
      <w:lvlJc w:val="left"/>
      <w:pPr>
        <w:ind w:left="5453" w:hanging="695"/>
      </w:pPr>
      <w:rPr>
        <w:rFonts w:hint="default"/>
        <w:lang w:val="en-US" w:eastAsia="en-US" w:bidi="ar-SA"/>
      </w:rPr>
    </w:lvl>
    <w:lvl w:ilvl="6" w:tplc="A8BA57DC">
      <w:numFmt w:val="bullet"/>
      <w:lvlText w:val="•"/>
      <w:lvlJc w:val="left"/>
      <w:pPr>
        <w:ind w:left="6371" w:hanging="695"/>
      </w:pPr>
      <w:rPr>
        <w:rFonts w:hint="default"/>
        <w:lang w:val="en-US" w:eastAsia="en-US" w:bidi="ar-SA"/>
      </w:rPr>
    </w:lvl>
    <w:lvl w:ilvl="7" w:tplc="0AC20AE0">
      <w:numFmt w:val="bullet"/>
      <w:lvlText w:val="•"/>
      <w:lvlJc w:val="left"/>
      <w:pPr>
        <w:ind w:left="7290" w:hanging="695"/>
      </w:pPr>
      <w:rPr>
        <w:rFonts w:hint="default"/>
        <w:lang w:val="en-US" w:eastAsia="en-US" w:bidi="ar-SA"/>
      </w:rPr>
    </w:lvl>
    <w:lvl w:ilvl="8" w:tplc="8ED031D6">
      <w:numFmt w:val="bullet"/>
      <w:lvlText w:val="•"/>
      <w:lvlJc w:val="left"/>
      <w:pPr>
        <w:ind w:left="8208" w:hanging="695"/>
      </w:pPr>
      <w:rPr>
        <w:rFonts w:hint="default"/>
        <w:lang w:val="en-US" w:eastAsia="en-US" w:bidi="ar-SA"/>
      </w:rPr>
    </w:lvl>
  </w:abstractNum>
  <w:abstractNum w:abstractNumId="7" w15:restartNumberingAfterBreak="0">
    <w:nsid w:val="313748ED"/>
    <w:multiLevelType w:val="hybridMultilevel"/>
    <w:tmpl w:val="C2446740"/>
    <w:lvl w:ilvl="0" w:tplc="866AF2FA">
      <w:start w:val="435"/>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E14CADF4">
      <w:numFmt w:val="bullet"/>
      <w:lvlText w:val="•"/>
      <w:lvlJc w:val="left"/>
      <w:pPr>
        <w:ind w:left="1778" w:hanging="695"/>
      </w:pPr>
      <w:rPr>
        <w:rFonts w:hint="default"/>
        <w:lang w:val="en-US" w:eastAsia="en-US" w:bidi="ar-SA"/>
      </w:rPr>
    </w:lvl>
    <w:lvl w:ilvl="2" w:tplc="0D12D86A">
      <w:numFmt w:val="bullet"/>
      <w:lvlText w:val="•"/>
      <w:lvlJc w:val="left"/>
      <w:pPr>
        <w:ind w:left="2697" w:hanging="695"/>
      </w:pPr>
      <w:rPr>
        <w:rFonts w:hint="default"/>
        <w:lang w:val="en-US" w:eastAsia="en-US" w:bidi="ar-SA"/>
      </w:rPr>
    </w:lvl>
    <w:lvl w:ilvl="3" w:tplc="E152C0C2">
      <w:numFmt w:val="bullet"/>
      <w:lvlText w:val="•"/>
      <w:lvlJc w:val="left"/>
      <w:pPr>
        <w:ind w:left="3615" w:hanging="695"/>
      </w:pPr>
      <w:rPr>
        <w:rFonts w:hint="default"/>
        <w:lang w:val="en-US" w:eastAsia="en-US" w:bidi="ar-SA"/>
      </w:rPr>
    </w:lvl>
    <w:lvl w:ilvl="4" w:tplc="7324935A">
      <w:numFmt w:val="bullet"/>
      <w:lvlText w:val="•"/>
      <w:lvlJc w:val="left"/>
      <w:pPr>
        <w:ind w:left="4534" w:hanging="695"/>
      </w:pPr>
      <w:rPr>
        <w:rFonts w:hint="default"/>
        <w:lang w:val="en-US" w:eastAsia="en-US" w:bidi="ar-SA"/>
      </w:rPr>
    </w:lvl>
    <w:lvl w:ilvl="5" w:tplc="612EB536">
      <w:numFmt w:val="bullet"/>
      <w:lvlText w:val="•"/>
      <w:lvlJc w:val="left"/>
      <w:pPr>
        <w:ind w:left="5453" w:hanging="695"/>
      </w:pPr>
      <w:rPr>
        <w:rFonts w:hint="default"/>
        <w:lang w:val="en-US" w:eastAsia="en-US" w:bidi="ar-SA"/>
      </w:rPr>
    </w:lvl>
    <w:lvl w:ilvl="6" w:tplc="4F5AC672">
      <w:numFmt w:val="bullet"/>
      <w:lvlText w:val="•"/>
      <w:lvlJc w:val="left"/>
      <w:pPr>
        <w:ind w:left="6371" w:hanging="695"/>
      </w:pPr>
      <w:rPr>
        <w:rFonts w:hint="default"/>
        <w:lang w:val="en-US" w:eastAsia="en-US" w:bidi="ar-SA"/>
      </w:rPr>
    </w:lvl>
    <w:lvl w:ilvl="7" w:tplc="754EBC30">
      <w:numFmt w:val="bullet"/>
      <w:lvlText w:val="•"/>
      <w:lvlJc w:val="left"/>
      <w:pPr>
        <w:ind w:left="7290" w:hanging="695"/>
      </w:pPr>
      <w:rPr>
        <w:rFonts w:hint="default"/>
        <w:lang w:val="en-US" w:eastAsia="en-US" w:bidi="ar-SA"/>
      </w:rPr>
    </w:lvl>
    <w:lvl w:ilvl="8" w:tplc="F9AA8998">
      <w:numFmt w:val="bullet"/>
      <w:lvlText w:val="•"/>
      <w:lvlJc w:val="left"/>
      <w:pPr>
        <w:ind w:left="8208" w:hanging="695"/>
      </w:pPr>
      <w:rPr>
        <w:rFonts w:hint="default"/>
        <w:lang w:val="en-US" w:eastAsia="en-US" w:bidi="ar-SA"/>
      </w:rPr>
    </w:lvl>
  </w:abstractNum>
  <w:abstractNum w:abstractNumId="8" w15:restartNumberingAfterBreak="0">
    <w:nsid w:val="3AC66DDA"/>
    <w:multiLevelType w:val="hybridMultilevel"/>
    <w:tmpl w:val="275C6E7A"/>
    <w:lvl w:ilvl="0" w:tplc="B1BE37AA">
      <w:start w:val="376"/>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E91692B2">
      <w:numFmt w:val="bullet"/>
      <w:lvlText w:val="•"/>
      <w:lvlJc w:val="left"/>
      <w:pPr>
        <w:ind w:left="1778" w:hanging="695"/>
      </w:pPr>
      <w:rPr>
        <w:rFonts w:hint="default"/>
        <w:lang w:val="en-US" w:eastAsia="en-US" w:bidi="ar-SA"/>
      </w:rPr>
    </w:lvl>
    <w:lvl w:ilvl="2" w:tplc="4DC62B62">
      <w:numFmt w:val="bullet"/>
      <w:lvlText w:val="•"/>
      <w:lvlJc w:val="left"/>
      <w:pPr>
        <w:ind w:left="2697" w:hanging="695"/>
      </w:pPr>
      <w:rPr>
        <w:rFonts w:hint="default"/>
        <w:lang w:val="en-US" w:eastAsia="en-US" w:bidi="ar-SA"/>
      </w:rPr>
    </w:lvl>
    <w:lvl w:ilvl="3" w:tplc="A1327CD4">
      <w:numFmt w:val="bullet"/>
      <w:lvlText w:val="•"/>
      <w:lvlJc w:val="left"/>
      <w:pPr>
        <w:ind w:left="3615" w:hanging="695"/>
      </w:pPr>
      <w:rPr>
        <w:rFonts w:hint="default"/>
        <w:lang w:val="en-US" w:eastAsia="en-US" w:bidi="ar-SA"/>
      </w:rPr>
    </w:lvl>
    <w:lvl w:ilvl="4" w:tplc="63CAD83C">
      <w:numFmt w:val="bullet"/>
      <w:lvlText w:val="•"/>
      <w:lvlJc w:val="left"/>
      <w:pPr>
        <w:ind w:left="4534" w:hanging="695"/>
      </w:pPr>
      <w:rPr>
        <w:rFonts w:hint="default"/>
        <w:lang w:val="en-US" w:eastAsia="en-US" w:bidi="ar-SA"/>
      </w:rPr>
    </w:lvl>
    <w:lvl w:ilvl="5" w:tplc="10F84B24">
      <w:numFmt w:val="bullet"/>
      <w:lvlText w:val="•"/>
      <w:lvlJc w:val="left"/>
      <w:pPr>
        <w:ind w:left="5453" w:hanging="695"/>
      </w:pPr>
      <w:rPr>
        <w:rFonts w:hint="default"/>
        <w:lang w:val="en-US" w:eastAsia="en-US" w:bidi="ar-SA"/>
      </w:rPr>
    </w:lvl>
    <w:lvl w:ilvl="6" w:tplc="F19EC702">
      <w:numFmt w:val="bullet"/>
      <w:lvlText w:val="•"/>
      <w:lvlJc w:val="left"/>
      <w:pPr>
        <w:ind w:left="6371" w:hanging="695"/>
      </w:pPr>
      <w:rPr>
        <w:rFonts w:hint="default"/>
        <w:lang w:val="en-US" w:eastAsia="en-US" w:bidi="ar-SA"/>
      </w:rPr>
    </w:lvl>
    <w:lvl w:ilvl="7" w:tplc="3200B95C">
      <w:numFmt w:val="bullet"/>
      <w:lvlText w:val="•"/>
      <w:lvlJc w:val="left"/>
      <w:pPr>
        <w:ind w:left="7290" w:hanging="695"/>
      </w:pPr>
      <w:rPr>
        <w:rFonts w:hint="default"/>
        <w:lang w:val="en-US" w:eastAsia="en-US" w:bidi="ar-SA"/>
      </w:rPr>
    </w:lvl>
    <w:lvl w:ilvl="8" w:tplc="8C342B28">
      <w:numFmt w:val="bullet"/>
      <w:lvlText w:val="•"/>
      <w:lvlJc w:val="left"/>
      <w:pPr>
        <w:ind w:left="8208" w:hanging="695"/>
      </w:pPr>
      <w:rPr>
        <w:rFonts w:hint="default"/>
        <w:lang w:val="en-US" w:eastAsia="en-US" w:bidi="ar-SA"/>
      </w:rPr>
    </w:lvl>
  </w:abstractNum>
  <w:abstractNum w:abstractNumId="9" w15:restartNumberingAfterBreak="0">
    <w:nsid w:val="49871516"/>
    <w:multiLevelType w:val="hybridMultilevel"/>
    <w:tmpl w:val="37EA95C2"/>
    <w:lvl w:ilvl="0" w:tplc="A1BAFB9A">
      <w:start w:val="379"/>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E45E883C">
      <w:numFmt w:val="bullet"/>
      <w:lvlText w:val="•"/>
      <w:lvlJc w:val="left"/>
      <w:pPr>
        <w:ind w:left="1778" w:hanging="695"/>
      </w:pPr>
      <w:rPr>
        <w:rFonts w:hint="default"/>
        <w:lang w:val="en-US" w:eastAsia="en-US" w:bidi="ar-SA"/>
      </w:rPr>
    </w:lvl>
    <w:lvl w:ilvl="2" w:tplc="E10E83D6">
      <w:numFmt w:val="bullet"/>
      <w:lvlText w:val="•"/>
      <w:lvlJc w:val="left"/>
      <w:pPr>
        <w:ind w:left="2697" w:hanging="695"/>
      </w:pPr>
      <w:rPr>
        <w:rFonts w:hint="default"/>
        <w:lang w:val="en-US" w:eastAsia="en-US" w:bidi="ar-SA"/>
      </w:rPr>
    </w:lvl>
    <w:lvl w:ilvl="3" w:tplc="4B1035E0">
      <w:numFmt w:val="bullet"/>
      <w:lvlText w:val="•"/>
      <w:lvlJc w:val="left"/>
      <w:pPr>
        <w:ind w:left="3615" w:hanging="695"/>
      </w:pPr>
      <w:rPr>
        <w:rFonts w:hint="default"/>
        <w:lang w:val="en-US" w:eastAsia="en-US" w:bidi="ar-SA"/>
      </w:rPr>
    </w:lvl>
    <w:lvl w:ilvl="4" w:tplc="34EE0F50">
      <w:numFmt w:val="bullet"/>
      <w:lvlText w:val="•"/>
      <w:lvlJc w:val="left"/>
      <w:pPr>
        <w:ind w:left="4534" w:hanging="695"/>
      </w:pPr>
      <w:rPr>
        <w:rFonts w:hint="default"/>
        <w:lang w:val="en-US" w:eastAsia="en-US" w:bidi="ar-SA"/>
      </w:rPr>
    </w:lvl>
    <w:lvl w:ilvl="5" w:tplc="BAB690D0">
      <w:numFmt w:val="bullet"/>
      <w:lvlText w:val="•"/>
      <w:lvlJc w:val="left"/>
      <w:pPr>
        <w:ind w:left="5453" w:hanging="695"/>
      </w:pPr>
      <w:rPr>
        <w:rFonts w:hint="default"/>
        <w:lang w:val="en-US" w:eastAsia="en-US" w:bidi="ar-SA"/>
      </w:rPr>
    </w:lvl>
    <w:lvl w:ilvl="6" w:tplc="15F6C72C">
      <w:numFmt w:val="bullet"/>
      <w:lvlText w:val="•"/>
      <w:lvlJc w:val="left"/>
      <w:pPr>
        <w:ind w:left="6371" w:hanging="695"/>
      </w:pPr>
      <w:rPr>
        <w:rFonts w:hint="default"/>
        <w:lang w:val="en-US" w:eastAsia="en-US" w:bidi="ar-SA"/>
      </w:rPr>
    </w:lvl>
    <w:lvl w:ilvl="7" w:tplc="94EA64D2">
      <w:numFmt w:val="bullet"/>
      <w:lvlText w:val="•"/>
      <w:lvlJc w:val="left"/>
      <w:pPr>
        <w:ind w:left="7290" w:hanging="695"/>
      </w:pPr>
      <w:rPr>
        <w:rFonts w:hint="default"/>
        <w:lang w:val="en-US" w:eastAsia="en-US" w:bidi="ar-SA"/>
      </w:rPr>
    </w:lvl>
    <w:lvl w:ilvl="8" w:tplc="54641950">
      <w:numFmt w:val="bullet"/>
      <w:lvlText w:val="•"/>
      <w:lvlJc w:val="left"/>
      <w:pPr>
        <w:ind w:left="8208" w:hanging="695"/>
      </w:pPr>
      <w:rPr>
        <w:rFonts w:hint="default"/>
        <w:lang w:val="en-US" w:eastAsia="en-US" w:bidi="ar-SA"/>
      </w:rPr>
    </w:lvl>
  </w:abstractNum>
  <w:abstractNum w:abstractNumId="10" w15:restartNumberingAfterBreak="0">
    <w:nsid w:val="4A0E2F2B"/>
    <w:multiLevelType w:val="hybridMultilevel"/>
    <w:tmpl w:val="6C8E1346"/>
    <w:lvl w:ilvl="0" w:tplc="CB725916">
      <w:start w:val="364"/>
      <w:numFmt w:val="decimal"/>
      <w:lvlText w:val="%1"/>
      <w:lvlJc w:val="left"/>
      <w:pPr>
        <w:ind w:left="979" w:hanging="695"/>
      </w:pPr>
      <w:rPr>
        <w:rFonts w:ascii="Carlito" w:eastAsia="Carlito" w:hAnsi="Carlito" w:cs="Carlito" w:hint="default"/>
        <w:spacing w:val="-1"/>
        <w:w w:val="100"/>
        <w:sz w:val="22"/>
        <w:szCs w:val="22"/>
        <w:lang w:val="en-US" w:eastAsia="en-US" w:bidi="ar-SA"/>
      </w:rPr>
    </w:lvl>
    <w:lvl w:ilvl="1" w:tplc="FE7EDBCE">
      <w:numFmt w:val="bullet"/>
      <w:lvlText w:val="•"/>
      <w:lvlJc w:val="left"/>
      <w:pPr>
        <w:ind w:left="1897" w:hanging="695"/>
      </w:pPr>
      <w:rPr>
        <w:rFonts w:hint="default"/>
        <w:lang w:val="en-US" w:eastAsia="en-US" w:bidi="ar-SA"/>
      </w:rPr>
    </w:lvl>
    <w:lvl w:ilvl="2" w:tplc="13FC1C08">
      <w:numFmt w:val="bullet"/>
      <w:lvlText w:val="•"/>
      <w:lvlJc w:val="left"/>
      <w:pPr>
        <w:ind w:left="2816" w:hanging="695"/>
      </w:pPr>
      <w:rPr>
        <w:rFonts w:hint="default"/>
        <w:lang w:val="en-US" w:eastAsia="en-US" w:bidi="ar-SA"/>
      </w:rPr>
    </w:lvl>
    <w:lvl w:ilvl="3" w:tplc="BF62B1BC">
      <w:numFmt w:val="bullet"/>
      <w:lvlText w:val="•"/>
      <w:lvlJc w:val="left"/>
      <w:pPr>
        <w:ind w:left="3734" w:hanging="695"/>
      </w:pPr>
      <w:rPr>
        <w:rFonts w:hint="default"/>
        <w:lang w:val="en-US" w:eastAsia="en-US" w:bidi="ar-SA"/>
      </w:rPr>
    </w:lvl>
    <w:lvl w:ilvl="4" w:tplc="01FC67D4">
      <w:numFmt w:val="bullet"/>
      <w:lvlText w:val="•"/>
      <w:lvlJc w:val="left"/>
      <w:pPr>
        <w:ind w:left="4653" w:hanging="695"/>
      </w:pPr>
      <w:rPr>
        <w:rFonts w:hint="default"/>
        <w:lang w:val="en-US" w:eastAsia="en-US" w:bidi="ar-SA"/>
      </w:rPr>
    </w:lvl>
    <w:lvl w:ilvl="5" w:tplc="BAE0926E">
      <w:numFmt w:val="bullet"/>
      <w:lvlText w:val="•"/>
      <w:lvlJc w:val="left"/>
      <w:pPr>
        <w:ind w:left="5572" w:hanging="695"/>
      </w:pPr>
      <w:rPr>
        <w:rFonts w:hint="default"/>
        <w:lang w:val="en-US" w:eastAsia="en-US" w:bidi="ar-SA"/>
      </w:rPr>
    </w:lvl>
    <w:lvl w:ilvl="6" w:tplc="167613C4">
      <w:numFmt w:val="bullet"/>
      <w:lvlText w:val="•"/>
      <w:lvlJc w:val="left"/>
      <w:pPr>
        <w:ind w:left="6490" w:hanging="695"/>
      </w:pPr>
      <w:rPr>
        <w:rFonts w:hint="default"/>
        <w:lang w:val="en-US" w:eastAsia="en-US" w:bidi="ar-SA"/>
      </w:rPr>
    </w:lvl>
    <w:lvl w:ilvl="7" w:tplc="9ADC61E6">
      <w:numFmt w:val="bullet"/>
      <w:lvlText w:val="•"/>
      <w:lvlJc w:val="left"/>
      <w:pPr>
        <w:ind w:left="7409" w:hanging="695"/>
      </w:pPr>
      <w:rPr>
        <w:rFonts w:hint="default"/>
        <w:lang w:val="en-US" w:eastAsia="en-US" w:bidi="ar-SA"/>
      </w:rPr>
    </w:lvl>
    <w:lvl w:ilvl="8" w:tplc="2ECCB6C8">
      <w:numFmt w:val="bullet"/>
      <w:lvlText w:val="•"/>
      <w:lvlJc w:val="left"/>
      <w:pPr>
        <w:ind w:left="8327" w:hanging="695"/>
      </w:pPr>
      <w:rPr>
        <w:rFonts w:hint="default"/>
        <w:lang w:val="en-US" w:eastAsia="en-US" w:bidi="ar-SA"/>
      </w:rPr>
    </w:lvl>
  </w:abstractNum>
  <w:abstractNum w:abstractNumId="11" w15:restartNumberingAfterBreak="0">
    <w:nsid w:val="4FF64A7C"/>
    <w:multiLevelType w:val="hybridMultilevel"/>
    <w:tmpl w:val="53C29242"/>
    <w:lvl w:ilvl="0" w:tplc="8B803774">
      <w:start w:val="1"/>
      <w:numFmt w:val="decimal"/>
      <w:lvlText w:val="%1"/>
      <w:lvlJc w:val="left"/>
      <w:pPr>
        <w:ind w:left="860" w:hanging="472"/>
        <w:jc w:val="right"/>
      </w:pPr>
      <w:rPr>
        <w:rFonts w:ascii="Carlito" w:eastAsia="Carlito" w:hAnsi="Carlito" w:cs="Carlito" w:hint="default"/>
        <w:spacing w:val="-1"/>
        <w:w w:val="100"/>
        <w:sz w:val="22"/>
        <w:szCs w:val="22"/>
        <w:lang w:val="en-US" w:eastAsia="en-US" w:bidi="ar-SA"/>
      </w:rPr>
    </w:lvl>
    <w:lvl w:ilvl="1" w:tplc="E99493F0">
      <w:numFmt w:val="bullet"/>
      <w:lvlText w:val="•"/>
      <w:lvlJc w:val="left"/>
      <w:pPr>
        <w:ind w:left="1778" w:hanging="472"/>
      </w:pPr>
      <w:rPr>
        <w:rFonts w:hint="default"/>
        <w:lang w:val="en-US" w:eastAsia="en-US" w:bidi="ar-SA"/>
      </w:rPr>
    </w:lvl>
    <w:lvl w:ilvl="2" w:tplc="FE8AB2CE">
      <w:numFmt w:val="bullet"/>
      <w:lvlText w:val="•"/>
      <w:lvlJc w:val="left"/>
      <w:pPr>
        <w:ind w:left="2697" w:hanging="472"/>
      </w:pPr>
      <w:rPr>
        <w:rFonts w:hint="default"/>
        <w:lang w:val="en-US" w:eastAsia="en-US" w:bidi="ar-SA"/>
      </w:rPr>
    </w:lvl>
    <w:lvl w:ilvl="3" w:tplc="32569176">
      <w:numFmt w:val="bullet"/>
      <w:lvlText w:val="•"/>
      <w:lvlJc w:val="left"/>
      <w:pPr>
        <w:ind w:left="3615" w:hanging="472"/>
      </w:pPr>
      <w:rPr>
        <w:rFonts w:hint="default"/>
        <w:lang w:val="en-US" w:eastAsia="en-US" w:bidi="ar-SA"/>
      </w:rPr>
    </w:lvl>
    <w:lvl w:ilvl="4" w:tplc="EC643958">
      <w:numFmt w:val="bullet"/>
      <w:lvlText w:val="•"/>
      <w:lvlJc w:val="left"/>
      <w:pPr>
        <w:ind w:left="4534" w:hanging="472"/>
      </w:pPr>
      <w:rPr>
        <w:rFonts w:hint="default"/>
        <w:lang w:val="en-US" w:eastAsia="en-US" w:bidi="ar-SA"/>
      </w:rPr>
    </w:lvl>
    <w:lvl w:ilvl="5" w:tplc="6862E1D4">
      <w:numFmt w:val="bullet"/>
      <w:lvlText w:val="•"/>
      <w:lvlJc w:val="left"/>
      <w:pPr>
        <w:ind w:left="5453" w:hanging="472"/>
      </w:pPr>
      <w:rPr>
        <w:rFonts w:hint="default"/>
        <w:lang w:val="en-US" w:eastAsia="en-US" w:bidi="ar-SA"/>
      </w:rPr>
    </w:lvl>
    <w:lvl w:ilvl="6" w:tplc="2A788C9A">
      <w:numFmt w:val="bullet"/>
      <w:lvlText w:val="•"/>
      <w:lvlJc w:val="left"/>
      <w:pPr>
        <w:ind w:left="6371" w:hanging="472"/>
      </w:pPr>
      <w:rPr>
        <w:rFonts w:hint="default"/>
        <w:lang w:val="en-US" w:eastAsia="en-US" w:bidi="ar-SA"/>
      </w:rPr>
    </w:lvl>
    <w:lvl w:ilvl="7" w:tplc="6BCE593C">
      <w:numFmt w:val="bullet"/>
      <w:lvlText w:val="•"/>
      <w:lvlJc w:val="left"/>
      <w:pPr>
        <w:ind w:left="7290" w:hanging="472"/>
      </w:pPr>
      <w:rPr>
        <w:rFonts w:hint="default"/>
        <w:lang w:val="en-US" w:eastAsia="en-US" w:bidi="ar-SA"/>
      </w:rPr>
    </w:lvl>
    <w:lvl w:ilvl="8" w:tplc="EC621DF4">
      <w:numFmt w:val="bullet"/>
      <w:lvlText w:val="•"/>
      <w:lvlJc w:val="left"/>
      <w:pPr>
        <w:ind w:left="8208" w:hanging="472"/>
      </w:pPr>
      <w:rPr>
        <w:rFonts w:hint="default"/>
        <w:lang w:val="en-US" w:eastAsia="en-US" w:bidi="ar-SA"/>
      </w:rPr>
    </w:lvl>
  </w:abstractNum>
  <w:abstractNum w:abstractNumId="12" w15:restartNumberingAfterBreak="0">
    <w:nsid w:val="56387D71"/>
    <w:multiLevelType w:val="hybridMultilevel"/>
    <w:tmpl w:val="767E2B68"/>
    <w:lvl w:ilvl="0" w:tplc="87BCB5CE">
      <w:start w:val="500"/>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234A31E0">
      <w:start w:val="1"/>
      <w:numFmt w:val="decimal"/>
      <w:lvlText w:val="%2."/>
      <w:lvlJc w:val="left"/>
      <w:pPr>
        <w:ind w:left="973" w:hanging="720"/>
      </w:pPr>
      <w:rPr>
        <w:rFonts w:ascii="Times New Roman" w:eastAsia="Times New Roman" w:hAnsi="Times New Roman" w:cs="Times New Roman" w:hint="default"/>
        <w:spacing w:val="-3"/>
        <w:w w:val="100"/>
        <w:sz w:val="24"/>
        <w:szCs w:val="24"/>
        <w:lang w:val="en-US" w:eastAsia="en-US" w:bidi="ar-SA"/>
      </w:rPr>
    </w:lvl>
    <w:lvl w:ilvl="2" w:tplc="B14EA40A">
      <w:numFmt w:val="bullet"/>
      <w:lvlText w:val="•"/>
      <w:lvlJc w:val="left"/>
      <w:pPr>
        <w:ind w:left="1987" w:hanging="720"/>
      </w:pPr>
      <w:rPr>
        <w:rFonts w:hint="default"/>
        <w:lang w:val="en-US" w:eastAsia="en-US" w:bidi="ar-SA"/>
      </w:rPr>
    </w:lvl>
    <w:lvl w:ilvl="3" w:tplc="85BAC602">
      <w:numFmt w:val="bullet"/>
      <w:lvlText w:val="•"/>
      <w:lvlJc w:val="left"/>
      <w:pPr>
        <w:ind w:left="2994" w:hanging="720"/>
      </w:pPr>
      <w:rPr>
        <w:rFonts w:hint="default"/>
        <w:lang w:val="en-US" w:eastAsia="en-US" w:bidi="ar-SA"/>
      </w:rPr>
    </w:lvl>
    <w:lvl w:ilvl="4" w:tplc="B7CC9EEC">
      <w:numFmt w:val="bullet"/>
      <w:lvlText w:val="•"/>
      <w:lvlJc w:val="left"/>
      <w:pPr>
        <w:ind w:left="4002" w:hanging="720"/>
      </w:pPr>
      <w:rPr>
        <w:rFonts w:hint="default"/>
        <w:lang w:val="en-US" w:eastAsia="en-US" w:bidi="ar-SA"/>
      </w:rPr>
    </w:lvl>
    <w:lvl w:ilvl="5" w:tplc="3216036E">
      <w:numFmt w:val="bullet"/>
      <w:lvlText w:val="•"/>
      <w:lvlJc w:val="left"/>
      <w:pPr>
        <w:ind w:left="5009" w:hanging="720"/>
      </w:pPr>
      <w:rPr>
        <w:rFonts w:hint="default"/>
        <w:lang w:val="en-US" w:eastAsia="en-US" w:bidi="ar-SA"/>
      </w:rPr>
    </w:lvl>
    <w:lvl w:ilvl="6" w:tplc="E47026D2">
      <w:numFmt w:val="bullet"/>
      <w:lvlText w:val="•"/>
      <w:lvlJc w:val="left"/>
      <w:pPr>
        <w:ind w:left="6016" w:hanging="720"/>
      </w:pPr>
      <w:rPr>
        <w:rFonts w:hint="default"/>
        <w:lang w:val="en-US" w:eastAsia="en-US" w:bidi="ar-SA"/>
      </w:rPr>
    </w:lvl>
    <w:lvl w:ilvl="7" w:tplc="9FAC010E">
      <w:numFmt w:val="bullet"/>
      <w:lvlText w:val="•"/>
      <w:lvlJc w:val="left"/>
      <w:pPr>
        <w:ind w:left="7024" w:hanging="720"/>
      </w:pPr>
      <w:rPr>
        <w:rFonts w:hint="default"/>
        <w:lang w:val="en-US" w:eastAsia="en-US" w:bidi="ar-SA"/>
      </w:rPr>
    </w:lvl>
    <w:lvl w:ilvl="8" w:tplc="D602B08A">
      <w:numFmt w:val="bullet"/>
      <w:lvlText w:val="•"/>
      <w:lvlJc w:val="left"/>
      <w:pPr>
        <w:ind w:left="8031" w:hanging="720"/>
      </w:pPr>
      <w:rPr>
        <w:rFonts w:hint="default"/>
        <w:lang w:val="en-US" w:eastAsia="en-US" w:bidi="ar-SA"/>
      </w:rPr>
    </w:lvl>
  </w:abstractNum>
  <w:abstractNum w:abstractNumId="13" w15:restartNumberingAfterBreak="0">
    <w:nsid w:val="56ED06E7"/>
    <w:multiLevelType w:val="hybridMultilevel"/>
    <w:tmpl w:val="0B24C610"/>
    <w:lvl w:ilvl="0" w:tplc="EDE4FC32">
      <w:start w:val="382"/>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8CA03E0C">
      <w:numFmt w:val="bullet"/>
      <w:lvlText w:val="•"/>
      <w:lvlJc w:val="left"/>
      <w:pPr>
        <w:ind w:left="1778" w:hanging="695"/>
      </w:pPr>
      <w:rPr>
        <w:rFonts w:hint="default"/>
        <w:lang w:val="en-US" w:eastAsia="en-US" w:bidi="ar-SA"/>
      </w:rPr>
    </w:lvl>
    <w:lvl w:ilvl="2" w:tplc="DDEE77A8">
      <w:numFmt w:val="bullet"/>
      <w:lvlText w:val="•"/>
      <w:lvlJc w:val="left"/>
      <w:pPr>
        <w:ind w:left="2697" w:hanging="695"/>
      </w:pPr>
      <w:rPr>
        <w:rFonts w:hint="default"/>
        <w:lang w:val="en-US" w:eastAsia="en-US" w:bidi="ar-SA"/>
      </w:rPr>
    </w:lvl>
    <w:lvl w:ilvl="3" w:tplc="F1EC8E76">
      <w:numFmt w:val="bullet"/>
      <w:lvlText w:val="•"/>
      <w:lvlJc w:val="left"/>
      <w:pPr>
        <w:ind w:left="3615" w:hanging="695"/>
      </w:pPr>
      <w:rPr>
        <w:rFonts w:hint="default"/>
        <w:lang w:val="en-US" w:eastAsia="en-US" w:bidi="ar-SA"/>
      </w:rPr>
    </w:lvl>
    <w:lvl w:ilvl="4" w:tplc="CF1E5598">
      <w:numFmt w:val="bullet"/>
      <w:lvlText w:val="•"/>
      <w:lvlJc w:val="left"/>
      <w:pPr>
        <w:ind w:left="4534" w:hanging="695"/>
      </w:pPr>
      <w:rPr>
        <w:rFonts w:hint="default"/>
        <w:lang w:val="en-US" w:eastAsia="en-US" w:bidi="ar-SA"/>
      </w:rPr>
    </w:lvl>
    <w:lvl w:ilvl="5" w:tplc="00FE5560">
      <w:numFmt w:val="bullet"/>
      <w:lvlText w:val="•"/>
      <w:lvlJc w:val="left"/>
      <w:pPr>
        <w:ind w:left="5453" w:hanging="695"/>
      </w:pPr>
      <w:rPr>
        <w:rFonts w:hint="default"/>
        <w:lang w:val="en-US" w:eastAsia="en-US" w:bidi="ar-SA"/>
      </w:rPr>
    </w:lvl>
    <w:lvl w:ilvl="6" w:tplc="CB2606DC">
      <w:numFmt w:val="bullet"/>
      <w:lvlText w:val="•"/>
      <w:lvlJc w:val="left"/>
      <w:pPr>
        <w:ind w:left="6371" w:hanging="695"/>
      </w:pPr>
      <w:rPr>
        <w:rFonts w:hint="default"/>
        <w:lang w:val="en-US" w:eastAsia="en-US" w:bidi="ar-SA"/>
      </w:rPr>
    </w:lvl>
    <w:lvl w:ilvl="7" w:tplc="A1ACB7A4">
      <w:numFmt w:val="bullet"/>
      <w:lvlText w:val="•"/>
      <w:lvlJc w:val="left"/>
      <w:pPr>
        <w:ind w:left="7290" w:hanging="695"/>
      </w:pPr>
      <w:rPr>
        <w:rFonts w:hint="default"/>
        <w:lang w:val="en-US" w:eastAsia="en-US" w:bidi="ar-SA"/>
      </w:rPr>
    </w:lvl>
    <w:lvl w:ilvl="8" w:tplc="8566FC5A">
      <w:numFmt w:val="bullet"/>
      <w:lvlText w:val="•"/>
      <w:lvlJc w:val="left"/>
      <w:pPr>
        <w:ind w:left="8208" w:hanging="695"/>
      </w:pPr>
      <w:rPr>
        <w:rFonts w:hint="default"/>
        <w:lang w:val="en-US" w:eastAsia="en-US" w:bidi="ar-SA"/>
      </w:rPr>
    </w:lvl>
  </w:abstractNum>
  <w:abstractNum w:abstractNumId="14" w15:restartNumberingAfterBreak="0">
    <w:nsid w:val="5BE658BE"/>
    <w:multiLevelType w:val="hybridMultilevel"/>
    <w:tmpl w:val="7674D1B8"/>
    <w:lvl w:ilvl="0" w:tplc="1ADE160E">
      <w:start w:val="456"/>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62605380">
      <w:numFmt w:val="bullet"/>
      <w:lvlText w:val="•"/>
      <w:lvlJc w:val="left"/>
      <w:pPr>
        <w:ind w:left="1778" w:hanging="695"/>
      </w:pPr>
      <w:rPr>
        <w:rFonts w:hint="default"/>
        <w:lang w:val="en-US" w:eastAsia="en-US" w:bidi="ar-SA"/>
      </w:rPr>
    </w:lvl>
    <w:lvl w:ilvl="2" w:tplc="C3BEF202">
      <w:numFmt w:val="bullet"/>
      <w:lvlText w:val="•"/>
      <w:lvlJc w:val="left"/>
      <w:pPr>
        <w:ind w:left="2697" w:hanging="695"/>
      </w:pPr>
      <w:rPr>
        <w:rFonts w:hint="default"/>
        <w:lang w:val="en-US" w:eastAsia="en-US" w:bidi="ar-SA"/>
      </w:rPr>
    </w:lvl>
    <w:lvl w:ilvl="3" w:tplc="EDFA3DD8">
      <w:numFmt w:val="bullet"/>
      <w:lvlText w:val="•"/>
      <w:lvlJc w:val="left"/>
      <w:pPr>
        <w:ind w:left="3615" w:hanging="695"/>
      </w:pPr>
      <w:rPr>
        <w:rFonts w:hint="default"/>
        <w:lang w:val="en-US" w:eastAsia="en-US" w:bidi="ar-SA"/>
      </w:rPr>
    </w:lvl>
    <w:lvl w:ilvl="4" w:tplc="F6187E66">
      <w:numFmt w:val="bullet"/>
      <w:lvlText w:val="•"/>
      <w:lvlJc w:val="left"/>
      <w:pPr>
        <w:ind w:left="4534" w:hanging="695"/>
      </w:pPr>
      <w:rPr>
        <w:rFonts w:hint="default"/>
        <w:lang w:val="en-US" w:eastAsia="en-US" w:bidi="ar-SA"/>
      </w:rPr>
    </w:lvl>
    <w:lvl w:ilvl="5" w:tplc="B4826CC4">
      <w:numFmt w:val="bullet"/>
      <w:lvlText w:val="•"/>
      <w:lvlJc w:val="left"/>
      <w:pPr>
        <w:ind w:left="5453" w:hanging="695"/>
      </w:pPr>
      <w:rPr>
        <w:rFonts w:hint="default"/>
        <w:lang w:val="en-US" w:eastAsia="en-US" w:bidi="ar-SA"/>
      </w:rPr>
    </w:lvl>
    <w:lvl w:ilvl="6" w:tplc="20ACF1F4">
      <w:numFmt w:val="bullet"/>
      <w:lvlText w:val="•"/>
      <w:lvlJc w:val="left"/>
      <w:pPr>
        <w:ind w:left="6371" w:hanging="695"/>
      </w:pPr>
      <w:rPr>
        <w:rFonts w:hint="default"/>
        <w:lang w:val="en-US" w:eastAsia="en-US" w:bidi="ar-SA"/>
      </w:rPr>
    </w:lvl>
    <w:lvl w:ilvl="7" w:tplc="A4C0ED08">
      <w:numFmt w:val="bullet"/>
      <w:lvlText w:val="•"/>
      <w:lvlJc w:val="left"/>
      <w:pPr>
        <w:ind w:left="7290" w:hanging="695"/>
      </w:pPr>
      <w:rPr>
        <w:rFonts w:hint="default"/>
        <w:lang w:val="en-US" w:eastAsia="en-US" w:bidi="ar-SA"/>
      </w:rPr>
    </w:lvl>
    <w:lvl w:ilvl="8" w:tplc="DBE0D4AC">
      <w:numFmt w:val="bullet"/>
      <w:lvlText w:val="•"/>
      <w:lvlJc w:val="left"/>
      <w:pPr>
        <w:ind w:left="8208" w:hanging="695"/>
      </w:pPr>
      <w:rPr>
        <w:rFonts w:hint="default"/>
        <w:lang w:val="en-US" w:eastAsia="en-US" w:bidi="ar-SA"/>
      </w:rPr>
    </w:lvl>
  </w:abstractNum>
  <w:abstractNum w:abstractNumId="15" w15:restartNumberingAfterBreak="0">
    <w:nsid w:val="5D403B6F"/>
    <w:multiLevelType w:val="hybridMultilevel"/>
    <w:tmpl w:val="99F01900"/>
    <w:lvl w:ilvl="0" w:tplc="6E2E673E">
      <w:start w:val="395"/>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47A61986">
      <w:numFmt w:val="bullet"/>
      <w:lvlText w:val="•"/>
      <w:lvlJc w:val="left"/>
      <w:pPr>
        <w:ind w:left="1778" w:hanging="695"/>
      </w:pPr>
      <w:rPr>
        <w:rFonts w:hint="default"/>
        <w:lang w:val="en-US" w:eastAsia="en-US" w:bidi="ar-SA"/>
      </w:rPr>
    </w:lvl>
    <w:lvl w:ilvl="2" w:tplc="A11C2DAE">
      <w:numFmt w:val="bullet"/>
      <w:lvlText w:val="•"/>
      <w:lvlJc w:val="left"/>
      <w:pPr>
        <w:ind w:left="2697" w:hanging="695"/>
      </w:pPr>
      <w:rPr>
        <w:rFonts w:hint="default"/>
        <w:lang w:val="en-US" w:eastAsia="en-US" w:bidi="ar-SA"/>
      </w:rPr>
    </w:lvl>
    <w:lvl w:ilvl="3" w:tplc="EC0AFC2C">
      <w:numFmt w:val="bullet"/>
      <w:lvlText w:val="•"/>
      <w:lvlJc w:val="left"/>
      <w:pPr>
        <w:ind w:left="3615" w:hanging="695"/>
      </w:pPr>
      <w:rPr>
        <w:rFonts w:hint="default"/>
        <w:lang w:val="en-US" w:eastAsia="en-US" w:bidi="ar-SA"/>
      </w:rPr>
    </w:lvl>
    <w:lvl w:ilvl="4" w:tplc="E2B24BA6">
      <w:numFmt w:val="bullet"/>
      <w:lvlText w:val="•"/>
      <w:lvlJc w:val="left"/>
      <w:pPr>
        <w:ind w:left="4534" w:hanging="695"/>
      </w:pPr>
      <w:rPr>
        <w:rFonts w:hint="default"/>
        <w:lang w:val="en-US" w:eastAsia="en-US" w:bidi="ar-SA"/>
      </w:rPr>
    </w:lvl>
    <w:lvl w:ilvl="5" w:tplc="A89A948C">
      <w:numFmt w:val="bullet"/>
      <w:lvlText w:val="•"/>
      <w:lvlJc w:val="left"/>
      <w:pPr>
        <w:ind w:left="5453" w:hanging="695"/>
      </w:pPr>
      <w:rPr>
        <w:rFonts w:hint="default"/>
        <w:lang w:val="en-US" w:eastAsia="en-US" w:bidi="ar-SA"/>
      </w:rPr>
    </w:lvl>
    <w:lvl w:ilvl="6" w:tplc="411E9366">
      <w:numFmt w:val="bullet"/>
      <w:lvlText w:val="•"/>
      <w:lvlJc w:val="left"/>
      <w:pPr>
        <w:ind w:left="6371" w:hanging="695"/>
      </w:pPr>
      <w:rPr>
        <w:rFonts w:hint="default"/>
        <w:lang w:val="en-US" w:eastAsia="en-US" w:bidi="ar-SA"/>
      </w:rPr>
    </w:lvl>
    <w:lvl w:ilvl="7" w:tplc="2A6032EC">
      <w:numFmt w:val="bullet"/>
      <w:lvlText w:val="•"/>
      <w:lvlJc w:val="left"/>
      <w:pPr>
        <w:ind w:left="7290" w:hanging="695"/>
      </w:pPr>
      <w:rPr>
        <w:rFonts w:hint="default"/>
        <w:lang w:val="en-US" w:eastAsia="en-US" w:bidi="ar-SA"/>
      </w:rPr>
    </w:lvl>
    <w:lvl w:ilvl="8" w:tplc="F6DAD30A">
      <w:numFmt w:val="bullet"/>
      <w:lvlText w:val="•"/>
      <w:lvlJc w:val="left"/>
      <w:pPr>
        <w:ind w:left="8208" w:hanging="695"/>
      </w:pPr>
      <w:rPr>
        <w:rFonts w:hint="default"/>
        <w:lang w:val="en-US" w:eastAsia="en-US" w:bidi="ar-SA"/>
      </w:rPr>
    </w:lvl>
  </w:abstractNum>
  <w:abstractNum w:abstractNumId="16" w15:restartNumberingAfterBreak="0">
    <w:nsid w:val="5D5F49D2"/>
    <w:multiLevelType w:val="hybridMultilevel"/>
    <w:tmpl w:val="72440E2C"/>
    <w:lvl w:ilvl="0" w:tplc="F7622F6E">
      <w:start w:val="390"/>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FA46EBC8">
      <w:numFmt w:val="bullet"/>
      <w:lvlText w:val="•"/>
      <w:lvlJc w:val="left"/>
      <w:pPr>
        <w:ind w:left="1778" w:hanging="695"/>
      </w:pPr>
      <w:rPr>
        <w:rFonts w:hint="default"/>
        <w:lang w:val="en-US" w:eastAsia="en-US" w:bidi="ar-SA"/>
      </w:rPr>
    </w:lvl>
    <w:lvl w:ilvl="2" w:tplc="05528848">
      <w:numFmt w:val="bullet"/>
      <w:lvlText w:val="•"/>
      <w:lvlJc w:val="left"/>
      <w:pPr>
        <w:ind w:left="2697" w:hanging="695"/>
      </w:pPr>
      <w:rPr>
        <w:rFonts w:hint="default"/>
        <w:lang w:val="en-US" w:eastAsia="en-US" w:bidi="ar-SA"/>
      </w:rPr>
    </w:lvl>
    <w:lvl w:ilvl="3" w:tplc="C6FAF514">
      <w:numFmt w:val="bullet"/>
      <w:lvlText w:val="•"/>
      <w:lvlJc w:val="left"/>
      <w:pPr>
        <w:ind w:left="3615" w:hanging="695"/>
      </w:pPr>
      <w:rPr>
        <w:rFonts w:hint="default"/>
        <w:lang w:val="en-US" w:eastAsia="en-US" w:bidi="ar-SA"/>
      </w:rPr>
    </w:lvl>
    <w:lvl w:ilvl="4" w:tplc="9C9445C4">
      <w:numFmt w:val="bullet"/>
      <w:lvlText w:val="•"/>
      <w:lvlJc w:val="left"/>
      <w:pPr>
        <w:ind w:left="4534" w:hanging="695"/>
      </w:pPr>
      <w:rPr>
        <w:rFonts w:hint="default"/>
        <w:lang w:val="en-US" w:eastAsia="en-US" w:bidi="ar-SA"/>
      </w:rPr>
    </w:lvl>
    <w:lvl w:ilvl="5" w:tplc="DC4C0C76">
      <w:numFmt w:val="bullet"/>
      <w:lvlText w:val="•"/>
      <w:lvlJc w:val="left"/>
      <w:pPr>
        <w:ind w:left="5453" w:hanging="695"/>
      </w:pPr>
      <w:rPr>
        <w:rFonts w:hint="default"/>
        <w:lang w:val="en-US" w:eastAsia="en-US" w:bidi="ar-SA"/>
      </w:rPr>
    </w:lvl>
    <w:lvl w:ilvl="6" w:tplc="8266000C">
      <w:numFmt w:val="bullet"/>
      <w:lvlText w:val="•"/>
      <w:lvlJc w:val="left"/>
      <w:pPr>
        <w:ind w:left="6371" w:hanging="695"/>
      </w:pPr>
      <w:rPr>
        <w:rFonts w:hint="default"/>
        <w:lang w:val="en-US" w:eastAsia="en-US" w:bidi="ar-SA"/>
      </w:rPr>
    </w:lvl>
    <w:lvl w:ilvl="7" w:tplc="06DC924A">
      <w:numFmt w:val="bullet"/>
      <w:lvlText w:val="•"/>
      <w:lvlJc w:val="left"/>
      <w:pPr>
        <w:ind w:left="7290" w:hanging="695"/>
      </w:pPr>
      <w:rPr>
        <w:rFonts w:hint="default"/>
        <w:lang w:val="en-US" w:eastAsia="en-US" w:bidi="ar-SA"/>
      </w:rPr>
    </w:lvl>
    <w:lvl w:ilvl="8" w:tplc="895C2F80">
      <w:numFmt w:val="bullet"/>
      <w:lvlText w:val="•"/>
      <w:lvlJc w:val="left"/>
      <w:pPr>
        <w:ind w:left="8208" w:hanging="695"/>
      </w:pPr>
      <w:rPr>
        <w:rFonts w:hint="default"/>
        <w:lang w:val="en-US" w:eastAsia="en-US" w:bidi="ar-SA"/>
      </w:rPr>
    </w:lvl>
  </w:abstractNum>
  <w:abstractNum w:abstractNumId="17" w15:restartNumberingAfterBreak="0">
    <w:nsid w:val="63841176"/>
    <w:multiLevelType w:val="hybridMultilevel"/>
    <w:tmpl w:val="2DF67CF2"/>
    <w:lvl w:ilvl="0" w:tplc="CADE5E62">
      <w:start w:val="407"/>
      <w:numFmt w:val="decimal"/>
      <w:lvlText w:val="%1"/>
      <w:lvlJc w:val="left"/>
      <w:pPr>
        <w:ind w:left="860" w:hanging="695"/>
      </w:pPr>
      <w:rPr>
        <w:rFonts w:ascii="Carlito" w:eastAsia="Carlito" w:hAnsi="Carlito" w:cs="Carlito" w:hint="default"/>
        <w:spacing w:val="-1"/>
        <w:w w:val="100"/>
        <w:sz w:val="22"/>
        <w:szCs w:val="22"/>
        <w:lang w:val="en-US" w:eastAsia="en-US" w:bidi="ar-SA"/>
      </w:rPr>
    </w:lvl>
    <w:lvl w:ilvl="1" w:tplc="4ED25D96">
      <w:numFmt w:val="bullet"/>
      <w:lvlText w:val="•"/>
      <w:lvlJc w:val="left"/>
      <w:pPr>
        <w:ind w:left="1778" w:hanging="695"/>
      </w:pPr>
      <w:rPr>
        <w:rFonts w:hint="default"/>
        <w:lang w:val="en-US" w:eastAsia="en-US" w:bidi="ar-SA"/>
      </w:rPr>
    </w:lvl>
    <w:lvl w:ilvl="2" w:tplc="AFB8A556">
      <w:numFmt w:val="bullet"/>
      <w:lvlText w:val="•"/>
      <w:lvlJc w:val="left"/>
      <w:pPr>
        <w:ind w:left="2697" w:hanging="695"/>
      </w:pPr>
      <w:rPr>
        <w:rFonts w:hint="default"/>
        <w:lang w:val="en-US" w:eastAsia="en-US" w:bidi="ar-SA"/>
      </w:rPr>
    </w:lvl>
    <w:lvl w:ilvl="3" w:tplc="61E61C00">
      <w:numFmt w:val="bullet"/>
      <w:lvlText w:val="•"/>
      <w:lvlJc w:val="left"/>
      <w:pPr>
        <w:ind w:left="3615" w:hanging="695"/>
      </w:pPr>
      <w:rPr>
        <w:rFonts w:hint="default"/>
        <w:lang w:val="en-US" w:eastAsia="en-US" w:bidi="ar-SA"/>
      </w:rPr>
    </w:lvl>
    <w:lvl w:ilvl="4" w:tplc="A7029B3E">
      <w:numFmt w:val="bullet"/>
      <w:lvlText w:val="•"/>
      <w:lvlJc w:val="left"/>
      <w:pPr>
        <w:ind w:left="4534" w:hanging="695"/>
      </w:pPr>
      <w:rPr>
        <w:rFonts w:hint="default"/>
        <w:lang w:val="en-US" w:eastAsia="en-US" w:bidi="ar-SA"/>
      </w:rPr>
    </w:lvl>
    <w:lvl w:ilvl="5" w:tplc="2F5AE418">
      <w:numFmt w:val="bullet"/>
      <w:lvlText w:val="•"/>
      <w:lvlJc w:val="left"/>
      <w:pPr>
        <w:ind w:left="5453" w:hanging="695"/>
      </w:pPr>
      <w:rPr>
        <w:rFonts w:hint="default"/>
        <w:lang w:val="en-US" w:eastAsia="en-US" w:bidi="ar-SA"/>
      </w:rPr>
    </w:lvl>
    <w:lvl w:ilvl="6" w:tplc="10F4E192">
      <w:numFmt w:val="bullet"/>
      <w:lvlText w:val="•"/>
      <w:lvlJc w:val="left"/>
      <w:pPr>
        <w:ind w:left="6371" w:hanging="695"/>
      </w:pPr>
      <w:rPr>
        <w:rFonts w:hint="default"/>
        <w:lang w:val="en-US" w:eastAsia="en-US" w:bidi="ar-SA"/>
      </w:rPr>
    </w:lvl>
    <w:lvl w:ilvl="7" w:tplc="4344E672">
      <w:numFmt w:val="bullet"/>
      <w:lvlText w:val="•"/>
      <w:lvlJc w:val="left"/>
      <w:pPr>
        <w:ind w:left="7290" w:hanging="695"/>
      </w:pPr>
      <w:rPr>
        <w:rFonts w:hint="default"/>
        <w:lang w:val="en-US" w:eastAsia="en-US" w:bidi="ar-SA"/>
      </w:rPr>
    </w:lvl>
    <w:lvl w:ilvl="8" w:tplc="610EADA6">
      <w:numFmt w:val="bullet"/>
      <w:lvlText w:val="•"/>
      <w:lvlJc w:val="left"/>
      <w:pPr>
        <w:ind w:left="8208" w:hanging="695"/>
      </w:pPr>
      <w:rPr>
        <w:rFonts w:hint="default"/>
        <w:lang w:val="en-US" w:eastAsia="en-US" w:bidi="ar-SA"/>
      </w:rPr>
    </w:lvl>
  </w:abstractNum>
  <w:num w:numId="1">
    <w:abstractNumId w:val="12"/>
  </w:num>
  <w:num w:numId="2">
    <w:abstractNumId w:val="6"/>
  </w:num>
  <w:num w:numId="3">
    <w:abstractNumId w:val="5"/>
  </w:num>
  <w:num w:numId="4">
    <w:abstractNumId w:val="14"/>
  </w:num>
  <w:num w:numId="5">
    <w:abstractNumId w:val="7"/>
  </w:num>
  <w:num w:numId="6">
    <w:abstractNumId w:val="1"/>
  </w:num>
  <w:num w:numId="7">
    <w:abstractNumId w:val="0"/>
  </w:num>
  <w:num w:numId="8">
    <w:abstractNumId w:val="17"/>
  </w:num>
  <w:num w:numId="9">
    <w:abstractNumId w:val="4"/>
  </w:num>
  <w:num w:numId="10">
    <w:abstractNumId w:val="15"/>
  </w:num>
  <w:num w:numId="11">
    <w:abstractNumId w:val="16"/>
  </w:num>
  <w:num w:numId="12">
    <w:abstractNumId w:val="13"/>
  </w:num>
  <w:num w:numId="13">
    <w:abstractNumId w:val="9"/>
  </w:num>
  <w:num w:numId="14">
    <w:abstractNumId w:val="8"/>
  </w:num>
  <w:num w:numId="15">
    <w:abstractNumId w:val="3"/>
  </w:num>
  <w:num w:numId="16">
    <w:abstractNumId w:val="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rz9tzwn9af0revszlp5fzd9wwzdzpap0a5&quot;&gt;MEB-Fixed&lt;record-ids&gt;&lt;item&gt;4765&lt;/item&gt;&lt;/record-ids&gt;&lt;/item&gt;&lt;/Libraries&gt;"/>
  </w:docVars>
  <w:rsids>
    <w:rsidRoot w:val="00F01732"/>
    <w:rsid w:val="00013E2A"/>
    <w:rsid w:val="00014468"/>
    <w:rsid w:val="00054883"/>
    <w:rsid w:val="00104104"/>
    <w:rsid w:val="001C1374"/>
    <w:rsid w:val="001E6F5B"/>
    <w:rsid w:val="00247547"/>
    <w:rsid w:val="00272ADF"/>
    <w:rsid w:val="0030053E"/>
    <w:rsid w:val="0031639A"/>
    <w:rsid w:val="00330E24"/>
    <w:rsid w:val="003662DE"/>
    <w:rsid w:val="00377D3B"/>
    <w:rsid w:val="003E533A"/>
    <w:rsid w:val="00467F5A"/>
    <w:rsid w:val="004942F4"/>
    <w:rsid w:val="004B2902"/>
    <w:rsid w:val="00527E21"/>
    <w:rsid w:val="00561F21"/>
    <w:rsid w:val="005E2C12"/>
    <w:rsid w:val="00624B3C"/>
    <w:rsid w:val="00666667"/>
    <w:rsid w:val="006731F0"/>
    <w:rsid w:val="00677DE6"/>
    <w:rsid w:val="006A4FB6"/>
    <w:rsid w:val="006F7669"/>
    <w:rsid w:val="0070653E"/>
    <w:rsid w:val="00710935"/>
    <w:rsid w:val="007632E5"/>
    <w:rsid w:val="00790810"/>
    <w:rsid w:val="007B1B6D"/>
    <w:rsid w:val="007C40CC"/>
    <w:rsid w:val="007C4412"/>
    <w:rsid w:val="007E39D2"/>
    <w:rsid w:val="007F16B9"/>
    <w:rsid w:val="00807798"/>
    <w:rsid w:val="0083102A"/>
    <w:rsid w:val="00871C0F"/>
    <w:rsid w:val="00872661"/>
    <w:rsid w:val="00895FD4"/>
    <w:rsid w:val="008D24ED"/>
    <w:rsid w:val="009134E9"/>
    <w:rsid w:val="009A5A8A"/>
    <w:rsid w:val="009B012C"/>
    <w:rsid w:val="009C1985"/>
    <w:rsid w:val="009C5E84"/>
    <w:rsid w:val="00A0511F"/>
    <w:rsid w:val="00A354AB"/>
    <w:rsid w:val="00A47710"/>
    <w:rsid w:val="00A50E71"/>
    <w:rsid w:val="00A53822"/>
    <w:rsid w:val="00AD1532"/>
    <w:rsid w:val="00B026FE"/>
    <w:rsid w:val="00B57242"/>
    <w:rsid w:val="00B92427"/>
    <w:rsid w:val="00BA3072"/>
    <w:rsid w:val="00BB6FCE"/>
    <w:rsid w:val="00C25F85"/>
    <w:rsid w:val="00C2610C"/>
    <w:rsid w:val="00C61FB8"/>
    <w:rsid w:val="00C65C95"/>
    <w:rsid w:val="00C87BCE"/>
    <w:rsid w:val="00CB1F4E"/>
    <w:rsid w:val="00CC29ED"/>
    <w:rsid w:val="00CE3A40"/>
    <w:rsid w:val="00CF32E3"/>
    <w:rsid w:val="00D03BC8"/>
    <w:rsid w:val="00D16C92"/>
    <w:rsid w:val="00D2363F"/>
    <w:rsid w:val="00D27BE4"/>
    <w:rsid w:val="00D31578"/>
    <w:rsid w:val="00D64FAD"/>
    <w:rsid w:val="00E00180"/>
    <w:rsid w:val="00E11592"/>
    <w:rsid w:val="00E250E7"/>
    <w:rsid w:val="00E25E96"/>
    <w:rsid w:val="00E70A1C"/>
    <w:rsid w:val="00E9618B"/>
    <w:rsid w:val="00EB3A1D"/>
    <w:rsid w:val="00EE65FB"/>
    <w:rsid w:val="00F01732"/>
    <w:rsid w:val="00F11633"/>
    <w:rsid w:val="00F32B82"/>
    <w:rsid w:val="00F807D4"/>
    <w:rsid w:val="00F96E7C"/>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C16AB-EC58-4F3C-9E96-A0301328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1732"/>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F01732"/>
    <w:pPr>
      <w:ind w:left="860" w:hanging="6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173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01732"/>
    <w:rPr>
      <w:sz w:val="24"/>
      <w:szCs w:val="24"/>
    </w:rPr>
  </w:style>
  <w:style w:type="character" w:customStyle="1" w:styleId="BodyTextChar">
    <w:name w:val="Body Text Char"/>
    <w:basedOn w:val="DefaultParagraphFont"/>
    <w:link w:val="BodyText"/>
    <w:uiPriority w:val="1"/>
    <w:rsid w:val="00F01732"/>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F01732"/>
    <w:pPr>
      <w:ind w:left="860" w:hanging="696"/>
    </w:pPr>
  </w:style>
  <w:style w:type="paragraph" w:customStyle="1" w:styleId="TableParagraph">
    <w:name w:val="Table Paragraph"/>
    <w:basedOn w:val="Normal"/>
    <w:uiPriority w:val="1"/>
    <w:qFormat/>
    <w:rsid w:val="00F01732"/>
    <w:pPr>
      <w:spacing w:before="82"/>
    </w:pPr>
  </w:style>
  <w:style w:type="paragraph" w:styleId="Header">
    <w:name w:val="header"/>
    <w:basedOn w:val="Normal"/>
    <w:link w:val="HeaderChar"/>
    <w:uiPriority w:val="99"/>
    <w:unhideWhenUsed/>
    <w:rsid w:val="00F01732"/>
    <w:pPr>
      <w:tabs>
        <w:tab w:val="center" w:pos="4513"/>
        <w:tab w:val="right" w:pos="9026"/>
      </w:tabs>
    </w:pPr>
  </w:style>
  <w:style w:type="character" w:customStyle="1" w:styleId="HeaderChar">
    <w:name w:val="Header Char"/>
    <w:basedOn w:val="DefaultParagraphFont"/>
    <w:link w:val="Header"/>
    <w:uiPriority w:val="99"/>
    <w:rsid w:val="00F01732"/>
    <w:rPr>
      <w:rFonts w:ascii="Times New Roman" w:eastAsia="Times New Roman" w:hAnsi="Times New Roman" w:cs="Times New Roman"/>
      <w:lang w:val="en-US"/>
    </w:rPr>
  </w:style>
  <w:style w:type="paragraph" w:styleId="Footer">
    <w:name w:val="footer"/>
    <w:basedOn w:val="Normal"/>
    <w:link w:val="FooterChar"/>
    <w:uiPriority w:val="99"/>
    <w:unhideWhenUsed/>
    <w:rsid w:val="00F01732"/>
    <w:pPr>
      <w:tabs>
        <w:tab w:val="center" w:pos="4513"/>
        <w:tab w:val="right" w:pos="9026"/>
      </w:tabs>
    </w:pPr>
  </w:style>
  <w:style w:type="character" w:customStyle="1" w:styleId="FooterChar">
    <w:name w:val="Footer Char"/>
    <w:basedOn w:val="DefaultParagraphFont"/>
    <w:link w:val="Footer"/>
    <w:uiPriority w:val="99"/>
    <w:rsid w:val="00F01732"/>
    <w:rPr>
      <w:rFonts w:ascii="Times New Roman" w:eastAsia="Times New Roman" w:hAnsi="Times New Roman" w:cs="Times New Roman"/>
      <w:lang w:val="en-US"/>
    </w:rPr>
  </w:style>
  <w:style w:type="paragraph" w:styleId="NormalWeb">
    <w:name w:val="Normal (Web)"/>
    <w:basedOn w:val="Normal"/>
    <w:uiPriority w:val="99"/>
    <w:semiHidden/>
    <w:unhideWhenUsed/>
    <w:rsid w:val="00F01732"/>
    <w:pPr>
      <w:widowControl/>
      <w:autoSpaceDE/>
      <w:autoSpaceDN/>
      <w:spacing w:before="100" w:beforeAutospacing="1" w:after="100" w:afterAutospacing="1"/>
    </w:pPr>
    <w:rPr>
      <w:rFonts w:eastAsiaTheme="minorEastAsia"/>
      <w:sz w:val="24"/>
      <w:szCs w:val="24"/>
      <w:lang w:val="en-GB" w:eastAsia="en-GB"/>
    </w:rPr>
  </w:style>
  <w:style w:type="character" w:styleId="Hyperlink">
    <w:name w:val="Hyperlink"/>
    <w:uiPriority w:val="99"/>
    <w:unhideWhenUsed/>
    <w:rsid w:val="00F01732"/>
    <w:rPr>
      <w:color w:val="0563C1"/>
      <w:u w:val="single"/>
    </w:rPr>
  </w:style>
  <w:style w:type="paragraph" w:customStyle="1" w:styleId="EndNoteBibliography">
    <w:name w:val="EndNote Bibliography"/>
    <w:basedOn w:val="Normal"/>
    <w:link w:val="EndNoteBibliographyChar"/>
    <w:rsid w:val="00F01732"/>
    <w:pPr>
      <w:widowControl/>
      <w:autoSpaceDE/>
      <w:autoSpaceDN/>
      <w:spacing w:after="160"/>
    </w:pPr>
    <w:rPr>
      <w:rFonts w:eastAsia="Calibri"/>
      <w:noProof/>
      <w:lang w:val="en-GB" w:eastAsia="en-GB"/>
    </w:rPr>
  </w:style>
  <w:style w:type="character" w:customStyle="1" w:styleId="EndNoteBibliographyChar">
    <w:name w:val="EndNote Bibliography Char"/>
    <w:link w:val="EndNoteBibliography"/>
    <w:rsid w:val="00F01732"/>
    <w:rPr>
      <w:rFonts w:ascii="Times New Roman" w:eastAsia="Calibri" w:hAnsi="Times New Roman" w:cs="Times New Roman"/>
      <w:noProof/>
      <w:lang w:eastAsia="en-GB"/>
    </w:rPr>
  </w:style>
  <w:style w:type="character" w:styleId="LineNumber">
    <w:name w:val="line number"/>
    <w:basedOn w:val="DefaultParagraphFont"/>
    <w:uiPriority w:val="99"/>
    <w:semiHidden/>
    <w:unhideWhenUsed/>
    <w:rsid w:val="00EE65FB"/>
  </w:style>
  <w:style w:type="paragraph" w:styleId="CommentText">
    <w:name w:val="annotation text"/>
    <w:basedOn w:val="Normal"/>
    <w:link w:val="CommentTextChar"/>
    <w:uiPriority w:val="99"/>
    <w:semiHidden/>
    <w:unhideWhenUsed/>
    <w:rsid w:val="0031639A"/>
    <w:rPr>
      <w:sz w:val="20"/>
      <w:szCs w:val="20"/>
    </w:rPr>
  </w:style>
  <w:style w:type="character" w:customStyle="1" w:styleId="CommentTextChar">
    <w:name w:val="Comment Text Char"/>
    <w:basedOn w:val="DefaultParagraphFont"/>
    <w:link w:val="CommentText"/>
    <w:uiPriority w:val="99"/>
    <w:semiHidden/>
    <w:rsid w:val="0031639A"/>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31639A"/>
    <w:rPr>
      <w:sz w:val="16"/>
      <w:szCs w:val="16"/>
    </w:rPr>
  </w:style>
  <w:style w:type="paragraph" w:styleId="BalloonText">
    <w:name w:val="Balloon Text"/>
    <w:basedOn w:val="Normal"/>
    <w:link w:val="BalloonTextChar"/>
    <w:uiPriority w:val="99"/>
    <w:semiHidden/>
    <w:unhideWhenUsed/>
    <w:rsid w:val="0031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9A"/>
    <w:rPr>
      <w:rFonts w:ascii="Segoe UI" w:eastAsia="Times New Roman" w:hAnsi="Segoe UI" w:cs="Segoe UI"/>
      <w:sz w:val="18"/>
      <w:szCs w:val="18"/>
      <w:lang w:val="en-US"/>
    </w:rPr>
  </w:style>
  <w:style w:type="paragraph" w:customStyle="1" w:styleId="EndNoteBibliographyTitle">
    <w:name w:val="EndNote Bibliography Title"/>
    <w:basedOn w:val="Normal"/>
    <w:link w:val="EndNoteBibliographyTitleChar"/>
    <w:rsid w:val="00C2610C"/>
    <w:pPr>
      <w:jc w:val="center"/>
    </w:pPr>
    <w:rPr>
      <w:noProof/>
    </w:rPr>
  </w:style>
  <w:style w:type="character" w:customStyle="1" w:styleId="EndNoteBibliographyTitleChar">
    <w:name w:val="EndNote Bibliography Title Char"/>
    <w:basedOn w:val="DefaultParagraphFont"/>
    <w:link w:val="EndNoteBibliographyTitle"/>
    <w:rsid w:val="00C2610C"/>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5787</Words>
  <Characters>32989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P.L.</dc:creator>
  <cp:keywords/>
  <dc:description/>
  <cp:lastModifiedBy>Karen Drake</cp:lastModifiedBy>
  <cp:revision>2</cp:revision>
  <dcterms:created xsi:type="dcterms:W3CDTF">2020-10-22T13:14:00Z</dcterms:created>
  <dcterms:modified xsi:type="dcterms:W3CDTF">2020-10-22T13:14:00Z</dcterms:modified>
</cp:coreProperties>
</file>