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C1EE20" w14:textId="216E0C04" w:rsidR="00530982" w:rsidRPr="006F3C05" w:rsidRDefault="00530982" w:rsidP="006F3C05">
      <w:pPr>
        <w:rPr>
          <w:sz w:val="32"/>
        </w:rPr>
      </w:pPr>
      <w:r w:rsidRPr="00B35153">
        <w:rPr>
          <w:sz w:val="32"/>
          <w:szCs w:val="28"/>
        </w:rPr>
        <w:t>Childhood</w:t>
      </w:r>
      <w:r w:rsidRPr="006F3C05">
        <w:rPr>
          <w:sz w:val="32"/>
        </w:rPr>
        <w:t xml:space="preserve"> </w:t>
      </w:r>
      <w:r w:rsidR="00D55F28" w:rsidRPr="006F3C05">
        <w:rPr>
          <w:sz w:val="32"/>
        </w:rPr>
        <w:t xml:space="preserve">DNA </w:t>
      </w:r>
      <w:r w:rsidRPr="006F3C05">
        <w:rPr>
          <w:sz w:val="32"/>
        </w:rPr>
        <w:t xml:space="preserve">methylation </w:t>
      </w:r>
      <w:r w:rsidRPr="00B35153">
        <w:rPr>
          <w:sz w:val="32"/>
          <w:szCs w:val="28"/>
        </w:rPr>
        <w:t xml:space="preserve">as a marker of early life rapid weight gain </w:t>
      </w:r>
      <w:r w:rsidRPr="006F3C05">
        <w:rPr>
          <w:sz w:val="32"/>
        </w:rPr>
        <w:t>and subsequent overweight</w:t>
      </w:r>
    </w:p>
    <w:p w14:paraId="079ADBDF" w14:textId="36AC8F7B" w:rsidR="00A02C0A" w:rsidRPr="006F3C05" w:rsidRDefault="00A02C0A" w:rsidP="00DF1976">
      <w:pPr>
        <w:rPr>
          <w:sz w:val="20"/>
        </w:rPr>
      </w:pPr>
      <w:r w:rsidRPr="00CD365D">
        <w:rPr>
          <w:sz w:val="20"/>
        </w:rPr>
        <w:t>N. Robinson</w:t>
      </w:r>
      <w:r w:rsidR="00841095">
        <w:rPr>
          <w:sz w:val="20"/>
          <w:vertAlign w:val="superscript"/>
        </w:rPr>
        <w:t>1</w:t>
      </w:r>
      <w:r w:rsidRPr="00CD365D">
        <w:rPr>
          <w:sz w:val="20"/>
        </w:rPr>
        <w:t>, H. Brown</w:t>
      </w:r>
      <w:r w:rsidR="00DF1976">
        <w:rPr>
          <w:sz w:val="20"/>
          <w:vertAlign w:val="superscript"/>
        </w:rPr>
        <w:t>1</w:t>
      </w:r>
      <w:r>
        <w:rPr>
          <w:sz w:val="20"/>
        </w:rPr>
        <w:t>,</w:t>
      </w:r>
      <w:r w:rsidR="00DF1976">
        <w:rPr>
          <w:sz w:val="20"/>
        </w:rPr>
        <w:t xml:space="preserve"> </w:t>
      </w:r>
      <w:r w:rsidR="00DF1976" w:rsidRPr="00DF1976">
        <w:rPr>
          <w:sz w:val="20"/>
        </w:rPr>
        <w:t>Elie</w:t>
      </w:r>
      <w:r w:rsidR="00DF1976">
        <w:rPr>
          <w:sz w:val="20"/>
        </w:rPr>
        <w:t xml:space="preserve"> </w:t>
      </w:r>
      <w:r w:rsidR="00DF1976" w:rsidRPr="00DF1976">
        <w:rPr>
          <w:sz w:val="20"/>
        </w:rPr>
        <w:t>Antoun</w:t>
      </w:r>
      <w:r w:rsidR="00F31CC5">
        <w:rPr>
          <w:sz w:val="20"/>
          <w:vertAlign w:val="superscript"/>
        </w:rPr>
        <w:t>2</w:t>
      </w:r>
      <w:r w:rsidR="00DF1976">
        <w:rPr>
          <w:sz w:val="20"/>
        </w:rPr>
        <w:t xml:space="preserve">, </w:t>
      </w:r>
      <w:r w:rsidR="00DF1976" w:rsidRPr="00DF1976">
        <w:rPr>
          <w:sz w:val="20"/>
        </w:rPr>
        <w:t>Keith M</w:t>
      </w:r>
      <w:r w:rsidR="00DF1976">
        <w:rPr>
          <w:sz w:val="20"/>
        </w:rPr>
        <w:t xml:space="preserve"> </w:t>
      </w:r>
      <w:r w:rsidR="00DF1976" w:rsidRPr="00DF1976">
        <w:rPr>
          <w:sz w:val="20"/>
        </w:rPr>
        <w:t>Godfrey</w:t>
      </w:r>
      <w:r w:rsidR="00F31CC5">
        <w:rPr>
          <w:sz w:val="20"/>
          <w:vertAlign w:val="superscript"/>
        </w:rPr>
        <w:t>3</w:t>
      </w:r>
      <w:r w:rsidR="00DF1976">
        <w:rPr>
          <w:sz w:val="20"/>
        </w:rPr>
        <w:t xml:space="preserve">, </w:t>
      </w:r>
      <w:r w:rsidR="00DF1976" w:rsidRPr="00DF1976">
        <w:rPr>
          <w:sz w:val="20"/>
        </w:rPr>
        <w:t>Mark A</w:t>
      </w:r>
      <w:r w:rsidR="00DF1976">
        <w:rPr>
          <w:sz w:val="20"/>
        </w:rPr>
        <w:t xml:space="preserve">. </w:t>
      </w:r>
      <w:r w:rsidR="00DF1976" w:rsidRPr="00DF1976">
        <w:rPr>
          <w:sz w:val="20"/>
        </w:rPr>
        <w:t>Hanson</w:t>
      </w:r>
      <w:r w:rsidR="00F31CC5">
        <w:rPr>
          <w:sz w:val="20"/>
          <w:vertAlign w:val="superscript"/>
        </w:rPr>
        <w:t>2</w:t>
      </w:r>
      <w:r w:rsidR="00DF1976">
        <w:rPr>
          <w:sz w:val="20"/>
        </w:rPr>
        <w:t xml:space="preserve">, </w:t>
      </w:r>
      <w:r w:rsidR="00DF1976" w:rsidRPr="00DF1976">
        <w:rPr>
          <w:sz w:val="20"/>
        </w:rPr>
        <w:t>Karen A</w:t>
      </w:r>
      <w:r w:rsidR="00DF1976">
        <w:rPr>
          <w:sz w:val="20"/>
        </w:rPr>
        <w:t xml:space="preserve">. </w:t>
      </w:r>
      <w:r w:rsidR="00DF1976" w:rsidRPr="00DF1976">
        <w:rPr>
          <w:sz w:val="20"/>
        </w:rPr>
        <w:t>Lillycrop</w:t>
      </w:r>
      <w:r w:rsidR="00F31CC5">
        <w:rPr>
          <w:sz w:val="20"/>
          <w:vertAlign w:val="superscript"/>
        </w:rPr>
        <w:t>2</w:t>
      </w:r>
      <w:r w:rsidR="00DF1976">
        <w:rPr>
          <w:sz w:val="20"/>
        </w:rPr>
        <w:t xml:space="preserve">, </w:t>
      </w:r>
      <w:r w:rsidR="00DF1976" w:rsidRPr="00DF1976">
        <w:rPr>
          <w:sz w:val="20"/>
        </w:rPr>
        <w:t xml:space="preserve">Sarah </w:t>
      </w:r>
      <w:r w:rsidR="00DF1976">
        <w:rPr>
          <w:sz w:val="20"/>
        </w:rPr>
        <w:t xml:space="preserve">R. </w:t>
      </w:r>
      <w:r w:rsidR="00DF1976" w:rsidRPr="00DF1976">
        <w:rPr>
          <w:sz w:val="20"/>
        </w:rPr>
        <w:t>Crozier</w:t>
      </w:r>
      <w:r w:rsidR="00F31CC5">
        <w:rPr>
          <w:sz w:val="20"/>
          <w:vertAlign w:val="superscript"/>
        </w:rPr>
        <w:t>3</w:t>
      </w:r>
      <w:r w:rsidR="00DF1976">
        <w:rPr>
          <w:sz w:val="20"/>
        </w:rPr>
        <w:t xml:space="preserve">, </w:t>
      </w:r>
      <w:r w:rsidR="00DF1976" w:rsidRPr="00DF1976">
        <w:rPr>
          <w:sz w:val="20"/>
        </w:rPr>
        <w:t>Robert</w:t>
      </w:r>
      <w:r w:rsidR="00DF1976">
        <w:rPr>
          <w:sz w:val="20"/>
        </w:rPr>
        <w:t xml:space="preserve"> </w:t>
      </w:r>
      <w:r w:rsidR="00DF1976" w:rsidRPr="00DF1976">
        <w:rPr>
          <w:sz w:val="20"/>
        </w:rPr>
        <w:t>Murray</w:t>
      </w:r>
      <w:r w:rsidR="00F31CC5">
        <w:rPr>
          <w:sz w:val="20"/>
          <w:vertAlign w:val="superscript"/>
        </w:rPr>
        <w:t>2</w:t>
      </w:r>
      <w:r w:rsidR="00DF1976">
        <w:rPr>
          <w:sz w:val="20"/>
        </w:rPr>
        <w:t>,</w:t>
      </w:r>
      <w:r>
        <w:rPr>
          <w:sz w:val="20"/>
        </w:rPr>
        <w:t xml:space="preserve"> </w:t>
      </w:r>
      <w:r w:rsidRPr="00CD365D">
        <w:rPr>
          <w:sz w:val="20"/>
        </w:rPr>
        <w:t>M.S. Pearce</w:t>
      </w:r>
      <w:r w:rsidR="00DF1976">
        <w:rPr>
          <w:sz w:val="20"/>
          <w:vertAlign w:val="superscript"/>
        </w:rPr>
        <w:t>1</w:t>
      </w:r>
      <w:r w:rsidRPr="00CD365D">
        <w:rPr>
          <w:sz w:val="20"/>
        </w:rPr>
        <w:t>,</w:t>
      </w:r>
      <w:r>
        <w:rPr>
          <w:sz w:val="20"/>
        </w:rPr>
        <w:t xml:space="preserve"> C.</w:t>
      </w:r>
      <w:r w:rsidR="00841095">
        <w:rPr>
          <w:sz w:val="20"/>
        </w:rPr>
        <w:t>L.</w:t>
      </w:r>
      <w:r>
        <w:rPr>
          <w:sz w:val="20"/>
        </w:rPr>
        <w:t xml:space="preserve"> Relton</w:t>
      </w:r>
      <w:r w:rsidR="00F31CC5">
        <w:rPr>
          <w:sz w:val="20"/>
          <w:vertAlign w:val="superscript"/>
        </w:rPr>
        <w:t>4</w:t>
      </w:r>
      <w:r>
        <w:rPr>
          <w:sz w:val="20"/>
        </w:rPr>
        <w:t xml:space="preserve">, </w:t>
      </w:r>
      <w:r w:rsidRPr="00CD365D">
        <w:rPr>
          <w:sz w:val="20"/>
        </w:rPr>
        <w:t>V. Albani</w:t>
      </w:r>
      <w:proofErr w:type="gramStart"/>
      <w:r w:rsidR="00DF1976">
        <w:rPr>
          <w:sz w:val="20"/>
          <w:vertAlign w:val="superscript"/>
        </w:rPr>
        <w:t>1</w:t>
      </w:r>
      <w:r w:rsidRPr="00CD365D">
        <w:rPr>
          <w:sz w:val="20"/>
        </w:rPr>
        <w:t>,  J.A.</w:t>
      </w:r>
      <w:proofErr w:type="gramEnd"/>
      <w:r w:rsidRPr="00CD365D">
        <w:rPr>
          <w:sz w:val="20"/>
        </w:rPr>
        <w:t xml:space="preserve"> M</w:t>
      </w:r>
      <w:r w:rsidRPr="006E3EC7">
        <w:rPr>
          <w:sz w:val="20"/>
          <w:vertAlign w:val="superscript"/>
        </w:rPr>
        <w:t>c</w:t>
      </w:r>
      <w:r w:rsidRPr="00CD365D">
        <w:rPr>
          <w:sz w:val="20"/>
        </w:rPr>
        <w:t>Kay</w:t>
      </w:r>
      <w:r w:rsidR="00F31CC5">
        <w:rPr>
          <w:sz w:val="20"/>
          <w:vertAlign w:val="superscript"/>
        </w:rPr>
        <w:t>5</w:t>
      </w:r>
    </w:p>
    <w:p w14:paraId="6515685A" w14:textId="2193CE69" w:rsidR="00551712" w:rsidRDefault="00841095" w:rsidP="006B7F5A">
      <w:pPr>
        <w:rPr>
          <w:rFonts w:cstheme="minorHAnsi"/>
          <w:b/>
        </w:rPr>
      </w:pPr>
      <w:r w:rsidRPr="00B35153">
        <w:rPr>
          <w:rFonts w:cstheme="minorHAnsi"/>
          <w:b/>
        </w:rPr>
        <w:t>Affiliations</w:t>
      </w:r>
    </w:p>
    <w:p w14:paraId="6C7717AA" w14:textId="7B7A780E" w:rsidR="00E61B47" w:rsidRPr="006F3C05" w:rsidRDefault="00DF1976" w:rsidP="006B7F5A">
      <w:pPr>
        <w:rPr>
          <w:sz w:val="18"/>
        </w:rPr>
      </w:pPr>
      <w:r w:rsidRPr="00B35153">
        <w:rPr>
          <w:rFonts w:cstheme="minorHAnsi"/>
          <w:bCs/>
          <w:sz w:val="18"/>
          <w:szCs w:val="16"/>
        </w:rPr>
        <w:t>1</w:t>
      </w:r>
      <w:r w:rsidR="00E61B47" w:rsidRPr="006F3C05">
        <w:rPr>
          <w:sz w:val="18"/>
        </w:rPr>
        <w:t>. Population Health Sciences,</w:t>
      </w:r>
      <w:r w:rsidR="00E717F9" w:rsidRPr="006F3C05">
        <w:rPr>
          <w:sz w:val="18"/>
        </w:rPr>
        <w:t xml:space="preserve"> Newcastle University Medical School,</w:t>
      </w:r>
      <w:r w:rsidR="00E61B47" w:rsidRPr="006F3C05">
        <w:rPr>
          <w:sz w:val="18"/>
        </w:rPr>
        <w:t xml:space="preserve"> Newcastle University</w:t>
      </w:r>
    </w:p>
    <w:p w14:paraId="4C1BBF5D" w14:textId="245C9844" w:rsidR="00F31CC5" w:rsidRPr="00B35153" w:rsidRDefault="00F31CC5" w:rsidP="00F31CC5">
      <w:pPr>
        <w:rPr>
          <w:bCs/>
          <w:sz w:val="18"/>
          <w:szCs w:val="16"/>
        </w:rPr>
      </w:pPr>
      <w:r w:rsidRPr="00B35153">
        <w:rPr>
          <w:bCs/>
          <w:sz w:val="18"/>
          <w:szCs w:val="16"/>
        </w:rPr>
        <w:t>2. Institute of Developmental Sciences, Biological Sciences and NIHR Southampton Biomedical Research Centre, University of Southampton</w:t>
      </w:r>
    </w:p>
    <w:p w14:paraId="64F794EE" w14:textId="77777777" w:rsidR="00F31CC5" w:rsidRPr="00B35153" w:rsidRDefault="00F31CC5" w:rsidP="00F31CC5">
      <w:pPr>
        <w:rPr>
          <w:bCs/>
          <w:sz w:val="18"/>
          <w:szCs w:val="16"/>
        </w:rPr>
      </w:pPr>
      <w:r w:rsidRPr="00B35153">
        <w:rPr>
          <w:bCs/>
          <w:sz w:val="18"/>
          <w:szCs w:val="16"/>
        </w:rPr>
        <w:t xml:space="preserve">3. MRC </w:t>
      </w:r>
      <w:proofErr w:type="spellStart"/>
      <w:r w:rsidRPr="00B35153">
        <w:rPr>
          <w:bCs/>
          <w:sz w:val="18"/>
          <w:szCs w:val="16"/>
        </w:rPr>
        <w:t>Lifecourse</w:t>
      </w:r>
      <w:proofErr w:type="spellEnd"/>
      <w:r w:rsidRPr="00B35153">
        <w:rPr>
          <w:bCs/>
          <w:sz w:val="18"/>
          <w:szCs w:val="16"/>
        </w:rPr>
        <w:t xml:space="preserve"> Epidemiology Unit and NIHR Southampton Biomedical Research Centre, University of Southampton and University Hospital Southampton NHS Foundation Trust </w:t>
      </w:r>
    </w:p>
    <w:p w14:paraId="1C681DD0" w14:textId="1F6829FD" w:rsidR="00841095" w:rsidRPr="006F3C05" w:rsidRDefault="00F31CC5" w:rsidP="006B7F5A">
      <w:pPr>
        <w:rPr>
          <w:sz w:val="18"/>
        </w:rPr>
      </w:pPr>
      <w:r w:rsidRPr="00B35153">
        <w:rPr>
          <w:rFonts w:cstheme="minorHAnsi"/>
          <w:bCs/>
          <w:sz w:val="18"/>
          <w:szCs w:val="16"/>
        </w:rPr>
        <w:t xml:space="preserve">4. </w:t>
      </w:r>
      <w:r w:rsidR="00E61B47" w:rsidRPr="006F3C05">
        <w:rPr>
          <w:sz w:val="18"/>
        </w:rPr>
        <w:t xml:space="preserve"> </w:t>
      </w:r>
      <w:bookmarkStart w:id="0" w:name="_GoBack"/>
      <w:r w:rsidR="00841095" w:rsidRPr="006F3C05">
        <w:rPr>
          <w:sz w:val="18"/>
        </w:rPr>
        <w:t>MRC Integrative Epidemiology Unit, Population Health Sciences, Bristol Medical School, University of Bristol, UK</w:t>
      </w:r>
      <w:bookmarkEnd w:id="0"/>
    </w:p>
    <w:p w14:paraId="4DFE5192" w14:textId="0F4A20D4" w:rsidR="00E61B47" w:rsidRPr="006F3C05" w:rsidRDefault="00F31CC5" w:rsidP="006B7F5A">
      <w:pPr>
        <w:rPr>
          <w:sz w:val="18"/>
        </w:rPr>
      </w:pPr>
      <w:r w:rsidRPr="00B35153">
        <w:rPr>
          <w:rFonts w:cstheme="minorHAnsi"/>
          <w:bCs/>
          <w:sz w:val="18"/>
          <w:szCs w:val="16"/>
        </w:rPr>
        <w:t>5</w:t>
      </w:r>
      <w:r w:rsidR="00E61B47" w:rsidRPr="006F3C05">
        <w:rPr>
          <w:sz w:val="18"/>
        </w:rPr>
        <w:t xml:space="preserve">. Department of Applied Sciences, Northumbria University </w:t>
      </w:r>
    </w:p>
    <w:p w14:paraId="0BBA6893" w14:textId="77777777" w:rsidR="00F31CC5" w:rsidRPr="008B1C3F" w:rsidRDefault="00F31CC5" w:rsidP="006B7F5A">
      <w:pPr>
        <w:rPr>
          <w:rFonts w:cstheme="minorHAnsi"/>
          <w:bCs/>
        </w:rPr>
      </w:pPr>
    </w:p>
    <w:p w14:paraId="69913B3F" w14:textId="20378EA8" w:rsidR="00841095" w:rsidRPr="009228D7" w:rsidRDefault="00BA0D41" w:rsidP="00BA0D41">
      <w:pPr>
        <w:pStyle w:val="Heading2"/>
      </w:pPr>
      <w:r>
        <w:t>Abstract</w:t>
      </w:r>
    </w:p>
    <w:p w14:paraId="36C1C46D" w14:textId="513C1D76" w:rsidR="00020A10" w:rsidRPr="009228D7" w:rsidRDefault="003B1D97" w:rsidP="006B7F5A">
      <w:pPr>
        <w:rPr>
          <w:rFonts w:cstheme="minorHAnsi"/>
          <w:b/>
        </w:rPr>
      </w:pPr>
      <w:r w:rsidRPr="009228D7">
        <w:rPr>
          <w:rFonts w:cstheme="minorHAnsi"/>
          <w:b/>
        </w:rPr>
        <w:t>Background</w:t>
      </w:r>
    </w:p>
    <w:p w14:paraId="45B5494D" w14:textId="7BE1B250" w:rsidR="00DB11BA" w:rsidRPr="00A02C0A" w:rsidRDefault="001D5477" w:rsidP="00A02C0A">
      <w:r>
        <w:t>High early postnatal weight gain</w:t>
      </w:r>
      <w:r w:rsidR="00FA7129" w:rsidRPr="00A02C0A">
        <w:t xml:space="preserve"> has </w:t>
      </w:r>
      <w:r w:rsidR="00020A10" w:rsidRPr="00A02C0A">
        <w:t>been asso</w:t>
      </w:r>
      <w:r w:rsidR="00023048" w:rsidRPr="00A02C0A">
        <w:t xml:space="preserve">ciated with childhood </w:t>
      </w:r>
      <w:proofErr w:type="gramStart"/>
      <w:r w:rsidR="00023048" w:rsidRPr="00A02C0A">
        <w:t>adiposity</w:t>
      </w:r>
      <w:r w:rsidR="00FA7129" w:rsidRPr="00A02C0A">
        <w:t>,</w:t>
      </w:r>
      <w:proofErr w:type="gramEnd"/>
      <w:r w:rsidR="00FA7129" w:rsidRPr="00A02C0A">
        <w:t xml:space="preserve"> however the mechanism remains unknown</w:t>
      </w:r>
      <w:r w:rsidR="00020A10" w:rsidRPr="00A02C0A">
        <w:t>. DNA methylation is a hypothesised mechanism</w:t>
      </w:r>
      <w:r w:rsidR="00FA7129" w:rsidRPr="00A02C0A">
        <w:t xml:space="preserve"> linking early life exposures and subsequent disease</w:t>
      </w:r>
      <w:r w:rsidR="00020A10" w:rsidRPr="00A02C0A">
        <w:t xml:space="preserve">. </w:t>
      </w:r>
      <w:r w:rsidR="00DB27CF" w:rsidRPr="00A02C0A">
        <w:t>However, e</w:t>
      </w:r>
      <w:r w:rsidR="00FA7129" w:rsidRPr="00A02C0A">
        <w:t>pigenetic changes</w:t>
      </w:r>
      <w:r w:rsidR="003C12E8" w:rsidRPr="00A02C0A">
        <w:t xml:space="preserve"> associated with </w:t>
      </w:r>
      <w:r w:rsidR="008A63E9">
        <w:t xml:space="preserve">high </w:t>
      </w:r>
      <w:r w:rsidR="003C12E8" w:rsidRPr="00A02C0A">
        <w:t xml:space="preserve">early </w:t>
      </w:r>
      <w:r w:rsidR="008A63E9">
        <w:t>weight gain</w:t>
      </w:r>
      <w:r w:rsidR="003C12E8" w:rsidRPr="00A02C0A">
        <w:t xml:space="preserve"> </w:t>
      </w:r>
      <w:r w:rsidR="00FA7129" w:rsidRPr="00A02C0A">
        <w:t>have not</w:t>
      </w:r>
      <w:r w:rsidR="003C12E8" w:rsidRPr="00A02C0A">
        <w:t xml:space="preserve"> </w:t>
      </w:r>
      <w:r w:rsidR="008E3488">
        <w:t>previously</w:t>
      </w:r>
      <w:r w:rsidR="00FA7129" w:rsidRPr="00A02C0A">
        <w:t xml:space="preserve"> been investigated.</w:t>
      </w:r>
      <w:r w:rsidR="00DB11BA" w:rsidRPr="00A02C0A">
        <w:t xml:space="preserve"> </w:t>
      </w:r>
      <w:r w:rsidR="00FA130D">
        <w:t>O</w:t>
      </w:r>
      <w:r w:rsidR="00020A10" w:rsidRPr="00A02C0A">
        <w:t xml:space="preserve">ur aim was to investigate the associations between early </w:t>
      </w:r>
      <w:r w:rsidR="008A63E9">
        <w:t>weight gain</w:t>
      </w:r>
      <w:r w:rsidR="00020A10" w:rsidRPr="00A02C0A">
        <w:t xml:space="preserve">, </w:t>
      </w:r>
      <w:r w:rsidR="005C2330">
        <w:t>peripheral</w:t>
      </w:r>
      <w:r w:rsidR="00DB4CB4">
        <w:t xml:space="preserve"> </w:t>
      </w:r>
      <w:r w:rsidR="00020A10" w:rsidRPr="00A02C0A">
        <w:t>blood DNA methylation, and subse</w:t>
      </w:r>
      <w:r w:rsidR="003B1D97" w:rsidRPr="00A02C0A">
        <w:t>quent overweight/obese.</w:t>
      </w:r>
      <w:r w:rsidR="00DB11BA" w:rsidRPr="00A02C0A">
        <w:t xml:space="preserve"> </w:t>
      </w:r>
    </w:p>
    <w:p w14:paraId="6956D32D" w14:textId="77777777" w:rsidR="003C12E8" w:rsidRPr="00A02C0A" w:rsidRDefault="003C12E8" w:rsidP="00A02C0A"/>
    <w:p w14:paraId="55AC97AB" w14:textId="3A536874" w:rsidR="00EF72E1" w:rsidRPr="009228D7" w:rsidRDefault="00575F85" w:rsidP="006B7F5A">
      <w:pPr>
        <w:rPr>
          <w:rFonts w:cstheme="minorHAnsi"/>
        </w:rPr>
      </w:pPr>
      <w:bookmarkStart w:id="1" w:name="_Hlk41894895"/>
      <w:r w:rsidRPr="00575F85">
        <w:t xml:space="preserve">Data from the </w:t>
      </w:r>
      <w:r w:rsidR="008A63E9">
        <w:t xml:space="preserve">UK </w:t>
      </w:r>
      <w:r w:rsidRPr="00575F85">
        <w:t>Avon Longitudinal study of Parents and Children</w:t>
      </w:r>
      <w:r w:rsidR="006B0C6E">
        <w:t xml:space="preserve"> (ALSPAC)</w:t>
      </w:r>
      <w:r w:rsidRPr="00575F85">
        <w:t xml:space="preserve"> cohort were used to estimate associations between early </w:t>
      </w:r>
      <w:r w:rsidR="008A63E9">
        <w:t>postnatal weight gain</w:t>
      </w:r>
      <w:r w:rsidRPr="00575F85">
        <w:t xml:space="preserve"> and epigenome-wide DNA </w:t>
      </w:r>
      <w:r w:rsidR="008A63E9" w:rsidRPr="00575F85">
        <w:t xml:space="preserve">CpG site </w:t>
      </w:r>
      <w:r w:rsidRPr="00575F85">
        <w:t xml:space="preserve">methylation (Illumina 450K Methylation </w:t>
      </w:r>
      <w:proofErr w:type="spellStart"/>
      <w:r w:rsidRPr="00575F85">
        <w:t>Beadchip</w:t>
      </w:r>
      <w:proofErr w:type="spellEnd"/>
      <w:r w:rsidRPr="00575F85">
        <w:t xml:space="preserve">) in blood </w:t>
      </w:r>
      <w:r w:rsidR="008A63E9" w:rsidRPr="00575F85">
        <w:t>in childhood (n= 12</w:t>
      </w:r>
      <w:r w:rsidR="008A63E9">
        <w:t xml:space="preserve">5) and late </w:t>
      </w:r>
      <w:r w:rsidR="008A63E9">
        <w:lastRenderedPageBreak/>
        <w:t>adolescence (n= 96)</w:t>
      </w:r>
      <w:r w:rsidRPr="00575F85">
        <w:t xml:space="preserve">.  </w:t>
      </w:r>
      <w:r w:rsidR="008A63E9">
        <w:t>High weight gain</w:t>
      </w:r>
      <w:r w:rsidRPr="00575F85">
        <w:t xml:space="preserve"> in the first year</w:t>
      </w:r>
      <w:r w:rsidR="009F4421">
        <w:t xml:space="preserve"> (</w:t>
      </w:r>
      <w:r w:rsidR="009F4421" w:rsidRPr="009F4421">
        <w:rPr>
          <w:rFonts w:hint="eastAsia"/>
        </w:rPr>
        <w:t>a change in weight z</w:t>
      </w:r>
      <w:r w:rsidR="009F4421" w:rsidRPr="009F4421">
        <w:rPr>
          <w:rFonts w:hint="eastAsia"/>
        </w:rPr>
        <w:t>‐</w:t>
      </w:r>
      <w:r w:rsidR="009F4421" w:rsidRPr="009F4421">
        <w:rPr>
          <w:rFonts w:hint="eastAsia"/>
        </w:rPr>
        <w:t>scores &gt;0.67)</w:t>
      </w:r>
      <w:r w:rsidRPr="00575F85">
        <w:t xml:space="preserve">, both unconditional (rapid weight gain) and conditional on birthweight (rapid thrive), </w:t>
      </w:r>
      <w:r w:rsidR="00183502">
        <w:t>were related</w:t>
      </w:r>
      <w:r w:rsidRPr="00575F85">
        <w:t xml:space="preserve"> to individual CpG site </w:t>
      </w:r>
      <w:r w:rsidR="008A63E9" w:rsidRPr="00575F85">
        <w:t xml:space="preserve">methylation </w:t>
      </w:r>
      <w:r w:rsidRPr="00575F85">
        <w:t xml:space="preserve">and across regions using </w:t>
      </w:r>
      <w:r w:rsidR="009F4421">
        <w:t xml:space="preserve">the </w:t>
      </w:r>
      <w:proofErr w:type="spellStart"/>
      <w:r w:rsidR="009F4421">
        <w:t>meffil</w:t>
      </w:r>
      <w:proofErr w:type="spellEnd"/>
      <w:r w:rsidR="009F4421">
        <w:t xml:space="preserve"> pipeline</w:t>
      </w:r>
      <w:r w:rsidRPr="00575F85">
        <w:t>, with and without adjustment for cell type proportions</w:t>
      </w:r>
      <w:r w:rsidR="00183502">
        <w:t xml:space="preserve">, and with </w:t>
      </w:r>
      <w:r w:rsidR="00183502" w:rsidRPr="00A02C0A">
        <w:t>5% false discovery rate correction</w:t>
      </w:r>
      <w:r w:rsidRPr="00575F85">
        <w:t>.</w:t>
      </w:r>
      <w:r>
        <w:t xml:space="preserve"> </w:t>
      </w:r>
      <w:bookmarkEnd w:id="1"/>
      <w:r w:rsidR="00302C53">
        <w:t xml:space="preserve">Variation in methylation at </w:t>
      </w:r>
      <w:r w:rsidR="008A63E9">
        <w:t>high weight gain</w:t>
      </w:r>
      <w:r w:rsidR="0071461E">
        <w:t xml:space="preserve"> associated CpG sites were </w:t>
      </w:r>
      <w:r w:rsidR="00787C86">
        <w:t>then</w:t>
      </w:r>
      <w:r w:rsidR="0071461E">
        <w:t xml:space="preserve"> examined </w:t>
      </w:r>
      <w:r w:rsidR="00302C53">
        <w:t xml:space="preserve">with regards to </w:t>
      </w:r>
      <w:r w:rsidR="003C12E8" w:rsidRPr="00A02C0A">
        <w:t xml:space="preserve">body composition </w:t>
      </w:r>
      <w:r w:rsidR="00EC26B1">
        <w:t xml:space="preserve">measures </w:t>
      </w:r>
      <w:r w:rsidR="00B35153">
        <w:t xml:space="preserve">in </w:t>
      </w:r>
      <w:r w:rsidR="003C12E8" w:rsidRPr="00A02C0A">
        <w:t>childhood and adolescence</w:t>
      </w:r>
      <w:r w:rsidR="00302C53">
        <w:t>.</w:t>
      </w:r>
      <w:r w:rsidR="004338A8">
        <w:t xml:space="preserve"> </w:t>
      </w:r>
      <w:r w:rsidR="00E7329C">
        <w:t>R</w:t>
      </w:r>
      <w:r w:rsidR="004338A8" w:rsidRPr="004338A8">
        <w:t xml:space="preserve">eplication </w:t>
      </w:r>
      <w:r w:rsidR="00E7329C">
        <w:t>of the differentially methylated CpG sites was sought</w:t>
      </w:r>
      <w:r w:rsidR="00E7329C" w:rsidRPr="004338A8">
        <w:t xml:space="preserve"> </w:t>
      </w:r>
      <w:r w:rsidR="004338A8" w:rsidRPr="004338A8">
        <w:t>using whole-blood DNA</w:t>
      </w:r>
      <w:r w:rsidR="00E7329C">
        <w:t xml:space="preserve"> samples</w:t>
      </w:r>
      <w:r w:rsidR="004338A8" w:rsidRPr="004338A8">
        <w:t xml:space="preserve"> </w:t>
      </w:r>
      <w:r w:rsidR="00E7329C">
        <w:t>from</w:t>
      </w:r>
      <w:r w:rsidR="004338A8" w:rsidRPr="004338A8">
        <w:t xml:space="preserve"> </w:t>
      </w:r>
      <w:r w:rsidR="004338A8">
        <w:t>10</w:t>
      </w:r>
      <w:r w:rsidR="00DF02B5">
        <w:t>4</w:t>
      </w:r>
      <w:r w:rsidR="006B0C6E">
        <w:t xml:space="preserve"> </w:t>
      </w:r>
      <w:r w:rsidR="004338A8">
        <w:t>children</w:t>
      </w:r>
      <w:r w:rsidR="006B0C6E">
        <w:t xml:space="preserve"> from</w:t>
      </w:r>
      <w:r w:rsidR="00E7329C">
        <w:t xml:space="preserve"> the </w:t>
      </w:r>
      <w:r w:rsidR="008A63E9">
        <w:t xml:space="preserve">UK </w:t>
      </w:r>
      <w:r w:rsidR="00E7329C">
        <w:t xml:space="preserve">Southampton Women’s </w:t>
      </w:r>
      <w:r w:rsidR="00DF02B5">
        <w:t>S</w:t>
      </w:r>
      <w:r w:rsidR="00BE0B2A">
        <w:t>urvey</w:t>
      </w:r>
      <w:r w:rsidR="00E7329C">
        <w:t>.</w:t>
      </w:r>
    </w:p>
    <w:p w14:paraId="275AE384" w14:textId="71AAA3F7" w:rsidR="003C12E8" w:rsidRPr="009228D7" w:rsidRDefault="00020A10" w:rsidP="006B7F5A">
      <w:pPr>
        <w:rPr>
          <w:rFonts w:cstheme="minorHAnsi"/>
          <w:b/>
        </w:rPr>
      </w:pPr>
      <w:r w:rsidRPr="009228D7">
        <w:rPr>
          <w:rFonts w:cstheme="minorHAnsi"/>
          <w:b/>
        </w:rPr>
        <w:t>Results</w:t>
      </w:r>
    </w:p>
    <w:p w14:paraId="37FF1174" w14:textId="1A04D081" w:rsidR="006B7F5A" w:rsidRPr="00A02C0A" w:rsidRDefault="00407B21" w:rsidP="00A02C0A">
      <w:r w:rsidRPr="00A02C0A">
        <w:t>R</w:t>
      </w:r>
      <w:r w:rsidR="00EF72E1" w:rsidRPr="00A02C0A">
        <w:t xml:space="preserve">apid </w:t>
      </w:r>
      <w:r w:rsidR="00183502">
        <w:t>infant weight gain</w:t>
      </w:r>
      <w:r w:rsidR="00183502" w:rsidRPr="00A02C0A">
        <w:t xml:space="preserve"> </w:t>
      </w:r>
      <w:r w:rsidRPr="00A02C0A">
        <w:t xml:space="preserve">was associated with </w:t>
      </w:r>
      <w:r w:rsidR="002E4EF8" w:rsidRPr="00A02C0A">
        <w:t>small (</w:t>
      </w:r>
      <w:r w:rsidR="00D228C2">
        <w:t>+</w:t>
      </w:r>
      <w:r w:rsidR="002E4EF8" w:rsidRPr="00A02C0A">
        <w:t>1</w:t>
      </w:r>
      <w:r w:rsidR="00D228C2">
        <w:t>% change</w:t>
      </w:r>
      <w:r w:rsidR="002E4EF8" w:rsidRPr="00A02C0A">
        <w:t>)</w:t>
      </w:r>
      <w:r w:rsidR="00020A10" w:rsidRPr="00A02C0A">
        <w:t xml:space="preserve"> increase</w:t>
      </w:r>
      <w:r w:rsidRPr="00A02C0A">
        <w:t>s</w:t>
      </w:r>
      <w:r w:rsidR="00020A10" w:rsidRPr="00A02C0A">
        <w:t xml:space="preserve"> in </w:t>
      </w:r>
      <w:r w:rsidR="003C12E8" w:rsidRPr="00A02C0A">
        <w:t xml:space="preserve">childhood </w:t>
      </w:r>
      <w:r w:rsidR="00020A10" w:rsidRPr="00A02C0A">
        <w:t>methylation</w:t>
      </w:r>
      <w:r w:rsidR="009D366B">
        <w:t xml:space="preserve"> </w:t>
      </w:r>
      <w:r w:rsidR="009D366B" w:rsidRPr="00A02C0A">
        <w:t>(age 7)</w:t>
      </w:r>
      <w:r w:rsidR="00020A10" w:rsidRPr="00A02C0A">
        <w:t xml:space="preserve"> for two d</w:t>
      </w:r>
      <w:r w:rsidR="00023048" w:rsidRPr="00A02C0A">
        <w:t xml:space="preserve">istinct CpG </w:t>
      </w:r>
      <w:r w:rsidR="00BD0CD1">
        <w:t>sites</w:t>
      </w:r>
      <w:r w:rsidR="005438C8">
        <w:t xml:space="preserve"> (</w:t>
      </w:r>
      <w:r w:rsidR="005438C8" w:rsidRPr="00510725">
        <w:t>cg01379158 (</w:t>
      </w:r>
      <w:r w:rsidR="005438C8" w:rsidRPr="00FD11D8">
        <w:rPr>
          <w:i/>
          <w:szCs w:val="22"/>
        </w:rPr>
        <w:t>NT5M</w:t>
      </w:r>
      <w:r w:rsidR="005438C8" w:rsidRPr="00510725">
        <w:t>) and cg11531579 (</w:t>
      </w:r>
      <w:r w:rsidR="005438C8" w:rsidRPr="00B57B39">
        <w:rPr>
          <w:i/>
        </w:rPr>
        <w:t>CHFR</w:t>
      </w:r>
      <w:r w:rsidR="005438C8" w:rsidRPr="00510725">
        <w:t>)</w:t>
      </w:r>
      <w:r w:rsidR="005438C8">
        <w:t>)</w:t>
      </w:r>
      <w:r w:rsidR="00020A10" w:rsidRPr="00A02C0A">
        <w:t xml:space="preserve">. </w:t>
      </w:r>
      <w:r w:rsidR="003C12E8" w:rsidRPr="00A02C0A">
        <w:t>C</w:t>
      </w:r>
      <w:r w:rsidR="00020A10" w:rsidRPr="00A02C0A">
        <w:t>hildhood</w:t>
      </w:r>
      <w:r w:rsidR="003C12E8" w:rsidRPr="00A02C0A">
        <w:t xml:space="preserve"> methylation </w:t>
      </w:r>
      <w:r w:rsidR="00020A10" w:rsidRPr="00A02C0A">
        <w:t xml:space="preserve">at </w:t>
      </w:r>
      <w:r w:rsidR="002E4EF8" w:rsidRPr="00A02C0A">
        <w:t xml:space="preserve">one </w:t>
      </w:r>
      <w:r w:rsidR="009D366B">
        <w:t xml:space="preserve">of these </w:t>
      </w:r>
      <w:proofErr w:type="spellStart"/>
      <w:r w:rsidR="00F565D3">
        <w:t>CpG</w:t>
      </w:r>
      <w:r w:rsidR="009D366B">
        <w:t>s</w:t>
      </w:r>
      <w:proofErr w:type="spellEnd"/>
      <w:r w:rsidR="00020A10" w:rsidRPr="00A02C0A">
        <w:t xml:space="preserve"> </w:t>
      </w:r>
      <w:r w:rsidR="005438C8">
        <w:t>(</w:t>
      </w:r>
      <w:r w:rsidR="005438C8" w:rsidRPr="00510725">
        <w:t>cg11531579</w:t>
      </w:r>
      <w:r w:rsidR="005438C8">
        <w:t xml:space="preserve">) </w:t>
      </w:r>
      <w:r w:rsidR="00020A10" w:rsidRPr="00A02C0A">
        <w:t xml:space="preserve">was </w:t>
      </w:r>
      <w:r w:rsidR="00504509" w:rsidRPr="00A02C0A">
        <w:t xml:space="preserve">also </w:t>
      </w:r>
      <w:r w:rsidR="00020A10" w:rsidRPr="00A02C0A">
        <w:t xml:space="preserve">higher in those who experienced </w:t>
      </w:r>
      <w:r w:rsidR="00EF72E1" w:rsidRPr="00A02C0A">
        <w:t xml:space="preserve">rapid </w:t>
      </w:r>
      <w:r w:rsidR="00183502">
        <w:t>weight gain</w:t>
      </w:r>
      <w:r w:rsidR="00183502" w:rsidRPr="00A02C0A">
        <w:t xml:space="preserve"> </w:t>
      </w:r>
      <w:r w:rsidR="00020A10" w:rsidRPr="00A02C0A">
        <w:t xml:space="preserve">and were </w:t>
      </w:r>
      <w:r w:rsidR="002E4EF8" w:rsidRPr="00A02C0A">
        <w:t>subsequently</w:t>
      </w:r>
      <w:r w:rsidR="00020A10" w:rsidRPr="00A02C0A">
        <w:t xml:space="preserve"> </w:t>
      </w:r>
      <w:r w:rsidR="00D228C2">
        <w:t>overweight/obese</w:t>
      </w:r>
      <w:r w:rsidR="002E4EF8" w:rsidRPr="00A02C0A">
        <w:t xml:space="preserve"> </w:t>
      </w:r>
      <w:r w:rsidR="005C2330">
        <w:t xml:space="preserve">in </w:t>
      </w:r>
      <w:r w:rsidR="002E4EF8" w:rsidRPr="00A02C0A">
        <w:t>adolescence</w:t>
      </w:r>
      <w:r w:rsidR="005438C8">
        <w:t xml:space="preserve"> (age 17)</w:t>
      </w:r>
      <w:r w:rsidR="00020A10" w:rsidRPr="00A02C0A">
        <w:t xml:space="preserve">. </w:t>
      </w:r>
      <w:r w:rsidR="006B7F5A" w:rsidRPr="00A02C0A">
        <w:t xml:space="preserve">Rapid </w:t>
      </w:r>
      <w:r w:rsidR="00183502">
        <w:t>weight gain</w:t>
      </w:r>
      <w:r w:rsidR="00183502" w:rsidRPr="00A02C0A">
        <w:t xml:space="preserve"> </w:t>
      </w:r>
      <w:r w:rsidR="006B7F5A" w:rsidRPr="00A02C0A">
        <w:t xml:space="preserve">was not associated with </w:t>
      </w:r>
      <w:r w:rsidR="00E61B47">
        <w:t xml:space="preserve">differential </w:t>
      </w:r>
      <w:r w:rsidR="00A55604">
        <w:t>DNA</w:t>
      </w:r>
      <w:r w:rsidR="006B7F5A" w:rsidRPr="00A02C0A">
        <w:t xml:space="preserve"> methylation in adolescence. </w:t>
      </w:r>
      <w:r w:rsidR="006B0C6E">
        <w:t>Childhood methylation at the</w:t>
      </w:r>
      <w:r w:rsidR="00420151" w:rsidRPr="00420151">
        <w:t xml:space="preserve"> </w:t>
      </w:r>
      <w:r w:rsidR="00420151" w:rsidRPr="00510725">
        <w:t>cg11531579</w:t>
      </w:r>
      <w:r w:rsidR="006B0C6E">
        <w:t xml:space="preserve"> site was also suggestively associated with </w:t>
      </w:r>
      <w:r w:rsidR="00183502">
        <w:t xml:space="preserve">rapid weight gain </w:t>
      </w:r>
      <w:r w:rsidR="006B0C6E">
        <w:t xml:space="preserve">in the replication cohort. </w:t>
      </w:r>
    </w:p>
    <w:p w14:paraId="162A3770" w14:textId="77777777" w:rsidR="00020A10" w:rsidRPr="006B7F5A" w:rsidRDefault="00020A10" w:rsidP="006B7F5A"/>
    <w:p w14:paraId="6C9D932F" w14:textId="77777777" w:rsidR="00020A10" w:rsidRPr="006B7F5A" w:rsidRDefault="00020A10" w:rsidP="006B7F5A">
      <w:pPr>
        <w:rPr>
          <w:b/>
        </w:rPr>
      </w:pPr>
      <w:r w:rsidRPr="006B7F5A">
        <w:rPr>
          <w:b/>
        </w:rPr>
        <w:t>Conclusions</w:t>
      </w:r>
    </w:p>
    <w:p w14:paraId="0D48443D" w14:textId="22B139CF" w:rsidR="00D6571D" w:rsidRPr="00A02C0A" w:rsidRDefault="00020A10" w:rsidP="00A02C0A">
      <w:r w:rsidRPr="00A02C0A">
        <w:t xml:space="preserve">This study identified </w:t>
      </w:r>
      <w:r w:rsidR="00725205">
        <w:t xml:space="preserve">associations between </w:t>
      </w:r>
      <w:r w:rsidR="00725205" w:rsidRPr="00A02C0A">
        <w:t xml:space="preserve">rapid </w:t>
      </w:r>
      <w:r w:rsidR="00183502">
        <w:t xml:space="preserve">weight gain </w:t>
      </w:r>
      <w:r w:rsidR="00725205" w:rsidRPr="00A02C0A">
        <w:t>in infancy</w:t>
      </w:r>
      <w:r w:rsidR="00725205">
        <w:t xml:space="preserve"> and </w:t>
      </w:r>
      <w:r w:rsidRPr="00A02C0A">
        <w:t>small increases in</w:t>
      </w:r>
      <w:r w:rsidR="00DA3765">
        <w:t xml:space="preserve"> childhood</w:t>
      </w:r>
      <w:r w:rsidRPr="00A02C0A">
        <w:t xml:space="preserve"> methylation at two CpG </w:t>
      </w:r>
      <w:r w:rsidR="00D228C2">
        <w:t>sites</w:t>
      </w:r>
      <w:r w:rsidR="005438C8">
        <w:t>, one of which</w:t>
      </w:r>
      <w:r w:rsidR="00725205">
        <w:t xml:space="preserve"> </w:t>
      </w:r>
      <w:r w:rsidR="00DA3765">
        <w:t>was</w:t>
      </w:r>
      <w:r w:rsidR="00420151">
        <w:t xml:space="preserve"> replicated and was</w:t>
      </w:r>
      <w:r w:rsidR="00DA3765">
        <w:t xml:space="preserve"> </w:t>
      </w:r>
      <w:r w:rsidR="00302C53">
        <w:t>also associated with subsequent</w:t>
      </w:r>
      <w:r w:rsidR="00302C53" w:rsidRPr="00A02C0A">
        <w:t xml:space="preserve"> </w:t>
      </w:r>
      <w:r w:rsidR="00302C53">
        <w:t xml:space="preserve">overweight/obese. </w:t>
      </w:r>
      <w:r w:rsidR="008C750F">
        <w:t>It will be important to determine whether</w:t>
      </w:r>
      <w:r w:rsidR="008C750F" w:rsidRPr="00A02C0A">
        <w:t xml:space="preserve"> loci </w:t>
      </w:r>
      <w:r w:rsidR="008C750F">
        <w:t>are markers</w:t>
      </w:r>
      <w:r w:rsidR="008C750F" w:rsidRPr="00A02C0A">
        <w:t xml:space="preserve"> of early rapid </w:t>
      </w:r>
      <w:r w:rsidR="00183502">
        <w:t xml:space="preserve">weight gain </w:t>
      </w:r>
      <w:r w:rsidR="008C750F">
        <w:t>across different</w:t>
      </w:r>
      <w:r w:rsidR="006B0C6E">
        <w:t>, larger</w:t>
      </w:r>
      <w:r w:rsidR="008C750F">
        <w:t xml:space="preserve"> populations. </w:t>
      </w:r>
      <w:r w:rsidR="005C2330">
        <w:t>The mechanistic relevance of these differentially methylated sites requires further investigation.</w:t>
      </w:r>
    </w:p>
    <w:p w14:paraId="049E152D" w14:textId="77777777" w:rsidR="00A326D2" w:rsidRPr="00DC2FF8" w:rsidRDefault="00A326D2" w:rsidP="00F67A1A">
      <w:pPr>
        <w:rPr>
          <w:sz w:val="20"/>
        </w:rPr>
      </w:pPr>
    </w:p>
    <w:p w14:paraId="05AD1D49" w14:textId="77777777" w:rsidR="008C750F" w:rsidRDefault="008C750F" w:rsidP="008C750F">
      <w:pPr>
        <w:pStyle w:val="Heading2"/>
      </w:pPr>
      <w:r>
        <w:lastRenderedPageBreak/>
        <w:t>Keywords</w:t>
      </w:r>
    </w:p>
    <w:p w14:paraId="5D491AA3" w14:textId="04038F79" w:rsidR="008C750F" w:rsidRDefault="008C750F" w:rsidP="008C750F">
      <w:r>
        <w:t xml:space="preserve">Rapid weight gain, conditional weight gain, epigenetics, </w:t>
      </w:r>
      <w:r w:rsidR="00C36C2D">
        <w:t>EWAS,</w:t>
      </w:r>
      <w:r>
        <w:t xml:space="preserve"> DNA methylation, DOHAD, ALSPAC</w:t>
      </w:r>
      <w:r w:rsidR="00C36C2D">
        <w:t>, SWS</w:t>
      </w:r>
    </w:p>
    <w:p w14:paraId="7B748B54" w14:textId="4F449C7D" w:rsidR="00F034A5" w:rsidRDefault="0013098B" w:rsidP="00B3282A">
      <w:pPr>
        <w:pStyle w:val="Heading2"/>
      </w:pPr>
      <w:r>
        <w:t>Background</w:t>
      </w:r>
    </w:p>
    <w:p w14:paraId="411201DD" w14:textId="77777777" w:rsidR="00B3282A" w:rsidRDefault="00B3282A">
      <w:pPr>
        <w:rPr>
          <w:b/>
        </w:rPr>
      </w:pPr>
    </w:p>
    <w:p w14:paraId="0C33AF74" w14:textId="33F3635E" w:rsidR="00996E9F" w:rsidRPr="006B7F5A" w:rsidRDefault="0004466B" w:rsidP="00ED0A91">
      <w:r w:rsidRPr="004E63BD">
        <w:t xml:space="preserve">Children are </w:t>
      </w:r>
      <w:r w:rsidR="00504A76" w:rsidRPr="004E63BD">
        <w:t xml:space="preserve">becoming obese at younger ages </w:t>
      </w:r>
      <w:r w:rsidR="00FD1B77">
        <w:rPr>
          <w:noProof/>
        </w:rPr>
        <w:t>(1)</w:t>
      </w:r>
      <w:r w:rsidRPr="004E63BD">
        <w:t>, suggesting that factors in early life may play a role in obesity development.</w:t>
      </w:r>
      <w:r w:rsidR="00A40767" w:rsidRPr="004E63BD">
        <w:t xml:space="preserve"> </w:t>
      </w:r>
      <w:r w:rsidR="00996E9F" w:rsidRPr="00B51AAB">
        <w:t>The developmental origins of health and disease (</w:t>
      </w:r>
      <w:proofErr w:type="spellStart"/>
      <w:r w:rsidR="00996E9F" w:rsidRPr="00B51AAB">
        <w:t>DOHaD</w:t>
      </w:r>
      <w:proofErr w:type="spellEnd"/>
      <w:r w:rsidR="00996E9F" w:rsidRPr="00B51AAB">
        <w:t>) hypothesis proposes that early life environmental exposures have the potential to modify the risk of later-life diseases, such as obesity</w:t>
      </w:r>
      <w:r w:rsidR="00996E9F">
        <w:t xml:space="preserve"> </w:t>
      </w:r>
      <w:r w:rsidR="00FD1B77">
        <w:rPr>
          <w:noProof/>
        </w:rPr>
        <w:t>(2)</w:t>
      </w:r>
      <w:r w:rsidR="00996E9F" w:rsidRPr="00B51AAB">
        <w:t>.</w:t>
      </w:r>
      <w:r w:rsidR="00996E9F" w:rsidRPr="00B51AAB" w:rsidDel="00DB27CF">
        <w:t xml:space="preserve"> </w:t>
      </w:r>
      <w:r w:rsidR="00FF3B66">
        <w:t>Rapid weight gain (RWG)</w:t>
      </w:r>
      <w:r w:rsidR="00996E9F">
        <w:t xml:space="preserve"> is </w:t>
      </w:r>
      <w:r w:rsidR="00721CCD">
        <w:t xml:space="preserve">an </w:t>
      </w:r>
      <w:r w:rsidR="00996E9F">
        <w:t>early life factor that</w:t>
      </w:r>
      <w:r w:rsidR="00FF3B66">
        <w:t xml:space="preserve"> has been consistently associated with childhood adiposity </w:t>
      </w:r>
      <w:r w:rsidR="00FF3B66" w:rsidRPr="00510725">
        <w:t>both dependent</w:t>
      </w:r>
      <w:r w:rsidR="00FA130D">
        <w:t>ly</w:t>
      </w:r>
      <w:r w:rsidR="00FF3B66" w:rsidRPr="00510725">
        <w:t xml:space="preserve"> and independent</w:t>
      </w:r>
      <w:r w:rsidR="00FA130D">
        <w:t>ly</w:t>
      </w:r>
      <w:r w:rsidR="00FF3B66" w:rsidRPr="00510725">
        <w:t xml:space="preserve"> of birthweight</w:t>
      </w:r>
      <w:r w:rsidR="009228D7">
        <w:t xml:space="preserve"> </w:t>
      </w:r>
      <w:r w:rsidR="00FD1B77">
        <w:rPr>
          <w:noProof/>
        </w:rPr>
        <w:t>(3-5)</w:t>
      </w:r>
      <w:r w:rsidR="00FF3B66">
        <w:t>.</w:t>
      </w:r>
      <w:r w:rsidR="00ED0A91" w:rsidRPr="00ED0A91">
        <w:rPr>
          <w:rFonts w:cstheme="minorHAnsi"/>
          <w:szCs w:val="24"/>
          <w:shd w:val="clear" w:color="auto" w:fill="FFFFFF"/>
        </w:rPr>
        <w:t xml:space="preserve"> </w:t>
      </w:r>
      <w:r w:rsidR="00ED0A91">
        <w:rPr>
          <w:rFonts w:cstheme="minorHAnsi"/>
          <w:szCs w:val="24"/>
          <w:shd w:val="clear" w:color="auto" w:fill="FFFFFF"/>
        </w:rPr>
        <w:t>W</w:t>
      </w:r>
      <w:r w:rsidR="00ED0A91" w:rsidRPr="00162FB9">
        <w:rPr>
          <w:rFonts w:cstheme="minorHAnsi"/>
          <w:szCs w:val="24"/>
          <w:shd w:val="clear" w:color="auto" w:fill="FFFFFF"/>
        </w:rPr>
        <w:t xml:space="preserve">eight gain in the first year specifically </w:t>
      </w:r>
      <w:r w:rsidR="00DB27CF">
        <w:rPr>
          <w:rFonts w:cstheme="minorHAnsi"/>
          <w:szCs w:val="24"/>
          <w:shd w:val="clear" w:color="auto" w:fill="FFFFFF"/>
        </w:rPr>
        <w:t>(</w:t>
      </w:r>
      <w:r w:rsidR="00642D08">
        <w:rPr>
          <w:rFonts w:cstheme="minorHAnsi"/>
          <w:szCs w:val="24"/>
          <w:shd w:val="clear" w:color="auto" w:fill="FFFFFF"/>
        </w:rPr>
        <w:t>opposed to change in weight over</w:t>
      </w:r>
      <w:r w:rsidR="00ED0A91" w:rsidRPr="00162FB9">
        <w:rPr>
          <w:rFonts w:cstheme="minorHAnsi"/>
          <w:szCs w:val="24"/>
          <w:shd w:val="clear" w:color="auto" w:fill="FFFFFF"/>
        </w:rPr>
        <w:t xml:space="preserve"> periods greater or less than 1 year)</w:t>
      </w:r>
      <w:r w:rsidR="00DB27CF">
        <w:rPr>
          <w:rFonts w:cstheme="minorHAnsi"/>
          <w:szCs w:val="24"/>
          <w:shd w:val="clear" w:color="auto" w:fill="FFFFFF"/>
        </w:rPr>
        <w:t>,</w:t>
      </w:r>
      <w:r w:rsidR="00ED0A91">
        <w:rPr>
          <w:rFonts w:cstheme="minorHAnsi"/>
          <w:szCs w:val="24"/>
          <w:shd w:val="clear" w:color="auto" w:fill="FFFFFF"/>
        </w:rPr>
        <w:t xml:space="preserve"> has been found</w:t>
      </w:r>
      <w:r w:rsidR="00ED0A91" w:rsidRPr="00162FB9">
        <w:rPr>
          <w:rFonts w:cstheme="minorHAnsi"/>
          <w:szCs w:val="24"/>
          <w:shd w:val="clear" w:color="auto" w:fill="FFFFFF"/>
        </w:rPr>
        <w:t xml:space="preserve"> to be most predictive of childhood obesity </w:t>
      </w:r>
      <w:r w:rsidR="00FD1B77">
        <w:rPr>
          <w:rFonts w:cstheme="minorHAnsi"/>
          <w:noProof/>
          <w:szCs w:val="24"/>
          <w:shd w:val="clear" w:color="auto" w:fill="FFFFFF"/>
        </w:rPr>
        <w:t>(6)</w:t>
      </w:r>
      <w:r w:rsidR="00ED0A91">
        <w:rPr>
          <w:rFonts w:cstheme="minorHAnsi"/>
          <w:szCs w:val="24"/>
          <w:shd w:val="clear" w:color="auto" w:fill="FFFFFF"/>
        </w:rPr>
        <w:t>, suggesting</w:t>
      </w:r>
      <w:r w:rsidR="00714738">
        <w:rPr>
          <w:rFonts w:cstheme="minorHAnsi"/>
          <w:szCs w:val="24"/>
          <w:shd w:val="clear" w:color="auto" w:fill="FFFFFF"/>
        </w:rPr>
        <w:t xml:space="preserve"> </w:t>
      </w:r>
      <w:r w:rsidR="00DB27CF">
        <w:rPr>
          <w:rFonts w:cstheme="minorHAnsi"/>
          <w:szCs w:val="24"/>
          <w:shd w:val="clear" w:color="auto" w:fill="FFFFFF"/>
        </w:rPr>
        <w:t>this</w:t>
      </w:r>
      <w:r w:rsidR="00891505">
        <w:rPr>
          <w:rFonts w:cstheme="minorHAnsi"/>
          <w:szCs w:val="24"/>
          <w:shd w:val="clear" w:color="auto" w:fill="FFFFFF"/>
        </w:rPr>
        <w:t xml:space="preserve"> </w:t>
      </w:r>
      <w:r w:rsidR="00ED0A91" w:rsidRPr="00162FB9">
        <w:rPr>
          <w:rFonts w:cstheme="minorHAnsi"/>
          <w:szCs w:val="24"/>
          <w:shd w:val="clear" w:color="auto" w:fill="FFFFFF"/>
        </w:rPr>
        <w:t>is a critical period.</w:t>
      </w:r>
      <w:r w:rsidR="00714738">
        <w:rPr>
          <w:rFonts w:cstheme="minorHAnsi"/>
          <w:szCs w:val="24"/>
          <w:shd w:val="clear" w:color="auto" w:fill="FFFFFF"/>
        </w:rPr>
        <w:t xml:space="preserve"> </w:t>
      </w:r>
    </w:p>
    <w:p w14:paraId="19EEC664" w14:textId="3ECA1D2A" w:rsidR="00ED0A91" w:rsidRDefault="00A92CD0">
      <w:r>
        <w:t xml:space="preserve">Given the responsiveness to environmental </w:t>
      </w:r>
      <w:r w:rsidR="000B752B">
        <w:t>stimuli</w:t>
      </w:r>
      <w:r>
        <w:t>, the capacity to alter gene expression and the</w:t>
      </w:r>
      <w:r w:rsidR="001C3669">
        <w:t>ir</w:t>
      </w:r>
      <w:r>
        <w:t xml:space="preserve"> </w:t>
      </w:r>
      <w:r w:rsidR="0093523B">
        <w:t>stability</w:t>
      </w:r>
      <w:r>
        <w:t xml:space="preserve"> over time, e</w:t>
      </w:r>
      <w:r w:rsidR="0026786E">
        <w:t>pigenetic changes are</w:t>
      </w:r>
      <w:r w:rsidR="0026786E" w:rsidRPr="004E63BD">
        <w:t xml:space="preserve"> </w:t>
      </w:r>
      <w:r w:rsidR="00714738">
        <w:t xml:space="preserve">a </w:t>
      </w:r>
      <w:r w:rsidR="0026786E" w:rsidRPr="004E63BD">
        <w:t>proposed mechanism</w:t>
      </w:r>
      <w:r w:rsidR="00714738">
        <w:t xml:space="preserve"> </w:t>
      </w:r>
      <w:r w:rsidR="0026786E" w:rsidRPr="004E63BD">
        <w:t xml:space="preserve">underlying the </w:t>
      </w:r>
      <w:proofErr w:type="spellStart"/>
      <w:r w:rsidR="00996E9F">
        <w:t>DOHaD</w:t>
      </w:r>
      <w:proofErr w:type="spellEnd"/>
      <w:r w:rsidR="00996E9F">
        <w:t xml:space="preserve"> hypothesis</w:t>
      </w:r>
      <w:r>
        <w:t>.</w:t>
      </w:r>
      <w:r w:rsidR="0026786E">
        <w:t xml:space="preserve"> </w:t>
      </w:r>
      <w:r>
        <w:t>T</w:t>
      </w:r>
      <w:r w:rsidR="0026786E">
        <w:t>hrough programming effects</w:t>
      </w:r>
      <w:r w:rsidR="00721CCD">
        <w:t>,</w:t>
      </w:r>
      <w:r w:rsidR="0026786E">
        <w:t xml:space="preserve"> epigenetic marks</w:t>
      </w:r>
      <w:r>
        <w:t xml:space="preserve"> </w:t>
      </w:r>
      <w:r w:rsidR="0026786E">
        <w:t xml:space="preserve">laid down at an early developmental stage </w:t>
      </w:r>
      <w:r w:rsidR="001C3669">
        <w:t>could</w:t>
      </w:r>
      <w:r w:rsidR="0026786E">
        <w:t xml:space="preserve"> elicit effects at a later stage</w:t>
      </w:r>
      <w:r w:rsidR="00996E9F">
        <w:t xml:space="preserve"> </w:t>
      </w:r>
      <w:r w:rsidR="00FD1B77">
        <w:rPr>
          <w:noProof/>
        </w:rPr>
        <w:t>(7)</w:t>
      </w:r>
      <w:r w:rsidR="0026786E" w:rsidRPr="00510725">
        <w:t>.</w:t>
      </w:r>
      <w:r w:rsidR="0026786E" w:rsidRPr="004E63BD">
        <w:t xml:space="preserve"> </w:t>
      </w:r>
      <w:r w:rsidR="0026786E">
        <w:t>DNA methylation (</w:t>
      </w:r>
      <w:proofErr w:type="spellStart"/>
      <w:r w:rsidR="0026786E">
        <w:t>DNAm</w:t>
      </w:r>
      <w:proofErr w:type="spellEnd"/>
      <w:r w:rsidR="0026786E">
        <w:t>)</w:t>
      </w:r>
      <w:r w:rsidR="002E5B5D">
        <w:t xml:space="preserve">, </w:t>
      </w:r>
      <w:r w:rsidR="00996E9F">
        <w:t>is</w:t>
      </w:r>
      <w:r w:rsidR="00996E9F" w:rsidRPr="004E63BD">
        <w:t xml:space="preserve"> the most stable and widely studied epigenetic</w:t>
      </w:r>
      <w:r w:rsidR="00996E9F">
        <w:t xml:space="preserve"> modification and is </w:t>
      </w:r>
      <w:r w:rsidR="00724FF3">
        <w:t xml:space="preserve">a key mechanism regulating gene </w:t>
      </w:r>
      <w:r w:rsidR="00996E9F">
        <w:t>expression.</w:t>
      </w:r>
      <w:r w:rsidR="00721CCD">
        <w:t xml:space="preserve"> </w:t>
      </w:r>
      <w:proofErr w:type="spellStart"/>
      <w:r w:rsidR="00721CCD">
        <w:t>DNA</w:t>
      </w:r>
      <w:r w:rsidR="006565A2">
        <w:t>m</w:t>
      </w:r>
      <w:proofErr w:type="spellEnd"/>
      <w:r w:rsidR="00721CCD">
        <w:t xml:space="preserve"> involves the covalent addition of</w:t>
      </w:r>
      <w:r w:rsidR="00566BB8">
        <w:t xml:space="preserve"> </w:t>
      </w:r>
      <w:r w:rsidR="009228D7">
        <w:t xml:space="preserve">a </w:t>
      </w:r>
      <w:r w:rsidR="00566BB8">
        <w:t>methyl group</w:t>
      </w:r>
      <w:r w:rsidR="00721CCD">
        <w:t xml:space="preserve"> to</w:t>
      </w:r>
      <w:r w:rsidR="00566BB8">
        <w:t xml:space="preserve"> cytosine residues adjacent to guanine in DNA</w:t>
      </w:r>
      <w:r w:rsidR="00721CCD">
        <w:t xml:space="preserve"> (CpG sites)</w:t>
      </w:r>
      <w:r w:rsidR="002A7D0F">
        <w:t xml:space="preserve"> </w:t>
      </w:r>
      <w:r w:rsidR="00721CCD">
        <w:t xml:space="preserve">and </w:t>
      </w:r>
      <w:r w:rsidR="009228D7">
        <w:t>is associated with</w:t>
      </w:r>
      <w:r w:rsidR="00566BB8">
        <w:t xml:space="preserve"> </w:t>
      </w:r>
      <w:r w:rsidR="00721CCD">
        <w:t>changes in gene</w:t>
      </w:r>
      <w:r w:rsidR="00566BB8">
        <w:t xml:space="preserve"> transcription</w:t>
      </w:r>
      <w:r w:rsidR="00EB69A2" w:rsidRPr="00EB69A2">
        <w:t xml:space="preserve"> </w:t>
      </w:r>
      <w:r w:rsidR="00FD1B77">
        <w:rPr>
          <w:noProof/>
        </w:rPr>
        <w:t>(8)</w:t>
      </w:r>
      <w:r w:rsidR="00566BB8">
        <w:t xml:space="preserve">. </w:t>
      </w:r>
      <w:r w:rsidR="0026786E">
        <w:t>If early life factors lead to stable chan</w:t>
      </w:r>
      <w:r w:rsidR="00CE4F7A">
        <w:t xml:space="preserve">ges in </w:t>
      </w:r>
      <w:proofErr w:type="spellStart"/>
      <w:r w:rsidR="00CE4F7A">
        <w:t>DNAm</w:t>
      </w:r>
      <w:proofErr w:type="spellEnd"/>
      <w:r w:rsidR="0026786E">
        <w:t xml:space="preserve">, these </w:t>
      </w:r>
      <w:r w:rsidR="00DB27CF">
        <w:t>changes could be</w:t>
      </w:r>
      <w:r w:rsidR="009E0926">
        <w:t xml:space="preserve"> used </w:t>
      </w:r>
      <w:r w:rsidR="00FD11D8">
        <w:t>as biomarkers</w:t>
      </w:r>
      <w:r w:rsidR="00DB27CF">
        <w:t xml:space="preserve"> and </w:t>
      </w:r>
      <w:r w:rsidR="009E0926">
        <w:t>to</w:t>
      </w:r>
      <w:r w:rsidR="0026786E">
        <w:t xml:space="preserve"> identify individuals who</w:t>
      </w:r>
      <w:r w:rsidR="00566BB8">
        <w:t xml:space="preserve"> </w:t>
      </w:r>
      <w:r w:rsidR="00D228C2">
        <w:t xml:space="preserve">may </w:t>
      </w:r>
      <w:r w:rsidR="0026786E">
        <w:t>benefit from intervention</w:t>
      </w:r>
      <w:r w:rsidR="00052A9F">
        <w:t xml:space="preserve"> prior to disease onset</w:t>
      </w:r>
      <w:r w:rsidR="0026786E">
        <w:t xml:space="preserve">. </w:t>
      </w:r>
    </w:p>
    <w:p w14:paraId="61610F6B" w14:textId="0A56239C" w:rsidR="000514E4" w:rsidRPr="00EB69A2" w:rsidRDefault="004D2F25" w:rsidP="00EB69A2">
      <w:r>
        <w:t xml:space="preserve">BMI </w:t>
      </w:r>
      <w:r w:rsidR="00DA7332">
        <w:t>has been</w:t>
      </w:r>
      <w:r>
        <w:t xml:space="preserve"> associated with variation</w:t>
      </w:r>
      <w:r w:rsidRPr="00EB69A2">
        <w:t xml:space="preserve"> </w:t>
      </w:r>
      <w:r w:rsidR="00DB27CF" w:rsidRPr="00EB69A2">
        <w:t xml:space="preserve">in </w:t>
      </w:r>
      <w:proofErr w:type="spellStart"/>
      <w:r w:rsidR="00DB27CF" w:rsidRPr="00EB69A2">
        <w:t>DNAm</w:t>
      </w:r>
      <w:proofErr w:type="spellEnd"/>
      <w:r w:rsidR="00AD7C3F">
        <w:t xml:space="preserve"> from birth to adulthood</w:t>
      </w:r>
      <w:r w:rsidR="00D228C2">
        <w:t xml:space="preserve"> </w:t>
      </w:r>
      <w:r w:rsidR="000862ED">
        <w:rPr>
          <w:noProof/>
        </w:rPr>
        <w:t>(9-12)</w:t>
      </w:r>
      <w:r w:rsidR="006D4B1A" w:rsidRPr="00EB69A2">
        <w:t>.</w:t>
      </w:r>
      <w:r w:rsidR="002E5B5D" w:rsidRPr="00EB69A2">
        <w:t xml:space="preserve"> </w:t>
      </w:r>
      <w:r w:rsidR="00566BB8" w:rsidRPr="00EB69A2">
        <w:t>Epigenome-Wide Association Studies</w:t>
      </w:r>
      <w:r w:rsidR="002E5B5D" w:rsidRPr="00EB69A2">
        <w:t xml:space="preserve"> (EWAS)</w:t>
      </w:r>
      <w:r w:rsidR="00AD7C3F">
        <w:t xml:space="preserve"> </w:t>
      </w:r>
      <w:r w:rsidR="00566BB8" w:rsidRPr="00EB69A2">
        <w:t xml:space="preserve">are a comprehensive </w:t>
      </w:r>
      <w:r w:rsidR="002E5B5D" w:rsidRPr="00EB69A2">
        <w:t xml:space="preserve">approach to identify epigenetic variation associated </w:t>
      </w:r>
      <w:r w:rsidR="00721CCD" w:rsidRPr="00EB69A2">
        <w:t>with a</w:t>
      </w:r>
      <w:r w:rsidR="002E5B5D" w:rsidRPr="00EB69A2">
        <w:t xml:space="preserve"> biological trait</w:t>
      </w:r>
      <w:r w:rsidR="00566BB8" w:rsidRPr="00EB69A2">
        <w:t xml:space="preserve"> or exposure </w:t>
      </w:r>
      <w:r w:rsidR="00F70BA1">
        <w:rPr>
          <w:noProof/>
        </w:rPr>
        <w:t>(13, 14)</w:t>
      </w:r>
      <w:r w:rsidR="00566BB8" w:rsidRPr="00EB69A2">
        <w:t>.</w:t>
      </w:r>
      <w:r w:rsidR="00D02834" w:rsidRPr="00EB69A2">
        <w:t xml:space="preserve"> </w:t>
      </w:r>
      <w:r w:rsidR="005438C8">
        <w:t>In EWAS, o</w:t>
      </w:r>
      <w:r w:rsidR="000862ED">
        <w:t>ther e</w:t>
      </w:r>
      <w:r w:rsidR="000862ED" w:rsidRPr="00EB69A2">
        <w:t xml:space="preserve">arly life risk factors for </w:t>
      </w:r>
      <w:r w:rsidR="005438C8">
        <w:t xml:space="preserve">childhood </w:t>
      </w:r>
      <w:r w:rsidR="000862ED" w:rsidRPr="00EB69A2">
        <w:t>obesity such as birthweight and maternal BMI have</w:t>
      </w:r>
      <w:r w:rsidR="000862ED">
        <w:t xml:space="preserve"> </w:t>
      </w:r>
      <w:r w:rsidR="000862ED" w:rsidRPr="00EB69A2">
        <w:t xml:space="preserve">been associated with </w:t>
      </w:r>
      <w:r w:rsidR="000862ED">
        <w:t xml:space="preserve">variation in </w:t>
      </w:r>
      <w:proofErr w:type="spellStart"/>
      <w:r w:rsidR="000862ED" w:rsidRPr="00EB69A2">
        <w:lastRenderedPageBreak/>
        <w:t>DNAm</w:t>
      </w:r>
      <w:proofErr w:type="spellEnd"/>
      <w:r w:rsidR="000862ED" w:rsidRPr="00EB69A2">
        <w:t xml:space="preserve"> </w:t>
      </w:r>
      <w:r w:rsidR="00F70BA1">
        <w:rPr>
          <w:noProof/>
        </w:rPr>
        <w:t>(15, 16)</w:t>
      </w:r>
      <w:r w:rsidR="000862ED">
        <w:t xml:space="preserve">. </w:t>
      </w:r>
      <w:r w:rsidR="00AD7C3F">
        <w:t>T</w:t>
      </w:r>
      <w:r w:rsidR="000514E4" w:rsidRPr="00EB69A2">
        <w:t xml:space="preserve">o our knowledge, there have been no EWAS </w:t>
      </w:r>
      <w:r w:rsidR="006565A2">
        <w:t xml:space="preserve">to date </w:t>
      </w:r>
      <w:r w:rsidR="000514E4" w:rsidRPr="00EB69A2">
        <w:t xml:space="preserve">on early life rapid growth and </w:t>
      </w:r>
      <w:proofErr w:type="spellStart"/>
      <w:r w:rsidR="000514E4" w:rsidRPr="00EB69A2">
        <w:t>DNAm</w:t>
      </w:r>
      <w:proofErr w:type="spellEnd"/>
      <w:r w:rsidR="000514E4" w:rsidRPr="00EB69A2">
        <w:t>.</w:t>
      </w:r>
    </w:p>
    <w:p w14:paraId="690B1DAA" w14:textId="3CA9C7A4" w:rsidR="000514E4" w:rsidRDefault="00FA130D" w:rsidP="000514E4">
      <w:r>
        <w:t>Our</w:t>
      </w:r>
      <w:r w:rsidR="00F565D3">
        <w:t xml:space="preserve"> first aim was</w:t>
      </w:r>
      <w:r w:rsidR="000514E4">
        <w:t xml:space="preserve"> to </w:t>
      </w:r>
      <w:r w:rsidR="000514E4" w:rsidRPr="004E63BD">
        <w:t xml:space="preserve">identify </w:t>
      </w:r>
      <w:proofErr w:type="spellStart"/>
      <w:r w:rsidR="000514E4">
        <w:t>DNAm</w:t>
      </w:r>
      <w:proofErr w:type="spellEnd"/>
      <w:r w:rsidR="000514E4" w:rsidRPr="004E63BD">
        <w:t xml:space="preserve"> changes associated with early life </w:t>
      </w:r>
      <w:r w:rsidR="008C750F">
        <w:t>growth</w:t>
      </w:r>
      <w:r w:rsidR="000514E4">
        <w:t>. In this study we hypothesise</w:t>
      </w:r>
      <w:r w:rsidR="006565A2">
        <w:t>d</w:t>
      </w:r>
      <w:r w:rsidR="000514E4">
        <w:t xml:space="preserve"> that </w:t>
      </w:r>
      <w:r w:rsidR="000D190B">
        <w:t xml:space="preserve">early life rapid growth is associated with </w:t>
      </w:r>
      <w:proofErr w:type="spellStart"/>
      <w:r w:rsidR="000D190B">
        <w:t>DNAm</w:t>
      </w:r>
      <w:proofErr w:type="spellEnd"/>
      <w:r w:rsidR="000D190B">
        <w:t xml:space="preserve"> changes. </w:t>
      </w:r>
      <w:r w:rsidR="000514E4">
        <w:t>U</w:t>
      </w:r>
      <w:r w:rsidR="000514E4" w:rsidRPr="00A92CD0">
        <w:t xml:space="preserve">sing </w:t>
      </w:r>
      <w:proofErr w:type="gramStart"/>
      <w:r w:rsidR="000514E4" w:rsidRPr="00A92CD0">
        <w:t>epigenome-wide</w:t>
      </w:r>
      <w:proofErr w:type="gramEnd"/>
      <w:r w:rsidR="000514E4" w:rsidRPr="00A92CD0">
        <w:t xml:space="preserve"> </w:t>
      </w:r>
      <w:proofErr w:type="spellStart"/>
      <w:r w:rsidR="000514E4" w:rsidRPr="00A92CD0">
        <w:t>DNAm</w:t>
      </w:r>
      <w:proofErr w:type="spellEnd"/>
      <w:r w:rsidR="000514E4" w:rsidRPr="00A92CD0">
        <w:t xml:space="preserve"> array data from the </w:t>
      </w:r>
      <w:r w:rsidR="006A2A6B" w:rsidRPr="006A2A6B">
        <w:t>Avon Longitudinal Study of Parents and Children (ALSPAC)</w:t>
      </w:r>
      <w:r w:rsidR="006A2A6B">
        <w:t xml:space="preserve"> cohort</w:t>
      </w:r>
      <w:r w:rsidR="000514E4" w:rsidRPr="00A92CD0">
        <w:t xml:space="preserve">, we investigated </w:t>
      </w:r>
      <w:r w:rsidR="000514E4">
        <w:t xml:space="preserve">if early life rapid growth </w:t>
      </w:r>
      <w:r w:rsidR="006565A2">
        <w:t>is</w:t>
      </w:r>
      <w:r w:rsidR="000514E4">
        <w:t xml:space="preserve"> </w:t>
      </w:r>
      <w:r w:rsidR="000514E4" w:rsidRPr="00A92CD0">
        <w:t>associa</w:t>
      </w:r>
      <w:r w:rsidR="006A2A6B">
        <w:t>ted with variation in childhood methylation, and if methylation changes persist into adolescence.</w:t>
      </w:r>
      <w:r w:rsidR="000514E4">
        <w:t xml:space="preserve"> As catch up growth is more likely in low birthweight infants, we investigated rapid growth both adjusted </w:t>
      </w:r>
      <w:r w:rsidR="000514E4" w:rsidRPr="000420E2">
        <w:t>(rapid thrive</w:t>
      </w:r>
      <w:r w:rsidR="006565A2">
        <w:t>,</w:t>
      </w:r>
      <w:r w:rsidR="006565A2" w:rsidRPr="006565A2">
        <w:t xml:space="preserve"> </w:t>
      </w:r>
      <w:r w:rsidR="006565A2">
        <w:t>RT</w:t>
      </w:r>
      <w:r w:rsidR="000514E4" w:rsidRPr="000420E2">
        <w:t>)</w:t>
      </w:r>
      <w:r w:rsidR="009A16E0" w:rsidRPr="009A16E0">
        <w:t xml:space="preserve"> </w:t>
      </w:r>
      <w:r w:rsidR="000862ED">
        <w:rPr>
          <w:noProof/>
        </w:rPr>
        <w:t>(17)</w:t>
      </w:r>
      <w:r w:rsidR="000514E4">
        <w:t xml:space="preserve"> and unadjusted for birthweight (rapid weight gain</w:t>
      </w:r>
      <w:r w:rsidR="006565A2">
        <w:t>,</w:t>
      </w:r>
      <w:r w:rsidR="006565A2" w:rsidRPr="006565A2">
        <w:t xml:space="preserve"> </w:t>
      </w:r>
      <w:proofErr w:type="gramStart"/>
      <w:r w:rsidR="006565A2">
        <w:t>RWG</w:t>
      </w:r>
      <w:r w:rsidR="000514E4">
        <w:t>)</w:t>
      </w:r>
      <w:r w:rsidR="009A16E0">
        <w:rPr>
          <w:noProof/>
        </w:rPr>
        <w:t>(</w:t>
      </w:r>
      <w:proofErr w:type="gramEnd"/>
      <w:r w:rsidR="009A16E0">
        <w:rPr>
          <w:noProof/>
        </w:rPr>
        <w:t>4)</w:t>
      </w:r>
      <w:r w:rsidR="000514E4">
        <w:t xml:space="preserve">. We also examined differential methylation in a subset of known BMI-associated CpG loci </w:t>
      </w:r>
      <w:r w:rsidR="000862ED">
        <w:rPr>
          <w:noProof/>
        </w:rPr>
        <w:t>(12)</w:t>
      </w:r>
      <w:r w:rsidR="00A62B80">
        <w:t xml:space="preserve"> with the aim of identifying differentially methylated loci </w:t>
      </w:r>
      <w:r w:rsidR="008702FD">
        <w:t xml:space="preserve">more likely to be </w:t>
      </w:r>
      <w:r w:rsidR="00A62B80">
        <w:t xml:space="preserve">related to </w:t>
      </w:r>
      <w:r w:rsidR="006565A2">
        <w:t>body composition</w:t>
      </w:r>
      <w:r w:rsidR="008702FD">
        <w:t>,</w:t>
      </w:r>
      <w:r w:rsidR="00A62B80">
        <w:t xml:space="preserve"> and </w:t>
      </w:r>
      <w:r w:rsidR="008702FD">
        <w:t>by analysing fewer loci, to offset</w:t>
      </w:r>
      <w:r w:rsidR="00A62B80">
        <w:t xml:space="preserve"> the multiple comparison </w:t>
      </w:r>
      <w:r w:rsidR="008702FD">
        <w:t>problem</w:t>
      </w:r>
      <w:r w:rsidR="00E4727B">
        <w:t xml:space="preserve"> often associated with null findings in EWAS</w:t>
      </w:r>
      <w:r w:rsidR="000514E4">
        <w:t>.</w:t>
      </w:r>
    </w:p>
    <w:p w14:paraId="7800E6D2" w14:textId="14BD009F" w:rsidR="00295F9E" w:rsidRDefault="00A361A9" w:rsidP="004E63BD">
      <w:r>
        <w:t>An important consideration is that n</w:t>
      </w:r>
      <w:r w:rsidR="00DB27CF">
        <w:t>ot all children</w:t>
      </w:r>
      <w:r w:rsidR="00DB27CF" w:rsidRPr="00381CBB">
        <w:t xml:space="preserve"> with rapid infancy weight gain </w:t>
      </w:r>
      <w:r w:rsidR="00996E9F">
        <w:t xml:space="preserve">will </w:t>
      </w:r>
      <w:r w:rsidR="00DB27CF" w:rsidRPr="00381CBB">
        <w:t xml:space="preserve">have increased adiposity in childhood </w:t>
      </w:r>
      <w:r w:rsidR="008C7174">
        <w:rPr>
          <w:noProof/>
        </w:rPr>
        <w:t>(18)</w:t>
      </w:r>
      <w:r w:rsidR="00DB27CF">
        <w:t>, and p</w:t>
      </w:r>
      <w:r w:rsidR="00DB27CF" w:rsidRPr="00716739">
        <w:t>revious studies have</w:t>
      </w:r>
      <w:r w:rsidR="00996E9F">
        <w:t xml:space="preserve"> highlighted the </w:t>
      </w:r>
      <w:r w:rsidR="00580C8F">
        <w:t xml:space="preserve">necessity </w:t>
      </w:r>
      <w:r w:rsidR="00996E9F">
        <w:t>to</w:t>
      </w:r>
      <w:r w:rsidR="00DB27CF" w:rsidRPr="00716739">
        <w:t xml:space="preserve"> </w:t>
      </w:r>
      <w:r w:rsidR="0093523B">
        <w:t>distinguish</w:t>
      </w:r>
      <w:r w:rsidR="0093523B" w:rsidRPr="00716739" w:rsidDel="0093523B">
        <w:t xml:space="preserve"> </w:t>
      </w:r>
      <w:r w:rsidR="00DB27CF" w:rsidRPr="00716739">
        <w:t xml:space="preserve">infants at greatest risk of </w:t>
      </w:r>
      <w:r w:rsidR="00095CE0">
        <w:t>overweight/obes</w:t>
      </w:r>
      <w:r w:rsidR="00176A15">
        <w:t>ity</w:t>
      </w:r>
      <w:r w:rsidR="00DB27CF" w:rsidRPr="00716739">
        <w:t>.</w:t>
      </w:r>
      <w:r w:rsidR="00DB27CF">
        <w:t xml:space="preserve"> Therefore</w:t>
      </w:r>
      <w:r w:rsidR="000514E4">
        <w:t xml:space="preserve">, we </w:t>
      </w:r>
      <w:r w:rsidR="00F565D3">
        <w:t xml:space="preserve">also </w:t>
      </w:r>
      <w:r w:rsidR="000514E4">
        <w:t xml:space="preserve">aimed to explore if differential methylation was associated with later life </w:t>
      </w:r>
      <w:r w:rsidR="002857B5">
        <w:t>BMI</w:t>
      </w:r>
      <w:r w:rsidR="00E137E6">
        <w:t xml:space="preserve"> and </w:t>
      </w:r>
      <w:r w:rsidR="00095CE0">
        <w:t>overweight/obes</w:t>
      </w:r>
      <w:r w:rsidR="00176A15">
        <w:t>ity</w:t>
      </w:r>
      <w:r w:rsidR="000514E4">
        <w:t xml:space="preserve"> </w:t>
      </w:r>
      <w:r w:rsidR="008E3488">
        <w:t xml:space="preserve">in those who experienced </w:t>
      </w:r>
      <w:r w:rsidR="00D05B85">
        <w:t xml:space="preserve">early rapid </w:t>
      </w:r>
      <w:r w:rsidR="00052A9F">
        <w:t xml:space="preserve">weight gain </w:t>
      </w:r>
      <w:r w:rsidR="000D190B">
        <w:t>to determine</w:t>
      </w:r>
      <w:r w:rsidR="006A2A6B">
        <w:t xml:space="preserve"> potential risk markers. </w:t>
      </w:r>
      <w:r w:rsidR="00DF02B5">
        <w:t xml:space="preserve">Finally, we sought replication in an independent cohort, the </w:t>
      </w:r>
      <w:r w:rsidR="00052A9F">
        <w:t xml:space="preserve">UK </w:t>
      </w:r>
      <w:r w:rsidR="00DF02B5">
        <w:t xml:space="preserve">Southampton Women’s survey. </w:t>
      </w:r>
    </w:p>
    <w:p w14:paraId="2BC3C92D" w14:textId="3608A142" w:rsidR="00525F12" w:rsidRDefault="00525F12" w:rsidP="00525F12">
      <w:pPr>
        <w:pStyle w:val="Heading2"/>
      </w:pPr>
      <w:r>
        <w:t>Methods</w:t>
      </w:r>
    </w:p>
    <w:p w14:paraId="11097ADF" w14:textId="77CED717" w:rsidR="0004466B" w:rsidRDefault="009B6EFE" w:rsidP="009B6EFE">
      <w:pPr>
        <w:pStyle w:val="Heading3"/>
      </w:pPr>
      <w:r>
        <w:t>Cohort</w:t>
      </w:r>
    </w:p>
    <w:p w14:paraId="7E0F5268" w14:textId="3764E2D4" w:rsidR="00344D93" w:rsidRPr="00344D93" w:rsidRDefault="000514E4" w:rsidP="00344D93">
      <w:r w:rsidRPr="00344D93">
        <w:t>We performed our</w:t>
      </w:r>
      <w:r w:rsidR="00F0697E">
        <w:t xml:space="preserve"> initial</w:t>
      </w:r>
      <w:r w:rsidRPr="00344D93">
        <w:t xml:space="preserve"> analysis in the </w:t>
      </w:r>
      <w:r w:rsidR="006565A2" w:rsidRPr="00344D93">
        <w:t>Avon Longitudinal Study of Parents and Children (</w:t>
      </w:r>
      <w:r w:rsidRPr="00344D93">
        <w:t>ALSPAC</w:t>
      </w:r>
      <w:r w:rsidR="006565A2" w:rsidRPr="00344D93">
        <w:t>)</w:t>
      </w:r>
      <w:r w:rsidRPr="00344D93">
        <w:t xml:space="preserve"> cohort, which has detailed early life, anthropometric and </w:t>
      </w:r>
      <w:proofErr w:type="gramStart"/>
      <w:r w:rsidR="00834003">
        <w:t>epigenome-wide</w:t>
      </w:r>
      <w:proofErr w:type="gramEnd"/>
      <w:r w:rsidR="00834003">
        <w:t xml:space="preserve"> </w:t>
      </w:r>
      <w:proofErr w:type="spellStart"/>
      <w:r w:rsidRPr="00344D93">
        <w:t>DNAm</w:t>
      </w:r>
      <w:proofErr w:type="spellEnd"/>
      <w:r w:rsidRPr="00344D93">
        <w:t xml:space="preserve"> data at multiple time points. This </w:t>
      </w:r>
      <w:r w:rsidR="00B329EC" w:rsidRPr="00344D93">
        <w:t>ongoing</w:t>
      </w:r>
      <w:r w:rsidR="0004466B" w:rsidRPr="00344D93">
        <w:t xml:space="preserve"> l</w:t>
      </w:r>
      <w:r w:rsidR="00C96D99" w:rsidRPr="00344D93">
        <w:t>ongitudinal birth cohort</w:t>
      </w:r>
      <w:r w:rsidR="00C50776" w:rsidRPr="00344D93">
        <w:t>, b</w:t>
      </w:r>
      <w:r w:rsidR="00250403" w:rsidRPr="00344D93">
        <w:t xml:space="preserve">ased </w:t>
      </w:r>
      <w:r w:rsidR="006A2A6B" w:rsidRPr="00344D93">
        <w:t>in Bristol</w:t>
      </w:r>
      <w:r w:rsidR="00250403" w:rsidRPr="00344D93">
        <w:t>, England (UK)</w:t>
      </w:r>
      <w:r w:rsidR="00C96D99" w:rsidRPr="00344D93">
        <w:t>,</w:t>
      </w:r>
      <w:r w:rsidR="00A30214" w:rsidRPr="00344D93">
        <w:t xml:space="preserve"> initially in</w:t>
      </w:r>
      <w:r w:rsidR="00344D93" w:rsidRPr="00344D93">
        <w:t>vited pregnant wome</w:t>
      </w:r>
      <w:r w:rsidR="005C2330">
        <w:t>n</w:t>
      </w:r>
      <w:r w:rsidR="00344D93" w:rsidRPr="00344D93">
        <w:t xml:space="preserve"> resident in Avon, UK with expected dates of delivery 1st April 1991 to 31st December 1992 </w:t>
      </w:r>
      <w:r w:rsidR="008C7174">
        <w:rPr>
          <w:noProof/>
        </w:rPr>
        <w:t>(19, 20)</w:t>
      </w:r>
      <w:r w:rsidR="00344D93" w:rsidRPr="00344D93">
        <w:t>. The</w:t>
      </w:r>
      <w:r w:rsidR="00344D93">
        <w:t>re were</w:t>
      </w:r>
      <w:r w:rsidR="00344D93" w:rsidRPr="00344D93">
        <w:t xml:space="preserve"> 14,541 initial pregnancies </w:t>
      </w:r>
      <w:r w:rsidR="00344D93">
        <w:t>enrolled</w:t>
      </w:r>
      <w:r w:rsidR="00344D93" w:rsidRPr="00344D93">
        <w:t xml:space="preserve"> (for these at least one questionnaire has been returned or a “Children in Focus” clinic had been attended by 19/07/99)</w:t>
      </w:r>
      <w:r w:rsidR="00011127">
        <w:t xml:space="preserve">, </w:t>
      </w:r>
      <w:r w:rsidR="00011127">
        <w:lastRenderedPageBreak/>
        <w:t xml:space="preserve">with </w:t>
      </w:r>
      <w:r w:rsidR="00344D93" w:rsidRPr="00344D93">
        <w:t>a total of 14,676 foetuses, resulting in 14,062 live births and 13,988 children who were alive at 1 year of age</w:t>
      </w:r>
      <w:r w:rsidR="00344D93">
        <w:t>.</w:t>
      </w:r>
    </w:p>
    <w:p w14:paraId="33BB8757" w14:textId="6D1596C5" w:rsidR="009B6EFE" w:rsidRDefault="00C96D99" w:rsidP="00C96D99">
      <w:pPr>
        <w:rPr>
          <w:szCs w:val="22"/>
        </w:rPr>
      </w:pPr>
      <w:r w:rsidRPr="00C96D99">
        <w:rPr>
          <w:rFonts w:cstheme="minorHAnsi"/>
        </w:rPr>
        <w:t>The cohort</w:t>
      </w:r>
      <w:r w:rsidR="0004466B" w:rsidRPr="00C96D99">
        <w:rPr>
          <w:rFonts w:cstheme="minorHAnsi"/>
        </w:rPr>
        <w:t xml:space="preserve"> have had extensive questionnaires as well as clinical assessments (including measures of height &amp; weight) throughout childhood. </w:t>
      </w:r>
      <w:r w:rsidR="009E1F7C" w:rsidRPr="00C96D99">
        <w:rPr>
          <w:rFonts w:cstheme="minorHAnsi"/>
        </w:rPr>
        <w:t xml:space="preserve">The Accessible Resource for </w:t>
      </w:r>
      <w:r w:rsidR="005C2330">
        <w:rPr>
          <w:rFonts w:cstheme="minorHAnsi"/>
        </w:rPr>
        <w:t>I</w:t>
      </w:r>
      <w:r w:rsidR="009E1F7C" w:rsidRPr="00C96D99">
        <w:rPr>
          <w:rFonts w:cstheme="minorHAnsi"/>
        </w:rPr>
        <w:t>ntegrated Epigenomic Studies (ARIES) is a subset of the ALSPAC cohort</w:t>
      </w:r>
      <w:r w:rsidR="00F50052">
        <w:rPr>
          <w:rFonts w:cstheme="minorHAnsi"/>
        </w:rPr>
        <w:t xml:space="preserve"> </w:t>
      </w:r>
      <w:r w:rsidR="008C7174">
        <w:rPr>
          <w:rFonts w:cstheme="minorHAnsi"/>
          <w:noProof/>
        </w:rPr>
        <w:t>(21)</w:t>
      </w:r>
      <w:r w:rsidR="001812C5">
        <w:rPr>
          <w:rFonts w:cstheme="minorHAnsi"/>
        </w:rPr>
        <w:t xml:space="preserve">, for which </w:t>
      </w:r>
      <w:proofErr w:type="gramStart"/>
      <w:r w:rsidR="00834003">
        <w:rPr>
          <w:rFonts w:cstheme="minorHAnsi"/>
        </w:rPr>
        <w:t>epi</w:t>
      </w:r>
      <w:r w:rsidR="001812C5">
        <w:rPr>
          <w:rFonts w:cstheme="minorHAnsi"/>
        </w:rPr>
        <w:t>g</w:t>
      </w:r>
      <w:r w:rsidR="009E1F7C" w:rsidRPr="00C96D99">
        <w:rPr>
          <w:rFonts w:cstheme="minorHAnsi"/>
        </w:rPr>
        <w:t>enome-wide</w:t>
      </w:r>
      <w:proofErr w:type="gramEnd"/>
      <w:r w:rsidR="009E1F7C" w:rsidRPr="00C96D99">
        <w:rPr>
          <w:rFonts w:cstheme="minorHAnsi"/>
        </w:rPr>
        <w:t xml:space="preserve"> </w:t>
      </w:r>
      <w:proofErr w:type="spellStart"/>
      <w:r w:rsidR="009E1F7C" w:rsidRPr="00C96D99">
        <w:rPr>
          <w:rFonts w:cstheme="minorHAnsi"/>
        </w:rPr>
        <w:t>DNAm</w:t>
      </w:r>
      <w:proofErr w:type="spellEnd"/>
      <w:r w:rsidR="009E1F7C" w:rsidRPr="00C96D99">
        <w:rPr>
          <w:rFonts w:cstheme="minorHAnsi"/>
        </w:rPr>
        <w:t xml:space="preserve"> analysis was </w:t>
      </w:r>
      <w:r>
        <w:rPr>
          <w:rFonts w:cstheme="minorHAnsi"/>
        </w:rPr>
        <w:t>carried out</w:t>
      </w:r>
      <w:r w:rsidR="009E1F7C" w:rsidRPr="00C96D99">
        <w:rPr>
          <w:rFonts w:cstheme="minorHAnsi"/>
        </w:rPr>
        <w:t xml:space="preserve"> for 1,018 mother and child </w:t>
      </w:r>
      <w:r>
        <w:rPr>
          <w:rFonts w:cstheme="minorHAnsi"/>
        </w:rPr>
        <w:t xml:space="preserve">pairs. </w:t>
      </w:r>
      <w:r w:rsidR="008A6075">
        <w:rPr>
          <w:color w:val="000000"/>
          <w:shd w:val="clear" w:color="auto" w:fill="FFFFFF"/>
        </w:rPr>
        <w:t xml:space="preserve">Ethical approval for the study was obtained from the ALSPAC Ethics and Law Committee and local research ethics committees. The study website contains details of all the data that are available through a fully searchable data dictionary </w:t>
      </w:r>
      <w:r w:rsidR="00F86ADE">
        <w:rPr>
          <w:color w:val="000000"/>
          <w:shd w:val="clear" w:color="auto" w:fill="FFFFFF"/>
        </w:rPr>
        <w:t>accessible</w:t>
      </w:r>
      <w:r w:rsidR="008A6075">
        <w:rPr>
          <w:color w:val="000000"/>
          <w:shd w:val="clear" w:color="auto" w:fill="FFFFFF"/>
        </w:rPr>
        <w:t xml:space="preserve"> at </w:t>
      </w:r>
      <w:r w:rsidR="008A6075" w:rsidRPr="009D5E64">
        <w:rPr>
          <w:rStyle w:val="Hyperlink"/>
          <w:color w:val="642A8F"/>
        </w:rPr>
        <w:t>www.bris.ac.uk/alspac/researchers/data-access/data-dictionary/</w:t>
      </w:r>
      <w:r w:rsidR="008A6075">
        <w:rPr>
          <w:color w:val="000000"/>
          <w:shd w:val="clear" w:color="auto" w:fill="FFFFFF"/>
        </w:rPr>
        <w:t>.</w:t>
      </w:r>
      <w:r w:rsidR="00E065E1">
        <w:rPr>
          <w:rFonts w:cstheme="minorHAnsi"/>
        </w:rPr>
        <w:t xml:space="preserve"> </w:t>
      </w:r>
    </w:p>
    <w:p w14:paraId="17F64507" w14:textId="77777777" w:rsidR="00A30214" w:rsidRDefault="00A30214" w:rsidP="00C96D99">
      <w:pPr>
        <w:rPr>
          <w:rFonts w:cstheme="minorHAnsi"/>
        </w:rPr>
      </w:pPr>
    </w:p>
    <w:p w14:paraId="3C43F5A3" w14:textId="77777777" w:rsidR="009B6EFE" w:rsidRPr="0004466B" w:rsidRDefault="009B6EFE" w:rsidP="009B6EFE">
      <w:pPr>
        <w:pStyle w:val="Heading3"/>
      </w:pPr>
      <w:r>
        <w:t>Early life data</w:t>
      </w:r>
    </w:p>
    <w:p w14:paraId="44E8892D" w14:textId="10B218FC" w:rsidR="007370D9" w:rsidRDefault="00093077" w:rsidP="007370D9">
      <w:r w:rsidRPr="00510725">
        <w:t xml:space="preserve">Birthweight </w:t>
      </w:r>
      <w:r>
        <w:t>and gestational age were taken from medical records.</w:t>
      </w:r>
      <w:r w:rsidRPr="00510725">
        <w:t xml:space="preserve"> </w:t>
      </w:r>
      <w:r>
        <w:t>At 12 months, i</w:t>
      </w:r>
      <w:r w:rsidRPr="00510725">
        <w:t xml:space="preserve">nfants </w:t>
      </w:r>
      <w:r>
        <w:t xml:space="preserve">were </w:t>
      </w:r>
      <w:r w:rsidRPr="00510725">
        <w:t xml:space="preserve">weighed using the </w:t>
      </w:r>
      <w:proofErr w:type="spellStart"/>
      <w:r w:rsidRPr="00510725">
        <w:t>Seca</w:t>
      </w:r>
      <w:proofErr w:type="spellEnd"/>
      <w:r w:rsidRPr="00510725">
        <w:t xml:space="preserve"> 724 (or </w:t>
      </w:r>
      <w:proofErr w:type="spellStart"/>
      <w:r w:rsidRPr="00510725">
        <w:t>Seca</w:t>
      </w:r>
      <w:proofErr w:type="spellEnd"/>
      <w:r w:rsidRPr="00510725">
        <w:t xml:space="preserve"> 835 for children who co</w:t>
      </w:r>
      <w:r>
        <w:t>uld only be weighed with a parent)</w:t>
      </w:r>
      <w:r w:rsidRPr="00510725">
        <w:t>.</w:t>
      </w:r>
      <w:r>
        <w:t xml:space="preserve"> </w:t>
      </w:r>
      <w:r w:rsidR="006A2A6B" w:rsidRPr="004453F0">
        <w:t>Birthweight and weight-for-age (12 months) z-scores wer</w:t>
      </w:r>
      <w:r w:rsidR="006A2A6B">
        <w:t>e calculated using the British 1990 growth reference</w:t>
      </w:r>
      <w:r w:rsidR="006A2A6B" w:rsidRPr="004453F0">
        <w:t xml:space="preserve"> </w:t>
      </w:r>
      <w:r w:rsidR="008C7174">
        <w:rPr>
          <w:noProof/>
        </w:rPr>
        <w:t>(22)</w:t>
      </w:r>
      <w:r w:rsidR="006A2A6B">
        <w:t xml:space="preserve">, </w:t>
      </w:r>
      <w:r w:rsidR="006A2A6B" w:rsidRPr="004453F0">
        <w:t xml:space="preserve">and were used to determine </w:t>
      </w:r>
      <w:r w:rsidR="0075162F">
        <w:t>the rapid growth variables:</w:t>
      </w:r>
      <w:r w:rsidR="00964ECE">
        <w:t xml:space="preserve"> </w:t>
      </w:r>
      <w:r w:rsidR="006A2A6B" w:rsidRPr="004453F0">
        <w:t>RWG</w:t>
      </w:r>
      <w:r w:rsidR="005264A8">
        <w:t xml:space="preserve"> </w:t>
      </w:r>
      <w:r w:rsidR="006A2A6B" w:rsidRPr="004453F0">
        <w:t>and RT</w:t>
      </w:r>
      <w:r w:rsidR="006A2A6B">
        <w:t xml:space="preserve">. </w:t>
      </w:r>
      <w:r w:rsidR="007370D9">
        <w:t>Whilst birthweight is an important factor in childhood obesity</w:t>
      </w:r>
      <w:r w:rsidR="007370D9" w:rsidRPr="000558CC">
        <w:t xml:space="preserve"> </w:t>
      </w:r>
      <w:r w:rsidR="008C7174">
        <w:rPr>
          <w:noProof/>
        </w:rPr>
        <w:t>(23)</w:t>
      </w:r>
      <w:r w:rsidR="007370D9">
        <w:t>, it has previously</w:t>
      </w:r>
      <w:r w:rsidR="006A2A6B">
        <w:t xml:space="preserve"> been</w:t>
      </w:r>
      <w:r w:rsidR="007370D9">
        <w:t xml:space="preserve"> examined in the ALSPAC cohort </w:t>
      </w:r>
      <w:r w:rsidR="00F70BA1">
        <w:rPr>
          <w:noProof/>
        </w:rPr>
        <w:t>(15, 24)</w:t>
      </w:r>
      <w:r w:rsidR="007370D9">
        <w:t xml:space="preserve">. However, in order to differentiate the effects of birthweight on early </w:t>
      </w:r>
      <w:r w:rsidR="006A2A6B">
        <w:t xml:space="preserve">life rapid </w:t>
      </w:r>
      <w:r w:rsidR="007370D9">
        <w:t>growth</w:t>
      </w:r>
      <w:r w:rsidR="006A2A6B">
        <w:t>,</w:t>
      </w:r>
      <w:r w:rsidR="007370D9" w:rsidRPr="006F36BA">
        <w:t xml:space="preserve"> </w:t>
      </w:r>
      <w:r w:rsidR="007370D9">
        <w:t>both RWG (not conditional on birthweight) and RT (conditional on birthweight) in the first year were examined</w:t>
      </w:r>
      <w:r w:rsidR="000D190B">
        <w:t xml:space="preserve"> (</w:t>
      </w:r>
      <w:r w:rsidR="0040767C">
        <w:t>Figure 1</w:t>
      </w:r>
      <w:r w:rsidR="000D190B">
        <w:t>)</w:t>
      </w:r>
      <w:r w:rsidR="007370D9">
        <w:t>. C</w:t>
      </w:r>
      <w:r w:rsidR="007370D9" w:rsidRPr="004453F0">
        <w:t>onditional weight gain</w:t>
      </w:r>
      <w:r w:rsidR="006B753B">
        <w:t xml:space="preserve"> (also known as</w:t>
      </w:r>
      <w:r w:rsidR="007370D9" w:rsidRPr="004453F0">
        <w:t xml:space="preserve"> thrive index), accounts for normal catch-up growth from low birthweight </w:t>
      </w:r>
      <w:r w:rsidR="007370D9" w:rsidRPr="00C24CBD">
        <w:t xml:space="preserve">as a linear measure of weight gain adjusted for regression to the mean </w:t>
      </w:r>
      <w:r w:rsidR="000862ED">
        <w:rPr>
          <w:noProof/>
        </w:rPr>
        <w:t>(17)</w:t>
      </w:r>
      <w:r w:rsidR="007370D9" w:rsidRPr="00C24CBD">
        <w:t>.</w:t>
      </w:r>
      <w:r w:rsidR="007370D9" w:rsidRPr="00093077">
        <w:t xml:space="preserve"> </w:t>
      </w:r>
      <w:r w:rsidR="007370D9" w:rsidRPr="00C24CBD">
        <w:t>Rapid thrive was determined as z-score</w:t>
      </w:r>
      <w:r w:rsidR="007370D9" w:rsidRPr="00C24CBD">
        <w:rPr>
          <w:vertAlign w:val="subscript"/>
        </w:rPr>
        <w:t>12m</w:t>
      </w:r>
      <w:r w:rsidR="007370D9" w:rsidRPr="00C24CBD">
        <w:t> − r × z-</w:t>
      </w:r>
      <w:proofErr w:type="spellStart"/>
      <w:r w:rsidR="007370D9" w:rsidRPr="00C24CBD">
        <w:t>score</w:t>
      </w:r>
      <w:r w:rsidR="007370D9" w:rsidRPr="00C24CBD">
        <w:rPr>
          <w:vertAlign w:val="subscript"/>
        </w:rPr>
        <w:t>birth</w:t>
      </w:r>
      <w:proofErr w:type="spellEnd"/>
      <w:r w:rsidR="007370D9">
        <w:t xml:space="preserve"> </w:t>
      </w:r>
      <w:r w:rsidR="000862ED">
        <w:rPr>
          <w:noProof/>
        </w:rPr>
        <w:t>(17)</w:t>
      </w:r>
      <w:r w:rsidR="007370D9" w:rsidRPr="00C24CBD">
        <w:t xml:space="preserve">, where </w:t>
      </w:r>
      <w:r w:rsidR="007370D9" w:rsidRPr="00822E25">
        <w:rPr>
          <w:i/>
        </w:rPr>
        <w:t>r</w:t>
      </w:r>
      <w:r w:rsidR="007370D9" w:rsidRPr="00C24CBD">
        <w:t xml:space="preserve"> is the cohort regression coefficient (r=0.35) of birthweight-z on weight-z (12 months).</w:t>
      </w:r>
      <w:r w:rsidR="007370D9" w:rsidRPr="004453F0">
        <w:t xml:space="preserve"> </w:t>
      </w:r>
      <w:r w:rsidR="007370D9">
        <w:t xml:space="preserve"> </w:t>
      </w:r>
      <w:r w:rsidR="00F86ADE">
        <w:t xml:space="preserve">RWG is most often defined as </w:t>
      </w:r>
      <w:r w:rsidR="00F86ADE" w:rsidRPr="004453F0">
        <w:t>a &gt;</w:t>
      </w:r>
      <w:r w:rsidR="00F86ADE">
        <w:t>+</w:t>
      </w:r>
      <w:r w:rsidR="00F86ADE" w:rsidRPr="004453F0">
        <w:t>0.67 standard deviation change in weight-for-age z-score</w:t>
      </w:r>
      <w:r w:rsidR="005438C8">
        <w:t>,</w:t>
      </w:r>
      <w:r w:rsidR="00F86ADE">
        <w:t xml:space="preserve"> </w:t>
      </w:r>
      <w:r w:rsidR="00F86ADE" w:rsidRPr="004453F0">
        <w:t xml:space="preserve">equivalent to crossing a growth centile band on a standard child growth chart </w:t>
      </w:r>
      <w:r w:rsidR="00FD1B77">
        <w:rPr>
          <w:noProof/>
        </w:rPr>
        <w:t>(4)</w:t>
      </w:r>
      <w:r w:rsidR="00F86ADE" w:rsidRPr="004453F0">
        <w:t>.</w:t>
      </w:r>
      <w:r w:rsidR="00F86ADE" w:rsidRPr="00093077">
        <w:t xml:space="preserve"> </w:t>
      </w:r>
      <w:r w:rsidR="007370D9" w:rsidRPr="004453F0">
        <w:t>Both RWG and RT were analy</w:t>
      </w:r>
      <w:r w:rsidR="007370D9">
        <w:t xml:space="preserve">sed as a </w:t>
      </w:r>
      <w:proofErr w:type="gramStart"/>
      <w:r w:rsidR="007370D9">
        <w:t>dichotomised variables</w:t>
      </w:r>
      <w:proofErr w:type="gramEnd"/>
      <w:r w:rsidR="006A2A6B">
        <w:t xml:space="preserve"> of a </w:t>
      </w:r>
      <w:r w:rsidR="006A2A6B" w:rsidRPr="006A2A6B">
        <w:t>&gt;+0.67 standard deviation change</w:t>
      </w:r>
      <w:r w:rsidR="006A2A6B">
        <w:t xml:space="preserve"> </w:t>
      </w:r>
      <w:r w:rsidR="007370D9">
        <w:t>(</w:t>
      </w:r>
      <w:r w:rsidR="0040767C">
        <w:t>Figure 1</w:t>
      </w:r>
      <w:r w:rsidR="007370D9">
        <w:t>).</w:t>
      </w:r>
    </w:p>
    <w:p w14:paraId="352756F1" w14:textId="77777777" w:rsidR="004139F6" w:rsidRPr="004139F6" w:rsidRDefault="004139F6" w:rsidP="004139F6"/>
    <w:p w14:paraId="7C6C16B5" w14:textId="6ED85F52" w:rsidR="009B6EFE" w:rsidRDefault="009B6EFE" w:rsidP="009B6EFE">
      <w:pPr>
        <w:pStyle w:val="Heading3"/>
      </w:pPr>
      <w:r>
        <w:lastRenderedPageBreak/>
        <w:t>Anthropometric data</w:t>
      </w:r>
    </w:p>
    <w:p w14:paraId="59B01FFA" w14:textId="4B385600" w:rsidR="0004466B" w:rsidRDefault="002E4EF8" w:rsidP="00642D3D">
      <w:r w:rsidRPr="00510725">
        <w:t xml:space="preserve">Anthropometric measures at (approximately) age 7 and 17 were </w:t>
      </w:r>
      <w:r w:rsidR="009417E3">
        <w:t xml:space="preserve">also analysed </w:t>
      </w:r>
      <w:r w:rsidRPr="00510725">
        <w:t xml:space="preserve">as outcomes in analyses. At age 7, height was measured to the nearest millimetre without shoes or socks using a </w:t>
      </w:r>
      <w:proofErr w:type="spellStart"/>
      <w:r w:rsidRPr="00510725">
        <w:t>Holtain</w:t>
      </w:r>
      <w:proofErr w:type="spellEnd"/>
      <w:r w:rsidRPr="00510725">
        <w:t xml:space="preserve"> stadiometer (</w:t>
      </w:r>
      <w:proofErr w:type="spellStart"/>
      <w:r w:rsidRPr="00510725">
        <w:t>Holtain</w:t>
      </w:r>
      <w:proofErr w:type="spellEnd"/>
      <w:r w:rsidRPr="00510725">
        <w:t xml:space="preserve"> Ltd, Crymych, </w:t>
      </w:r>
      <w:proofErr w:type="spellStart"/>
      <w:r w:rsidRPr="00510725">
        <w:t>Pembs</w:t>
      </w:r>
      <w:proofErr w:type="spellEnd"/>
      <w:r w:rsidRPr="00510725">
        <w:t xml:space="preserve">, UK), whilst weight was measured using Tanita THF 300GS body fat analyser and weighing scales (Tanita UK Ltd, </w:t>
      </w:r>
      <w:proofErr w:type="spellStart"/>
      <w:r w:rsidRPr="00510725">
        <w:t>Yewsley</w:t>
      </w:r>
      <w:proofErr w:type="spellEnd"/>
      <w:r w:rsidRPr="00510725">
        <w:t>, Middlesex, UK). At age 17, height was measured with a Harpenden stadiometer to the nearest mm, and weight using the Tanita Body Fat Analyser (Model TBF 401A) to the nearest 50g.</w:t>
      </w:r>
    </w:p>
    <w:p w14:paraId="54C7AE55" w14:textId="566B2494" w:rsidR="0004466B" w:rsidRPr="000C3126" w:rsidRDefault="00525F12" w:rsidP="00642D3D">
      <w:pPr>
        <w:rPr>
          <w:szCs w:val="22"/>
        </w:rPr>
      </w:pPr>
      <w:proofErr w:type="spellStart"/>
      <w:r w:rsidRPr="000C3126">
        <w:rPr>
          <w:szCs w:val="22"/>
        </w:rPr>
        <w:t>BMIz</w:t>
      </w:r>
      <w:proofErr w:type="spellEnd"/>
      <w:r w:rsidRPr="000C3126">
        <w:rPr>
          <w:szCs w:val="22"/>
        </w:rPr>
        <w:t xml:space="preserve"> and </w:t>
      </w:r>
      <w:r w:rsidR="00095CE0" w:rsidRPr="000C3126">
        <w:rPr>
          <w:szCs w:val="22"/>
        </w:rPr>
        <w:t>overweight/obese</w:t>
      </w:r>
      <w:r w:rsidRPr="000C3126">
        <w:rPr>
          <w:szCs w:val="22"/>
        </w:rPr>
        <w:t xml:space="preserve"> were </w:t>
      </w:r>
      <w:r w:rsidR="004C4725">
        <w:rPr>
          <w:szCs w:val="22"/>
        </w:rPr>
        <w:t>examined</w:t>
      </w:r>
      <w:r w:rsidR="004C4725" w:rsidRPr="000C3126">
        <w:rPr>
          <w:szCs w:val="22"/>
        </w:rPr>
        <w:t xml:space="preserve"> </w:t>
      </w:r>
      <w:r w:rsidRPr="000C3126">
        <w:rPr>
          <w:szCs w:val="22"/>
        </w:rPr>
        <w:t>as outcomes</w:t>
      </w:r>
      <w:r w:rsidR="002E4EF8" w:rsidRPr="000C3126">
        <w:rPr>
          <w:szCs w:val="22"/>
        </w:rPr>
        <w:t xml:space="preserve"> at both time points</w:t>
      </w:r>
      <w:r w:rsidRPr="000C3126">
        <w:rPr>
          <w:szCs w:val="22"/>
        </w:rPr>
        <w:t xml:space="preserve">. Body mass index (BMI) was calculated as weight (kg) divided by height (m) squared and was transformed </w:t>
      </w:r>
      <w:r w:rsidR="00A7655A">
        <w:rPr>
          <w:szCs w:val="22"/>
        </w:rPr>
        <w:t>to age and sex standardised</w:t>
      </w:r>
      <w:r w:rsidR="00A7655A" w:rsidRPr="000C3126">
        <w:rPr>
          <w:szCs w:val="22"/>
        </w:rPr>
        <w:t xml:space="preserve"> </w:t>
      </w:r>
      <w:r w:rsidRPr="000C3126">
        <w:rPr>
          <w:szCs w:val="22"/>
        </w:rPr>
        <w:t>BMI z-scores</w:t>
      </w:r>
      <w:r w:rsidR="00A7655A">
        <w:rPr>
          <w:szCs w:val="22"/>
        </w:rPr>
        <w:t xml:space="preserve"> </w:t>
      </w:r>
      <w:r w:rsidRPr="000C3126">
        <w:rPr>
          <w:szCs w:val="22"/>
        </w:rPr>
        <w:t xml:space="preserve">using the </w:t>
      </w:r>
      <w:r w:rsidR="002857B5" w:rsidRPr="002857B5">
        <w:rPr>
          <w:szCs w:val="22"/>
        </w:rPr>
        <w:t>British 1990</w:t>
      </w:r>
      <w:r w:rsidRPr="000C3126">
        <w:rPr>
          <w:szCs w:val="22"/>
        </w:rPr>
        <w:t xml:space="preserve"> growth reference with the </w:t>
      </w:r>
      <w:proofErr w:type="spellStart"/>
      <w:r w:rsidR="00A4679A">
        <w:rPr>
          <w:szCs w:val="22"/>
        </w:rPr>
        <w:t>z</w:t>
      </w:r>
      <w:r w:rsidRPr="000C3126">
        <w:rPr>
          <w:szCs w:val="22"/>
        </w:rPr>
        <w:t>anthro</w:t>
      </w:r>
      <w:proofErr w:type="spellEnd"/>
      <w:r w:rsidRPr="000C3126">
        <w:rPr>
          <w:szCs w:val="22"/>
        </w:rPr>
        <w:t xml:space="preserve"> program in S</w:t>
      </w:r>
      <w:r w:rsidR="00A4679A">
        <w:rPr>
          <w:szCs w:val="22"/>
        </w:rPr>
        <w:t>tata</w:t>
      </w:r>
      <w:r w:rsidRPr="000C3126">
        <w:rPr>
          <w:szCs w:val="22"/>
        </w:rPr>
        <w:t xml:space="preserve"> </w:t>
      </w:r>
      <w:r w:rsidR="008C7174">
        <w:rPr>
          <w:noProof/>
          <w:szCs w:val="22"/>
        </w:rPr>
        <w:t>(25)</w:t>
      </w:r>
      <w:r w:rsidRPr="000C3126">
        <w:rPr>
          <w:szCs w:val="22"/>
        </w:rPr>
        <w:t xml:space="preserve">. Clinical cut-offs were used to determine weight categories, whereby healthy weight was between the 2nd and 91st centiles, </w:t>
      </w:r>
      <w:r w:rsidR="004164B2" w:rsidRPr="000C3126">
        <w:rPr>
          <w:szCs w:val="22"/>
        </w:rPr>
        <w:t xml:space="preserve">and </w:t>
      </w:r>
      <w:r w:rsidRPr="000C3126">
        <w:rPr>
          <w:szCs w:val="22"/>
        </w:rPr>
        <w:t>overweight</w:t>
      </w:r>
      <w:r w:rsidR="0004466B" w:rsidRPr="000C3126">
        <w:rPr>
          <w:szCs w:val="22"/>
        </w:rPr>
        <w:t>/obese</w:t>
      </w:r>
      <w:r w:rsidRPr="000C3126">
        <w:rPr>
          <w:szCs w:val="22"/>
        </w:rPr>
        <w:t xml:space="preserve"> </w:t>
      </w:r>
      <w:r w:rsidR="005264A8" w:rsidRPr="000C3126">
        <w:rPr>
          <w:szCs w:val="22"/>
        </w:rPr>
        <w:t xml:space="preserve">as </w:t>
      </w:r>
      <w:r w:rsidRPr="000C3126">
        <w:rPr>
          <w:szCs w:val="22"/>
        </w:rPr>
        <w:t>greater than</w:t>
      </w:r>
      <w:r w:rsidR="004C4725">
        <w:rPr>
          <w:szCs w:val="22"/>
        </w:rPr>
        <w:t xml:space="preserve"> the</w:t>
      </w:r>
      <w:r w:rsidRPr="000C3126">
        <w:rPr>
          <w:szCs w:val="22"/>
        </w:rPr>
        <w:t xml:space="preserve"> 91st centile </w:t>
      </w:r>
      <w:r w:rsidR="008C7174">
        <w:rPr>
          <w:noProof/>
          <w:szCs w:val="22"/>
        </w:rPr>
        <w:t>(26</w:t>
      </w:r>
      <w:proofErr w:type="gramStart"/>
      <w:r w:rsidR="008C7174">
        <w:rPr>
          <w:noProof/>
          <w:szCs w:val="22"/>
        </w:rPr>
        <w:t>)</w:t>
      </w:r>
      <w:r w:rsidR="00B31A3B" w:rsidRPr="00B31A3B" w:rsidDel="00B31A3B">
        <w:rPr>
          <w:szCs w:val="22"/>
        </w:rPr>
        <w:t xml:space="preserve"> </w:t>
      </w:r>
      <w:r w:rsidRPr="000C3126">
        <w:rPr>
          <w:szCs w:val="22"/>
        </w:rPr>
        <w:t>.</w:t>
      </w:r>
      <w:proofErr w:type="gramEnd"/>
    </w:p>
    <w:p w14:paraId="259A9149" w14:textId="77777777" w:rsidR="00642D3D" w:rsidRDefault="00642D3D" w:rsidP="00642D3D">
      <w:pPr>
        <w:rPr>
          <w:sz w:val="23"/>
          <w:szCs w:val="23"/>
        </w:rPr>
      </w:pPr>
    </w:p>
    <w:p w14:paraId="0B77DE08" w14:textId="58DC19B6" w:rsidR="009B6EFE" w:rsidRDefault="00A361A9" w:rsidP="009B6EFE">
      <w:pPr>
        <w:pStyle w:val="Heading3"/>
      </w:pPr>
      <w:r>
        <w:t>Epigenetic data</w:t>
      </w:r>
    </w:p>
    <w:p w14:paraId="2DFA1D06" w14:textId="67568922" w:rsidR="00C96D99" w:rsidRPr="00C96D99" w:rsidRDefault="0004466B" w:rsidP="00C96D99">
      <w:pPr>
        <w:rPr>
          <w:sz w:val="23"/>
          <w:szCs w:val="23"/>
        </w:rPr>
      </w:pPr>
      <w:r w:rsidRPr="00BF3101">
        <w:t xml:space="preserve">ALSPAC collected </w:t>
      </w:r>
      <w:r w:rsidR="004C4725" w:rsidRPr="00BF3101">
        <w:t xml:space="preserve">(peripheral) </w:t>
      </w:r>
      <w:r w:rsidRPr="00BF3101">
        <w:t>blood</w:t>
      </w:r>
      <w:r w:rsidR="00C96D99" w:rsidRPr="00BF3101">
        <w:t xml:space="preserve"> </w:t>
      </w:r>
      <w:r w:rsidRPr="00BF3101">
        <w:t xml:space="preserve">at </w:t>
      </w:r>
      <w:r w:rsidR="007370D9" w:rsidRPr="00BF3101">
        <w:t>ages 7 and 17</w:t>
      </w:r>
      <w:r w:rsidR="00C96D99" w:rsidRPr="00BF3101">
        <w:t xml:space="preserve"> and</w:t>
      </w:r>
      <w:r w:rsidRPr="00BF3101">
        <w:t xml:space="preserve"> DNA was extracted</w:t>
      </w:r>
      <w:r w:rsidR="00C96D99" w:rsidRPr="00BF3101">
        <w:t>.</w:t>
      </w:r>
      <w:r w:rsidRPr="00BF3101">
        <w:t xml:space="preserve"> </w:t>
      </w:r>
      <w:r w:rsidR="00834003">
        <w:t xml:space="preserve">Epigenome-wide </w:t>
      </w:r>
      <w:proofErr w:type="spellStart"/>
      <w:r w:rsidR="001812C5" w:rsidRPr="00BF3101">
        <w:t>DNAm</w:t>
      </w:r>
      <w:proofErr w:type="spellEnd"/>
      <w:r w:rsidR="00C96D99" w:rsidRPr="00BF3101">
        <w:t xml:space="preserve"> at specific CpG sites was measured for ~1000 individuals</w:t>
      </w:r>
      <w:r w:rsidR="007370D9" w:rsidRPr="00BF3101">
        <w:t xml:space="preserve"> </w:t>
      </w:r>
      <w:r w:rsidR="00C96D99" w:rsidRPr="00BF3101">
        <w:t>using the Infinium® HumanMethylation450</w:t>
      </w:r>
      <w:r w:rsidR="007370D9" w:rsidRPr="00BF3101">
        <w:t>K</w:t>
      </w:r>
      <w:r w:rsidR="00C96D99" w:rsidRPr="00BF3101">
        <w:t xml:space="preserve"> </w:t>
      </w:r>
      <w:proofErr w:type="spellStart"/>
      <w:r w:rsidR="00C96D99" w:rsidRPr="00BF3101">
        <w:t>BeadChip</w:t>
      </w:r>
      <w:proofErr w:type="spellEnd"/>
      <w:r w:rsidR="00C96D99" w:rsidRPr="00BF3101">
        <w:t xml:space="preserve"> assay (Illumina, Inc., CA, USA). </w:t>
      </w:r>
      <w:proofErr w:type="spellStart"/>
      <w:r w:rsidR="00F50052" w:rsidRPr="00BF3101">
        <w:t>DNAm</w:t>
      </w:r>
      <w:proofErr w:type="spellEnd"/>
      <w:r w:rsidR="00F50052" w:rsidRPr="00BF3101">
        <w:t xml:space="preserve"> data </w:t>
      </w:r>
      <w:r w:rsidR="00BC373F" w:rsidRPr="00BF3101">
        <w:t>we</w:t>
      </w:r>
      <w:r w:rsidR="00F50052" w:rsidRPr="00BF3101">
        <w:t>re pre-processed</w:t>
      </w:r>
      <w:r w:rsidR="00BC373F" w:rsidRPr="00BF3101">
        <w:t>,</w:t>
      </w:r>
      <w:r w:rsidR="00F50052" w:rsidRPr="00BF3101">
        <w:t xml:space="preserve"> including background correction and subset quantile normalization using the pipeline described by </w:t>
      </w:r>
      <w:proofErr w:type="spellStart"/>
      <w:r w:rsidR="00F50052" w:rsidRPr="00BF3101">
        <w:t>Touleimat</w:t>
      </w:r>
      <w:proofErr w:type="spellEnd"/>
      <w:r w:rsidR="00F50052" w:rsidRPr="00BF3101">
        <w:t xml:space="preserve"> and </w:t>
      </w:r>
      <w:proofErr w:type="spellStart"/>
      <w:r w:rsidR="00F50052" w:rsidRPr="00BF3101">
        <w:t>Tost</w:t>
      </w:r>
      <w:proofErr w:type="spellEnd"/>
      <w:r w:rsidR="00F50052" w:rsidRPr="00BF3101">
        <w:t xml:space="preserve"> </w:t>
      </w:r>
      <w:r w:rsidR="008C7174">
        <w:rPr>
          <w:noProof/>
        </w:rPr>
        <w:t>(27)</w:t>
      </w:r>
      <w:r w:rsidR="00F50052" w:rsidRPr="00BF3101">
        <w:t xml:space="preserve"> (further details in the</w:t>
      </w:r>
      <w:r w:rsidR="00F86ADE">
        <w:t xml:space="preserve"> ARIES</w:t>
      </w:r>
      <w:r w:rsidR="00F50052" w:rsidRPr="00BF3101">
        <w:t xml:space="preserve"> cohort profile </w:t>
      </w:r>
      <w:r w:rsidR="008C7174">
        <w:rPr>
          <w:noProof/>
        </w:rPr>
        <w:t>(21)</w:t>
      </w:r>
      <w:r w:rsidR="00F50052" w:rsidRPr="00BF3101">
        <w:t xml:space="preserve">). </w:t>
      </w:r>
      <w:r w:rsidR="004139F6" w:rsidRPr="00BF3101">
        <w:t>E</w:t>
      </w:r>
      <w:r w:rsidR="00F50052" w:rsidRPr="00BF3101">
        <w:t>stimation of white blood cell counts</w:t>
      </w:r>
      <w:r w:rsidR="00AC21C7">
        <w:t xml:space="preserve"> (</w:t>
      </w:r>
      <w:r w:rsidR="00AC21C7" w:rsidRPr="00AC21C7">
        <w:t>CD8T c</w:t>
      </w:r>
      <w:r w:rsidR="00AC21C7">
        <w:t>ell</w:t>
      </w:r>
      <w:r w:rsidR="00371B5A">
        <w:t>s</w:t>
      </w:r>
      <w:r w:rsidR="00AC21C7">
        <w:t>, CD4T cell</w:t>
      </w:r>
      <w:r w:rsidR="00371B5A">
        <w:t>s</w:t>
      </w:r>
      <w:r w:rsidR="00AC21C7">
        <w:t>, Natural Killer, B cell</w:t>
      </w:r>
      <w:r w:rsidR="00371B5A">
        <w:t>s</w:t>
      </w:r>
      <w:r w:rsidR="00AC21C7">
        <w:t>, Monocytes and Granulocytes</w:t>
      </w:r>
      <w:r w:rsidR="00AC21C7" w:rsidRPr="00AC21C7">
        <w:t>) </w:t>
      </w:r>
      <w:r w:rsidR="004139F6" w:rsidRPr="00BF3101">
        <w:t xml:space="preserve">was done </w:t>
      </w:r>
      <w:r w:rsidR="00F50052" w:rsidRPr="00BF3101">
        <w:t xml:space="preserve">using the Houseman algorithm </w:t>
      </w:r>
      <w:r w:rsidR="008C7174">
        <w:rPr>
          <w:noProof/>
        </w:rPr>
        <w:t>(28)</w:t>
      </w:r>
      <w:r w:rsidR="00F50052" w:rsidRPr="00BF3101">
        <w:t xml:space="preserve">. </w:t>
      </w:r>
      <w:r w:rsidR="00CC6DB4">
        <w:t>C</w:t>
      </w:r>
      <w:r w:rsidR="00CC6DB4" w:rsidRPr="00CC6DB4">
        <w:t xml:space="preserve">ross-reactive </w:t>
      </w:r>
      <w:r w:rsidR="00CC6DB4">
        <w:t xml:space="preserve">and polymorphic </w:t>
      </w:r>
      <w:r w:rsidR="00CC6DB4" w:rsidRPr="00CC6DB4">
        <w:t xml:space="preserve">probes </w:t>
      </w:r>
      <w:r w:rsidR="00CC6DB4">
        <w:t xml:space="preserve">identified by Chen </w:t>
      </w:r>
      <w:r w:rsidR="00CC6DB4" w:rsidRPr="00822E25">
        <w:rPr>
          <w:i/>
        </w:rPr>
        <w:t>et al</w:t>
      </w:r>
      <w:r w:rsidR="00CC6DB4">
        <w:t>.</w:t>
      </w:r>
      <w:r w:rsidR="00CF6336">
        <w:t>,</w:t>
      </w:r>
      <w:r w:rsidR="00CC6DB4">
        <w:t xml:space="preserve"> </w:t>
      </w:r>
      <w:r w:rsidR="00CC6DB4">
        <w:rPr>
          <w:noProof/>
        </w:rPr>
        <w:t>(29)</w:t>
      </w:r>
      <w:r w:rsidR="00CC6DB4" w:rsidRPr="00BF3101">
        <w:t xml:space="preserve"> </w:t>
      </w:r>
      <w:r w:rsidR="00CC6DB4" w:rsidRPr="00CC6DB4">
        <w:t xml:space="preserve">and probes on sex chromosomes were removed prior to </w:t>
      </w:r>
      <w:r w:rsidR="00834003">
        <w:t xml:space="preserve">downstream </w:t>
      </w:r>
      <w:r w:rsidR="00CC6DB4" w:rsidRPr="00CC6DB4">
        <w:t>analysis (</w:t>
      </w:r>
      <w:r w:rsidR="00CC6DB4" w:rsidRPr="00822E25">
        <w:rPr>
          <w:i/>
        </w:rPr>
        <w:t>n</w:t>
      </w:r>
      <w:r w:rsidR="00CC6DB4" w:rsidRPr="00CC6DB4">
        <w:t>=</w:t>
      </w:r>
      <w:r w:rsidR="00D128E8" w:rsidRPr="00D128E8">
        <w:t>453</w:t>
      </w:r>
      <w:r w:rsidR="00D128E8">
        <w:t>,</w:t>
      </w:r>
      <w:r w:rsidR="00D128E8" w:rsidRPr="00D128E8">
        <w:t>723</w:t>
      </w:r>
      <w:r w:rsidR="00D128E8">
        <w:t xml:space="preserve"> </w:t>
      </w:r>
      <w:r w:rsidR="00CC6DB4" w:rsidRPr="00CC6DB4">
        <w:t>probes).</w:t>
      </w:r>
      <w:r w:rsidR="006B753B">
        <w:t xml:space="preserve"> </w:t>
      </w:r>
      <w:r w:rsidR="00C4264C">
        <w:t>Due to few p</w:t>
      </w:r>
      <w:r w:rsidR="006B753B" w:rsidRPr="006B753B">
        <w:t xml:space="preserve">articipants with non-Caucasian or missing ethnicity, and </w:t>
      </w:r>
      <w:r w:rsidR="00287556">
        <w:t xml:space="preserve">few </w:t>
      </w:r>
      <w:r w:rsidR="006B753B" w:rsidRPr="006B753B">
        <w:t>non-singleton births</w:t>
      </w:r>
      <w:r w:rsidR="00C4264C">
        <w:t>, these</w:t>
      </w:r>
      <w:r w:rsidR="006B753B">
        <w:t xml:space="preserve"> were removed</w:t>
      </w:r>
      <w:r w:rsidR="006B753B" w:rsidRPr="006B753B">
        <w:t>.</w:t>
      </w:r>
    </w:p>
    <w:p w14:paraId="26F1FAE3" w14:textId="6E87681F" w:rsidR="009B6EFE" w:rsidRDefault="00A361A9" w:rsidP="009B6EFE">
      <w:pPr>
        <w:pStyle w:val="Heading3"/>
      </w:pPr>
      <w:r>
        <w:lastRenderedPageBreak/>
        <w:t xml:space="preserve">Statistical </w:t>
      </w:r>
      <w:r w:rsidR="009B6EFE">
        <w:t>analysis</w:t>
      </w:r>
    </w:p>
    <w:p w14:paraId="2C32A9A3" w14:textId="00B377D1" w:rsidR="00EF0E70" w:rsidRPr="00BF3101" w:rsidRDefault="00B329EC" w:rsidP="00BF3101">
      <w:r w:rsidRPr="00BF3101">
        <w:t>To</w:t>
      </w:r>
      <w:r w:rsidR="00C96D99" w:rsidRPr="00BF3101">
        <w:t xml:space="preserve"> examine </w:t>
      </w:r>
      <w:r w:rsidR="00CE4F7A">
        <w:t xml:space="preserve">if childhood or adolescent </w:t>
      </w:r>
      <w:proofErr w:type="spellStart"/>
      <w:r w:rsidR="00CE4F7A">
        <w:t>DNAm</w:t>
      </w:r>
      <w:proofErr w:type="spellEnd"/>
      <w:r w:rsidR="00E743FD" w:rsidRPr="00BF3101">
        <w:t xml:space="preserve"> in peripheral blood </w:t>
      </w:r>
      <w:r w:rsidR="00BC373F" w:rsidRPr="00BF3101">
        <w:t>(</w:t>
      </w:r>
      <w:r w:rsidR="007370D9" w:rsidRPr="00BF3101">
        <w:t xml:space="preserve">around </w:t>
      </w:r>
      <w:r w:rsidR="00BC373F" w:rsidRPr="00BF3101">
        <w:t>age</w:t>
      </w:r>
      <w:r w:rsidR="007370D9" w:rsidRPr="00BF3101">
        <w:t>s</w:t>
      </w:r>
      <w:r w:rsidR="00BC373F" w:rsidRPr="00BF3101">
        <w:t xml:space="preserve"> 7 and 17</w:t>
      </w:r>
      <w:r w:rsidR="00E743FD" w:rsidRPr="00BF3101">
        <w:t xml:space="preserve">) </w:t>
      </w:r>
      <w:r w:rsidR="006A2A6B" w:rsidRPr="00BF3101">
        <w:t>was</w:t>
      </w:r>
      <w:r w:rsidR="00E743FD" w:rsidRPr="00BF3101">
        <w:t xml:space="preserve"> associated with early life rapid growth</w:t>
      </w:r>
      <w:r w:rsidRPr="00BF3101">
        <w:t>, t</w:t>
      </w:r>
      <w:r w:rsidR="00EF0E70" w:rsidRPr="00BF3101">
        <w:t>hree different analyses</w:t>
      </w:r>
      <w:r w:rsidR="007370D9" w:rsidRPr="00BF3101">
        <w:t xml:space="preserve"> were</w:t>
      </w:r>
      <w:r w:rsidR="00EF0E70" w:rsidRPr="00BF3101">
        <w:t xml:space="preserve"> undertaken</w:t>
      </w:r>
      <w:r w:rsidRPr="00BF3101">
        <w:t xml:space="preserve">, </w:t>
      </w:r>
      <w:r w:rsidR="00EF0E70" w:rsidRPr="00BF3101">
        <w:t>including</w:t>
      </w:r>
      <w:r w:rsidR="006F36BA" w:rsidRPr="00BF3101">
        <w:t>:</w:t>
      </w:r>
      <w:r w:rsidR="00EF0E70" w:rsidRPr="00BF3101">
        <w:t xml:space="preserve"> analysis of differentially methylation positions, differentially methylated regions, and differentially methylated positions in a subset of candidate loci. </w:t>
      </w:r>
    </w:p>
    <w:p w14:paraId="5023F1AF" w14:textId="2AB57705" w:rsidR="00CC312A" w:rsidRPr="00BF3101" w:rsidRDefault="00CC312A" w:rsidP="00BF3101">
      <w:r w:rsidRPr="00BF3101">
        <w:t xml:space="preserve">For each analysis, </w:t>
      </w:r>
      <w:proofErr w:type="spellStart"/>
      <w:r w:rsidRPr="00BF3101">
        <w:t>DNAm</w:t>
      </w:r>
      <w:proofErr w:type="spellEnd"/>
      <w:r w:rsidRPr="00BF3101">
        <w:t xml:space="preserve"> was the outcome and</w:t>
      </w:r>
      <w:r w:rsidR="006A2A6B" w:rsidRPr="00BF3101">
        <w:t xml:space="preserve"> the independent variable was either</w:t>
      </w:r>
      <w:r w:rsidRPr="00BF3101">
        <w:t xml:space="preserve"> </w:t>
      </w:r>
      <w:r w:rsidR="006F36BA" w:rsidRPr="00BF3101">
        <w:t>RWG or RT</w:t>
      </w:r>
      <w:r w:rsidRPr="00BF3101">
        <w:t xml:space="preserve">, </w:t>
      </w:r>
      <w:r w:rsidR="006F36BA" w:rsidRPr="00BF3101">
        <w:t xml:space="preserve">with </w:t>
      </w:r>
      <w:r w:rsidRPr="00BF3101">
        <w:t xml:space="preserve">models </w:t>
      </w:r>
      <w:r w:rsidRPr="00075B01">
        <w:t xml:space="preserve">adjusted for </w:t>
      </w:r>
      <w:r w:rsidR="0009160B" w:rsidRPr="00075B01">
        <w:t xml:space="preserve">sex and </w:t>
      </w:r>
      <w:r w:rsidRPr="00075B01">
        <w:t xml:space="preserve">age </w:t>
      </w:r>
      <w:r w:rsidR="0009160B" w:rsidRPr="00075B01">
        <w:t xml:space="preserve">at blood </w:t>
      </w:r>
      <w:r w:rsidR="00075B01" w:rsidRPr="00075B01">
        <w:t>collection</w:t>
      </w:r>
      <w:r w:rsidRPr="00075B01">
        <w:t xml:space="preserve">. </w:t>
      </w:r>
      <w:r w:rsidR="001601E0" w:rsidRPr="00075B01">
        <w:t>Cell type</w:t>
      </w:r>
      <w:r w:rsidR="001601E0">
        <w:t xml:space="preserve"> composition is a </w:t>
      </w:r>
      <w:r w:rsidR="005C351D">
        <w:t>significant</w:t>
      </w:r>
      <w:r w:rsidR="001601E0">
        <w:t xml:space="preserve"> source of variation in </w:t>
      </w:r>
      <w:proofErr w:type="spellStart"/>
      <w:r w:rsidR="001601E0">
        <w:t>DNAm</w:t>
      </w:r>
      <w:proofErr w:type="spellEnd"/>
      <w:r w:rsidR="001601E0">
        <w:t xml:space="preserve"> analysis</w:t>
      </w:r>
      <w:r w:rsidR="001601E0" w:rsidRPr="001601E0">
        <w:t xml:space="preserve"> </w:t>
      </w:r>
      <w:r w:rsidR="00CF6336">
        <w:rPr>
          <w:noProof/>
        </w:rPr>
        <w:t>(30)</w:t>
      </w:r>
      <w:r w:rsidR="001601E0">
        <w:t>, however c</w:t>
      </w:r>
      <w:r w:rsidR="005C2330">
        <w:t xml:space="preserve">hronic, low level </w:t>
      </w:r>
      <w:r w:rsidR="00B769B3" w:rsidRPr="00BF3101">
        <w:t xml:space="preserve">inflammation is a component of the obesity phenotype, </w:t>
      </w:r>
      <w:r w:rsidR="007370D9" w:rsidRPr="00BF3101">
        <w:t>therefore,</w:t>
      </w:r>
      <w:r w:rsidR="00B769B3" w:rsidRPr="00BF3101">
        <w:t xml:space="preserve"> to find novel biomarkers associated with this phenotype</w:t>
      </w:r>
      <w:r w:rsidR="001601E0">
        <w:t>,</w:t>
      </w:r>
      <w:r w:rsidR="00B769B3" w:rsidRPr="00BF3101">
        <w:t xml:space="preserve"> </w:t>
      </w:r>
      <w:proofErr w:type="spellStart"/>
      <w:r w:rsidR="007D75E2" w:rsidRPr="00BF3101">
        <w:t>DNAm</w:t>
      </w:r>
      <w:proofErr w:type="spellEnd"/>
      <w:r w:rsidR="007D75E2" w:rsidRPr="00BF3101">
        <w:t xml:space="preserve"> was</w:t>
      </w:r>
      <w:r w:rsidR="00B769B3" w:rsidRPr="00BF3101">
        <w:t xml:space="preserve"> investigated in models with and without adjustment for cell composition</w:t>
      </w:r>
      <w:r w:rsidR="00371B5A">
        <w:t xml:space="preserve"> (all 6 cell types)</w:t>
      </w:r>
      <w:r w:rsidR="00B769B3" w:rsidRPr="00BF3101">
        <w:t xml:space="preserve">. </w:t>
      </w:r>
      <w:r w:rsidRPr="00BF3101">
        <w:t>Correction for multiple testing was applied using a false discovery rate (FDR) threshold of p&lt;0.05</w:t>
      </w:r>
      <w:r w:rsidR="004139F6" w:rsidRPr="00BF3101">
        <w:t xml:space="preserve"> </w:t>
      </w:r>
      <w:r w:rsidR="00CF6336">
        <w:rPr>
          <w:noProof/>
        </w:rPr>
        <w:t>(31)</w:t>
      </w:r>
      <w:r w:rsidRPr="00BF3101">
        <w:t xml:space="preserve">. </w:t>
      </w:r>
    </w:p>
    <w:p w14:paraId="2B0D97A6" w14:textId="5101346F" w:rsidR="00EF0E70" w:rsidRPr="00BF3101" w:rsidRDefault="006A2A6B" w:rsidP="00BF3101">
      <w:r w:rsidRPr="00BF3101">
        <w:t>First</w:t>
      </w:r>
      <w:r w:rsidR="00365327" w:rsidRPr="00BF3101">
        <w:t>, e</w:t>
      </w:r>
      <w:r w:rsidR="00250403" w:rsidRPr="00BF3101">
        <w:t xml:space="preserve">pigenome-wide association studies (EWAS) were conducted </w:t>
      </w:r>
      <w:r w:rsidR="00A361A9" w:rsidRPr="00BF3101">
        <w:t>for rapid growth (first year)</w:t>
      </w:r>
      <w:r w:rsidR="006F36BA" w:rsidRPr="00BF3101">
        <w:t xml:space="preserve"> and</w:t>
      </w:r>
      <w:r w:rsidR="00250403" w:rsidRPr="00BF3101">
        <w:t xml:space="preserve"> </w:t>
      </w:r>
      <w:proofErr w:type="spellStart"/>
      <w:r w:rsidR="00834003">
        <w:t>DNA</w:t>
      </w:r>
      <w:r w:rsidR="00250403" w:rsidRPr="00BF3101">
        <w:t>m</w:t>
      </w:r>
      <w:proofErr w:type="spellEnd"/>
      <w:r w:rsidR="00250403" w:rsidRPr="00BF3101">
        <w:t xml:space="preserve"> outcomes in childhood (age 7.4) and adolescence (age 17.</w:t>
      </w:r>
      <w:r w:rsidR="00E257F1">
        <w:t>6</w:t>
      </w:r>
      <w:r w:rsidR="00250403" w:rsidRPr="00BF3101">
        <w:t>)</w:t>
      </w:r>
      <w:r w:rsidR="0004466B" w:rsidRPr="00BF3101">
        <w:t xml:space="preserve"> </w:t>
      </w:r>
      <w:r w:rsidR="009974E4" w:rsidRPr="00BF3101">
        <w:t xml:space="preserve">in </w:t>
      </w:r>
      <w:r w:rsidR="00CC312A" w:rsidRPr="00BF3101">
        <w:t xml:space="preserve">the </w:t>
      </w:r>
      <w:proofErr w:type="spellStart"/>
      <w:r w:rsidR="00CC312A" w:rsidRPr="00BF3101">
        <w:t>Meffil</w:t>
      </w:r>
      <w:proofErr w:type="spellEnd"/>
      <w:r w:rsidR="00CC312A" w:rsidRPr="00BF3101">
        <w:t xml:space="preserve"> R package </w:t>
      </w:r>
      <w:r w:rsidR="00CF6336">
        <w:rPr>
          <w:noProof/>
        </w:rPr>
        <w:t>(32)</w:t>
      </w:r>
      <w:r w:rsidR="00CC312A" w:rsidRPr="00BF3101">
        <w:t xml:space="preserve">. </w:t>
      </w:r>
      <w:r w:rsidR="00E73926">
        <w:t>Estimation of differentially methylated sites was carried out using the beta values as the outcome and rapid growth (RWG/RT) as the exposure adjusted for age and sex. S</w:t>
      </w:r>
      <w:r w:rsidR="00580E1F" w:rsidRPr="00BF3101">
        <w:t>urrogate variable analysis (</w:t>
      </w:r>
      <w:r w:rsidR="00EF0E70" w:rsidRPr="00BF3101">
        <w:t>SVA</w:t>
      </w:r>
      <w:r w:rsidR="00580E1F" w:rsidRPr="00BF3101">
        <w:t>)</w:t>
      </w:r>
      <w:r w:rsidR="00EF0E70" w:rsidRPr="00BF3101">
        <w:t xml:space="preserve"> </w:t>
      </w:r>
      <w:r w:rsidR="00E73926">
        <w:t xml:space="preserve">and </w:t>
      </w:r>
      <w:r w:rsidR="00580E1F" w:rsidRPr="00BF3101">
        <w:t>indep</w:t>
      </w:r>
      <w:r w:rsidR="006F36BA" w:rsidRPr="00BF3101">
        <w:t>en</w:t>
      </w:r>
      <w:r w:rsidR="00580E1F" w:rsidRPr="00BF3101">
        <w:t>dent surrogate variable analysis (</w:t>
      </w:r>
      <w:r w:rsidR="00EF0E70" w:rsidRPr="00BF3101">
        <w:t>ISVA</w:t>
      </w:r>
      <w:r w:rsidR="00580E1F" w:rsidRPr="00BF3101">
        <w:t>)</w:t>
      </w:r>
      <w:r w:rsidR="00EF0E70" w:rsidRPr="00BF3101">
        <w:t xml:space="preserve"> methods</w:t>
      </w:r>
      <w:r w:rsidR="00E73926">
        <w:t xml:space="preserve"> were utilised to</w:t>
      </w:r>
      <w:r w:rsidR="00EF0E70" w:rsidRPr="00BF3101">
        <w:t xml:space="preserve"> </w:t>
      </w:r>
      <w:r w:rsidRPr="00BF3101">
        <w:t>control</w:t>
      </w:r>
      <w:r w:rsidR="00EF0E70" w:rsidRPr="00BF3101">
        <w:t xml:space="preserve"> for unmodelled or unknown confounding factors (such as batch)</w:t>
      </w:r>
      <w:r w:rsidR="00A12891" w:rsidRPr="00A12891">
        <w:t xml:space="preserve"> </w:t>
      </w:r>
      <w:r w:rsidR="00CF6336">
        <w:rPr>
          <w:noProof/>
        </w:rPr>
        <w:t>(33, 34)</w:t>
      </w:r>
      <w:r w:rsidR="00EF0E70" w:rsidRPr="00BF3101">
        <w:t xml:space="preserve">. </w:t>
      </w:r>
      <w:proofErr w:type="spellStart"/>
      <w:r w:rsidR="00EF0E70" w:rsidRPr="00BF3101">
        <w:t>Meffil</w:t>
      </w:r>
      <w:proofErr w:type="spellEnd"/>
      <w:r w:rsidR="00EF0E70" w:rsidRPr="00BF3101">
        <w:t xml:space="preserve"> simultaneously computes unadjusted, adjusted, SVA and ISVA models, thereby allowing results to be compared</w:t>
      </w:r>
      <w:r w:rsidR="00A12891">
        <w:t xml:space="preserve"> </w:t>
      </w:r>
      <w:r w:rsidR="00CF6336">
        <w:rPr>
          <w:noProof/>
        </w:rPr>
        <w:t>(32)</w:t>
      </w:r>
      <w:r w:rsidR="00EB0918" w:rsidRPr="00BF3101">
        <w:t xml:space="preserve">. </w:t>
      </w:r>
      <w:r w:rsidR="00EF0E70" w:rsidRPr="00BF3101">
        <w:t xml:space="preserve">In order to minimise the influence of outliers in methylation data, beta values were </w:t>
      </w:r>
      <w:proofErr w:type="spellStart"/>
      <w:r w:rsidR="00EF0E70" w:rsidRPr="00BF3101">
        <w:t>winsorised</w:t>
      </w:r>
      <w:proofErr w:type="spellEnd"/>
      <w:r w:rsidR="00EF0E70" w:rsidRPr="00BF3101">
        <w:t xml:space="preserve"> at the level of 5% (95th percentile cut-off).</w:t>
      </w:r>
      <w:r w:rsidR="00CC312A" w:rsidRPr="00BF3101">
        <w:t xml:space="preserve"> </w:t>
      </w:r>
    </w:p>
    <w:p w14:paraId="5EFE491C" w14:textId="53D2CC7B" w:rsidR="00CC312A" w:rsidRPr="00BF3101" w:rsidRDefault="00365327" w:rsidP="00BF3101">
      <w:r w:rsidRPr="00BF3101">
        <w:t>Second</w:t>
      </w:r>
      <w:r w:rsidR="00EF0E70" w:rsidRPr="00BF3101">
        <w:t>,</w:t>
      </w:r>
      <w:r w:rsidRPr="00BF3101">
        <w:t xml:space="preserve"> in order to detect a </w:t>
      </w:r>
      <w:proofErr w:type="spellStart"/>
      <w:r w:rsidRPr="00BF3101">
        <w:t>DNA</w:t>
      </w:r>
      <w:r w:rsidR="00CE4F7A">
        <w:t>m</w:t>
      </w:r>
      <w:proofErr w:type="spellEnd"/>
      <w:r w:rsidR="00CE4F7A">
        <w:t xml:space="preserve"> </w:t>
      </w:r>
      <w:r w:rsidRPr="00BF3101">
        <w:t xml:space="preserve">signature of rapid growth, </w:t>
      </w:r>
      <w:r w:rsidR="00DE7ECC" w:rsidRPr="00BF3101">
        <w:t>differentially</w:t>
      </w:r>
      <w:r w:rsidR="00AF3536" w:rsidRPr="00BF3101">
        <w:t xml:space="preserve"> methylated regions (DMR</w:t>
      </w:r>
      <w:r w:rsidR="006A2A6B" w:rsidRPr="00BF3101">
        <w:t>s</w:t>
      </w:r>
      <w:r w:rsidR="00DE7ECC" w:rsidRPr="00BF3101">
        <w:t xml:space="preserve">) were analysed. </w:t>
      </w:r>
      <w:r w:rsidR="00EF0E70" w:rsidRPr="00BF3101">
        <w:t>DMR</w:t>
      </w:r>
      <w:r w:rsidR="006A2A6B" w:rsidRPr="00BF3101">
        <w:t>s</w:t>
      </w:r>
      <w:r w:rsidR="00EF0E70" w:rsidRPr="00BF3101">
        <w:t>, which are stretches</w:t>
      </w:r>
      <w:r w:rsidR="00580E1F" w:rsidRPr="00BF3101">
        <w:t xml:space="preserve"> or clusters</w:t>
      </w:r>
      <w:r w:rsidR="00EF0E70" w:rsidRPr="00BF3101">
        <w:t xml:space="preserve"> of </w:t>
      </w:r>
      <w:r w:rsidR="00580E1F" w:rsidRPr="00BF3101">
        <w:t xml:space="preserve">neighbouring </w:t>
      </w:r>
      <w:r w:rsidR="00EF0E70" w:rsidRPr="00BF3101">
        <w:t xml:space="preserve">CpG </w:t>
      </w:r>
      <w:r w:rsidR="00580E1F" w:rsidRPr="00BF3101">
        <w:t>probes,</w:t>
      </w:r>
      <w:r w:rsidR="00EF0E70" w:rsidRPr="00BF3101">
        <w:t xml:space="preserve"> may have more of a functional effect on gene expression than individual CpG loci</w:t>
      </w:r>
      <w:r w:rsidR="00052A9F">
        <w:t xml:space="preserve"> </w:t>
      </w:r>
      <w:r w:rsidR="00CF6336">
        <w:rPr>
          <w:noProof/>
        </w:rPr>
        <w:t>(35)</w:t>
      </w:r>
      <w:r w:rsidR="00EF0E70" w:rsidRPr="00BF3101">
        <w:t xml:space="preserve">. Additionally, if changes in </w:t>
      </w:r>
      <w:proofErr w:type="spellStart"/>
      <w:r w:rsidR="00EF0E70" w:rsidRPr="00BF3101">
        <w:t>DNAm</w:t>
      </w:r>
      <w:proofErr w:type="spellEnd"/>
      <w:r w:rsidR="00EF0E70" w:rsidRPr="00BF3101">
        <w:t xml:space="preserve"> are small but persistent across a region, there </w:t>
      </w:r>
      <w:r w:rsidR="00287556">
        <w:t>may be</w:t>
      </w:r>
      <w:r w:rsidR="00287556" w:rsidRPr="00BF3101">
        <w:t xml:space="preserve"> </w:t>
      </w:r>
      <w:r w:rsidR="00EF0E70" w:rsidRPr="00BF3101">
        <w:t xml:space="preserve">more statistical power to detect them collectively as DMRs </w:t>
      </w:r>
      <w:r w:rsidR="00CF6336">
        <w:rPr>
          <w:noProof/>
        </w:rPr>
        <w:t>(36)</w:t>
      </w:r>
      <w:r w:rsidR="00EF0E70" w:rsidRPr="00BF3101">
        <w:t xml:space="preserve">. </w:t>
      </w:r>
      <w:r w:rsidR="00DE7ECC" w:rsidRPr="00BF3101">
        <w:t xml:space="preserve">The R package </w:t>
      </w:r>
      <w:proofErr w:type="spellStart"/>
      <w:r w:rsidR="00EF0E70" w:rsidRPr="00BF3101">
        <w:t>DMRcate</w:t>
      </w:r>
      <w:proofErr w:type="spellEnd"/>
      <w:r w:rsidR="00EF0E70" w:rsidRPr="00BF3101">
        <w:t xml:space="preserve"> </w:t>
      </w:r>
      <w:r w:rsidR="00DE7ECC" w:rsidRPr="00BF3101">
        <w:t>was used</w:t>
      </w:r>
      <w:r w:rsidR="00EF0E70" w:rsidRPr="00BF3101">
        <w:t xml:space="preserve"> for the estimation of DMRs</w:t>
      </w:r>
      <w:r w:rsidR="00A12891" w:rsidRPr="00A12891">
        <w:t xml:space="preserve"> </w:t>
      </w:r>
      <w:r w:rsidR="00CF6336">
        <w:rPr>
          <w:noProof/>
        </w:rPr>
        <w:t>(37)</w:t>
      </w:r>
      <w:r w:rsidR="00DE7ECC" w:rsidRPr="00BF3101">
        <w:t xml:space="preserve">, </w:t>
      </w:r>
      <w:r w:rsidR="00DE7ECC" w:rsidRPr="00BF3101">
        <w:lastRenderedPageBreak/>
        <w:t xml:space="preserve">using </w:t>
      </w:r>
      <w:r w:rsidR="00EF0E70" w:rsidRPr="00BF3101">
        <w:t>the M-values</w:t>
      </w:r>
      <w:r w:rsidR="007370D9" w:rsidRPr="00BF3101">
        <w:t xml:space="preserve"> and default settings</w:t>
      </w:r>
      <w:r w:rsidR="00DE7ECC" w:rsidRPr="00BF3101">
        <w:t xml:space="preserve">. </w:t>
      </w:r>
      <w:r w:rsidR="00EF0E70" w:rsidRPr="00BF3101">
        <w:t xml:space="preserve">The surrogate variables (that were calculated using </w:t>
      </w:r>
      <w:proofErr w:type="spellStart"/>
      <w:r w:rsidR="00287556">
        <w:t>M</w:t>
      </w:r>
      <w:r w:rsidR="00287556" w:rsidRPr="00BF3101">
        <w:t>effil</w:t>
      </w:r>
      <w:proofErr w:type="spellEnd"/>
      <w:r w:rsidR="00287556" w:rsidRPr="00BF3101">
        <w:t xml:space="preserve"> </w:t>
      </w:r>
      <w:r w:rsidR="00EF0E70" w:rsidRPr="00BF3101">
        <w:t>in the EWAS models) were included as covariates in the DMR models</w:t>
      </w:r>
      <w:r w:rsidR="00CC312A" w:rsidRPr="00BF3101">
        <w:t>.</w:t>
      </w:r>
    </w:p>
    <w:p w14:paraId="6A3DB348" w14:textId="528B5485" w:rsidR="00EF0E70" w:rsidRPr="00BF3101" w:rsidRDefault="00CC312A" w:rsidP="00BF3101">
      <w:r w:rsidRPr="00BF3101">
        <w:t>Finally, i</w:t>
      </w:r>
      <w:r w:rsidR="00EF0E70" w:rsidRPr="00BF3101">
        <w:t xml:space="preserve">n order to </w:t>
      </w:r>
      <w:r w:rsidR="00365327" w:rsidRPr="00BF3101">
        <w:t>focus</w:t>
      </w:r>
      <w:r w:rsidR="00365327" w:rsidRPr="00BF3101" w:rsidDel="00365327">
        <w:t xml:space="preserve"> </w:t>
      </w:r>
      <w:r w:rsidR="00365327" w:rsidRPr="00BF3101">
        <w:t xml:space="preserve">on </w:t>
      </w:r>
      <w:r w:rsidR="00EF0E70" w:rsidRPr="00BF3101">
        <w:t xml:space="preserve">loci </w:t>
      </w:r>
      <w:r w:rsidR="00365327" w:rsidRPr="00BF3101">
        <w:t xml:space="preserve">with anticipated </w:t>
      </w:r>
      <w:r w:rsidR="004838BD" w:rsidRPr="00BF3101">
        <w:t>associations</w:t>
      </w:r>
      <w:r w:rsidR="00EF0E70" w:rsidRPr="00BF3101">
        <w:t xml:space="preserve"> </w:t>
      </w:r>
      <w:r w:rsidR="004838BD" w:rsidRPr="00BF3101">
        <w:t xml:space="preserve">with </w:t>
      </w:r>
      <w:r w:rsidR="00EF0E70" w:rsidRPr="00BF3101">
        <w:t xml:space="preserve">adiposity, a candidate gene approach was taken using </w:t>
      </w:r>
      <w:r w:rsidR="007370D9" w:rsidRPr="00BF3101">
        <w:t xml:space="preserve">a subset of </w:t>
      </w:r>
      <w:r w:rsidR="00EF0E70" w:rsidRPr="00BF3101">
        <w:t xml:space="preserve">CpG </w:t>
      </w:r>
      <w:r w:rsidR="005C2330">
        <w:t xml:space="preserve">sites </w:t>
      </w:r>
      <w:r w:rsidR="00580E1F" w:rsidRPr="00BF3101">
        <w:t>robustly</w:t>
      </w:r>
      <w:r w:rsidR="00EF0E70" w:rsidRPr="00BF3101">
        <w:t xml:space="preserve"> associated with BMI. The candidate </w:t>
      </w:r>
      <w:r w:rsidR="004C4725">
        <w:t>sites</w:t>
      </w:r>
      <w:r w:rsidR="004C4725" w:rsidRPr="00BF3101">
        <w:t xml:space="preserve"> </w:t>
      </w:r>
      <w:r w:rsidR="00EF0E70" w:rsidRPr="00BF3101">
        <w:t>were selected from a large-scale</w:t>
      </w:r>
      <w:r w:rsidR="00580E1F" w:rsidRPr="00BF3101">
        <w:t xml:space="preserve"> meta-analysis</w:t>
      </w:r>
      <w:r w:rsidR="00EF0E70" w:rsidRPr="00BF3101">
        <w:t xml:space="preserve"> EWAS </w:t>
      </w:r>
      <w:r w:rsidR="00580E1F" w:rsidRPr="00BF3101">
        <w:t>which</w:t>
      </w:r>
      <w:r w:rsidR="00EF0E70" w:rsidRPr="00BF3101">
        <w:t xml:space="preserve"> utilised </w:t>
      </w:r>
      <w:r w:rsidR="00580E1F" w:rsidRPr="00BF3101">
        <w:t xml:space="preserve">data from </w:t>
      </w:r>
      <w:r w:rsidR="000C3126">
        <w:t>multiple cohorts o</w:t>
      </w:r>
      <w:r w:rsidR="000C3126" w:rsidRPr="00BF3101">
        <w:t>f Eur</w:t>
      </w:r>
      <w:r w:rsidR="000C3126">
        <w:t xml:space="preserve">opean and Indian-Asian descent </w:t>
      </w:r>
      <w:r w:rsidR="000862ED">
        <w:rPr>
          <w:noProof/>
        </w:rPr>
        <w:t>(12)</w:t>
      </w:r>
      <w:r w:rsidR="00EF0E70" w:rsidRPr="00BF3101">
        <w:t xml:space="preserve">. </w:t>
      </w:r>
      <w:r w:rsidR="000C3126">
        <w:t>After validation, 187 CpG sites</w:t>
      </w:r>
      <w:r w:rsidR="00EF0E70" w:rsidRPr="00BF3101">
        <w:t xml:space="preserve"> were </w:t>
      </w:r>
      <w:r w:rsidR="00580E1F" w:rsidRPr="00BF3101">
        <w:t>associated with BMI</w:t>
      </w:r>
      <w:r w:rsidR="00EF0E70" w:rsidRPr="00BF3101">
        <w:t xml:space="preserve">. </w:t>
      </w:r>
      <w:r w:rsidR="000C3126">
        <w:t xml:space="preserve">We conducted </w:t>
      </w:r>
      <w:r w:rsidR="00EF0E70" w:rsidRPr="00BF3101">
        <w:t xml:space="preserve">EWAS for </w:t>
      </w:r>
      <w:r w:rsidR="00BF3101">
        <w:t>both RWG and RT</w:t>
      </w:r>
      <w:r w:rsidR="000C3126" w:rsidRPr="000C3126">
        <w:t xml:space="preserve"> </w:t>
      </w:r>
      <w:r w:rsidR="000C3126">
        <w:t>u</w:t>
      </w:r>
      <w:r w:rsidR="000C3126" w:rsidRPr="00BF3101">
        <w:t>sing the 187</w:t>
      </w:r>
      <w:r w:rsidR="00BD1C47">
        <w:t xml:space="preserve"> identified</w:t>
      </w:r>
      <w:r w:rsidR="000C3126" w:rsidRPr="00BF3101">
        <w:t xml:space="preserve"> </w:t>
      </w:r>
      <w:r w:rsidR="000C3126">
        <w:t>CpG sites as candidates,</w:t>
      </w:r>
      <w:r w:rsidR="00EF0E70" w:rsidRPr="00BF3101">
        <w:t xml:space="preserve"> at both time points using the </w:t>
      </w:r>
      <w:proofErr w:type="spellStart"/>
      <w:r w:rsidR="00EF0E70" w:rsidRPr="00BF3101">
        <w:t>Meffil</w:t>
      </w:r>
      <w:proofErr w:type="spellEnd"/>
      <w:r w:rsidR="00EF0E70" w:rsidRPr="00BF3101">
        <w:t xml:space="preserve"> R </w:t>
      </w:r>
      <w:r w:rsidR="00BF3101">
        <w:t>package</w:t>
      </w:r>
      <w:r w:rsidR="00EF0E70" w:rsidRPr="00BF3101">
        <w:t xml:space="preserve"> </w:t>
      </w:r>
      <w:r w:rsidR="00CF6336">
        <w:rPr>
          <w:noProof/>
        </w:rPr>
        <w:t>(32)</w:t>
      </w:r>
      <w:r w:rsidR="00EF0E70" w:rsidRPr="00BF3101">
        <w:t>.</w:t>
      </w:r>
    </w:p>
    <w:p w14:paraId="7DD1AAC6" w14:textId="6E3C5D3F" w:rsidR="00B57B39" w:rsidRPr="00BF3101" w:rsidRDefault="004838BD" w:rsidP="00BF3101">
      <w:r w:rsidRPr="00BF3101">
        <w:t>Any significant</w:t>
      </w:r>
      <w:r w:rsidR="00F86ADE">
        <w:t>ly</w:t>
      </w:r>
      <w:r w:rsidRPr="00BF3101">
        <w:t xml:space="preserve"> differentially methylated </w:t>
      </w:r>
      <w:r w:rsidR="00DC389B" w:rsidRPr="00FD11D8">
        <w:rPr>
          <w:szCs w:val="22"/>
        </w:rPr>
        <w:t xml:space="preserve">sites </w:t>
      </w:r>
      <w:r w:rsidRPr="00BF3101">
        <w:t xml:space="preserve">were analysed further to determine if </w:t>
      </w:r>
      <w:proofErr w:type="spellStart"/>
      <w:r w:rsidR="00DC389B" w:rsidRPr="00FD11D8">
        <w:rPr>
          <w:szCs w:val="22"/>
        </w:rPr>
        <w:t>DNAm</w:t>
      </w:r>
      <w:proofErr w:type="spellEnd"/>
      <w:r w:rsidR="00DC389B" w:rsidRPr="00FD11D8">
        <w:rPr>
          <w:szCs w:val="22"/>
        </w:rPr>
        <w:t xml:space="preserve"> was</w:t>
      </w:r>
      <w:r w:rsidRPr="00BF3101">
        <w:t xml:space="preserve"> also associated with body </w:t>
      </w:r>
      <w:r w:rsidR="000C3126">
        <w:t xml:space="preserve">composition (at age 7 and 17). </w:t>
      </w:r>
      <w:r w:rsidRPr="00BF3101">
        <w:t xml:space="preserve">Using linear regression, significant </w:t>
      </w:r>
      <w:r w:rsidR="00C51DAD">
        <w:t>CpG</w:t>
      </w:r>
      <w:r w:rsidR="000C3126">
        <w:t xml:space="preserve"> </w:t>
      </w:r>
      <w:r w:rsidR="00C51DAD">
        <w:t>s</w:t>
      </w:r>
      <w:r w:rsidR="000C3126">
        <w:t>ites</w:t>
      </w:r>
      <w:r w:rsidR="00C51DAD" w:rsidRPr="00BF3101">
        <w:t xml:space="preserve"> </w:t>
      </w:r>
      <w:r w:rsidRPr="00BF3101">
        <w:t>were examined with respect to childhood and adolescent BMI (dependent variable).</w:t>
      </w:r>
      <w:r w:rsidR="00425C0D" w:rsidRPr="00BF3101">
        <w:t xml:space="preserve"> Similarly, </w:t>
      </w:r>
      <w:r w:rsidR="004A0C3D">
        <w:rPr>
          <w:szCs w:val="22"/>
        </w:rPr>
        <w:t>as differentially methylated loci were identified in the RWG EWAS, the</w:t>
      </w:r>
      <w:r w:rsidR="004A0C3D" w:rsidRPr="00FD11D8">
        <w:rPr>
          <w:szCs w:val="22"/>
        </w:rPr>
        <w:t xml:space="preserve"> </w:t>
      </w:r>
      <w:r w:rsidR="00F86ADE">
        <w:t xml:space="preserve">CpG </w:t>
      </w:r>
      <w:r w:rsidR="00DC389B" w:rsidRPr="00FD11D8">
        <w:rPr>
          <w:szCs w:val="22"/>
        </w:rPr>
        <w:t xml:space="preserve">sites </w:t>
      </w:r>
      <w:r w:rsidR="00425C0D" w:rsidRPr="00BF3101">
        <w:t xml:space="preserve">were also examined </w:t>
      </w:r>
      <w:r w:rsidR="004A0C3D">
        <w:rPr>
          <w:szCs w:val="22"/>
        </w:rPr>
        <w:t>with regards to</w:t>
      </w:r>
      <w:r w:rsidR="004A0C3D" w:rsidRPr="00FD11D8">
        <w:rPr>
          <w:szCs w:val="22"/>
        </w:rPr>
        <w:t xml:space="preserve"> </w:t>
      </w:r>
      <w:r w:rsidR="00425C0D" w:rsidRPr="00FD11D8">
        <w:rPr>
          <w:szCs w:val="22"/>
        </w:rPr>
        <w:t xml:space="preserve">RT </w:t>
      </w:r>
      <w:r w:rsidR="00425C0D" w:rsidRPr="00BF3101">
        <w:t xml:space="preserve">in adjusted linear models. All models were adjusted for age and sex. </w:t>
      </w:r>
      <w:r w:rsidR="00B717DD">
        <w:t>D</w:t>
      </w:r>
      <w:r w:rsidRPr="00BF3101">
        <w:t xml:space="preserve">ifferences in </w:t>
      </w:r>
      <w:proofErr w:type="spellStart"/>
      <w:r w:rsidRPr="00BF3101">
        <w:t>DNAm</w:t>
      </w:r>
      <w:proofErr w:type="spellEnd"/>
      <w:r w:rsidRPr="00BF3101">
        <w:t xml:space="preserve"> by phenotype</w:t>
      </w:r>
      <w:r w:rsidR="00EB0918" w:rsidRPr="00BF3101">
        <w:t xml:space="preserve"> </w:t>
      </w:r>
      <w:r w:rsidR="000C3126">
        <w:t xml:space="preserve">(RWG, </w:t>
      </w:r>
      <w:r w:rsidR="00095CE0" w:rsidRPr="00FD11D8">
        <w:rPr>
          <w:szCs w:val="22"/>
        </w:rPr>
        <w:t>overweight/obese</w:t>
      </w:r>
      <w:r w:rsidRPr="00BF3101">
        <w:t xml:space="preserve">) </w:t>
      </w:r>
      <w:r w:rsidR="00EB0918" w:rsidRPr="00BF3101">
        <w:t>were assessed using</w:t>
      </w:r>
      <w:r w:rsidR="008C62C3" w:rsidRPr="00BF3101">
        <w:t xml:space="preserve"> </w:t>
      </w:r>
      <w:r w:rsidR="00CC312A" w:rsidRPr="00BF3101">
        <w:t>ANOVA</w:t>
      </w:r>
      <w:r w:rsidR="008C62C3" w:rsidRPr="00BF3101">
        <w:t xml:space="preserve"> test</w:t>
      </w:r>
      <w:r w:rsidR="00EB0918" w:rsidRPr="00BF3101">
        <w:t>s</w:t>
      </w:r>
      <w:r w:rsidR="008C62C3" w:rsidRPr="00BF3101">
        <w:t xml:space="preserve"> between groups (with Bonferroni correction for multiple testing)</w:t>
      </w:r>
      <w:r w:rsidR="00EF0E70" w:rsidRPr="00BF3101">
        <w:t xml:space="preserve">. </w:t>
      </w:r>
    </w:p>
    <w:p w14:paraId="3F4679B9" w14:textId="572C2BD6" w:rsidR="00F86ADE" w:rsidRDefault="00675107" w:rsidP="008C750F">
      <w:r w:rsidRPr="00BF3101">
        <w:t xml:space="preserve">All EWAS and bioinformatic analyses were done in </w:t>
      </w:r>
      <w:proofErr w:type="spellStart"/>
      <w:r w:rsidRPr="00BF3101">
        <w:t>Rstudio</w:t>
      </w:r>
      <w:proofErr w:type="spellEnd"/>
      <w:r w:rsidRPr="00BF3101">
        <w:t xml:space="preserve"> version 3.3.2. The human reference genome (GRCh37/hg19 assembly) was used </w:t>
      </w:r>
      <w:r w:rsidR="00081BCE">
        <w:t>to determine the location and features of</w:t>
      </w:r>
      <w:r w:rsidRPr="00BF3101">
        <w:t xml:space="preserve"> the gene region </w:t>
      </w:r>
      <w:r w:rsidR="00BF3101">
        <w:t xml:space="preserve">using </w:t>
      </w:r>
      <w:r w:rsidR="00BF3101" w:rsidRPr="00BF3101">
        <w:t>the UCSC Genome Browser</w:t>
      </w:r>
      <w:r w:rsidR="00A12891" w:rsidRPr="00A12891">
        <w:t xml:space="preserve"> </w:t>
      </w:r>
      <w:r w:rsidR="00CF6336">
        <w:rPr>
          <w:noProof/>
        </w:rPr>
        <w:t>(38)</w:t>
      </w:r>
      <w:r w:rsidRPr="00BF3101">
        <w:t xml:space="preserve">. </w:t>
      </w:r>
      <w:r w:rsidR="009B44B7">
        <w:t xml:space="preserve">Recoding of the variables and </w:t>
      </w:r>
      <w:r w:rsidRPr="00BF3101">
        <w:t xml:space="preserve">statistical analysis of </w:t>
      </w:r>
      <w:r w:rsidR="00B717DD">
        <w:t>differentially methylated</w:t>
      </w:r>
      <w:r w:rsidR="00B717DD" w:rsidRPr="00BF3101">
        <w:t xml:space="preserve"> </w:t>
      </w:r>
      <w:r w:rsidR="00DC389B">
        <w:t xml:space="preserve">sites </w:t>
      </w:r>
      <w:r w:rsidRPr="00BF3101">
        <w:t>was done in S</w:t>
      </w:r>
      <w:r w:rsidR="00A4679A">
        <w:t>tata</w:t>
      </w:r>
      <w:r w:rsidRPr="00BF3101">
        <w:t xml:space="preserve"> version 15.1 (</w:t>
      </w:r>
      <w:proofErr w:type="spellStart"/>
      <w:r w:rsidRPr="00BF3101">
        <w:t>StataCorp</w:t>
      </w:r>
      <w:bookmarkStart w:id="2" w:name="_Ref33447804"/>
      <w:proofErr w:type="spellEnd"/>
      <w:r w:rsidR="008C750F">
        <w:t>, College Station, Texas, USA).</w:t>
      </w:r>
    </w:p>
    <w:p w14:paraId="32E47803" w14:textId="4855F49B" w:rsidR="00F0697E" w:rsidRDefault="00F0697E" w:rsidP="007B65B7">
      <w:pPr>
        <w:pStyle w:val="Heading3"/>
      </w:pPr>
      <w:r>
        <w:t>Replication analysis</w:t>
      </w:r>
      <w:r w:rsidR="006E4449">
        <w:br/>
      </w:r>
    </w:p>
    <w:p w14:paraId="5F1B7F4C" w14:textId="4C7E03BE" w:rsidR="002B51F2" w:rsidRDefault="00F0697E" w:rsidP="00FF3957">
      <w:r w:rsidRPr="00F0697E">
        <w:t xml:space="preserve">CpG sites with </w:t>
      </w:r>
      <w:r>
        <w:t>FDR</w:t>
      </w:r>
      <w:r w:rsidRPr="00F0697E">
        <w:t> </w:t>
      </w:r>
      <w:r w:rsidRPr="00F0697E">
        <w:rPr>
          <w:i/>
          <w:iCs/>
        </w:rPr>
        <w:t>P</w:t>
      </w:r>
      <w:r w:rsidRPr="00F0697E">
        <w:t>-values &lt;</w:t>
      </w:r>
      <w:r>
        <w:t>0.05</w:t>
      </w:r>
      <w:r w:rsidRPr="00F0697E">
        <w:t xml:space="preserve"> were carried forward for replication</w:t>
      </w:r>
      <w:r w:rsidR="00AA4EEE">
        <w:t xml:space="preserve"> using</w:t>
      </w:r>
      <w:r w:rsidR="00FF3957">
        <w:t xml:space="preserve"> DNA methylation data from the</w:t>
      </w:r>
      <w:r w:rsidR="00AA4EEE">
        <w:t xml:space="preserve"> children from</w:t>
      </w:r>
      <w:r w:rsidRPr="00F0697E">
        <w:t xml:space="preserve"> </w:t>
      </w:r>
      <w:r w:rsidR="00AA4EEE">
        <w:t>t</w:t>
      </w:r>
      <w:r w:rsidR="006E4449">
        <w:t xml:space="preserve">he </w:t>
      </w:r>
      <w:r w:rsidR="006E4449" w:rsidRPr="0011240E">
        <w:t>Southampton Women’s Survey</w:t>
      </w:r>
      <w:r w:rsidR="00AA4EEE">
        <w:t xml:space="preserve"> (SWS), a similar </w:t>
      </w:r>
      <w:r w:rsidR="006E4449">
        <w:t>UK-based cohort</w:t>
      </w:r>
      <w:r w:rsidR="00E3561F">
        <w:t xml:space="preserve"> </w:t>
      </w:r>
      <w:r w:rsidR="0063220B">
        <w:rPr>
          <w:noProof/>
        </w:rPr>
        <w:t>(39)</w:t>
      </w:r>
      <w:r w:rsidR="006E4449">
        <w:t xml:space="preserve">. </w:t>
      </w:r>
      <w:r w:rsidR="00A91D08">
        <w:t>B</w:t>
      </w:r>
      <w:r w:rsidR="006E4449">
        <w:t>lood methylation measures (EPIC array)</w:t>
      </w:r>
      <w:r w:rsidR="003208B0">
        <w:t xml:space="preserve"> and early life weight data for</w:t>
      </w:r>
      <w:r w:rsidR="006E4449">
        <w:t xml:space="preserve"> </w:t>
      </w:r>
      <w:r w:rsidR="0011240E">
        <w:t>10</w:t>
      </w:r>
      <w:r w:rsidR="003208B0">
        <w:t>4</w:t>
      </w:r>
      <w:r w:rsidRPr="00F0697E">
        <w:t xml:space="preserve"> of the </w:t>
      </w:r>
      <w:r w:rsidR="006E4449">
        <w:t>SWS children</w:t>
      </w:r>
      <w:r w:rsidR="0011240E" w:rsidRPr="0011240E">
        <w:t xml:space="preserve"> </w:t>
      </w:r>
      <w:r w:rsidRPr="00F0697E">
        <w:t xml:space="preserve">(age = </w:t>
      </w:r>
      <w:r w:rsidR="0011240E">
        <w:t>1</w:t>
      </w:r>
      <w:r w:rsidR="0032024B">
        <w:t>1-13</w:t>
      </w:r>
      <w:r w:rsidR="0011240E">
        <w:t xml:space="preserve"> years</w:t>
      </w:r>
      <w:r w:rsidR="00AA4EEE">
        <w:t>, all Caucasian</w:t>
      </w:r>
      <w:r w:rsidR="0011240E">
        <w:t>)</w:t>
      </w:r>
      <w:r w:rsidR="00A91D08">
        <w:t xml:space="preserve"> were available</w:t>
      </w:r>
      <w:r w:rsidR="0011240E">
        <w:t>. Further details of the replication cohort</w:t>
      </w:r>
      <w:r w:rsidRPr="00F0697E">
        <w:t xml:space="preserve"> </w:t>
      </w:r>
      <w:r w:rsidR="006E4449">
        <w:t xml:space="preserve">and </w:t>
      </w:r>
      <w:r w:rsidR="006E4449">
        <w:lastRenderedPageBreak/>
        <w:t xml:space="preserve">methylation data processing </w:t>
      </w:r>
      <w:r w:rsidRPr="00F0697E">
        <w:t>are provided in the </w:t>
      </w:r>
      <w:r w:rsidR="00682EEF">
        <w:t>Supplementary text</w:t>
      </w:r>
      <w:r w:rsidRPr="00F0697E">
        <w:t>.</w:t>
      </w:r>
      <w:r w:rsidR="008A2207">
        <w:t xml:space="preserve"> The </w:t>
      </w:r>
      <w:r w:rsidR="007373E1">
        <w:t xml:space="preserve">exact </w:t>
      </w:r>
      <w:r w:rsidR="008A2207">
        <w:t xml:space="preserve">same models were estimated for </w:t>
      </w:r>
      <w:r w:rsidR="00AA4EEE">
        <w:t>the differentially methylated CpG sites in childhood (age</w:t>
      </w:r>
      <w:r w:rsidR="00052A9F">
        <w:t xml:space="preserve"> 11-13</w:t>
      </w:r>
      <w:r w:rsidR="00AA4EEE">
        <w:t xml:space="preserve">) and early life </w:t>
      </w:r>
      <w:r w:rsidR="008A2207">
        <w:t>rapid growth (</w:t>
      </w:r>
      <w:r w:rsidR="00AA4EEE">
        <w:t xml:space="preserve">RWG and RT, </w:t>
      </w:r>
      <w:r w:rsidR="008A2207">
        <w:t xml:space="preserve">0-12 months) using the </w:t>
      </w:r>
      <w:proofErr w:type="spellStart"/>
      <w:r w:rsidR="008A2207">
        <w:t>meffil</w:t>
      </w:r>
      <w:proofErr w:type="spellEnd"/>
      <w:r w:rsidR="008A2207">
        <w:t xml:space="preserve"> R package with both SVA and ISVA</w:t>
      </w:r>
      <w:r w:rsidR="008A2207" w:rsidRPr="00476112">
        <w:t xml:space="preserve">. </w:t>
      </w:r>
      <w:r w:rsidR="008A2207">
        <w:t xml:space="preserve">Models were all adjusted for child’s sex and age at </w:t>
      </w:r>
      <w:proofErr w:type="spellStart"/>
      <w:r w:rsidR="008A2207">
        <w:t>DNAm</w:t>
      </w:r>
      <w:proofErr w:type="spellEnd"/>
      <w:r w:rsidR="008A2207">
        <w:t xml:space="preserve"> </w:t>
      </w:r>
      <w:r w:rsidR="00075B01">
        <w:t>measurement and</w:t>
      </w:r>
      <w:r w:rsidR="008A2207">
        <w:t xml:space="preserve"> were run with and without adjustment for cell type composition.</w:t>
      </w:r>
    </w:p>
    <w:p w14:paraId="0D225EA3" w14:textId="4E56482B" w:rsidR="00BE556D" w:rsidRDefault="00BE556D" w:rsidP="002B51F2"/>
    <w:bookmarkEnd w:id="2"/>
    <w:p w14:paraId="56F8B002" w14:textId="77777777" w:rsidR="0004466B" w:rsidRDefault="00962EB8" w:rsidP="00962EB8">
      <w:pPr>
        <w:pStyle w:val="Heading2"/>
      </w:pPr>
      <w:r>
        <w:t>Results</w:t>
      </w:r>
    </w:p>
    <w:p w14:paraId="61728346" w14:textId="131C8DD6" w:rsidR="00037092" w:rsidRPr="00037092" w:rsidRDefault="00037092" w:rsidP="00B57B39">
      <w:pPr>
        <w:pStyle w:val="Heading3"/>
      </w:pPr>
      <w:r>
        <w:t xml:space="preserve">Descriptive characteristics </w:t>
      </w:r>
    </w:p>
    <w:p w14:paraId="796CFE3C" w14:textId="69CD2343" w:rsidR="00250403" w:rsidRDefault="00451BC7" w:rsidP="0057657E">
      <w:pPr>
        <w:rPr>
          <w:rFonts w:cstheme="minorHAnsi"/>
          <w:shd w:val="clear" w:color="auto" w:fill="FFFFFF"/>
        </w:rPr>
      </w:pPr>
      <w:r>
        <w:rPr>
          <w:sz w:val="23"/>
          <w:szCs w:val="23"/>
        </w:rPr>
        <w:t>E</w:t>
      </w:r>
      <w:r w:rsidR="00425C0D">
        <w:rPr>
          <w:sz w:val="23"/>
          <w:szCs w:val="23"/>
        </w:rPr>
        <w:t xml:space="preserve">arly life </w:t>
      </w:r>
      <w:r w:rsidR="00425C0D" w:rsidRPr="00D16A3E">
        <w:rPr>
          <w:sz w:val="23"/>
          <w:szCs w:val="23"/>
        </w:rPr>
        <w:t xml:space="preserve">growth </w:t>
      </w:r>
      <w:r w:rsidR="00446ACF" w:rsidRPr="00D16A3E">
        <w:rPr>
          <w:sz w:val="23"/>
          <w:szCs w:val="23"/>
        </w:rPr>
        <w:t xml:space="preserve">and 450K array </w:t>
      </w:r>
      <w:r w:rsidR="00425C0D" w:rsidRPr="00D16A3E">
        <w:rPr>
          <w:sz w:val="23"/>
          <w:szCs w:val="23"/>
        </w:rPr>
        <w:t xml:space="preserve">data </w:t>
      </w:r>
      <w:r w:rsidRPr="00D16A3E">
        <w:rPr>
          <w:sz w:val="23"/>
          <w:szCs w:val="23"/>
        </w:rPr>
        <w:t xml:space="preserve">were </w:t>
      </w:r>
      <w:r w:rsidR="00425C0D" w:rsidRPr="00D16A3E">
        <w:rPr>
          <w:sz w:val="23"/>
          <w:szCs w:val="23"/>
        </w:rPr>
        <w:t xml:space="preserve">available for 125 ALSPAC children at age 7 and </w:t>
      </w:r>
      <w:r w:rsidR="003F3137">
        <w:rPr>
          <w:sz w:val="23"/>
          <w:szCs w:val="23"/>
        </w:rPr>
        <w:t>96</w:t>
      </w:r>
      <w:r w:rsidR="003F3137" w:rsidRPr="00D16A3E">
        <w:rPr>
          <w:sz w:val="23"/>
          <w:szCs w:val="23"/>
        </w:rPr>
        <w:t xml:space="preserve"> </w:t>
      </w:r>
      <w:r w:rsidR="00425C0D" w:rsidRPr="00D16A3E">
        <w:rPr>
          <w:sz w:val="23"/>
          <w:szCs w:val="23"/>
        </w:rPr>
        <w:t>at age 17 (</w:t>
      </w:r>
      <w:r w:rsidR="0040767C" w:rsidRPr="00510725">
        <w:t xml:space="preserve">Table </w:t>
      </w:r>
      <w:r w:rsidR="0040767C">
        <w:rPr>
          <w:noProof/>
        </w:rPr>
        <w:t>1</w:t>
      </w:r>
      <w:r w:rsidR="00425C0D" w:rsidRPr="00D16A3E">
        <w:t>)</w:t>
      </w:r>
      <w:r w:rsidR="00894EB5" w:rsidRPr="00D16A3E">
        <w:t>. Weight at 12 months was measured in a fraction (n=1</w:t>
      </w:r>
      <w:r w:rsidR="00287556">
        <w:t>,</w:t>
      </w:r>
      <w:r w:rsidR="00894EB5" w:rsidRPr="00D16A3E">
        <w:t>432, 9.3%) of ALSP</w:t>
      </w:r>
      <w:r w:rsidR="003F3137">
        <w:t>A</w:t>
      </w:r>
      <w:r w:rsidR="00894EB5" w:rsidRPr="00D16A3E">
        <w:t>C children</w:t>
      </w:r>
      <w:r w:rsidR="00095CE0" w:rsidRPr="00D16A3E">
        <w:t>, thereby limiting</w:t>
      </w:r>
      <w:r w:rsidR="00095CE0">
        <w:t xml:space="preserve"> the sample size for the methylation analysis</w:t>
      </w:r>
      <w:r w:rsidR="00250403" w:rsidRPr="00510725">
        <w:t>.</w:t>
      </w:r>
      <w:r w:rsidR="009E1F7C">
        <w:t xml:space="preserve"> </w:t>
      </w:r>
      <w:r w:rsidR="009E1F7C" w:rsidRPr="00510725">
        <w:rPr>
          <w:rFonts w:cstheme="minorHAnsi"/>
          <w:shd w:val="clear" w:color="auto" w:fill="FFFFFF"/>
        </w:rPr>
        <w:t>The</w:t>
      </w:r>
      <w:r w:rsidR="009E1F7C">
        <w:rPr>
          <w:rFonts w:cstheme="minorHAnsi"/>
          <w:shd w:val="clear" w:color="auto" w:fill="FFFFFF"/>
        </w:rPr>
        <w:t xml:space="preserve"> ARIES </w:t>
      </w:r>
      <w:r w:rsidR="009E1F7C" w:rsidRPr="00510725">
        <w:rPr>
          <w:rFonts w:cstheme="minorHAnsi"/>
          <w:shd w:val="clear" w:color="auto" w:fill="FFFFFF"/>
        </w:rPr>
        <w:t xml:space="preserve">sub-sample was mostly representative of the main study population; however, ARIES mothers were slightly older, less likely to have a manual occupation and were less likely to smoke during pregnancy </w:t>
      </w:r>
      <w:r w:rsidR="008C7174">
        <w:rPr>
          <w:rFonts w:cstheme="minorHAnsi"/>
          <w:noProof/>
          <w:shd w:val="clear" w:color="auto" w:fill="FFFFFF"/>
        </w:rPr>
        <w:t>(21)</w:t>
      </w:r>
      <w:r w:rsidR="009E1F7C" w:rsidRPr="00510725">
        <w:rPr>
          <w:rFonts w:cstheme="minorHAnsi"/>
          <w:shd w:val="clear" w:color="auto" w:fill="FFFFFF"/>
        </w:rPr>
        <w:t>.</w:t>
      </w:r>
      <w:r w:rsidR="00537045">
        <w:rPr>
          <w:rFonts w:cstheme="minorHAnsi"/>
          <w:shd w:val="clear" w:color="auto" w:fill="FFFFFF"/>
        </w:rPr>
        <w:t xml:space="preserve"> At age 7, 13% of study members were </w:t>
      </w:r>
      <w:r w:rsidR="00095CE0">
        <w:rPr>
          <w:rFonts w:cstheme="minorHAnsi"/>
          <w:shd w:val="clear" w:color="auto" w:fill="FFFFFF"/>
        </w:rPr>
        <w:t>overweight/obese</w:t>
      </w:r>
      <w:r w:rsidR="00537045">
        <w:rPr>
          <w:rFonts w:cstheme="minorHAnsi"/>
          <w:shd w:val="clear" w:color="auto" w:fill="FFFFFF"/>
        </w:rPr>
        <w:t xml:space="preserve">, and 19% </w:t>
      </w:r>
      <w:r w:rsidR="00A326D2">
        <w:rPr>
          <w:rFonts w:cstheme="minorHAnsi"/>
          <w:shd w:val="clear" w:color="auto" w:fill="FFFFFF"/>
        </w:rPr>
        <w:t xml:space="preserve">were </w:t>
      </w:r>
      <w:r w:rsidR="00537045">
        <w:rPr>
          <w:rFonts w:cstheme="minorHAnsi"/>
          <w:shd w:val="clear" w:color="auto" w:fill="FFFFFF"/>
        </w:rPr>
        <w:t xml:space="preserve">at </w:t>
      </w:r>
      <w:r w:rsidR="00F565D3">
        <w:rPr>
          <w:rFonts w:cstheme="minorHAnsi"/>
          <w:shd w:val="clear" w:color="auto" w:fill="FFFFFF"/>
        </w:rPr>
        <w:t>age 17 (Supplementary</w:t>
      </w:r>
      <w:r w:rsidR="00995848">
        <w:rPr>
          <w:rFonts w:cstheme="minorHAnsi"/>
          <w:shd w:val="clear" w:color="auto" w:fill="FFFFFF"/>
        </w:rPr>
        <w:t xml:space="preserve"> </w:t>
      </w:r>
      <w:r w:rsidR="00AE7198">
        <w:t xml:space="preserve">Table </w:t>
      </w:r>
      <w:r w:rsidR="00AE7198">
        <w:rPr>
          <w:noProof/>
        </w:rPr>
        <w:t>1</w:t>
      </w:r>
      <w:r w:rsidR="00537045" w:rsidRPr="00537045">
        <w:rPr>
          <w:rFonts w:cstheme="minorHAnsi"/>
          <w:shd w:val="clear" w:color="auto" w:fill="FFFFFF"/>
        </w:rPr>
        <w:t>)</w:t>
      </w:r>
      <w:r w:rsidR="00537045">
        <w:rPr>
          <w:rFonts w:cstheme="minorHAnsi"/>
          <w:shd w:val="clear" w:color="auto" w:fill="FFFFFF"/>
        </w:rPr>
        <w:t>.</w:t>
      </w:r>
      <w:r w:rsidR="003F3137">
        <w:rPr>
          <w:rFonts w:cstheme="minorHAnsi"/>
          <w:shd w:val="clear" w:color="auto" w:fill="FFFFFF"/>
        </w:rPr>
        <w:t xml:space="preserve"> </w:t>
      </w:r>
    </w:p>
    <w:p w14:paraId="6CBDF575" w14:textId="77777777" w:rsidR="00287556" w:rsidRPr="0057657E" w:rsidRDefault="00287556" w:rsidP="0057657E">
      <w:pPr>
        <w:rPr>
          <w:rFonts w:eastAsiaTheme="majorEastAsia" w:cstheme="minorHAnsi"/>
        </w:rPr>
      </w:pPr>
    </w:p>
    <w:p w14:paraId="65624C64" w14:textId="7DCEBFE4" w:rsidR="00250403" w:rsidRPr="00510725" w:rsidRDefault="00250403" w:rsidP="00EF72E1">
      <w:pPr>
        <w:pStyle w:val="Caption"/>
        <w:keepNext/>
        <w:rPr>
          <w:i/>
        </w:rPr>
      </w:pPr>
      <w:bookmarkStart w:id="3" w:name="_Ref504725945"/>
      <w:bookmarkStart w:id="4" w:name="_Toc19795501"/>
      <w:bookmarkStart w:id="5" w:name="_Toc20411956"/>
      <w:r w:rsidRPr="00510725">
        <w:t xml:space="preserve">Table </w:t>
      </w:r>
      <w:r w:rsidR="001719E7">
        <w:rPr>
          <w:noProof/>
        </w:rPr>
        <w:t>1</w:t>
      </w:r>
      <w:bookmarkEnd w:id="3"/>
      <w:r w:rsidRPr="00510725">
        <w:t xml:space="preserve"> </w:t>
      </w:r>
      <w:r w:rsidR="00EA207F">
        <w:t>The proportion of individuals in the study sample with RWG or RT</w:t>
      </w:r>
      <w:r w:rsidRPr="00510725">
        <w:t xml:space="preserve"> at age 7 and 17 </w:t>
      </w:r>
      <w:bookmarkEnd w:id="4"/>
      <w:bookmarkEnd w:id="5"/>
    </w:p>
    <w:tbl>
      <w:tblPr>
        <w:tblStyle w:val="PlainTable4"/>
        <w:tblW w:w="9577" w:type="dxa"/>
        <w:tblBorders>
          <w:top w:val="single" w:sz="4" w:space="0" w:color="auto"/>
          <w:bottom w:val="single" w:sz="4" w:space="0" w:color="auto"/>
        </w:tblBorders>
        <w:tblLayout w:type="fixed"/>
        <w:tblLook w:val="04A0" w:firstRow="1" w:lastRow="0" w:firstColumn="1" w:lastColumn="0" w:noHBand="0" w:noVBand="1"/>
      </w:tblPr>
      <w:tblGrid>
        <w:gridCol w:w="557"/>
        <w:gridCol w:w="1711"/>
        <w:gridCol w:w="779"/>
        <w:gridCol w:w="567"/>
        <w:gridCol w:w="772"/>
        <w:gridCol w:w="567"/>
        <w:gridCol w:w="772"/>
        <w:gridCol w:w="236"/>
        <w:gridCol w:w="779"/>
        <w:gridCol w:w="611"/>
        <w:gridCol w:w="797"/>
        <w:gridCol w:w="611"/>
        <w:gridCol w:w="818"/>
      </w:tblGrid>
      <w:tr w:rsidR="00250403" w:rsidRPr="00C92C36" w14:paraId="4D6C8158" w14:textId="77777777" w:rsidTr="00C92C3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7" w:type="dxa"/>
            <w:tcBorders>
              <w:bottom w:val="nil"/>
            </w:tcBorders>
            <w:shd w:val="clear" w:color="auto" w:fill="auto"/>
            <w:noWrap/>
            <w:hideMark/>
          </w:tcPr>
          <w:p w14:paraId="07197744" w14:textId="77777777" w:rsidR="00250403" w:rsidRPr="00C92C36" w:rsidRDefault="00250403" w:rsidP="00EF72E1">
            <w:pPr>
              <w:pStyle w:val="NoSpacing"/>
              <w:keepNext/>
              <w:rPr>
                <w:rFonts w:eastAsia="Times New Roman" w:cstheme="minorHAnsi"/>
                <w:sz w:val="20"/>
                <w:szCs w:val="20"/>
                <w:lang w:eastAsia="en-GB"/>
              </w:rPr>
            </w:pPr>
          </w:p>
        </w:tc>
        <w:tc>
          <w:tcPr>
            <w:tcW w:w="1711" w:type="dxa"/>
            <w:tcBorders>
              <w:bottom w:val="nil"/>
            </w:tcBorders>
            <w:shd w:val="clear" w:color="auto" w:fill="auto"/>
            <w:noWrap/>
            <w:hideMark/>
          </w:tcPr>
          <w:p w14:paraId="7701247F" w14:textId="77777777" w:rsidR="00250403" w:rsidRPr="00C92C36" w:rsidRDefault="00250403" w:rsidP="00EF72E1">
            <w:pPr>
              <w:pStyle w:val="NoSpacing"/>
              <w:keepNext/>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0"/>
                <w:szCs w:val="20"/>
                <w:lang w:eastAsia="en-GB"/>
              </w:rPr>
            </w:pPr>
          </w:p>
        </w:tc>
        <w:tc>
          <w:tcPr>
            <w:tcW w:w="3457" w:type="dxa"/>
            <w:gridSpan w:val="5"/>
            <w:tcBorders>
              <w:bottom w:val="nil"/>
            </w:tcBorders>
            <w:shd w:val="clear" w:color="auto" w:fill="auto"/>
            <w:noWrap/>
            <w:hideMark/>
          </w:tcPr>
          <w:p w14:paraId="01E21034" w14:textId="77777777" w:rsidR="00250403" w:rsidRPr="00C92C36" w:rsidRDefault="00250403" w:rsidP="00EF72E1">
            <w:pPr>
              <w:pStyle w:val="NoSpacing"/>
              <w:keepNex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C92C36">
              <w:rPr>
                <w:rFonts w:eastAsia="Times New Roman" w:cstheme="minorHAnsi"/>
                <w:bCs w:val="0"/>
                <w:color w:val="000000"/>
                <w:sz w:val="20"/>
                <w:szCs w:val="20"/>
                <w:lang w:eastAsia="en-GB"/>
              </w:rPr>
              <w:t>Models adjusted for cell counts</w:t>
            </w:r>
          </w:p>
        </w:tc>
        <w:tc>
          <w:tcPr>
            <w:tcW w:w="236" w:type="dxa"/>
            <w:tcBorders>
              <w:bottom w:val="nil"/>
            </w:tcBorders>
            <w:shd w:val="clear" w:color="auto" w:fill="auto"/>
            <w:noWrap/>
            <w:hideMark/>
          </w:tcPr>
          <w:p w14:paraId="58945C4D" w14:textId="77777777" w:rsidR="00250403" w:rsidRPr="00C92C36" w:rsidRDefault="00250403" w:rsidP="00EF72E1">
            <w:pPr>
              <w:pStyle w:val="NoSpacing"/>
              <w:keepNex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c>
          <w:tcPr>
            <w:tcW w:w="3616" w:type="dxa"/>
            <w:gridSpan w:val="5"/>
            <w:tcBorders>
              <w:bottom w:val="nil"/>
            </w:tcBorders>
            <w:shd w:val="clear" w:color="auto" w:fill="auto"/>
            <w:noWrap/>
            <w:hideMark/>
          </w:tcPr>
          <w:p w14:paraId="4EA5E5C4" w14:textId="77777777" w:rsidR="00250403" w:rsidRPr="00C92C36" w:rsidRDefault="00250403" w:rsidP="00EF72E1">
            <w:pPr>
              <w:pStyle w:val="NoSpacing"/>
              <w:keepNext/>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0"/>
                <w:szCs w:val="20"/>
                <w:lang w:eastAsia="en-GB"/>
              </w:rPr>
            </w:pPr>
            <w:r w:rsidRPr="00C92C36">
              <w:rPr>
                <w:rFonts w:eastAsia="Times New Roman" w:cstheme="minorHAnsi"/>
                <w:bCs w:val="0"/>
                <w:color w:val="000000"/>
                <w:sz w:val="20"/>
                <w:szCs w:val="20"/>
                <w:lang w:eastAsia="en-GB"/>
              </w:rPr>
              <w:t>Models not adjusted for cell counts</w:t>
            </w:r>
          </w:p>
        </w:tc>
      </w:tr>
      <w:tr w:rsidR="00250403" w:rsidRPr="00C92C36" w14:paraId="2A63E75C" w14:textId="77777777" w:rsidTr="00C92C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7" w:type="dxa"/>
            <w:tcBorders>
              <w:top w:val="nil"/>
              <w:bottom w:val="single" w:sz="4" w:space="0" w:color="auto"/>
            </w:tcBorders>
            <w:shd w:val="clear" w:color="auto" w:fill="auto"/>
            <w:noWrap/>
            <w:hideMark/>
          </w:tcPr>
          <w:p w14:paraId="56AAF172" w14:textId="77777777" w:rsidR="00250403" w:rsidRPr="00C92C36" w:rsidRDefault="00250403" w:rsidP="00EF72E1">
            <w:pPr>
              <w:pStyle w:val="NoSpacing"/>
              <w:keepNext/>
              <w:rPr>
                <w:rFonts w:eastAsia="Times New Roman" w:cstheme="minorHAnsi"/>
                <w:b w:val="0"/>
                <w:bCs w:val="0"/>
                <w:color w:val="000000"/>
                <w:sz w:val="20"/>
                <w:szCs w:val="20"/>
                <w:lang w:eastAsia="en-GB"/>
              </w:rPr>
            </w:pPr>
            <w:r w:rsidRPr="00C92C36">
              <w:rPr>
                <w:rFonts w:eastAsia="Times New Roman" w:cstheme="minorHAnsi"/>
                <w:b w:val="0"/>
                <w:bCs w:val="0"/>
                <w:color w:val="000000"/>
                <w:sz w:val="20"/>
                <w:szCs w:val="20"/>
                <w:lang w:eastAsia="en-GB"/>
              </w:rPr>
              <w:t>Age</w:t>
            </w:r>
          </w:p>
        </w:tc>
        <w:tc>
          <w:tcPr>
            <w:tcW w:w="1711" w:type="dxa"/>
            <w:tcBorders>
              <w:top w:val="nil"/>
              <w:bottom w:val="single" w:sz="4" w:space="0" w:color="auto"/>
            </w:tcBorders>
            <w:shd w:val="clear" w:color="auto" w:fill="auto"/>
            <w:noWrap/>
            <w:hideMark/>
          </w:tcPr>
          <w:p w14:paraId="76FD9281" w14:textId="77777777" w:rsidR="00250403" w:rsidRPr="00C92C36" w:rsidRDefault="00250403" w:rsidP="00EF72E1">
            <w:pPr>
              <w:pStyle w:val="NoSpacing"/>
              <w:keepNex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92C36">
              <w:rPr>
                <w:rFonts w:eastAsia="Times New Roman" w:cstheme="minorHAnsi"/>
                <w:color w:val="000000"/>
                <w:sz w:val="20"/>
                <w:szCs w:val="20"/>
                <w:lang w:eastAsia="en-GB"/>
              </w:rPr>
              <w:t>Variable</w:t>
            </w:r>
          </w:p>
        </w:tc>
        <w:tc>
          <w:tcPr>
            <w:tcW w:w="779" w:type="dxa"/>
            <w:tcBorders>
              <w:top w:val="nil"/>
              <w:bottom w:val="single" w:sz="4" w:space="0" w:color="auto"/>
            </w:tcBorders>
            <w:shd w:val="clear" w:color="auto" w:fill="auto"/>
            <w:noWrap/>
            <w:hideMark/>
          </w:tcPr>
          <w:p w14:paraId="78EA54DF" w14:textId="77777777" w:rsidR="00250403" w:rsidRPr="00C92C36" w:rsidRDefault="00250403" w:rsidP="00EF72E1">
            <w:pPr>
              <w:pStyle w:val="NoSpacing"/>
              <w:keepNex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92C36">
              <w:rPr>
                <w:rFonts w:eastAsia="Times New Roman" w:cstheme="minorHAnsi"/>
                <w:color w:val="000000"/>
                <w:sz w:val="20"/>
                <w:szCs w:val="20"/>
                <w:lang w:eastAsia="en-GB"/>
              </w:rPr>
              <w:t>Total</w:t>
            </w:r>
          </w:p>
        </w:tc>
        <w:tc>
          <w:tcPr>
            <w:tcW w:w="567" w:type="dxa"/>
            <w:tcBorders>
              <w:top w:val="nil"/>
              <w:bottom w:val="single" w:sz="4" w:space="0" w:color="auto"/>
            </w:tcBorders>
            <w:shd w:val="clear" w:color="auto" w:fill="auto"/>
            <w:noWrap/>
            <w:hideMark/>
          </w:tcPr>
          <w:p w14:paraId="50C6F283" w14:textId="77777777" w:rsidR="00250403" w:rsidRPr="00C92C36" w:rsidRDefault="00250403" w:rsidP="00EF72E1">
            <w:pPr>
              <w:pStyle w:val="NoSpacing"/>
              <w:keepNex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92C36">
              <w:rPr>
                <w:rFonts w:eastAsia="Times New Roman" w:cstheme="minorHAnsi"/>
                <w:color w:val="000000"/>
                <w:sz w:val="20"/>
                <w:szCs w:val="20"/>
                <w:lang w:eastAsia="en-GB"/>
              </w:rPr>
              <w:t>No</w:t>
            </w:r>
          </w:p>
        </w:tc>
        <w:tc>
          <w:tcPr>
            <w:tcW w:w="772" w:type="dxa"/>
            <w:tcBorders>
              <w:top w:val="nil"/>
              <w:bottom w:val="single" w:sz="4" w:space="0" w:color="auto"/>
            </w:tcBorders>
            <w:shd w:val="clear" w:color="auto" w:fill="auto"/>
            <w:noWrap/>
            <w:hideMark/>
          </w:tcPr>
          <w:p w14:paraId="7B525D09" w14:textId="77777777" w:rsidR="00250403" w:rsidRPr="00C92C36" w:rsidRDefault="00250403" w:rsidP="00EF72E1">
            <w:pPr>
              <w:pStyle w:val="NoSpacing"/>
              <w:keepNex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92C36">
              <w:rPr>
                <w:rFonts w:eastAsia="Times New Roman" w:cstheme="minorHAnsi"/>
                <w:color w:val="000000"/>
                <w:sz w:val="20"/>
                <w:szCs w:val="20"/>
                <w:lang w:eastAsia="en-GB"/>
              </w:rPr>
              <w:t>%</w:t>
            </w:r>
          </w:p>
        </w:tc>
        <w:tc>
          <w:tcPr>
            <w:tcW w:w="567" w:type="dxa"/>
            <w:tcBorders>
              <w:top w:val="nil"/>
              <w:bottom w:val="single" w:sz="4" w:space="0" w:color="auto"/>
            </w:tcBorders>
            <w:shd w:val="clear" w:color="auto" w:fill="auto"/>
            <w:noWrap/>
            <w:hideMark/>
          </w:tcPr>
          <w:p w14:paraId="21C80D1F" w14:textId="77777777" w:rsidR="00250403" w:rsidRPr="00C92C36" w:rsidRDefault="00250403" w:rsidP="00EF72E1">
            <w:pPr>
              <w:pStyle w:val="NoSpacing"/>
              <w:keepNex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92C36">
              <w:rPr>
                <w:rFonts w:eastAsia="Times New Roman" w:cstheme="minorHAnsi"/>
                <w:color w:val="000000"/>
                <w:sz w:val="20"/>
                <w:szCs w:val="20"/>
                <w:lang w:eastAsia="en-GB"/>
              </w:rPr>
              <w:t>Yes</w:t>
            </w:r>
          </w:p>
        </w:tc>
        <w:tc>
          <w:tcPr>
            <w:tcW w:w="772" w:type="dxa"/>
            <w:tcBorders>
              <w:top w:val="nil"/>
              <w:bottom w:val="single" w:sz="4" w:space="0" w:color="auto"/>
            </w:tcBorders>
            <w:shd w:val="clear" w:color="auto" w:fill="auto"/>
            <w:noWrap/>
            <w:hideMark/>
          </w:tcPr>
          <w:p w14:paraId="12AC12A4" w14:textId="77777777" w:rsidR="00250403" w:rsidRPr="00C92C36" w:rsidRDefault="00250403" w:rsidP="00EF72E1">
            <w:pPr>
              <w:pStyle w:val="NoSpacing"/>
              <w:keepNex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92C36">
              <w:rPr>
                <w:rFonts w:eastAsia="Times New Roman" w:cstheme="minorHAnsi"/>
                <w:color w:val="000000"/>
                <w:sz w:val="20"/>
                <w:szCs w:val="20"/>
                <w:lang w:eastAsia="en-GB"/>
              </w:rPr>
              <w:t>%</w:t>
            </w:r>
          </w:p>
        </w:tc>
        <w:tc>
          <w:tcPr>
            <w:tcW w:w="236" w:type="dxa"/>
            <w:tcBorders>
              <w:top w:val="nil"/>
              <w:bottom w:val="nil"/>
            </w:tcBorders>
            <w:shd w:val="clear" w:color="auto" w:fill="auto"/>
            <w:noWrap/>
            <w:hideMark/>
          </w:tcPr>
          <w:p w14:paraId="6E53CFC7" w14:textId="77777777" w:rsidR="00250403" w:rsidRPr="00C92C36" w:rsidRDefault="00250403" w:rsidP="00EF72E1">
            <w:pPr>
              <w:pStyle w:val="NoSpacing"/>
              <w:keepNex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779" w:type="dxa"/>
            <w:tcBorders>
              <w:top w:val="nil"/>
              <w:bottom w:val="single" w:sz="4" w:space="0" w:color="auto"/>
            </w:tcBorders>
            <w:shd w:val="clear" w:color="auto" w:fill="auto"/>
            <w:noWrap/>
            <w:hideMark/>
          </w:tcPr>
          <w:p w14:paraId="2056F9F5" w14:textId="77777777" w:rsidR="00250403" w:rsidRPr="00C92C36" w:rsidRDefault="00250403" w:rsidP="00EF72E1">
            <w:pPr>
              <w:pStyle w:val="NoSpacing"/>
              <w:keepNex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92C36">
              <w:rPr>
                <w:rFonts w:eastAsia="Times New Roman" w:cstheme="minorHAnsi"/>
                <w:color w:val="000000"/>
                <w:sz w:val="20"/>
                <w:szCs w:val="20"/>
                <w:lang w:eastAsia="en-GB"/>
              </w:rPr>
              <w:t>Total</w:t>
            </w:r>
          </w:p>
        </w:tc>
        <w:tc>
          <w:tcPr>
            <w:tcW w:w="611" w:type="dxa"/>
            <w:tcBorders>
              <w:top w:val="nil"/>
              <w:bottom w:val="single" w:sz="4" w:space="0" w:color="auto"/>
            </w:tcBorders>
            <w:shd w:val="clear" w:color="auto" w:fill="auto"/>
            <w:noWrap/>
            <w:hideMark/>
          </w:tcPr>
          <w:p w14:paraId="43BFFECD" w14:textId="77777777" w:rsidR="00250403" w:rsidRPr="00C92C36" w:rsidRDefault="00250403" w:rsidP="00EF72E1">
            <w:pPr>
              <w:pStyle w:val="NoSpacing"/>
              <w:keepNex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92C36">
              <w:rPr>
                <w:rFonts w:eastAsia="Times New Roman" w:cstheme="minorHAnsi"/>
                <w:color w:val="000000"/>
                <w:sz w:val="20"/>
                <w:szCs w:val="20"/>
                <w:lang w:eastAsia="en-GB"/>
              </w:rPr>
              <w:t>No</w:t>
            </w:r>
          </w:p>
        </w:tc>
        <w:tc>
          <w:tcPr>
            <w:tcW w:w="797" w:type="dxa"/>
            <w:tcBorders>
              <w:top w:val="nil"/>
              <w:bottom w:val="single" w:sz="4" w:space="0" w:color="auto"/>
            </w:tcBorders>
            <w:shd w:val="clear" w:color="auto" w:fill="auto"/>
            <w:noWrap/>
            <w:hideMark/>
          </w:tcPr>
          <w:p w14:paraId="379ECD4C" w14:textId="77777777" w:rsidR="00250403" w:rsidRPr="00C92C36" w:rsidRDefault="00250403" w:rsidP="00EF72E1">
            <w:pPr>
              <w:pStyle w:val="NoSpacing"/>
              <w:keepNex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92C36">
              <w:rPr>
                <w:rFonts w:eastAsia="Times New Roman" w:cstheme="minorHAnsi"/>
                <w:color w:val="000000"/>
                <w:sz w:val="20"/>
                <w:szCs w:val="20"/>
                <w:lang w:eastAsia="en-GB"/>
              </w:rPr>
              <w:t>%</w:t>
            </w:r>
          </w:p>
        </w:tc>
        <w:tc>
          <w:tcPr>
            <w:tcW w:w="611" w:type="dxa"/>
            <w:tcBorders>
              <w:top w:val="nil"/>
              <w:bottom w:val="single" w:sz="4" w:space="0" w:color="auto"/>
            </w:tcBorders>
            <w:shd w:val="clear" w:color="auto" w:fill="auto"/>
            <w:noWrap/>
            <w:hideMark/>
          </w:tcPr>
          <w:p w14:paraId="6236B9BE" w14:textId="77777777" w:rsidR="00250403" w:rsidRPr="00C92C36" w:rsidRDefault="00250403" w:rsidP="00EF72E1">
            <w:pPr>
              <w:pStyle w:val="NoSpacing"/>
              <w:keepNex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92C36">
              <w:rPr>
                <w:rFonts w:eastAsia="Times New Roman" w:cstheme="minorHAnsi"/>
                <w:color w:val="000000"/>
                <w:sz w:val="20"/>
                <w:szCs w:val="20"/>
                <w:lang w:eastAsia="en-GB"/>
              </w:rPr>
              <w:t>Yes</w:t>
            </w:r>
          </w:p>
        </w:tc>
        <w:tc>
          <w:tcPr>
            <w:tcW w:w="818" w:type="dxa"/>
            <w:tcBorders>
              <w:top w:val="nil"/>
              <w:bottom w:val="single" w:sz="4" w:space="0" w:color="auto"/>
            </w:tcBorders>
            <w:shd w:val="clear" w:color="auto" w:fill="auto"/>
            <w:noWrap/>
            <w:hideMark/>
          </w:tcPr>
          <w:p w14:paraId="6880A5C2" w14:textId="77777777" w:rsidR="00250403" w:rsidRPr="00C92C36" w:rsidRDefault="00250403" w:rsidP="00EF72E1">
            <w:pPr>
              <w:pStyle w:val="NoSpacing"/>
              <w:keepNex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92C36">
              <w:rPr>
                <w:rFonts w:eastAsia="Times New Roman" w:cstheme="minorHAnsi"/>
                <w:color w:val="000000"/>
                <w:sz w:val="20"/>
                <w:szCs w:val="20"/>
                <w:lang w:eastAsia="en-GB"/>
              </w:rPr>
              <w:t>%</w:t>
            </w:r>
          </w:p>
        </w:tc>
      </w:tr>
      <w:tr w:rsidR="00C92C36" w:rsidRPr="00C92C36" w14:paraId="500F7446" w14:textId="77777777" w:rsidTr="00112ABA">
        <w:trPr>
          <w:trHeight w:val="20"/>
        </w:trPr>
        <w:tc>
          <w:tcPr>
            <w:cnfStyle w:val="001000000000" w:firstRow="0" w:lastRow="0" w:firstColumn="1" w:lastColumn="0" w:oddVBand="0" w:evenVBand="0" w:oddHBand="0" w:evenHBand="0" w:firstRowFirstColumn="0" w:firstRowLastColumn="0" w:lastRowFirstColumn="0" w:lastRowLastColumn="0"/>
            <w:tcW w:w="557" w:type="dxa"/>
            <w:tcBorders>
              <w:top w:val="nil"/>
            </w:tcBorders>
            <w:shd w:val="clear" w:color="auto" w:fill="auto"/>
            <w:noWrap/>
            <w:hideMark/>
          </w:tcPr>
          <w:p w14:paraId="55AF6CC4" w14:textId="77777777" w:rsidR="00C92C36" w:rsidRPr="00C92C36" w:rsidRDefault="00C92C36" w:rsidP="00C92C36">
            <w:pPr>
              <w:pStyle w:val="NoSpacing"/>
              <w:keepNext/>
              <w:rPr>
                <w:rFonts w:eastAsia="Times New Roman" w:cstheme="minorHAnsi"/>
                <w:b w:val="0"/>
                <w:bCs w:val="0"/>
                <w:color w:val="000000"/>
                <w:sz w:val="20"/>
                <w:szCs w:val="20"/>
                <w:lang w:eastAsia="en-GB"/>
              </w:rPr>
            </w:pPr>
            <w:r w:rsidRPr="00C92C36">
              <w:rPr>
                <w:rFonts w:eastAsia="Times New Roman" w:cstheme="minorHAnsi"/>
                <w:b w:val="0"/>
                <w:bCs w:val="0"/>
                <w:color w:val="000000"/>
                <w:sz w:val="20"/>
                <w:szCs w:val="20"/>
                <w:lang w:eastAsia="en-GB"/>
              </w:rPr>
              <w:t>7</w:t>
            </w:r>
          </w:p>
        </w:tc>
        <w:tc>
          <w:tcPr>
            <w:tcW w:w="1711" w:type="dxa"/>
            <w:tcBorders>
              <w:top w:val="nil"/>
            </w:tcBorders>
            <w:shd w:val="clear" w:color="auto" w:fill="auto"/>
            <w:noWrap/>
            <w:vAlign w:val="center"/>
            <w:hideMark/>
          </w:tcPr>
          <w:p w14:paraId="45EC8BD2" w14:textId="77777777" w:rsidR="00C92C36" w:rsidRPr="00C92C36" w:rsidRDefault="00C92C36" w:rsidP="00C92C36">
            <w:pPr>
              <w:pStyle w:val="NoSpacing"/>
              <w:keepNex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92C36">
              <w:rPr>
                <w:rFonts w:cstheme="minorHAnsi"/>
                <w:sz w:val="20"/>
                <w:szCs w:val="20"/>
              </w:rPr>
              <w:t>RWG</w:t>
            </w:r>
          </w:p>
        </w:tc>
        <w:tc>
          <w:tcPr>
            <w:tcW w:w="779" w:type="dxa"/>
            <w:tcBorders>
              <w:top w:val="nil"/>
            </w:tcBorders>
            <w:shd w:val="clear" w:color="auto" w:fill="auto"/>
            <w:noWrap/>
            <w:vAlign w:val="bottom"/>
            <w:hideMark/>
          </w:tcPr>
          <w:p w14:paraId="1EBCD15B" w14:textId="646D1E6B" w:rsidR="00C92C36" w:rsidRPr="00C92C36" w:rsidRDefault="00C92C36" w:rsidP="00C92C36">
            <w:pPr>
              <w:pStyle w:val="NoSpacing"/>
              <w:keepNex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92C36">
              <w:rPr>
                <w:rFonts w:cstheme="minorHAnsi"/>
                <w:color w:val="000000"/>
                <w:sz w:val="20"/>
                <w:szCs w:val="20"/>
              </w:rPr>
              <w:t>116</w:t>
            </w:r>
          </w:p>
        </w:tc>
        <w:tc>
          <w:tcPr>
            <w:tcW w:w="567" w:type="dxa"/>
            <w:tcBorders>
              <w:top w:val="nil"/>
            </w:tcBorders>
            <w:shd w:val="clear" w:color="auto" w:fill="auto"/>
            <w:noWrap/>
            <w:vAlign w:val="bottom"/>
            <w:hideMark/>
          </w:tcPr>
          <w:p w14:paraId="4CB85046" w14:textId="0A9FCD4D" w:rsidR="00C92C36" w:rsidRPr="00C92C36" w:rsidRDefault="00C92C36" w:rsidP="00C92C36">
            <w:pPr>
              <w:pStyle w:val="NoSpacing"/>
              <w:keepNex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92C36">
              <w:rPr>
                <w:rFonts w:cstheme="minorHAnsi"/>
                <w:color w:val="000000"/>
                <w:sz w:val="20"/>
                <w:szCs w:val="20"/>
              </w:rPr>
              <w:t>75</w:t>
            </w:r>
          </w:p>
        </w:tc>
        <w:tc>
          <w:tcPr>
            <w:tcW w:w="772" w:type="dxa"/>
            <w:tcBorders>
              <w:top w:val="nil"/>
            </w:tcBorders>
            <w:shd w:val="clear" w:color="auto" w:fill="auto"/>
            <w:noWrap/>
            <w:vAlign w:val="bottom"/>
            <w:hideMark/>
          </w:tcPr>
          <w:p w14:paraId="55EC5A74" w14:textId="4EA62426" w:rsidR="00C92C36" w:rsidRPr="00C92C36" w:rsidRDefault="00C92C36" w:rsidP="00C92C36">
            <w:pPr>
              <w:pStyle w:val="NoSpacing"/>
              <w:keepNex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92C36">
              <w:rPr>
                <w:rFonts w:cstheme="minorHAnsi"/>
                <w:color w:val="000000"/>
                <w:sz w:val="20"/>
                <w:szCs w:val="20"/>
              </w:rPr>
              <w:t>64.7</w:t>
            </w:r>
          </w:p>
        </w:tc>
        <w:tc>
          <w:tcPr>
            <w:tcW w:w="567" w:type="dxa"/>
            <w:tcBorders>
              <w:top w:val="nil"/>
            </w:tcBorders>
            <w:shd w:val="clear" w:color="auto" w:fill="auto"/>
            <w:noWrap/>
            <w:vAlign w:val="bottom"/>
            <w:hideMark/>
          </w:tcPr>
          <w:p w14:paraId="675709DA" w14:textId="7972CD1D" w:rsidR="00C92C36" w:rsidRPr="00C92C36" w:rsidRDefault="00C92C36" w:rsidP="00C92C36">
            <w:pPr>
              <w:pStyle w:val="NoSpacing"/>
              <w:keepNex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92C36">
              <w:rPr>
                <w:rFonts w:cstheme="minorHAnsi"/>
                <w:color w:val="000000"/>
                <w:sz w:val="20"/>
                <w:szCs w:val="20"/>
              </w:rPr>
              <w:t>41</w:t>
            </w:r>
          </w:p>
        </w:tc>
        <w:tc>
          <w:tcPr>
            <w:tcW w:w="772" w:type="dxa"/>
            <w:tcBorders>
              <w:top w:val="nil"/>
            </w:tcBorders>
            <w:shd w:val="clear" w:color="auto" w:fill="auto"/>
            <w:noWrap/>
            <w:vAlign w:val="bottom"/>
            <w:hideMark/>
          </w:tcPr>
          <w:p w14:paraId="1121D7C0" w14:textId="13F66658" w:rsidR="00C92C36" w:rsidRPr="00C92C36" w:rsidRDefault="00C92C36" w:rsidP="00C92C36">
            <w:pPr>
              <w:pStyle w:val="NoSpacing"/>
              <w:keepNex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92C36">
              <w:rPr>
                <w:rFonts w:cstheme="minorHAnsi"/>
                <w:color w:val="000000"/>
                <w:sz w:val="20"/>
                <w:szCs w:val="20"/>
              </w:rPr>
              <w:t>35.3</w:t>
            </w:r>
          </w:p>
        </w:tc>
        <w:tc>
          <w:tcPr>
            <w:tcW w:w="236" w:type="dxa"/>
            <w:tcBorders>
              <w:top w:val="nil"/>
            </w:tcBorders>
            <w:shd w:val="clear" w:color="auto" w:fill="auto"/>
            <w:noWrap/>
            <w:vAlign w:val="bottom"/>
            <w:hideMark/>
          </w:tcPr>
          <w:p w14:paraId="5A5E9546" w14:textId="77777777" w:rsidR="00C92C36" w:rsidRPr="00C92C36" w:rsidRDefault="00C92C36" w:rsidP="00C92C36">
            <w:pPr>
              <w:pStyle w:val="NoSpacing"/>
              <w:keepNex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779" w:type="dxa"/>
            <w:tcBorders>
              <w:top w:val="single" w:sz="4" w:space="0" w:color="auto"/>
            </w:tcBorders>
            <w:shd w:val="clear" w:color="auto" w:fill="auto"/>
            <w:noWrap/>
            <w:vAlign w:val="bottom"/>
            <w:hideMark/>
          </w:tcPr>
          <w:p w14:paraId="799184EE" w14:textId="7A299D86" w:rsidR="00C92C36" w:rsidRPr="00C92C36" w:rsidRDefault="00C92C36" w:rsidP="00C92C36">
            <w:pPr>
              <w:pStyle w:val="NoSpacing"/>
              <w:keepNex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92C36">
              <w:rPr>
                <w:rFonts w:cstheme="minorHAnsi"/>
                <w:color w:val="000000"/>
                <w:sz w:val="20"/>
                <w:szCs w:val="20"/>
              </w:rPr>
              <w:t>125</w:t>
            </w:r>
          </w:p>
        </w:tc>
        <w:tc>
          <w:tcPr>
            <w:tcW w:w="611" w:type="dxa"/>
            <w:tcBorders>
              <w:top w:val="single" w:sz="4" w:space="0" w:color="auto"/>
            </w:tcBorders>
            <w:shd w:val="clear" w:color="auto" w:fill="auto"/>
            <w:noWrap/>
            <w:vAlign w:val="bottom"/>
            <w:hideMark/>
          </w:tcPr>
          <w:p w14:paraId="5EA58AE1" w14:textId="24C903F9" w:rsidR="00C92C36" w:rsidRPr="00C92C36" w:rsidRDefault="00C92C36" w:rsidP="00C92C36">
            <w:pPr>
              <w:pStyle w:val="NoSpacing"/>
              <w:keepNex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92C36">
              <w:rPr>
                <w:rFonts w:cstheme="minorHAnsi"/>
                <w:color w:val="000000"/>
                <w:sz w:val="20"/>
                <w:szCs w:val="20"/>
              </w:rPr>
              <w:t>84</w:t>
            </w:r>
          </w:p>
        </w:tc>
        <w:tc>
          <w:tcPr>
            <w:tcW w:w="797" w:type="dxa"/>
            <w:tcBorders>
              <w:top w:val="single" w:sz="4" w:space="0" w:color="auto"/>
            </w:tcBorders>
            <w:shd w:val="clear" w:color="auto" w:fill="auto"/>
            <w:noWrap/>
            <w:vAlign w:val="bottom"/>
            <w:hideMark/>
          </w:tcPr>
          <w:p w14:paraId="0FCDD3A6" w14:textId="7130D977" w:rsidR="00C92C36" w:rsidRPr="00C92C36" w:rsidRDefault="00C92C36" w:rsidP="00C92C36">
            <w:pPr>
              <w:pStyle w:val="NoSpacing"/>
              <w:keepNex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92C36">
              <w:rPr>
                <w:rFonts w:cstheme="minorHAnsi"/>
                <w:color w:val="000000"/>
                <w:sz w:val="20"/>
                <w:szCs w:val="20"/>
              </w:rPr>
              <w:t>67.2</w:t>
            </w:r>
          </w:p>
        </w:tc>
        <w:tc>
          <w:tcPr>
            <w:tcW w:w="611" w:type="dxa"/>
            <w:tcBorders>
              <w:top w:val="single" w:sz="4" w:space="0" w:color="auto"/>
            </w:tcBorders>
            <w:shd w:val="clear" w:color="auto" w:fill="auto"/>
            <w:noWrap/>
            <w:vAlign w:val="bottom"/>
            <w:hideMark/>
          </w:tcPr>
          <w:p w14:paraId="663D4F16" w14:textId="5CD4F4CB" w:rsidR="00C92C36" w:rsidRPr="00C92C36" w:rsidRDefault="00C92C36" w:rsidP="00C92C36">
            <w:pPr>
              <w:pStyle w:val="NoSpacing"/>
              <w:keepNex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92C36">
              <w:rPr>
                <w:rFonts w:cstheme="minorHAnsi"/>
                <w:color w:val="000000"/>
                <w:sz w:val="20"/>
                <w:szCs w:val="20"/>
              </w:rPr>
              <w:t>41</w:t>
            </w:r>
          </w:p>
        </w:tc>
        <w:tc>
          <w:tcPr>
            <w:tcW w:w="818" w:type="dxa"/>
            <w:tcBorders>
              <w:top w:val="single" w:sz="4" w:space="0" w:color="auto"/>
            </w:tcBorders>
            <w:shd w:val="clear" w:color="auto" w:fill="auto"/>
            <w:noWrap/>
            <w:vAlign w:val="bottom"/>
            <w:hideMark/>
          </w:tcPr>
          <w:p w14:paraId="590FD948" w14:textId="121CBB5E" w:rsidR="00C92C36" w:rsidRPr="00C92C36" w:rsidRDefault="00C92C36" w:rsidP="00C92C36">
            <w:pPr>
              <w:pStyle w:val="NoSpacing"/>
              <w:keepNex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92C36">
              <w:rPr>
                <w:rFonts w:cstheme="minorHAnsi"/>
                <w:color w:val="000000"/>
                <w:sz w:val="20"/>
                <w:szCs w:val="20"/>
              </w:rPr>
              <w:t>32.8</w:t>
            </w:r>
          </w:p>
        </w:tc>
      </w:tr>
      <w:tr w:rsidR="00C92C36" w:rsidRPr="00C92C36" w14:paraId="3A6F9AA1" w14:textId="77777777" w:rsidTr="00C92C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7" w:type="dxa"/>
            <w:shd w:val="clear" w:color="auto" w:fill="auto"/>
            <w:noWrap/>
          </w:tcPr>
          <w:p w14:paraId="7BEC8874" w14:textId="77777777" w:rsidR="00C92C36" w:rsidRPr="00C92C36" w:rsidRDefault="00C92C36" w:rsidP="00C92C36">
            <w:pPr>
              <w:pStyle w:val="NoSpacing"/>
              <w:keepNext/>
              <w:rPr>
                <w:rFonts w:eastAsia="Times New Roman" w:cstheme="minorHAnsi"/>
                <w:b w:val="0"/>
                <w:bCs w:val="0"/>
                <w:color w:val="000000"/>
                <w:sz w:val="20"/>
                <w:szCs w:val="20"/>
                <w:lang w:eastAsia="en-GB"/>
              </w:rPr>
            </w:pPr>
          </w:p>
        </w:tc>
        <w:tc>
          <w:tcPr>
            <w:tcW w:w="1711" w:type="dxa"/>
            <w:shd w:val="clear" w:color="auto" w:fill="auto"/>
            <w:noWrap/>
            <w:vAlign w:val="center"/>
          </w:tcPr>
          <w:p w14:paraId="3C3BC0FA" w14:textId="77777777" w:rsidR="00C92C36" w:rsidRPr="00C92C36" w:rsidRDefault="00C92C36" w:rsidP="00C92C36">
            <w:pPr>
              <w:pStyle w:val="NoSpacing"/>
              <w:keepNex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92C36">
              <w:rPr>
                <w:rFonts w:cstheme="minorHAnsi"/>
                <w:sz w:val="20"/>
                <w:szCs w:val="20"/>
              </w:rPr>
              <w:t>RT</w:t>
            </w:r>
          </w:p>
        </w:tc>
        <w:tc>
          <w:tcPr>
            <w:tcW w:w="779" w:type="dxa"/>
            <w:shd w:val="clear" w:color="auto" w:fill="auto"/>
            <w:noWrap/>
            <w:vAlign w:val="bottom"/>
          </w:tcPr>
          <w:p w14:paraId="5B6713F4" w14:textId="63140F9F" w:rsidR="00C92C36" w:rsidRPr="00C92C36" w:rsidRDefault="00C92C36" w:rsidP="00C92C36">
            <w:pPr>
              <w:pStyle w:val="NoSpacing"/>
              <w:keepNex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92C36">
              <w:rPr>
                <w:rFonts w:cstheme="minorHAnsi"/>
                <w:color w:val="000000"/>
                <w:sz w:val="20"/>
                <w:szCs w:val="20"/>
              </w:rPr>
              <w:t>116</w:t>
            </w:r>
          </w:p>
        </w:tc>
        <w:tc>
          <w:tcPr>
            <w:tcW w:w="567" w:type="dxa"/>
            <w:shd w:val="clear" w:color="auto" w:fill="auto"/>
            <w:noWrap/>
            <w:vAlign w:val="bottom"/>
          </w:tcPr>
          <w:p w14:paraId="1C756F61" w14:textId="35507619" w:rsidR="00C92C36" w:rsidRPr="00C92C36" w:rsidRDefault="00C92C36" w:rsidP="00C92C36">
            <w:pPr>
              <w:pStyle w:val="NoSpacing"/>
              <w:keepNex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92C36">
              <w:rPr>
                <w:rFonts w:cstheme="minorHAnsi"/>
                <w:color w:val="000000"/>
                <w:sz w:val="20"/>
                <w:szCs w:val="20"/>
              </w:rPr>
              <w:t>65</w:t>
            </w:r>
          </w:p>
        </w:tc>
        <w:tc>
          <w:tcPr>
            <w:tcW w:w="772" w:type="dxa"/>
            <w:shd w:val="clear" w:color="auto" w:fill="auto"/>
            <w:noWrap/>
            <w:vAlign w:val="bottom"/>
          </w:tcPr>
          <w:p w14:paraId="603E99C1" w14:textId="34A1C6F1" w:rsidR="00C92C36" w:rsidRPr="00C92C36" w:rsidRDefault="00C92C36" w:rsidP="00C92C36">
            <w:pPr>
              <w:pStyle w:val="NoSpacing"/>
              <w:keepNex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92C36">
              <w:rPr>
                <w:rFonts w:cstheme="minorHAnsi"/>
                <w:color w:val="000000"/>
                <w:sz w:val="20"/>
                <w:szCs w:val="20"/>
              </w:rPr>
              <w:t>56.0</w:t>
            </w:r>
          </w:p>
        </w:tc>
        <w:tc>
          <w:tcPr>
            <w:tcW w:w="567" w:type="dxa"/>
            <w:shd w:val="clear" w:color="auto" w:fill="auto"/>
            <w:noWrap/>
            <w:vAlign w:val="bottom"/>
          </w:tcPr>
          <w:p w14:paraId="5C9D5FD2" w14:textId="3A8E9859" w:rsidR="00C92C36" w:rsidRPr="00C92C36" w:rsidRDefault="00C92C36" w:rsidP="00C92C36">
            <w:pPr>
              <w:pStyle w:val="NoSpacing"/>
              <w:keepNex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92C36">
              <w:rPr>
                <w:rFonts w:cstheme="minorHAnsi"/>
                <w:color w:val="000000"/>
                <w:sz w:val="20"/>
                <w:szCs w:val="20"/>
              </w:rPr>
              <w:t>51</w:t>
            </w:r>
          </w:p>
        </w:tc>
        <w:tc>
          <w:tcPr>
            <w:tcW w:w="772" w:type="dxa"/>
            <w:shd w:val="clear" w:color="auto" w:fill="auto"/>
            <w:noWrap/>
            <w:vAlign w:val="bottom"/>
          </w:tcPr>
          <w:p w14:paraId="1C71EBE9" w14:textId="7F236ECF" w:rsidR="00C92C36" w:rsidRPr="00C92C36" w:rsidRDefault="00C92C36" w:rsidP="00C92C36">
            <w:pPr>
              <w:pStyle w:val="NoSpacing"/>
              <w:keepNex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92C36">
              <w:rPr>
                <w:rFonts w:cstheme="minorHAnsi"/>
                <w:color w:val="000000"/>
                <w:sz w:val="20"/>
                <w:szCs w:val="20"/>
              </w:rPr>
              <w:t>44.0</w:t>
            </w:r>
          </w:p>
        </w:tc>
        <w:tc>
          <w:tcPr>
            <w:tcW w:w="236" w:type="dxa"/>
            <w:shd w:val="clear" w:color="auto" w:fill="auto"/>
            <w:noWrap/>
            <w:vAlign w:val="bottom"/>
          </w:tcPr>
          <w:p w14:paraId="5973FD58" w14:textId="77777777" w:rsidR="00C92C36" w:rsidRPr="00C92C36" w:rsidRDefault="00C92C36" w:rsidP="00C92C36">
            <w:pPr>
              <w:pStyle w:val="NoSpacing"/>
              <w:keepNex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779" w:type="dxa"/>
            <w:shd w:val="clear" w:color="auto" w:fill="auto"/>
            <w:noWrap/>
            <w:vAlign w:val="bottom"/>
          </w:tcPr>
          <w:p w14:paraId="51CAFF8B" w14:textId="0DB78900" w:rsidR="00C92C36" w:rsidRPr="00C92C36" w:rsidRDefault="00C92C36" w:rsidP="00C92C36">
            <w:pPr>
              <w:pStyle w:val="NoSpacing"/>
              <w:keepNex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92C36">
              <w:rPr>
                <w:rFonts w:cstheme="minorHAnsi"/>
                <w:color w:val="000000"/>
                <w:sz w:val="20"/>
                <w:szCs w:val="20"/>
              </w:rPr>
              <w:t>125</w:t>
            </w:r>
          </w:p>
        </w:tc>
        <w:tc>
          <w:tcPr>
            <w:tcW w:w="611" w:type="dxa"/>
            <w:shd w:val="clear" w:color="auto" w:fill="auto"/>
            <w:noWrap/>
            <w:vAlign w:val="bottom"/>
          </w:tcPr>
          <w:p w14:paraId="73BA6AE2" w14:textId="4C5FDF92" w:rsidR="00C92C36" w:rsidRPr="00C92C36" w:rsidRDefault="00C92C36" w:rsidP="00C92C36">
            <w:pPr>
              <w:pStyle w:val="NoSpacing"/>
              <w:keepNex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92C36">
              <w:rPr>
                <w:rFonts w:cstheme="minorHAnsi"/>
                <w:color w:val="000000"/>
                <w:sz w:val="20"/>
                <w:szCs w:val="20"/>
              </w:rPr>
              <w:t>73</w:t>
            </w:r>
          </w:p>
        </w:tc>
        <w:tc>
          <w:tcPr>
            <w:tcW w:w="797" w:type="dxa"/>
            <w:shd w:val="clear" w:color="auto" w:fill="auto"/>
            <w:noWrap/>
            <w:vAlign w:val="bottom"/>
          </w:tcPr>
          <w:p w14:paraId="51A355D0" w14:textId="3FDB00B1" w:rsidR="00C92C36" w:rsidRPr="00C92C36" w:rsidRDefault="00C92C36" w:rsidP="00C92C36">
            <w:pPr>
              <w:pStyle w:val="NoSpacing"/>
              <w:keepNex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92C36">
              <w:rPr>
                <w:rFonts w:cstheme="minorHAnsi"/>
                <w:color w:val="000000"/>
                <w:sz w:val="20"/>
                <w:szCs w:val="20"/>
              </w:rPr>
              <w:t>58.4</w:t>
            </w:r>
          </w:p>
        </w:tc>
        <w:tc>
          <w:tcPr>
            <w:tcW w:w="611" w:type="dxa"/>
            <w:shd w:val="clear" w:color="auto" w:fill="auto"/>
            <w:noWrap/>
            <w:vAlign w:val="bottom"/>
          </w:tcPr>
          <w:p w14:paraId="021FF431" w14:textId="2422A4C7" w:rsidR="00C92C36" w:rsidRPr="00C92C36" w:rsidRDefault="00C92C36" w:rsidP="00C92C36">
            <w:pPr>
              <w:pStyle w:val="NoSpacing"/>
              <w:keepNex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92C36">
              <w:rPr>
                <w:rFonts w:cstheme="minorHAnsi"/>
                <w:color w:val="000000"/>
                <w:sz w:val="20"/>
                <w:szCs w:val="20"/>
              </w:rPr>
              <w:t>52</w:t>
            </w:r>
          </w:p>
        </w:tc>
        <w:tc>
          <w:tcPr>
            <w:tcW w:w="818" w:type="dxa"/>
            <w:shd w:val="clear" w:color="auto" w:fill="auto"/>
            <w:noWrap/>
            <w:vAlign w:val="bottom"/>
          </w:tcPr>
          <w:p w14:paraId="1EE7B74C" w14:textId="17F4C87E" w:rsidR="00C92C36" w:rsidRPr="00C92C36" w:rsidRDefault="00C92C36" w:rsidP="00C92C36">
            <w:pPr>
              <w:pStyle w:val="NoSpacing"/>
              <w:keepNex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92C36">
              <w:rPr>
                <w:rFonts w:cstheme="minorHAnsi"/>
                <w:color w:val="000000"/>
                <w:sz w:val="20"/>
                <w:szCs w:val="20"/>
              </w:rPr>
              <w:t>41.6</w:t>
            </w:r>
          </w:p>
        </w:tc>
      </w:tr>
      <w:tr w:rsidR="00C92C36" w:rsidRPr="00C92C36" w14:paraId="1C126D74" w14:textId="77777777" w:rsidTr="00C92C36">
        <w:trPr>
          <w:trHeight w:val="20"/>
        </w:trPr>
        <w:tc>
          <w:tcPr>
            <w:cnfStyle w:val="001000000000" w:firstRow="0" w:lastRow="0" w:firstColumn="1" w:lastColumn="0" w:oddVBand="0" w:evenVBand="0" w:oddHBand="0" w:evenHBand="0" w:firstRowFirstColumn="0" w:firstRowLastColumn="0" w:lastRowFirstColumn="0" w:lastRowLastColumn="0"/>
            <w:tcW w:w="557" w:type="dxa"/>
            <w:tcBorders>
              <w:top w:val="single" w:sz="4" w:space="0" w:color="auto"/>
            </w:tcBorders>
            <w:shd w:val="clear" w:color="auto" w:fill="auto"/>
            <w:noWrap/>
            <w:hideMark/>
          </w:tcPr>
          <w:p w14:paraId="56E889D5" w14:textId="77777777" w:rsidR="00C92C36" w:rsidRPr="00C92C36" w:rsidRDefault="00C92C36" w:rsidP="00C92C36">
            <w:pPr>
              <w:pStyle w:val="NoSpacing"/>
              <w:keepNext/>
              <w:rPr>
                <w:rFonts w:eastAsia="Times New Roman" w:cstheme="minorHAnsi"/>
                <w:b w:val="0"/>
                <w:bCs w:val="0"/>
                <w:color w:val="000000"/>
                <w:sz w:val="20"/>
                <w:szCs w:val="20"/>
                <w:lang w:eastAsia="en-GB"/>
              </w:rPr>
            </w:pPr>
            <w:r w:rsidRPr="00C92C36">
              <w:rPr>
                <w:rFonts w:eastAsia="Times New Roman" w:cstheme="minorHAnsi"/>
                <w:b w:val="0"/>
                <w:bCs w:val="0"/>
                <w:color w:val="000000"/>
                <w:sz w:val="20"/>
                <w:szCs w:val="20"/>
                <w:lang w:eastAsia="en-GB"/>
              </w:rPr>
              <w:t>17</w:t>
            </w:r>
          </w:p>
        </w:tc>
        <w:tc>
          <w:tcPr>
            <w:tcW w:w="1711" w:type="dxa"/>
            <w:tcBorders>
              <w:top w:val="single" w:sz="4" w:space="0" w:color="auto"/>
            </w:tcBorders>
            <w:shd w:val="clear" w:color="auto" w:fill="auto"/>
            <w:noWrap/>
            <w:vAlign w:val="center"/>
            <w:hideMark/>
          </w:tcPr>
          <w:p w14:paraId="31FC9190" w14:textId="77777777" w:rsidR="00C92C36" w:rsidRPr="00C92C36" w:rsidRDefault="00C92C36" w:rsidP="00C92C36">
            <w:pPr>
              <w:pStyle w:val="NoSpacing"/>
              <w:keepNex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92C36">
              <w:rPr>
                <w:rFonts w:cstheme="minorHAnsi"/>
                <w:sz w:val="20"/>
                <w:szCs w:val="20"/>
              </w:rPr>
              <w:t>RWG</w:t>
            </w:r>
          </w:p>
        </w:tc>
        <w:tc>
          <w:tcPr>
            <w:tcW w:w="779" w:type="dxa"/>
            <w:tcBorders>
              <w:top w:val="single" w:sz="4" w:space="0" w:color="auto"/>
            </w:tcBorders>
            <w:shd w:val="clear" w:color="auto" w:fill="auto"/>
            <w:noWrap/>
            <w:vAlign w:val="bottom"/>
            <w:hideMark/>
          </w:tcPr>
          <w:p w14:paraId="41690B58" w14:textId="206336DF" w:rsidR="00C92C36" w:rsidRPr="00C92C36" w:rsidRDefault="00C92C36" w:rsidP="00C92C36">
            <w:pPr>
              <w:pStyle w:val="NoSpacing"/>
              <w:keepNex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92C36">
              <w:rPr>
                <w:rFonts w:cstheme="minorHAnsi"/>
                <w:color w:val="000000"/>
                <w:sz w:val="20"/>
                <w:szCs w:val="20"/>
              </w:rPr>
              <w:t>89</w:t>
            </w:r>
          </w:p>
        </w:tc>
        <w:tc>
          <w:tcPr>
            <w:tcW w:w="567" w:type="dxa"/>
            <w:tcBorders>
              <w:top w:val="single" w:sz="4" w:space="0" w:color="auto"/>
            </w:tcBorders>
            <w:shd w:val="clear" w:color="auto" w:fill="auto"/>
            <w:noWrap/>
            <w:vAlign w:val="bottom"/>
            <w:hideMark/>
          </w:tcPr>
          <w:p w14:paraId="75E4F420" w14:textId="4F283EC1" w:rsidR="00C92C36" w:rsidRPr="00C92C36" w:rsidRDefault="00C92C36" w:rsidP="00C92C36">
            <w:pPr>
              <w:pStyle w:val="NoSpacing"/>
              <w:keepNex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92C36">
              <w:rPr>
                <w:rFonts w:cstheme="minorHAnsi"/>
                <w:color w:val="000000"/>
                <w:sz w:val="20"/>
                <w:szCs w:val="20"/>
              </w:rPr>
              <w:t>54</w:t>
            </w:r>
          </w:p>
        </w:tc>
        <w:tc>
          <w:tcPr>
            <w:tcW w:w="772" w:type="dxa"/>
            <w:tcBorders>
              <w:top w:val="single" w:sz="4" w:space="0" w:color="auto"/>
            </w:tcBorders>
            <w:shd w:val="clear" w:color="auto" w:fill="auto"/>
            <w:noWrap/>
            <w:vAlign w:val="bottom"/>
            <w:hideMark/>
          </w:tcPr>
          <w:p w14:paraId="6B766290" w14:textId="4E16DD7D" w:rsidR="00C92C36" w:rsidRPr="00C92C36" w:rsidRDefault="00C92C36" w:rsidP="00C92C36">
            <w:pPr>
              <w:pStyle w:val="NoSpacing"/>
              <w:keepNex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92C36">
              <w:rPr>
                <w:rFonts w:cstheme="minorHAnsi"/>
                <w:color w:val="000000"/>
                <w:sz w:val="20"/>
                <w:szCs w:val="20"/>
              </w:rPr>
              <w:t>60.7</w:t>
            </w:r>
          </w:p>
        </w:tc>
        <w:tc>
          <w:tcPr>
            <w:tcW w:w="567" w:type="dxa"/>
            <w:tcBorders>
              <w:top w:val="single" w:sz="4" w:space="0" w:color="auto"/>
            </w:tcBorders>
            <w:shd w:val="clear" w:color="auto" w:fill="auto"/>
            <w:noWrap/>
            <w:vAlign w:val="bottom"/>
            <w:hideMark/>
          </w:tcPr>
          <w:p w14:paraId="37B020BB" w14:textId="3B201F88" w:rsidR="00C92C36" w:rsidRPr="00C92C36" w:rsidRDefault="00C92C36" w:rsidP="00C92C36">
            <w:pPr>
              <w:pStyle w:val="NoSpacing"/>
              <w:keepNex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92C36">
              <w:rPr>
                <w:rFonts w:cstheme="minorHAnsi"/>
                <w:color w:val="000000"/>
                <w:sz w:val="20"/>
                <w:szCs w:val="20"/>
              </w:rPr>
              <w:t>35</w:t>
            </w:r>
          </w:p>
        </w:tc>
        <w:tc>
          <w:tcPr>
            <w:tcW w:w="772" w:type="dxa"/>
            <w:tcBorders>
              <w:top w:val="single" w:sz="4" w:space="0" w:color="auto"/>
            </w:tcBorders>
            <w:shd w:val="clear" w:color="auto" w:fill="auto"/>
            <w:noWrap/>
            <w:vAlign w:val="bottom"/>
            <w:hideMark/>
          </w:tcPr>
          <w:p w14:paraId="7AE4677E" w14:textId="2A33DAFB" w:rsidR="00C92C36" w:rsidRPr="00C92C36" w:rsidRDefault="00C92C36" w:rsidP="00C92C36">
            <w:pPr>
              <w:pStyle w:val="NoSpacing"/>
              <w:keepNex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92C36">
              <w:rPr>
                <w:rFonts w:cstheme="minorHAnsi"/>
                <w:color w:val="000000"/>
                <w:sz w:val="20"/>
                <w:szCs w:val="20"/>
              </w:rPr>
              <w:t>39.3</w:t>
            </w:r>
          </w:p>
        </w:tc>
        <w:tc>
          <w:tcPr>
            <w:tcW w:w="236" w:type="dxa"/>
            <w:tcBorders>
              <w:top w:val="single" w:sz="4" w:space="0" w:color="auto"/>
            </w:tcBorders>
            <w:shd w:val="clear" w:color="auto" w:fill="auto"/>
            <w:noWrap/>
            <w:vAlign w:val="bottom"/>
            <w:hideMark/>
          </w:tcPr>
          <w:p w14:paraId="27634A81" w14:textId="77777777" w:rsidR="00C92C36" w:rsidRPr="00C92C36" w:rsidRDefault="00C92C36" w:rsidP="00C92C36">
            <w:pPr>
              <w:pStyle w:val="NoSpacing"/>
              <w:keepNex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779" w:type="dxa"/>
            <w:tcBorders>
              <w:top w:val="single" w:sz="4" w:space="0" w:color="auto"/>
            </w:tcBorders>
            <w:shd w:val="clear" w:color="auto" w:fill="auto"/>
            <w:noWrap/>
            <w:vAlign w:val="bottom"/>
            <w:hideMark/>
          </w:tcPr>
          <w:p w14:paraId="272E08E9" w14:textId="0908D020" w:rsidR="00C92C36" w:rsidRPr="00C92C36" w:rsidRDefault="00C92C36" w:rsidP="00C92C36">
            <w:pPr>
              <w:pStyle w:val="NoSpacing"/>
              <w:keepNex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92C36">
              <w:rPr>
                <w:rFonts w:cstheme="minorHAnsi"/>
                <w:color w:val="000000"/>
                <w:sz w:val="20"/>
                <w:szCs w:val="20"/>
              </w:rPr>
              <w:t>96</w:t>
            </w:r>
          </w:p>
        </w:tc>
        <w:tc>
          <w:tcPr>
            <w:tcW w:w="611" w:type="dxa"/>
            <w:tcBorders>
              <w:top w:val="single" w:sz="4" w:space="0" w:color="auto"/>
            </w:tcBorders>
            <w:shd w:val="clear" w:color="auto" w:fill="auto"/>
            <w:noWrap/>
            <w:vAlign w:val="bottom"/>
            <w:hideMark/>
          </w:tcPr>
          <w:p w14:paraId="2C18A884" w14:textId="52B88A81" w:rsidR="00C92C36" w:rsidRPr="00C92C36" w:rsidRDefault="00C92C36" w:rsidP="00C92C36">
            <w:pPr>
              <w:pStyle w:val="NoSpacing"/>
              <w:keepNex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92C36">
              <w:rPr>
                <w:rFonts w:cstheme="minorHAnsi"/>
                <w:color w:val="000000"/>
                <w:sz w:val="20"/>
                <w:szCs w:val="20"/>
              </w:rPr>
              <w:t>61</w:t>
            </w:r>
          </w:p>
        </w:tc>
        <w:tc>
          <w:tcPr>
            <w:tcW w:w="797" w:type="dxa"/>
            <w:tcBorders>
              <w:top w:val="single" w:sz="4" w:space="0" w:color="auto"/>
            </w:tcBorders>
            <w:shd w:val="clear" w:color="auto" w:fill="auto"/>
            <w:noWrap/>
            <w:vAlign w:val="bottom"/>
            <w:hideMark/>
          </w:tcPr>
          <w:p w14:paraId="49058993" w14:textId="653BE67F" w:rsidR="00C92C36" w:rsidRPr="00C92C36" w:rsidRDefault="00C92C36" w:rsidP="00C92C36">
            <w:pPr>
              <w:pStyle w:val="NoSpacing"/>
              <w:keepNex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92C36">
              <w:rPr>
                <w:rFonts w:cstheme="minorHAnsi"/>
                <w:color w:val="000000"/>
                <w:sz w:val="20"/>
                <w:szCs w:val="20"/>
              </w:rPr>
              <w:t>63.5</w:t>
            </w:r>
          </w:p>
        </w:tc>
        <w:tc>
          <w:tcPr>
            <w:tcW w:w="611" w:type="dxa"/>
            <w:tcBorders>
              <w:top w:val="single" w:sz="4" w:space="0" w:color="auto"/>
            </w:tcBorders>
            <w:shd w:val="clear" w:color="auto" w:fill="auto"/>
            <w:noWrap/>
            <w:vAlign w:val="bottom"/>
            <w:hideMark/>
          </w:tcPr>
          <w:p w14:paraId="747B9A06" w14:textId="053B3F5C" w:rsidR="00C92C36" w:rsidRPr="00C92C36" w:rsidRDefault="00C92C36" w:rsidP="00C92C36">
            <w:pPr>
              <w:pStyle w:val="NoSpacing"/>
              <w:keepNex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92C36">
              <w:rPr>
                <w:rFonts w:cstheme="minorHAnsi"/>
                <w:color w:val="000000"/>
                <w:sz w:val="20"/>
                <w:szCs w:val="20"/>
              </w:rPr>
              <w:t>35</w:t>
            </w:r>
          </w:p>
        </w:tc>
        <w:tc>
          <w:tcPr>
            <w:tcW w:w="818" w:type="dxa"/>
            <w:tcBorders>
              <w:top w:val="single" w:sz="4" w:space="0" w:color="auto"/>
            </w:tcBorders>
            <w:shd w:val="clear" w:color="auto" w:fill="auto"/>
            <w:noWrap/>
            <w:vAlign w:val="bottom"/>
            <w:hideMark/>
          </w:tcPr>
          <w:p w14:paraId="44D0DF47" w14:textId="3C7469C5" w:rsidR="00C92C36" w:rsidRPr="00C92C36" w:rsidRDefault="00C92C36" w:rsidP="00C92C36">
            <w:pPr>
              <w:pStyle w:val="NoSpacing"/>
              <w:keepNex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92C36">
              <w:rPr>
                <w:rFonts w:cstheme="minorHAnsi"/>
                <w:color w:val="000000"/>
                <w:sz w:val="20"/>
                <w:szCs w:val="20"/>
              </w:rPr>
              <w:t>36.5</w:t>
            </w:r>
          </w:p>
        </w:tc>
      </w:tr>
      <w:tr w:rsidR="00C92C36" w:rsidRPr="00C92C36" w14:paraId="20D54F57" w14:textId="77777777" w:rsidTr="00C92C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7" w:type="dxa"/>
            <w:shd w:val="clear" w:color="auto" w:fill="auto"/>
            <w:noWrap/>
          </w:tcPr>
          <w:p w14:paraId="09FDB9A2" w14:textId="77777777" w:rsidR="00C92C36" w:rsidRPr="00C92C36" w:rsidRDefault="00C92C36" w:rsidP="00C92C36">
            <w:pPr>
              <w:pStyle w:val="NoSpacing"/>
              <w:keepNext/>
              <w:rPr>
                <w:rFonts w:eastAsia="Times New Roman" w:cstheme="minorHAnsi"/>
                <w:b w:val="0"/>
                <w:bCs w:val="0"/>
                <w:color w:val="000000"/>
                <w:sz w:val="20"/>
                <w:szCs w:val="20"/>
                <w:lang w:eastAsia="en-GB"/>
              </w:rPr>
            </w:pPr>
          </w:p>
        </w:tc>
        <w:tc>
          <w:tcPr>
            <w:tcW w:w="1711" w:type="dxa"/>
            <w:shd w:val="clear" w:color="auto" w:fill="auto"/>
            <w:noWrap/>
            <w:vAlign w:val="center"/>
          </w:tcPr>
          <w:p w14:paraId="65C7420F" w14:textId="77777777" w:rsidR="00C92C36" w:rsidRPr="00C92C36" w:rsidRDefault="00C92C36" w:rsidP="00C92C36">
            <w:pPr>
              <w:pStyle w:val="NoSpacing"/>
              <w:keepNex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92C36">
              <w:rPr>
                <w:rFonts w:cstheme="minorHAnsi"/>
                <w:sz w:val="20"/>
                <w:szCs w:val="20"/>
              </w:rPr>
              <w:t>RT</w:t>
            </w:r>
          </w:p>
        </w:tc>
        <w:tc>
          <w:tcPr>
            <w:tcW w:w="779" w:type="dxa"/>
            <w:shd w:val="clear" w:color="auto" w:fill="auto"/>
            <w:noWrap/>
            <w:vAlign w:val="bottom"/>
          </w:tcPr>
          <w:p w14:paraId="283E1ADC" w14:textId="0338BEF3" w:rsidR="00C92C36" w:rsidRPr="00C92C36" w:rsidRDefault="00C92C36" w:rsidP="00C92C36">
            <w:pPr>
              <w:pStyle w:val="NoSpacing"/>
              <w:keepNex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92C36">
              <w:rPr>
                <w:rFonts w:cstheme="minorHAnsi"/>
                <w:color w:val="000000"/>
                <w:sz w:val="20"/>
                <w:szCs w:val="20"/>
              </w:rPr>
              <w:t>89</w:t>
            </w:r>
          </w:p>
        </w:tc>
        <w:tc>
          <w:tcPr>
            <w:tcW w:w="567" w:type="dxa"/>
            <w:shd w:val="clear" w:color="auto" w:fill="auto"/>
            <w:noWrap/>
            <w:vAlign w:val="bottom"/>
          </w:tcPr>
          <w:p w14:paraId="7199227D" w14:textId="737E9C28" w:rsidR="00C92C36" w:rsidRPr="00C92C36" w:rsidRDefault="00C92C36" w:rsidP="00C92C36">
            <w:pPr>
              <w:pStyle w:val="NoSpacing"/>
              <w:keepNex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92C36">
              <w:rPr>
                <w:rFonts w:cstheme="minorHAnsi"/>
                <w:color w:val="000000"/>
                <w:sz w:val="20"/>
                <w:szCs w:val="20"/>
              </w:rPr>
              <w:t>50</w:t>
            </w:r>
          </w:p>
        </w:tc>
        <w:tc>
          <w:tcPr>
            <w:tcW w:w="772" w:type="dxa"/>
            <w:shd w:val="clear" w:color="auto" w:fill="auto"/>
            <w:noWrap/>
            <w:vAlign w:val="bottom"/>
          </w:tcPr>
          <w:p w14:paraId="1ACD1AEF" w14:textId="4CAE532F" w:rsidR="00C92C36" w:rsidRPr="00C92C36" w:rsidRDefault="00C92C36" w:rsidP="00C92C36">
            <w:pPr>
              <w:pStyle w:val="NoSpacing"/>
              <w:keepNex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92C36">
              <w:rPr>
                <w:rFonts w:cstheme="minorHAnsi"/>
                <w:color w:val="000000"/>
                <w:sz w:val="20"/>
                <w:szCs w:val="20"/>
              </w:rPr>
              <w:t>56.2</w:t>
            </w:r>
          </w:p>
        </w:tc>
        <w:tc>
          <w:tcPr>
            <w:tcW w:w="567" w:type="dxa"/>
            <w:shd w:val="clear" w:color="auto" w:fill="auto"/>
            <w:noWrap/>
            <w:vAlign w:val="bottom"/>
          </w:tcPr>
          <w:p w14:paraId="498F10AD" w14:textId="3ACC7D27" w:rsidR="00C92C36" w:rsidRPr="00C92C36" w:rsidRDefault="00C92C36" w:rsidP="00C92C36">
            <w:pPr>
              <w:pStyle w:val="NoSpacing"/>
              <w:keepNex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92C36">
              <w:rPr>
                <w:rFonts w:cstheme="minorHAnsi"/>
                <w:color w:val="000000"/>
                <w:sz w:val="20"/>
                <w:szCs w:val="20"/>
              </w:rPr>
              <w:t>39</w:t>
            </w:r>
          </w:p>
        </w:tc>
        <w:tc>
          <w:tcPr>
            <w:tcW w:w="772" w:type="dxa"/>
            <w:shd w:val="clear" w:color="auto" w:fill="auto"/>
            <w:noWrap/>
            <w:vAlign w:val="bottom"/>
          </w:tcPr>
          <w:p w14:paraId="107F8C20" w14:textId="1E6B3E45" w:rsidR="00C92C36" w:rsidRPr="00C92C36" w:rsidRDefault="00C92C36" w:rsidP="00C92C36">
            <w:pPr>
              <w:pStyle w:val="NoSpacing"/>
              <w:keepNex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92C36">
              <w:rPr>
                <w:rFonts w:cstheme="minorHAnsi"/>
                <w:color w:val="000000"/>
                <w:sz w:val="20"/>
                <w:szCs w:val="20"/>
              </w:rPr>
              <w:t>43.8</w:t>
            </w:r>
          </w:p>
        </w:tc>
        <w:tc>
          <w:tcPr>
            <w:tcW w:w="236" w:type="dxa"/>
            <w:shd w:val="clear" w:color="auto" w:fill="auto"/>
            <w:noWrap/>
            <w:vAlign w:val="bottom"/>
          </w:tcPr>
          <w:p w14:paraId="082F61D9" w14:textId="77777777" w:rsidR="00C92C36" w:rsidRPr="00C92C36" w:rsidRDefault="00C92C36" w:rsidP="00C92C36">
            <w:pPr>
              <w:pStyle w:val="NoSpacing"/>
              <w:keepNex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779" w:type="dxa"/>
            <w:shd w:val="clear" w:color="auto" w:fill="auto"/>
            <w:noWrap/>
            <w:vAlign w:val="bottom"/>
          </w:tcPr>
          <w:p w14:paraId="1CC97A7B" w14:textId="315FFA5D" w:rsidR="00C92C36" w:rsidRPr="00C92C36" w:rsidRDefault="00C92C36" w:rsidP="00C92C36">
            <w:pPr>
              <w:pStyle w:val="NoSpacing"/>
              <w:keepNex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92C36">
              <w:rPr>
                <w:rFonts w:cstheme="minorHAnsi"/>
                <w:color w:val="000000"/>
                <w:sz w:val="20"/>
                <w:szCs w:val="20"/>
              </w:rPr>
              <w:t>96</w:t>
            </w:r>
          </w:p>
        </w:tc>
        <w:tc>
          <w:tcPr>
            <w:tcW w:w="611" w:type="dxa"/>
            <w:shd w:val="clear" w:color="auto" w:fill="auto"/>
            <w:noWrap/>
            <w:vAlign w:val="bottom"/>
          </w:tcPr>
          <w:p w14:paraId="786C8072" w14:textId="130501EA" w:rsidR="00C92C36" w:rsidRPr="00C92C36" w:rsidRDefault="00C92C36" w:rsidP="00C92C36">
            <w:pPr>
              <w:pStyle w:val="NoSpacing"/>
              <w:keepNex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92C36">
              <w:rPr>
                <w:rFonts w:cstheme="minorHAnsi"/>
                <w:color w:val="000000"/>
                <w:sz w:val="20"/>
                <w:szCs w:val="20"/>
              </w:rPr>
              <w:t>56</w:t>
            </w:r>
          </w:p>
        </w:tc>
        <w:tc>
          <w:tcPr>
            <w:tcW w:w="797" w:type="dxa"/>
            <w:shd w:val="clear" w:color="auto" w:fill="auto"/>
            <w:noWrap/>
            <w:vAlign w:val="bottom"/>
          </w:tcPr>
          <w:p w14:paraId="7588855B" w14:textId="71A40A92" w:rsidR="00C92C36" w:rsidRPr="00C92C36" w:rsidRDefault="00C92C36" w:rsidP="00C92C36">
            <w:pPr>
              <w:pStyle w:val="NoSpacing"/>
              <w:keepNex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92C36">
              <w:rPr>
                <w:rFonts w:cstheme="minorHAnsi"/>
                <w:color w:val="000000"/>
                <w:sz w:val="20"/>
                <w:szCs w:val="20"/>
              </w:rPr>
              <w:t>58.3</w:t>
            </w:r>
          </w:p>
        </w:tc>
        <w:tc>
          <w:tcPr>
            <w:tcW w:w="611" w:type="dxa"/>
            <w:shd w:val="clear" w:color="auto" w:fill="auto"/>
            <w:noWrap/>
            <w:vAlign w:val="bottom"/>
          </w:tcPr>
          <w:p w14:paraId="1170DC49" w14:textId="6D812846" w:rsidR="00C92C36" w:rsidRPr="00C92C36" w:rsidRDefault="00C92C36" w:rsidP="00C92C36">
            <w:pPr>
              <w:pStyle w:val="NoSpacing"/>
              <w:keepNex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92C36">
              <w:rPr>
                <w:rFonts w:cstheme="minorHAnsi"/>
                <w:color w:val="000000"/>
                <w:sz w:val="20"/>
                <w:szCs w:val="20"/>
              </w:rPr>
              <w:t>40</w:t>
            </w:r>
          </w:p>
        </w:tc>
        <w:tc>
          <w:tcPr>
            <w:tcW w:w="818" w:type="dxa"/>
            <w:shd w:val="clear" w:color="auto" w:fill="auto"/>
            <w:noWrap/>
            <w:vAlign w:val="bottom"/>
          </w:tcPr>
          <w:p w14:paraId="31BFA979" w14:textId="19492AEA" w:rsidR="00C92C36" w:rsidRPr="00C92C36" w:rsidRDefault="00C92C36" w:rsidP="00C92C36">
            <w:pPr>
              <w:pStyle w:val="NoSpacing"/>
              <w:keepNex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92C36">
              <w:rPr>
                <w:rFonts w:cstheme="minorHAnsi"/>
                <w:color w:val="000000"/>
                <w:sz w:val="20"/>
                <w:szCs w:val="20"/>
              </w:rPr>
              <w:t>41.7</w:t>
            </w:r>
          </w:p>
        </w:tc>
      </w:tr>
    </w:tbl>
    <w:p w14:paraId="7A1B2EFB" w14:textId="12BC09B9" w:rsidR="00250403" w:rsidRDefault="0057657E" w:rsidP="00250403">
      <w:pPr>
        <w:pStyle w:val="Caption"/>
        <w:rPr>
          <w:shd w:val="clear" w:color="auto" w:fill="FFFFFF"/>
        </w:rPr>
      </w:pPr>
      <w:r>
        <w:rPr>
          <w:shd w:val="clear" w:color="auto" w:fill="FFFFFF"/>
        </w:rPr>
        <w:t xml:space="preserve">Presented for </w:t>
      </w:r>
      <w:r>
        <w:t xml:space="preserve">models adjusted or unadjusted for </w:t>
      </w:r>
      <w:r w:rsidRPr="00510725">
        <w:t>cell counts.</w:t>
      </w:r>
      <w:r>
        <w:t xml:space="preserve"> </w:t>
      </w:r>
      <w:r w:rsidR="00250403" w:rsidRPr="00510725">
        <w:rPr>
          <w:shd w:val="clear" w:color="auto" w:fill="FFFFFF"/>
        </w:rPr>
        <w:t>RWG, rapid weight gain; RT, rapid thrive</w:t>
      </w:r>
      <w:r w:rsidR="00970CA9">
        <w:rPr>
          <w:shd w:val="clear" w:color="auto" w:fill="FFFFFF"/>
        </w:rPr>
        <w:t>.</w:t>
      </w:r>
      <w:r w:rsidR="003F3137">
        <w:rPr>
          <w:shd w:val="clear" w:color="auto" w:fill="FFFFFF"/>
        </w:rPr>
        <w:br/>
      </w:r>
      <w:r w:rsidR="003F3137" w:rsidRPr="002B51F2">
        <w:rPr>
          <w:color w:val="auto"/>
        </w:rPr>
        <w:t xml:space="preserve">94/125 (75%) </w:t>
      </w:r>
      <w:r w:rsidR="002B51F2">
        <w:rPr>
          <w:color w:val="auto"/>
        </w:rPr>
        <w:t xml:space="preserve">with </w:t>
      </w:r>
      <w:r w:rsidR="003F3137" w:rsidRPr="002B51F2">
        <w:rPr>
          <w:color w:val="auto"/>
        </w:rPr>
        <w:t>measure</w:t>
      </w:r>
      <w:r w:rsidR="002B51F2">
        <w:rPr>
          <w:color w:val="auto"/>
        </w:rPr>
        <w:t>s</w:t>
      </w:r>
      <w:r w:rsidR="003F3137" w:rsidRPr="002B51F2">
        <w:rPr>
          <w:color w:val="auto"/>
        </w:rPr>
        <w:t xml:space="preserve"> at age 7 had </w:t>
      </w:r>
      <w:proofErr w:type="spellStart"/>
      <w:r w:rsidR="003F3137" w:rsidRPr="002B51F2">
        <w:rPr>
          <w:color w:val="auto"/>
        </w:rPr>
        <w:t>DNAm</w:t>
      </w:r>
      <w:proofErr w:type="spellEnd"/>
      <w:r w:rsidR="003F3137" w:rsidRPr="002B51F2">
        <w:rPr>
          <w:color w:val="auto"/>
        </w:rPr>
        <w:t xml:space="preserve"> measures at age 17.</w:t>
      </w:r>
    </w:p>
    <w:p w14:paraId="57335DF3" w14:textId="77777777" w:rsidR="00226BF5" w:rsidRPr="006B7F5A" w:rsidRDefault="00226BF5" w:rsidP="006B7F5A"/>
    <w:p w14:paraId="169039FA" w14:textId="32B57094" w:rsidR="00250403" w:rsidRDefault="008C62C3" w:rsidP="008C62C3">
      <w:pPr>
        <w:pStyle w:val="Heading3"/>
      </w:pPr>
      <w:r>
        <w:t xml:space="preserve">EWAS results </w:t>
      </w:r>
    </w:p>
    <w:p w14:paraId="374F26E3" w14:textId="271CF82A" w:rsidR="004D0CC0" w:rsidRDefault="00EA207F">
      <w:pPr>
        <w:rPr>
          <w:shd w:val="clear" w:color="auto" w:fill="FFFFFF"/>
        </w:rPr>
      </w:pPr>
      <w:r>
        <w:rPr>
          <w:shd w:val="clear" w:color="auto" w:fill="FFFFFF"/>
        </w:rPr>
        <w:t>We observed associations</w:t>
      </w:r>
      <w:r w:rsidR="00250403" w:rsidRPr="00510725">
        <w:rPr>
          <w:shd w:val="clear" w:color="auto" w:fill="FFFFFF"/>
        </w:rPr>
        <w:t xml:space="preserve"> (</w:t>
      </w:r>
      <w:r w:rsidR="00250403" w:rsidRPr="00B57B39">
        <w:rPr>
          <w:bCs/>
          <w:szCs w:val="22"/>
        </w:rPr>
        <w:t>P</w:t>
      </w:r>
      <w:r w:rsidR="00250403" w:rsidRPr="00B57B39">
        <w:rPr>
          <w:bCs/>
          <w:szCs w:val="22"/>
          <w:vertAlign w:val="subscript"/>
        </w:rPr>
        <w:t>FDR</w:t>
      </w:r>
      <w:r w:rsidR="00250403" w:rsidRPr="00B57B39">
        <w:rPr>
          <w:bCs/>
          <w:szCs w:val="22"/>
        </w:rPr>
        <w:t>&lt;0.05</w:t>
      </w:r>
      <w:r w:rsidR="00250403" w:rsidRPr="00510725">
        <w:rPr>
          <w:shd w:val="clear" w:color="auto" w:fill="FFFFFF"/>
        </w:rPr>
        <w:t xml:space="preserve">) </w:t>
      </w:r>
      <w:r w:rsidR="00446ACF">
        <w:rPr>
          <w:shd w:val="clear" w:color="auto" w:fill="FFFFFF"/>
        </w:rPr>
        <w:t>between RWG and</w:t>
      </w:r>
      <w:r w:rsidR="00250403" w:rsidRPr="00510725">
        <w:rPr>
          <w:shd w:val="clear" w:color="auto" w:fill="FFFFFF"/>
        </w:rPr>
        <w:t xml:space="preserve"> individual CpG </w:t>
      </w:r>
      <w:r w:rsidR="00E04BFB">
        <w:rPr>
          <w:shd w:val="clear" w:color="auto" w:fill="FFFFFF"/>
        </w:rPr>
        <w:t xml:space="preserve">loci </w:t>
      </w:r>
      <w:r w:rsidR="00446ACF">
        <w:rPr>
          <w:shd w:val="clear" w:color="auto" w:fill="FFFFFF"/>
        </w:rPr>
        <w:t>at age 7</w:t>
      </w:r>
      <w:r w:rsidR="00250403" w:rsidRPr="00510725">
        <w:rPr>
          <w:shd w:val="clear" w:color="auto" w:fill="FFFFFF"/>
        </w:rPr>
        <w:t xml:space="preserve">. Across the </w:t>
      </w:r>
      <w:r w:rsidR="008A230B" w:rsidRPr="00FD11D8">
        <w:rPr>
          <w:szCs w:val="22"/>
          <w:shd w:val="clear" w:color="auto" w:fill="FFFFFF"/>
        </w:rPr>
        <w:t xml:space="preserve">adjusted </w:t>
      </w:r>
      <w:r w:rsidR="00250403" w:rsidRPr="00510725">
        <w:rPr>
          <w:shd w:val="clear" w:color="auto" w:fill="FFFFFF"/>
        </w:rPr>
        <w:t xml:space="preserve">models there were 4 </w:t>
      </w:r>
      <w:r>
        <w:rPr>
          <w:shd w:val="clear" w:color="auto" w:fill="FFFFFF"/>
        </w:rPr>
        <w:t>association</w:t>
      </w:r>
      <w:r w:rsidR="00287556">
        <w:rPr>
          <w:shd w:val="clear" w:color="auto" w:fill="FFFFFF"/>
        </w:rPr>
        <w:t>s</w:t>
      </w:r>
      <w:r>
        <w:rPr>
          <w:shd w:val="clear" w:color="auto" w:fill="FFFFFF"/>
        </w:rPr>
        <w:t xml:space="preserve"> identified</w:t>
      </w:r>
      <w:r w:rsidR="00250403" w:rsidRPr="00510725">
        <w:rPr>
          <w:shd w:val="clear" w:color="auto" w:fill="FFFFFF"/>
        </w:rPr>
        <w:t xml:space="preserve"> for RWG (</w:t>
      </w:r>
      <w:r w:rsidR="00250403" w:rsidRPr="00B57B39">
        <w:rPr>
          <w:bCs/>
          <w:szCs w:val="22"/>
        </w:rPr>
        <w:t>P</w:t>
      </w:r>
      <w:r w:rsidR="00250403" w:rsidRPr="00B57B39">
        <w:rPr>
          <w:bCs/>
          <w:szCs w:val="22"/>
          <w:vertAlign w:val="subscript"/>
        </w:rPr>
        <w:t>FDR</w:t>
      </w:r>
      <w:r w:rsidR="00250403" w:rsidRPr="00510725">
        <w:rPr>
          <w:shd w:val="clear" w:color="auto" w:fill="FFFFFF"/>
        </w:rPr>
        <w:t>&lt;0.</w:t>
      </w:r>
      <w:r w:rsidR="00894EB5" w:rsidRPr="00FD11D8">
        <w:rPr>
          <w:szCs w:val="22"/>
          <w:shd w:val="clear" w:color="auto" w:fill="FFFFFF"/>
        </w:rPr>
        <w:t>05</w:t>
      </w:r>
      <w:r w:rsidR="00250403" w:rsidRPr="00510725">
        <w:rPr>
          <w:shd w:val="clear" w:color="auto" w:fill="FFFFFF"/>
        </w:rPr>
        <w:t xml:space="preserve">) corresponding to </w:t>
      </w:r>
      <w:r w:rsidR="00E04BFB">
        <w:rPr>
          <w:shd w:val="clear" w:color="auto" w:fill="FFFFFF"/>
        </w:rPr>
        <w:t>2</w:t>
      </w:r>
      <w:r w:rsidR="00250403" w:rsidRPr="00510725">
        <w:rPr>
          <w:shd w:val="clear" w:color="auto" w:fill="FFFFFF"/>
        </w:rPr>
        <w:t xml:space="preserve"> unique CpG sites</w:t>
      </w:r>
      <w:r w:rsidR="00D17829">
        <w:rPr>
          <w:shd w:val="clear" w:color="auto" w:fill="FFFFFF"/>
        </w:rPr>
        <w:t xml:space="preserve"> (</w:t>
      </w:r>
      <w:r w:rsidR="0040767C" w:rsidRPr="0040767C">
        <w:rPr>
          <w:szCs w:val="22"/>
        </w:rPr>
        <w:t xml:space="preserve">Table </w:t>
      </w:r>
      <w:r w:rsidR="0040767C" w:rsidRPr="0040767C">
        <w:rPr>
          <w:noProof/>
          <w:szCs w:val="22"/>
        </w:rPr>
        <w:t>2</w:t>
      </w:r>
      <w:r w:rsidR="00D17829" w:rsidRPr="00FD11D8">
        <w:rPr>
          <w:szCs w:val="22"/>
          <w:shd w:val="clear" w:color="auto" w:fill="FFFFFF"/>
        </w:rPr>
        <w:t>)</w:t>
      </w:r>
      <w:r w:rsidR="00250403" w:rsidRPr="00FD11D8">
        <w:rPr>
          <w:szCs w:val="22"/>
          <w:shd w:val="clear" w:color="auto" w:fill="FFFFFF"/>
        </w:rPr>
        <w:t>.</w:t>
      </w:r>
      <w:r w:rsidR="00250403" w:rsidRPr="00510725">
        <w:rPr>
          <w:shd w:val="clear" w:color="auto" w:fill="FFFFFF"/>
        </w:rPr>
        <w:t xml:space="preserve"> </w:t>
      </w:r>
      <w:r w:rsidR="00E04BFB" w:rsidRPr="00510725">
        <w:t>These loci were cg01379158 (</w:t>
      </w:r>
      <w:r w:rsidR="00E04BFB" w:rsidRPr="00FD11D8">
        <w:rPr>
          <w:i/>
          <w:szCs w:val="22"/>
        </w:rPr>
        <w:t>NT5M</w:t>
      </w:r>
      <w:r w:rsidR="00E04BFB" w:rsidRPr="00510725">
        <w:t>) and cg11531579 (</w:t>
      </w:r>
      <w:r w:rsidR="00C92C36" w:rsidRPr="00B57B39">
        <w:rPr>
          <w:i/>
        </w:rPr>
        <w:t>CHFR</w:t>
      </w:r>
      <w:r w:rsidR="00E04BFB" w:rsidRPr="00510725">
        <w:t>)</w:t>
      </w:r>
      <w:r w:rsidR="00EC26B1">
        <w:t>,</w:t>
      </w:r>
      <w:r w:rsidR="00E04BFB" w:rsidRPr="00510725">
        <w:t xml:space="preserve"> and both were associated with a 1% increase in methylation (p=0.02) in those who had RWG.</w:t>
      </w:r>
      <w:r w:rsidR="00D17829">
        <w:rPr>
          <w:shd w:val="clear" w:color="auto" w:fill="FFFFFF"/>
        </w:rPr>
        <w:t xml:space="preserve"> </w:t>
      </w:r>
      <w:r w:rsidR="00250403" w:rsidRPr="00510725">
        <w:rPr>
          <w:shd w:val="clear" w:color="auto" w:fill="FFFFFF"/>
        </w:rPr>
        <w:t>In the model</w:t>
      </w:r>
      <w:r w:rsidR="00E04BFB">
        <w:rPr>
          <w:shd w:val="clear" w:color="auto" w:fill="FFFFFF"/>
        </w:rPr>
        <w:t xml:space="preserve">s without </w:t>
      </w:r>
      <w:r w:rsidR="00C92C36">
        <w:rPr>
          <w:shd w:val="clear" w:color="auto" w:fill="FFFFFF"/>
        </w:rPr>
        <w:lastRenderedPageBreak/>
        <w:t xml:space="preserve">cell </w:t>
      </w:r>
      <w:r w:rsidR="00250403" w:rsidRPr="00510725">
        <w:rPr>
          <w:shd w:val="clear" w:color="auto" w:fill="FFFFFF"/>
        </w:rPr>
        <w:t xml:space="preserve">counts, </w:t>
      </w:r>
      <w:r w:rsidR="000E72BF">
        <w:rPr>
          <w:shd w:val="clear" w:color="auto" w:fill="FFFFFF"/>
        </w:rPr>
        <w:t xml:space="preserve">two of </w:t>
      </w:r>
      <w:r w:rsidR="008C62C3">
        <w:rPr>
          <w:shd w:val="clear" w:color="auto" w:fill="FFFFFF"/>
        </w:rPr>
        <w:t xml:space="preserve">the </w:t>
      </w:r>
      <w:r w:rsidR="00C92C36">
        <w:rPr>
          <w:shd w:val="clear" w:color="auto" w:fill="FFFFFF"/>
        </w:rPr>
        <w:t xml:space="preserve">model p values </w:t>
      </w:r>
      <w:r w:rsidR="00250403" w:rsidRPr="00510725">
        <w:rPr>
          <w:shd w:val="clear" w:color="auto" w:fill="FFFFFF"/>
        </w:rPr>
        <w:t>were also below the Bonferroni p value threshold (1.04x10</w:t>
      </w:r>
      <w:r w:rsidR="00250403" w:rsidRPr="00510725">
        <w:rPr>
          <w:shd w:val="clear" w:color="auto" w:fill="FFFFFF"/>
          <w:vertAlign w:val="superscript"/>
        </w:rPr>
        <w:t>-7</w:t>
      </w:r>
      <w:r w:rsidR="00250403" w:rsidRPr="00510725">
        <w:rPr>
          <w:shd w:val="clear" w:color="auto" w:fill="FFFFFF"/>
        </w:rPr>
        <w:t xml:space="preserve">). </w:t>
      </w:r>
      <w:r w:rsidR="00D95E1F">
        <w:rPr>
          <w:shd w:val="clear" w:color="auto" w:fill="FFFFFF"/>
        </w:rPr>
        <w:t xml:space="preserve">There were no associations </w:t>
      </w:r>
      <w:r w:rsidR="00D95E1F" w:rsidRPr="00510725">
        <w:rPr>
          <w:shd w:val="clear" w:color="auto" w:fill="FFFFFF"/>
        </w:rPr>
        <w:t>(</w:t>
      </w:r>
      <w:r w:rsidR="00D95E1F" w:rsidRPr="00B57B39">
        <w:rPr>
          <w:bCs/>
          <w:szCs w:val="22"/>
        </w:rPr>
        <w:t>P</w:t>
      </w:r>
      <w:r w:rsidR="00D95E1F" w:rsidRPr="00B57B39">
        <w:rPr>
          <w:bCs/>
          <w:szCs w:val="22"/>
          <w:vertAlign w:val="subscript"/>
        </w:rPr>
        <w:t>FDR</w:t>
      </w:r>
      <w:r w:rsidR="00D95E1F" w:rsidRPr="00B57B39">
        <w:rPr>
          <w:bCs/>
          <w:szCs w:val="22"/>
        </w:rPr>
        <w:t>&lt;0.05</w:t>
      </w:r>
      <w:r w:rsidR="00D95E1F" w:rsidRPr="00510725">
        <w:rPr>
          <w:shd w:val="clear" w:color="auto" w:fill="FFFFFF"/>
        </w:rPr>
        <w:t xml:space="preserve">) </w:t>
      </w:r>
      <w:r w:rsidR="00D95E1F">
        <w:rPr>
          <w:shd w:val="clear" w:color="auto" w:fill="FFFFFF"/>
        </w:rPr>
        <w:t>between RT and</w:t>
      </w:r>
      <w:r w:rsidR="00D95E1F" w:rsidRPr="00510725">
        <w:rPr>
          <w:shd w:val="clear" w:color="auto" w:fill="FFFFFF"/>
        </w:rPr>
        <w:t xml:space="preserve"> individual CpG </w:t>
      </w:r>
      <w:r w:rsidR="00D95E1F">
        <w:rPr>
          <w:shd w:val="clear" w:color="auto" w:fill="FFFFFF"/>
        </w:rPr>
        <w:t xml:space="preserve">loci at age 7 in the EWAS. We examined whether methylation </w:t>
      </w:r>
      <w:r w:rsidR="00250403" w:rsidRPr="00510725">
        <w:rPr>
          <w:shd w:val="clear" w:color="auto" w:fill="FFFFFF"/>
        </w:rPr>
        <w:t xml:space="preserve">at </w:t>
      </w:r>
      <w:r w:rsidR="00D95E1F">
        <w:rPr>
          <w:shd w:val="clear" w:color="auto" w:fill="FFFFFF"/>
        </w:rPr>
        <w:t>the RWG-associated</w:t>
      </w:r>
      <w:r w:rsidR="00D95E1F" w:rsidRPr="00510725">
        <w:rPr>
          <w:shd w:val="clear" w:color="auto" w:fill="FFFFFF"/>
        </w:rPr>
        <w:t xml:space="preserve"> </w:t>
      </w:r>
      <w:r w:rsidR="00D95E1F">
        <w:rPr>
          <w:shd w:val="clear" w:color="auto" w:fill="FFFFFF"/>
        </w:rPr>
        <w:t xml:space="preserve">CpG sites </w:t>
      </w:r>
      <w:r w:rsidR="00250403" w:rsidRPr="00510725">
        <w:rPr>
          <w:shd w:val="clear" w:color="auto" w:fill="FFFFFF"/>
        </w:rPr>
        <w:t>was also associated with RT</w:t>
      </w:r>
      <w:r w:rsidR="00D95E1F">
        <w:rPr>
          <w:shd w:val="clear" w:color="auto" w:fill="FFFFFF"/>
        </w:rPr>
        <w:t xml:space="preserve"> using regression analysis</w:t>
      </w:r>
      <w:r w:rsidR="00250403" w:rsidRPr="00510725">
        <w:rPr>
          <w:shd w:val="clear" w:color="auto" w:fill="FFFFFF"/>
        </w:rPr>
        <w:t xml:space="preserve">, </w:t>
      </w:r>
      <w:r w:rsidR="00D95E1F">
        <w:rPr>
          <w:shd w:val="clear" w:color="auto" w:fill="FFFFFF"/>
        </w:rPr>
        <w:t xml:space="preserve">however the </w:t>
      </w:r>
      <w:r w:rsidR="00C1070B">
        <w:rPr>
          <w:shd w:val="clear" w:color="auto" w:fill="FFFFFF"/>
        </w:rPr>
        <w:t xml:space="preserve">magnitude of the </w:t>
      </w:r>
      <w:r w:rsidR="00250403">
        <w:rPr>
          <w:shd w:val="clear" w:color="auto" w:fill="FFFFFF"/>
        </w:rPr>
        <w:t>coefficient</w:t>
      </w:r>
      <w:r w:rsidR="00436B27">
        <w:rPr>
          <w:shd w:val="clear" w:color="auto" w:fill="FFFFFF"/>
        </w:rPr>
        <w:t>s</w:t>
      </w:r>
      <w:r w:rsidR="00250403">
        <w:rPr>
          <w:shd w:val="clear" w:color="auto" w:fill="FFFFFF"/>
        </w:rPr>
        <w:t xml:space="preserve"> </w:t>
      </w:r>
      <w:r w:rsidR="00C1070B">
        <w:rPr>
          <w:shd w:val="clear" w:color="auto" w:fill="FFFFFF"/>
        </w:rPr>
        <w:t>was lower</w:t>
      </w:r>
      <w:r w:rsidR="00250403" w:rsidRPr="00510725">
        <w:rPr>
          <w:shd w:val="clear" w:color="auto" w:fill="FFFFFF"/>
        </w:rPr>
        <w:t xml:space="preserve"> and less </w:t>
      </w:r>
      <w:r>
        <w:rPr>
          <w:shd w:val="clear" w:color="auto" w:fill="FFFFFF"/>
        </w:rPr>
        <w:t>statistically robust</w:t>
      </w:r>
      <w:r w:rsidRPr="00510725">
        <w:rPr>
          <w:shd w:val="clear" w:color="auto" w:fill="FFFFFF"/>
        </w:rPr>
        <w:t xml:space="preserve"> </w:t>
      </w:r>
      <w:r w:rsidR="00250403" w:rsidRPr="00510725">
        <w:rPr>
          <w:shd w:val="clear" w:color="auto" w:fill="FFFFFF"/>
        </w:rPr>
        <w:t xml:space="preserve">than for </w:t>
      </w:r>
      <w:r w:rsidR="00250403" w:rsidRPr="008D5134">
        <w:rPr>
          <w:shd w:val="clear" w:color="auto" w:fill="FFFFFF"/>
        </w:rPr>
        <w:t xml:space="preserve">RWG </w:t>
      </w:r>
      <w:r w:rsidR="00690C76" w:rsidRPr="008D5134">
        <w:rPr>
          <w:shd w:val="clear" w:color="auto" w:fill="FFFFFF"/>
        </w:rPr>
        <w:t>(Supplementary</w:t>
      </w:r>
      <w:r w:rsidR="00843AC4" w:rsidRPr="008D5134">
        <w:rPr>
          <w:shd w:val="clear" w:color="auto" w:fill="FFFFFF"/>
        </w:rPr>
        <w:t xml:space="preserve"> </w:t>
      </w:r>
      <w:r w:rsidR="009E396F">
        <w:rPr>
          <w:shd w:val="clear" w:color="auto" w:fill="FFFFFF"/>
        </w:rPr>
        <w:t>Table 2</w:t>
      </w:r>
      <w:r w:rsidR="00250403" w:rsidRPr="008D5134">
        <w:rPr>
          <w:shd w:val="clear" w:color="auto" w:fill="FFFFFF"/>
        </w:rPr>
        <w:t xml:space="preserve">). There </w:t>
      </w:r>
      <w:r w:rsidR="007C551D">
        <w:rPr>
          <w:shd w:val="clear" w:color="auto" w:fill="FFFFFF"/>
        </w:rPr>
        <w:t xml:space="preserve">was no evidence that RWG </w:t>
      </w:r>
      <w:r w:rsidR="00D95E1F">
        <w:rPr>
          <w:shd w:val="clear" w:color="auto" w:fill="FFFFFF"/>
        </w:rPr>
        <w:t xml:space="preserve">or RT </w:t>
      </w:r>
      <w:r w:rsidR="007C551D">
        <w:rPr>
          <w:shd w:val="clear" w:color="auto" w:fill="FFFFFF"/>
        </w:rPr>
        <w:t xml:space="preserve">was </w:t>
      </w:r>
      <w:r w:rsidR="00250403" w:rsidRPr="00510725">
        <w:rPr>
          <w:shd w:val="clear" w:color="auto" w:fill="FFFFFF"/>
        </w:rPr>
        <w:t>associat</w:t>
      </w:r>
      <w:r w:rsidR="007C551D">
        <w:rPr>
          <w:shd w:val="clear" w:color="auto" w:fill="FFFFFF"/>
        </w:rPr>
        <w:t>ed</w:t>
      </w:r>
      <w:r w:rsidR="00250403" w:rsidRPr="00510725">
        <w:rPr>
          <w:shd w:val="clear" w:color="auto" w:fill="FFFFFF"/>
        </w:rPr>
        <w:t xml:space="preserve"> (</w:t>
      </w:r>
      <w:r w:rsidR="00250403" w:rsidRPr="00510725">
        <w:rPr>
          <w:bCs/>
          <w:shd w:val="clear" w:color="auto" w:fill="FFFFFF"/>
        </w:rPr>
        <w:t>P</w:t>
      </w:r>
      <w:r w:rsidR="00250403" w:rsidRPr="00510725">
        <w:rPr>
          <w:bCs/>
          <w:shd w:val="clear" w:color="auto" w:fill="FFFFFF"/>
          <w:vertAlign w:val="subscript"/>
        </w:rPr>
        <w:t>FDR</w:t>
      </w:r>
      <w:r w:rsidR="00250403" w:rsidRPr="00510725" w:rsidDel="007A194F">
        <w:rPr>
          <w:shd w:val="clear" w:color="auto" w:fill="FFFFFF"/>
        </w:rPr>
        <w:t xml:space="preserve"> </w:t>
      </w:r>
      <w:r w:rsidR="00250403" w:rsidRPr="00510725">
        <w:rPr>
          <w:shd w:val="clear" w:color="auto" w:fill="FFFFFF"/>
        </w:rPr>
        <w:t xml:space="preserve">&lt;0.1) </w:t>
      </w:r>
      <w:r w:rsidR="007C551D">
        <w:rPr>
          <w:shd w:val="clear" w:color="auto" w:fill="FFFFFF"/>
        </w:rPr>
        <w:t>with</w:t>
      </w:r>
      <w:r w:rsidR="00250403" w:rsidRPr="00510725">
        <w:rPr>
          <w:shd w:val="clear" w:color="auto" w:fill="FFFFFF"/>
        </w:rPr>
        <w:t xml:space="preserve"> </w:t>
      </w:r>
      <w:r w:rsidR="00E61B47">
        <w:rPr>
          <w:shd w:val="clear" w:color="auto" w:fill="FFFFFF"/>
        </w:rPr>
        <w:t xml:space="preserve">differential </w:t>
      </w:r>
      <w:proofErr w:type="spellStart"/>
      <w:r w:rsidR="00250403" w:rsidRPr="00510725">
        <w:rPr>
          <w:shd w:val="clear" w:color="auto" w:fill="FFFFFF"/>
        </w:rPr>
        <w:t>DNAm</w:t>
      </w:r>
      <w:proofErr w:type="spellEnd"/>
      <w:r w:rsidR="00250403">
        <w:rPr>
          <w:shd w:val="clear" w:color="auto" w:fill="FFFFFF"/>
        </w:rPr>
        <w:t xml:space="preserve"> </w:t>
      </w:r>
      <w:bookmarkStart w:id="6" w:name="_Ref527820"/>
      <w:bookmarkStart w:id="7" w:name="_Toc19795502"/>
      <w:bookmarkStart w:id="8" w:name="_Toc20411957"/>
      <w:r w:rsidR="007C551D">
        <w:rPr>
          <w:shd w:val="clear" w:color="auto" w:fill="FFFFFF"/>
        </w:rPr>
        <w:t>in adolescence</w:t>
      </w:r>
      <w:r w:rsidR="002B1257">
        <w:rPr>
          <w:shd w:val="clear" w:color="auto" w:fill="FFFFFF"/>
        </w:rPr>
        <w:t xml:space="preserve"> </w:t>
      </w:r>
      <w:r w:rsidR="0009160B">
        <w:rPr>
          <w:shd w:val="clear" w:color="auto" w:fill="FFFFFF"/>
        </w:rPr>
        <w:t>for the</w:t>
      </w:r>
      <w:r w:rsidR="002B1257">
        <w:rPr>
          <w:shd w:val="clear" w:color="auto" w:fill="FFFFFF"/>
        </w:rPr>
        <w:t xml:space="preserve"> EWAS</w:t>
      </w:r>
      <w:r w:rsidR="003E4230">
        <w:rPr>
          <w:shd w:val="clear" w:color="auto" w:fill="FFFFFF"/>
        </w:rPr>
        <w:t>,</w:t>
      </w:r>
      <w:r w:rsidR="002B1257">
        <w:rPr>
          <w:shd w:val="clear" w:color="auto" w:fill="FFFFFF"/>
        </w:rPr>
        <w:t xml:space="preserve"> or </w:t>
      </w:r>
      <w:r w:rsidR="003E4230">
        <w:rPr>
          <w:shd w:val="clear" w:color="auto" w:fill="FFFFFF"/>
        </w:rPr>
        <w:t>for the</w:t>
      </w:r>
      <w:r w:rsidR="0009160B">
        <w:rPr>
          <w:shd w:val="clear" w:color="auto" w:fill="FFFFFF"/>
        </w:rPr>
        <w:t xml:space="preserve"> 2 CpG</w:t>
      </w:r>
      <w:r w:rsidR="003E4230">
        <w:rPr>
          <w:shd w:val="clear" w:color="auto" w:fill="FFFFFF"/>
        </w:rPr>
        <w:t xml:space="preserve"> sites identified as differentially methylated at age 7 using linear regression</w:t>
      </w:r>
      <w:r w:rsidR="004D0CC0">
        <w:rPr>
          <w:shd w:val="clear" w:color="auto" w:fill="FFFFFF"/>
        </w:rPr>
        <w:t xml:space="preserve">. </w:t>
      </w:r>
      <w:r w:rsidR="002B1257">
        <w:rPr>
          <w:shd w:val="clear" w:color="auto" w:fill="FFFFFF"/>
        </w:rPr>
        <w:t>In the DMR analysis, t</w:t>
      </w:r>
      <w:r w:rsidR="002B1257" w:rsidRPr="00863E35">
        <w:t xml:space="preserve">here were no overall DMRs identified; all Stouffer corrected p values were non-significant, suggesting a lack of consistency in the direction of </w:t>
      </w:r>
      <w:r w:rsidR="002B1257">
        <w:t>the methylation changes</w:t>
      </w:r>
      <w:r w:rsidR="002B1257" w:rsidRPr="00863E35">
        <w:t>.</w:t>
      </w:r>
    </w:p>
    <w:p w14:paraId="7FECCF42" w14:textId="77777777" w:rsidR="004D0CC0" w:rsidRPr="004D0CC0" w:rsidRDefault="004D0CC0">
      <w:pPr>
        <w:rPr>
          <w:shd w:val="clear" w:color="auto" w:fill="FFFFFF"/>
        </w:rPr>
      </w:pPr>
    </w:p>
    <w:p w14:paraId="738F3F9E" w14:textId="1D692B6B" w:rsidR="004D0CC0" w:rsidRDefault="004D0CC0" w:rsidP="004D0CC0">
      <w:pPr>
        <w:pStyle w:val="Caption"/>
        <w:keepNext/>
      </w:pPr>
      <w:bookmarkStart w:id="9" w:name="_Ref27489228"/>
      <w:bookmarkEnd w:id="6"/>
      <w:bookmarkEnd w:id="7"/>
      <w:bookmarkEnd w:id="8"/>
      <w:r>
        <w:t xml:space="preserve">Table </w:t>
      </w:r>
      <w:r w:rsidR="001719E7">
        <w:rPr>
          <w:noProof/>
        </w:rPr>
        <w:t>2</w:t>
      </w:r>
      <w:bookmarkEnd w:id="9"/>
      <w:r w:rsidRPr="00510725">
        <w:t xml:space="preserve"> </w:t>
      </w:r>
      <w:r w:rsidR="00EA207F">
        <w:t>Associations</w:t>
      </w:r>
      <w:r w:rsidRPr="00510725">
        <w:t xml:space="preserve"> (FDR p&lt;0.</w:t>
      </w:r>
      <w:r w:rsidR="005F2211">
        <w:t>05</w:t>
      </w:r>
      <w:r w:rsidR="00B57B39">
        <w:t>)</w:t>
      </w:r>
      <w:r w:rsidRPr="00510725">
        <w:t xml:space="preserve"> between individual CpG sites (</w:t>
      </w:r>
      <w:r w:rsidR="00D95E1F" w:rsidRPr="0071461E">
        <w:t xml:space="preserve">age 7, </w:t>
      </w:r>
      <w:r w:rsidRPr="0071461E">
        <w:t>n=</w:t>
      </w:r>
      <w:r w:rsidR="0071461E" w:rsidRPr="0071461E">
        <w:t>453,723</w:t>
      </w:r>
      <w:r w:rsidRPr="00510725">
        <w:t xml:space="preserve">) and the early life </w:t>
      </w:r>
      <w:r w:rsidR="002E5B5D">
        <w:t>growth</w:t>
      </w:r>
      <w:r w:rsidR="002E5B5D" w:rsidRPr="00510725">
        <w:t xml:space="preserve"> </w:t>
      </w:r>
      <w:r w:rsidR="000D50CA">
        <w:t>in models</w:t>
      </w:r>
    </w:p>
    <w:tbl>
      <w:tblPr>
        <w:tblW w:w="5438" w:type="pct"/>
        <w:tblInd w:w="-284" w:type="dxa"/>
        <w:tblLayout w:type="fixed"/>
        <w:tblCellMar>
          <w:left w:w="0" w:type="dxa"/>
          <w:right w:w="0" w:type="dxa"/>
        </w:tblCellMar>
        <w:tblLook w:val="04A0" w:firstRow="1" w:lastRow="0" w:firstColumn="1" w:lastColumn="0" w:noHBand="0" w:noVBand="1"/>
      </w:tblPr>
      <w:tblGrid>
        <w:gridCol w:w="325"/>
        <w:gridCol w:w="571"/>
        <w:gridCol w:w="424"/>
        <w:gridCol w:w="1353"/>
        <w:gridCol w:w="1029"/>
        <w:gridCol w:w="878"/>
        <w:gridCol w:w="1800"/>
        <w:gridCol w:w="562"/>
        <w:gridCol w:w="713"/>
        <w:gridCol w:w="595"/>
        <w:gridCol w:w="939"/>
        <w:gridCol w:w="628"/>
      </w:tblGrid>
      <w:tr w:rsidR="00956785" w:rsidRPr="00506972" w14:paraId="5D86FCEE" w14:textId="77777777" w:rsidTr="00682EEF">
        <w:trPr>
          <w:trHeight w:val="94"/>
        </w:trPr>
        <w:tc>
          <w:tcPr>
            <w:tcW w:w="456" w:type="pct"/>
            <w:gridSpan w:val="2"/>
            <w:tcBorders>
              <w:top w:val="single" w:sz="4" w:space="0" w:color="auto"/>
              <w:bottom w:val="single" w:sz="4" w:space="0" w:color="auto"/>
            </w:tcBorders>
            <w:shd w:val="clear" w:color="auto" w:fill="F2F2F2" w:themeFill="background1" w:themeFillShade="F2"/>
            <w:vAlign w:val="center"/>
          </w:tcPr>
          <w:p w14:paraId="049756EA" w14:textId="77777777" w:rsidR="00F37F40" w:rsidRPr="00506972" w:rsidRDefault="00F37F40" w:rsidP="00682EEF">
            <w:pPr>
              <w:pStyle w:val="NoSpacing"/>
              <w:rPr>
                <w:sz w:val="20"/>
                <w:szCs w:val="20"/>
              </w:rPr>
            </w:pPr>
            <w:r w:rsidRPr="00506972">
              <w:rPr>
                <w:sz w:val="20"/>
                <w:szCs w:val="20"/>
              </w:rPr>
              <w:t>Exposure</w:t>
            </w:r>
          </w:p>
        </w:tc>
        <w:tc>
          <w:tcPr>
            <w:tcW w:w="216" w:type="pct"/>
            <w:tcBorders>
              <w:top w:val="single" w:sz="4" w:space="0" w:color="auto"/>
              <w:bottom w:val="single" w:sz="4" w:space="0" w:color="auto"/>
            </w:tcBorders>
            <w:shd w:val="clear" w:color="auto" w:fill="F2F2F2" w:themeFill="background1" w:themeFillShade="F2"/>
            <w:vAlign w:val="center"/>
          </w:tcPr>
          <w:p w14:paraId="04171051" w14:textId="51E2E24C" w:rsidR="00F37F40" w:rsidRPr="00506972" w:rsidRDefault="00F37F40" w:rsidP="00682EEF">
            <w:pPr>
              <w:pStyle w:val="NoSpacing"/>
              <w:rPr>
                <w:sz w:val="20"/>
                <w:szCs w:val="20"/>
              </w:rPr>
            </w:pPr>
            <w:r>
              <w:rPr>
                <w:sz w:val="20"/>
                <w:szCs w:val="20"/>
              </w:rPr>
              <w:t>n</w:t>
            </w:r>
          </w:p>
        </w:tc>
        <w:tc>
          <w:tcPr>
            <w:tcW w:w="689" w:type="pct"/>
            <w:tcBorders>
              <w:top w:val="single" w:sz="4" w:space="0" w:color="auto"/>
              <w:bottom w:val="single" w:sz="4" w:space="0" w:color="auto"/>
            </w:tcBorders>
            <w:shd w:val="clear" w:color="auto" w:fill="F2F2F2" w:themeFill="background1" w:themeFillShade="F2"/>
            <w:tcMar>
              <w:top w:w="15" w:type="dxa"/>
              <w:left w:w="108" w:type="dxa"/>
              <w:bottom w:w="0" w:type="dxa"/>
              <w:right w:w="108" w:type="dxa"/>
            </w:tcMar>
            <w:vAlign w:val="center"/>
            <w:hideMark/>
          </w:tcPr>
          <w:p w14:paraId="3CEE10CC" w14:textId="4FB594B7" w:rsidR="00F37F40" w:rsidRPr="00506972" w:rsidRDefault="00F37F40" w:rsidP="00682EEF">
            <w:pPr>
              <w:pStyle w:val="NoSpacing"/>
              <w:rPr>
                <w:sz w:val="20"/>
                <w:szCs w:val="20"/>
              </w:rPr>
            </w:pPr>
            <w:r w:rsidRPr="00506972">
              <w:rPr>
                <w:sz w:val="20"/>
                <w:szCs w:val="20"/>
              </w:rPr>
              <w:t>CpG name</w:t>
            </w:r>
          </w:p>
        </w:tc>
        <w:tc>
          <w:tcPr>
            <w:tcW w:w="524" w:type="pct"/>
            <w:tcBorders>
              <w:top w:val="single" w:sz="4" w:space="0" w:color="auto"/>
              <w:bottom w:val="single" w:sz="4" w:space="0" w:color="auto"/>
            </w:tcBorders>
            <w:shd w:val="clear" w:color="auto" w:fill="F2F2F2" w:themeFill="background1" w:themeFillShade="F2"/>
            <w:tcMar>
              <w:top w:w="15" w:type="dxa"/>
              <w:left w:w="108" w:type="dxa"/>
              <w:bottom w:w="0" w:type="dxa"/>
              <w:right w:w="108" w:type="dxa"/>
            </w:tcMar>
            <w:vAlign w:val="center"/>
            <w:hideMark/>
          </w:tcPr>
          <w:p w14:paraId="71970D59" w14:textId="77777777" w:rsidR="00F37F40" w:rsidRPr="00506972" w:rsidRDefault="00F37F40" w:rsidP="00682EEF">
            <w:pPr>
              <w:pStyle w:val="NoSpacing"/>
              <w:rPr>
                <w:sz w:val="20"/>
                <w:szCs w:val="20"/>
              </w:rPr>
            </w:pPr>
            <w:r w:rsidRPr="00506972">
              <w:rPr>
                <w:sz w:val="20"/>
                <w:szCs w:val="20"/>
              </w:rPr>
              <w:t>Nearest gene</w:t>
            </w:r>
          </w:p>
        </w:tc>
        <w:tc>
          <w:tcPr>
            <w:tcW w:w="447" w:type="pct"/>
            <w:tcBorders>
              <w:top w:val="single" w:sz="4" w:space="0" w:color="auto"/>
              <w:bottom w:val="single" w:sz="4" w:space="0" w:color="auto"/>
            </w:tcBorders>
            <w:shd w:val="clear" w:color="auto" w:fill="F2F2F2" w:themeFill="background1" w:themeFillShade="F2"/>
            <w:tcMar>
              <w:top w:w="15" w:type="dxa"/>
              <w:left w:w="108" w:type="dxa"/>
              <w:bottom w:w="0" w:type="dxa"/>
              <w:right w:w="108" w:type="dxa"/>
            </w:tcMar>
            <w:vAlign w:val="center"/>
            <w:hideMark/>
          </w:tcPr>
          <w:p w14:paraId="4AE7FEC0" w14:textId="77777777" w:rsidR="00F37F40" w:rsidRPr="00506972" w:rsidRDefault="00F37F40" w:rsidP="00682EEF">
            <w:pPr>
              <w:pStyle w:val="NoSpacing"/>
              <w:rPr>
                <w:sz w:val="20"/>
                <w:szCs w:val="20"/>
              </w:rPr>
            </w:pPr>
            <w:r w:rsidRPr="00506972">
              <w:rPr>
                <w:sz w:val="20"/>
                <w:szCs w:val="20"/>
              </w:rPr>
              <w:t>Gene region</w:t>
            </w:r>
          </w:p>
        </w:tc>
        <w:tc>
          <w:tcPr>
            <w:tcW w:w="917" w:type="pct"/>
            <w:tcBorders>
              <w:top w:val="single" w:sz="4" w:space="0" w:color="auto"/>
              <w:bottom w:val="single" w:sz="4" w:space="0" w:color="auto"/>
            </w:tcBorders>
            <w:shd w:val="clear" w:color="auto" w:fill="F2F2F2" w:themeFill="background1" w:themeFillShade="F2"/>
            <w:tcMar>
              <w:top w:w="15" w:type="dxa"/>
              <w:left w:w="108" w:type="dxa"/>
              <w:bottom w:w="0" w:type="dxa"/>
              <w:right w:w="108" w:type="dxa"/>
            </w:tcMar>
            <w:vAlign w:val="center"/>
            <w:hideMark/>
          </w:tcPr>
          <w:p w14:paraId="4124E97C" w14:textId="77777777" w:rsidR="00F37F40" w:rsidRPr="00506972" w:rsidRDefault="00F37F40" w:rsidP="00682EEF">
            <w:pPr>
              <w:pStyle w:val="NoSpacing"/>
              <w:rPr>
                <w:sz w:val="20"/>
                <w:szCs w:val="20"/>
              </w:rPr>
            </w:pPr>
            <w:r w:rsidRPr="00506972">
              <w:rPr>
                <w:sz w:val="20"/>
                <w:szCs w:val="20"/>
              </w:rPr>
              <w:t>CpG island name</w:t>
            </w:r>
          </w:p>
        </w:tc>
        <w:tc>
          <w:tcPr>
            <w:tcW w:w="286" w:type="pct"/>
            <w:tcBorders>
              <w:top w:val="single" w:sz="4" w:space="0" w:color="auto"/>
              <w:bottom w:val="single" w:sz="4" w:space="0" w:color="auto"/>
            </w:tcBorders>
            <w:shd w:val="clear" w:color="auto" w:fill="F2F2F2" w:themeFill="background1" w:themeFillShade="F2"/>
            <w:vAlign w:val="center"/>
          </w:tcPr>
          <w:p w14:paraId="7B24407C" w14:textId="7C5BAB3E" w:rsidR="00F37F40" w:rsidRPr="00506972" w:rsidRDefault="00F37F40" w:rsidP="00682EEF">
            <w:pPr>
              <w:pStyle w:val="NoSpacing"/>
              <w:rPr>
                <w:sz w:val="20"/>
                <w:szCs w:val="20"/>
              </w:rPr>
            </w:pPr>
            <w:r>
              <w:rPr>
                <w:sz w:val="20"/>
                <w:szCs w:val="20"/>
              </w:rPr>
              <w:t>Model</w:t>
            </w:r>
          </w:p>
        </w:tc>
        <w:tc>
          <w:tcPr>
            <w:tcW w:w="363" w:type="pct"/>
            <w:tcBorders>
              <w:top w:val="single" w:sz="4" w:space="0" w:color="auto"/>
              <w:bottom w:val="single" w:sz="4" w:space="0" w:color="auto"/>
            </w:tcBorders>
            <w:shd w:val="clear" w:color="auto" w:fill="F2F2F2" w:themeFill="background1" w:themeFillShade="F2"/>
            <w:tcMar>
              <w:top w:w="15" w:type="dxa"/>
              <w:left w:w="108" w:type="dxa"/>
              <w:bottom w:w="0" w:type="dxa"/>
              <w:right w:w="108" w:type="dxa"/>
            </w:tcMar>
            <w:vAlign w:val="center"/>
            <w:hideMark/>
          </w:tcPr>
          <w:p w14:paraId="401E1CCD" w14:textId="5131B61C" w:rsidR="00F37F40" w:rsidRPr="00506972" w:rsidRDefault="00F37F40" w:rsidP="00682EEF">
            <w:pPr>
              <w:pStyle w:val="NoSpacing"/>
              <w:rPr>
                <w:sz w:val="20"/>
                <w:szCs w:val="20"/>
              </w:rPr>
            </w:pPr>
            <w:proofErr w:type="spellStart"/>
            <w:r w:rsidRPr="00506972">
              <w:rPr>
                <w:sz w:val="20"/>
                <w:szCs w:val="20"/>
              </w:rPr>
              <w:t>Coef</w:t>
            </w:r>
            <w:proofErr w:type="spellEnd"/>
          </w:p>
        </w:tc>
        <w:tc>
          <w:tcPr>
            <w:tcW w:w="303" w:type="pct"/>
            <w:tcBorders>
              <w:top w:val="single" w:sz="4" w:space="0" w:color="auto"/>
              <w:bottom w:val="single" w:sz="4" w:space="0" w:color="auto"/>
            </w:tcBorders>
            <w:shd w:val="clear" w:color="auto" w:fill="F2F2F2" w:themeFill="background1" w:themeFillShade="F2"/>
            <w:vAlign w:val="center"/>
          </w:tcPr>
          <w:p w14:paraId="14C534AB" w14:textId="7B1C04C4" w:rsidR="00F37F40" w:rsidRPr="00506972" w:rsidRDefault="00F37F40" w:rsidP="00682EEF">
            <w:pPr>
              <w:pStyle w:val="NoSpacing"/>
              <w:rPr>
                <w:sz w:val="20"/>
                <w:szCs w:val="20"/>
              </w:rPr>
            </w:pPr>
            <w:r>
              <w:rPr>
                <w:sz w:val="20"/>
                <w:szCs w:val="20"/>
              </w:rPr>
              <w:t>SE</w:t>
            </w:r>
          </w:p>
        </w:tc>
        <w:tc>
          <w:tcPr>
            <w:tcW w:w="478" w:type="pct"/>
            <w:tcBorders>
              <w:top w:val="single" w:sz="4" w:space="0" w:color="auto"/>
              <w:bottom w:val="single" w:sz="4" w:space="0" w:color="auto"/>
            </w:tcBorders>
            <w:shd w:val="clear" w:color="auto" w:fill="F2F2F2" w:themeFill="background1" w:themeFillShade="F2"/>
            <w:vAlign w:val="center"/>
          </w:tcPr>
          <w:p w14:paraId="2B7C823C" w14:textId="37856D77" w:rsidR="00F37F40" w:rsidRPr="00506972" w:rsidRDefault="00F37F40" w:rsidP="00682EEF">
            <w:pPr>
              <w:pStyle w:val="NoSpacing"/>
              <w:rPr>
                <w:sz w:val="20"/>
                <w:szCs w:val="20"/>
              </w:rPr>
            </w:pPr>
            <w:r w:rsidRPr="00506972">
              <w:rPr>
                <w:sz w:val="20"/>
                <w:szCs w:val="20"/>
              </w:rPr>
              <w:t>P</w:t>
            </w:r>
          </w:p>
        </w:tc>
        <w:tc>
          <w:tcPr>
            <w:tcW w:w="320" w:type="pct"/>
            <w:tcBorders>
              <w:top w:val="single" w:sz="4" w:space="0" w:color="auto"/>
              <w:bottom w:val="single" w:sz="4" w:space="0" w:color="auto"/>
            </w:tcBorders>
            <w:shd w:val="clear" w:color="auto" w:fill="F2F2F2" w:themeFill="background1" w:themeFillShade="F2"/>
            <w:tcMar>
              <w:top w:w="15" w:type="dxa"/>
              <w:left w:w="108" w:type="dxa"/>
              <w:bottom w:w="0" w:type="dxa"/>
              <w:right w:w="108" w:type="dxa"/>
            </w:tcMar>
            <w:vAlign w:val="center"/>
            <w:hideMark/>
          </w:tcPr>
          <w:p w14:paraId="5E43CDBF" w14:textId="373A46C1" w:rsidR="00F37F40" w:rsidRPr="00506972" w:rsidRDefault="00F37F40" w:rsidP="00682EEF">
            <w:pPr>
              <w:pStyle w:val="NoSpacing"/>
              <w:rPr>
                <w:sz w:val="20"/>
                <w:szCs w:val="20"/>
              </w:rPr>
            </w:pPr>
            <w:r w:rsidRPr="00506972">
              <w:rPr>
                <w:sz w:val="20"/>
                <w:szCs w:val="20"/>
              </w:rPr>
              <w:t>P</w:t>
            </w:r>
            <w:r w:rsidRPr="00506972">
              <w:rPr>
                <w:sz w:val="20"/>
                <w:szCs w:val="20"/>
                <w:vertAlign w:val="subscript"/>
              </w:rPr>
              <w:t>FDR</w:t>
            </w:r>
          </w:p>
        </w:tc>
      </w:tr>
      <w:tr w:rsidR="00956785" w:rsidRPr="00506972" w14:paraId="461D0279" w14:textId="77777777" w:rsidTr="00682EEF">
        <w:trPr>
          <w:trHeight w:val="86"/>
        </w:trPr>
        <w:tc>
          <w:tcPr>
            <w:tcW w:w="165" w:type="pct"/>
            <w:tcBorders>
              <w:top w:val="single" w:sz="4" w:space="0" w:color="auto"/>
            </w:tcBorders>
            <w:shd w:val="clear" w:color="auto" w:fill="E7E6E6" w:themeFill="background2"/>
            <w:vAlign w:val="center"/>
          </w:tcPr>
          <w:p w14:paraId="51B94882" w14:textId="77777777" w:rsidR="00F37F40" w:rsidRPr="00852999" w:rsidRDefault="00F37F40" w:rsidP="00682EEF">
            <w:pPr>
              <w:pStyle w:val="NoSpacing"/>
              <w:rPr>
                <w:b/>
                <w:sz w:val="20"/>
                <w:szCs w:val="20"/>
              </w:rPr>
            </w:pPr>
          </w:p>
        </w:tc>
        <w:tc>
          <w:tcPr>
            <w:tcW w:w="1196" w:type="pct"/>
            <w:gridSpan w:val="3"/>
            <w:tcBorders>
              <w:top w:val="single" w:sz="4" w:space="0" w:color="auto"/>
            </w:tcBorders>
            <w:shd w:val="clear" w:color="auto" w:fill="E7E6E6" w:themeFill="background2"/>
            <w:vAlign w:val="center"/>
          </w:tcPr>
          <w:p w14:paraId="1EA22C07" w14:textId="03D9B31E" w:rsidR="00F37F40" w:rsidRPr="00852999" w:rsidRDefault="00F37F40" w:rsidP="00682EEF">
            <w:pPr>
              <w:pStyle w:val="NoSpacing"/>
              <w:rPr>
                <w:b/>
                <w:sz w:val="20"/>
                <w:szCs w:val="20"/>
              </w:rPr>
            </w:pPr>
            <w:r w:rsidRPr="00852999">
              <w:rPr>
                <w:b/>
                <w:sz w:val="20"/>
                <w:szCs w:val="20"/>
              </w:rPr>
              <w:t>With cell counts</w:t>
            </w:r>
          </w:p>
        </w:tc>
        <w:tc>
          <w:tcPr>
            <w:tcW w:w="524" w:type="pct"/>
            <w:tcBorders>
              <w:top w:val="single" w:sz="4" w:space="0" w:color="auto"/>
            </w:tcBorders>
            <w:shd w:val="clear" w:color="auto" w:fill="E7E6E6" w:themeFill="background2"/>
            <w:tcMar>
              <w:top w:w="15" w:type="dxa"/>
              <w:left w:w="108" w:type="dxa"/>
              <w:bottom w:w="0" w:type="dxa"/>
              <w:right w:w="108" w:type="dxa"/>
            </w:tcMar>
            <w:vAlign w:val="center"/>
          </w:tcPr>
          <w:p w14:paraId="15543DE1" w14:textId="77777777" w:rsidR="00F37F40" w:rsidRPr="00506972" w:rsidRDefault="00F37F40" w:rsidP="00682EEF">
            <w:pPr>
              <w:pStyle w:val="NoSpacing"/>
              <w:rPr>
                <w:sz w:val="20"/>
                <w:szCs w:val="20"/>
              </w:rPr>
            </w:pPr>
          </w:p>
        </w:tc>
        <w:tc>
          <w:tcPr>
            <w:tcW w:w="447" w:type="pct"/>
            <w:tcBorders>
              <w:top w:val="single" w:sz="4" w:space="0" w:color="auto"/>
            </w:tcBorders>
            <w:shd w:val="clear" w:color="auto" w:fill="E7E6E6" w:themeFill="background2"/>
            <w:tcMar>
              <w:top w:w="15" w:type="dxa"/>
              <w:left w:w="108" w:type="dxa"/>
              <w:bottom w:w="0" w:type="dxa"/>
              <w:right w:w="108" w:type="dxa"/>
            </w:tcMar>
            <w:vAlign w:val="center"/>
          </w:tcPr>
          <w:p w14:paraId="5BD6A020" w14:textId="77777777" w:rsidR="00F37F40" w:rsidRPr="00506972" w:rsidRDefault="00F37F40" w:rsidP="00682EEF">
            <w:pPr>
              <w:pStyle w:val="NoSpacing"/>
              <w:rPr>
                <w:sz w:val="20"/>
                <w:szCs w:val="20"/>
              </w:rPr>
            </w:pPr>
          </w:p>
        </w:tc>
        <w:tc>
          <w:tcPr>
            <w:tcW w:w="917" w:type="pct"/>
            <w:tcBorders>
              <w:top w:val="single" w:sz="4" w:space="0" w:color="auto"/>
            </w:tcBorders>
            <w:shd w:val="clear" w:color="auto" w:fill="E7E6E6" w:themeFill="background2"/>
            <w:tcMar>
              <w:top w:w="15" w:type="dxa"/>
              <w:left w:w="108" w:type="dxa"/>
              <w:bottom w:w="0" w:type="dxa"/>
              <w:right w:w="108" w:type="dxa"/>
            </w:tcMar>
            <w:vAlign w:val="center"/>
          </w:tcPr>
          <w:p w14:paraId="53C9DF17" w14:textId="77777777" w:rsidR="00F37F40" w:rsidRPr="00506972" w:rsidRDefault="00F37F40" w:rsidP="00682EEF">
            <w:pPr>
              <w:pStyle w:val="NoSpacing"/>
              <w:rPr>
                <w:sz w:val="20"/>
                <w:szCs w:val="20"/>
              </w:rPr>
            </w:pPr>
          </w:p>
        </w:tc>
        <w:tc>
          <w:tcPr>
            <w:tcW w:w="286" w:type="pct"/>
            <w:tcBorders>
              <w:top w:val="single" w:sz="4" w:space="0" w:color="auto"/>
            </w:tcBorders>
            <w:shd w:val="clear" w:color="auto" w:fill="E7E6E6" w:themeFill="background2"/>
            <w:vAlign w:val="center"/>
          </w:tcPr>
          <w:p w14:paraId="59FED794" w14:textId="77777777" w:rsidR="00F37F40" w:rsidRPr="00506972" w:rsidRDefault="00F37F40" w:rsidP="00682EEF">
            <w:pPr>
              <w:pStyle w:val="NoSpacing"/>
              <w:rPr>
                <w:sz w:val="20"/>
                <w:szCs w:val="20"/>
              </w:rPr>
            </w:pPr>
          </w:p>
        </w:tc>
        <w:tc>
          <w:tcPr>
            <w:tcW w:w="363" w:type="pct"/>
            <w:tcBorders>
              <w:top w:val="single" w:sz="4" w:space="0" w:color="auto"/>
            </w:tcBorders>
            <w:shd w:val="clear" w:color="auto" w:fill="E7E6E6" w:themeFill="background2"/>
            <w:tcMar>
              <w:top w:w="15" w:type="dxa"/>
              <w:left w:w="108" w:type="dxa"/>
              <w:bottom w:w="0" w:type="dxa"/>
              <w:right w:w="108" w:type="dxa"/>
            </w:tcMar>
            <w:vAlign w:val="center"/>
          </w:tcPr>
          <w:p w14:paraId="02804BAD" w14:textId="38CADFF7" w:rsidR="00F37F40" w:rsidRPr="003A32D9" w:rsidRDefault="00F37F40" w:rsidP="006F3C05">
            <w:pPr>
              <w:pStyle w:val="NoSpacing"/>
              <w:rPr>
                <w:rFonts w:cstheme="minorHAnsi"/>
                <w:sz w:val="20"/>
                <w:szCs w:val="20"/>
              </w:rPr>
            </w:pPr>
          </w:p>
        </w:tc>
        <w:tc>
          <w:tcPr>
            <w:tcW w:w="303" w:type="pct"/>
            <w:tcBorders>
              <w:top w:val="single" w:sz="4" w:space="0" w:color="auto"/>
            </w:tcBorders>
            <w:shd w:val="clear" w:color="auto" w:fill="E7E6E6" w:themeFill="background2"/>
            <w:vAlign w:val="center"/>
          </w:tcPr>
          <w:p w14:paraId="59204B53" w14:textId="77777777" w:rsidR="00F37F40" w:rsidRPr="003A32D9" w:rsidRDefault="00F37F40" w:rsidP="006F3C05">
            <w:pPr>
              <w:pStyle w:val="NoSpacing"/>
              <w:rPr>
                <w:rFonts w:cstheme="minorHAnsi"/>
                <w:sz w:val="20"/>
                <w:szCs w:val="20"/>
              </w:rPr>
            </w:pPr>
          </w:p>
        </w:tc>
        <w:tc>
          <w:tcPr>
            <w:tcW w:w="478" w:type="pct"/>
            <w:tcBorders>
              <w:top w:val="single" w:sz="4" w:space="0" w:color="auto"/>
            </w:tcBorders>
            <w:shd w:val="clear" w:color="auto" w:fill="E7E6E6" w:themeFill="background2"/>
            <w:vAlign w:val="center"/>
          </w:tcPr>
          <w:p w14:paraId="470ED51D" w14:textId="6C822DB4" w:rsidR="00F37F40" w:rsidRPr="00506972" w:rsidRDefault="00F37F40" w:rsidP="00682EEF">
            <w:pPr>
              <w:pStyle w:val="NoSpacing"/>
              <w:rPr>
                <w:sz w:val="20"/>
                <w:szCs w:val="20"/>
              </w:rPr>
            </w:pPr>
          </w:p>
        </w:tc>
        <w:tc>
          <w:tcPr>
            <w:tcW w:w="320" w:type="pct"/>
            <w:tcBorders>
              <w:top w:val="single" w:sz="4" w:space="0" w:color="auto"/>
            </w:tcBorders>
            <w:shd w:val="clear" w:color="auto" w:fill="E7E6E6" w:themeFill="background2"/>
            <w:tcMar>
              <w:top w:w="15" w:type="dxa"/>
              <w:left w:w="108" w:type="dxa"/>
              <w:bottom w:w="0" w:type="dxa"/>
              <w:right w:w="108" w:type="dxa"/>
            </w:tcMar>
            <w:vAlign w:val="center"/>
          </w:tcPr>
          <w:p w14:paraId="0EE3E8EB" w14:textId="629D0DBD" w:rsidR="00F37F40" w:rsidRPr="00506972" w:rsidRDefault="00F37F40" w:rsidP="00682EEF">
            <w:pPr>
              <w:pStyle w:val="NoSpacing"/>
              <w:rPr>
                <w:sz w:val="20"/>
                <w:szCs w:val="20"/>
              </w:rPr>
            </w:pPr>
          </w:p>
        </w:tc>
      </w:tr>
      <w:tr w:rsidR="00956785" w:rsidRPr="00506972" w14:paraId="11F3365D" w14:textId="77777777" w:rsidTr="00682EEF">
        <w:trPr>
          <w:trHeight w:val="52"/>
        </w:trPr>
        <w:tc>
          <w:tcPr>
            <w:tcW w:w="456" w:type="pct"/>
            <w:gridSpan w:val="2"/>
            <w:shd w:val="clear" w:color="auto" w:fill="E7E6E6" w:themeFill="background2"/>
            <w:vAlign w:val="center"/>
          </w:tcPr>
          <w:p w14:paraId="61F4B21F" w14:textId="77777777" w:rsidR="00F37F40" w:rsidRPr="00506972" w:rsidRDefault="00F37F40" w:rsidP="00682EEF">
            <w:pPr>
              <w:pStyle w:val="NoSpacing"/>
              <w:rPr>
                <w:sz w:val="20"/>
                <w:szCs w:val="20"/>
              </w:rPr>
            </w:pPr>
            <w:r w:rsidRPr="00506972">
              <w:rPr>
                <w:sz w:val="20"/>
                <w:szCs w:val="20"/>
              </w:rPr>
              <w:t>RWG</w:t>
            </w:r>
          </w:p>
        </w:tc>
        <w:tc>
          <w:tcPr>
            <w:tcW w:w="216" w:type="pct"/>
            <w:shd w:val="clear" w:color="auto" w:fill="E7E6E6" w:themeFill="background2"/>
            <w:vAlign w:val="center"/>
          </w:tcPr>
          <w:p w14:paraId="71CE0729" w14:textId="0A45AAA1" w:rsidR="00F37F40" w:rsidRPr="00506972" w:rsidRDefault="00F37F40" w:rsidP="00682EEF">
            <w:pPr>
              <w:pStyle w:val="NoSpacing"/>
              <w:rPr>
                <w:sz w:val="20"/>
                <w:szCs w:val="20"/>
              </w:rPr>
            </w:pPr>
            <w:r>
              <w:rPr>
                <w:sz w:val="20"/>
                <w:szCs w:val="20"/>
              </w:rPr>
              <w:t>116</w:t>
            </w:r>
          </w:p>
        </w:tc>
        <w:tc>
          <w:tcPr>
            <w:tcW w:w="689" w:type="pct"/>
            <w:shd w:val="clear" w:color="auto" w:fill="E7E6E6" w:themeFill="background2"/>
            <w:tcMar>
              <w:top w:w="15" w:type="dxa"/>
              <w:left w:w="108" w:type="dxa"/>
              <w:bottom w:w="0" w:type="dxa"/>
              <w:right w:w="108" w:type="dxa"/>
            </w:tcMar>
            <w:vAlign w:val="center"/>
            <w:hideMark/>
          </w:tcPr>
          <w:p w14:paraId="03624B1F" w14:textId="4C1F8F6C" w:rsidR="00F37F40" w:rsidRPr="00506972" w:rsidRDefault="00F37F40" w:rsidP="00682EEF">
            <w:pPr>
              <w:pStyle w:val="NoSpacing"/>
              <w:rPr>
                <w:sz w:val="20"/>
                <w:szCs w:val="20"/>
              </w:rPr>
            </w:pPr>
            <w:r w:rsidRPr="00506972">
              <w:rPr>
                <w:sz w:val="20"/>
                <w:szCs w:val="20"/>
              </w:rPr>
              <w:t>cg01379158</w:t>
            </w:r>
          </w:p>
        </w:tc>
        <w:tc>
          <w:tcPr>
            <w:tcW w:w="524" w:type="pct"/>
            <w:shd w:val="clear" w:color="auto" w:fill="E7E6E6" w:themeFill="background2"/>
            <w:tcMar>
              <w:top w:w="15" w:type="dxa"/>
              <w:left w:w="108" w:type="dxa"/>
              <w:bottom w:w="0" w:type="dxa"/>
              <w:right w:w="108" w:type="dxa"/>
            </w:tcMar>
            <w:vAlign w:val="center"/>
            <w:hideMark/>
          </w:tcPr>
          <w:p w14:paraId="3384CEA6" w14:textId="77777777" w:rsidR="00F37F40" w:rsidRPr="00B57B39" w:rsidRDefault="00F37F40" w:rsidP="00682EEF">
            <w:pPr>
              <w:pStyle w:val="NoSpacing"/>
              <w:rPr>
                <w:i/>
                <w:sz w:val="20"/>
                <w:szCs w:val="20"/>
              </w:rPr>
            </w:pPr>
            <w:r w:rsidRPr="00B57B39">
              <w:rPr>
                <w:i/>
                <w:sz w:val="20"/>
                <w:szCs w:val="20"/>
              </w:rPr>
              <w:t>NT5M</w:t>
            </w:r>
          </w:p>
        </w:tc>
        <w:tc>
          <w:tcPr>
            <w:tcW w:w="447" w:type="pct"/>
            <w:shd w:val="clear" w:color="auto" w:fill="E7E6E6" w:themeFill="background2"/>
            <w:tcMar>
              <w:top w:w="15" w:type="dxa"/>
              <w:left w:w="108" w:type="dxa"/>
              <w:bottom w:w="0" w:type="dxa"/>
              <w:right w:w="108" w:type="dxa"/>
            </w:tcMar>
            <w:vAlign w:val="center"/>
            <w:hideMark/>
          </w:tcPr>
          <w:p w14:paraId="08F8953E" w14:textId="77777777" w:rsidR="00F37F40" w:rsidRPr="00506972" w:rsidRDefault="00F37F40" w:rsidP="00682EEF">
            <w:pPr>
              <w:pStyle w:val="NoSpacing"/>
              <w:rPr>
                <w:sz w:val="20"/>
                <w:szCs w:val="20"/>
              </w:rPr>
            </w:pPr>
            <w:r w:rsidRPr="00506972">
              <w:rPr>
                <w:sz w:val="20"/>
                <w:szCs w:val="20"/>
              </w:rPr>
              <w:t>TSS200</w:t>
            </w:r>
          </w:p>
        </w:tc>
        <w:tc>
          <w:tcPr>
            <w:tcW w:w="917" w:type="pct"/>
            <w:shd w:val="clear" w:color="auto" w:fill="E7E6E6" w:themeFill="background2"/>
            <w:tcMar>
              <w:top w:w="15" w:type="dxa"/>
              <w:left w:w="108" w:type="dxa"/>
              <w:bottom w:w="0" w:type="dxa"/>
              <w:right w:w="108" w:type="dxa"/>
            </w:tcMar>
            <w:vAlign w:val="center"/>
            <w:hideMark/>
          </w:tcPr>
          <w:p w14:paraId="43822452" w14:textId="77777777" w:rsidR="00F37F40" w:rsidRPr="00506972" w:rsidRDefault="00F37F40" w:rsidP="00682EEF">
            <w:pPr>
              <w:pStyle w:val="NoSpacing"/>
              <w:rPr>
                <w:sz w:val="20"/>
                <w:szCs w:val="20"/>
              </w:rPr>
            </w:pPr>
            <w:r w:rsidRPr="00506972">
              <w:rPr>
                <w:sz w:val="20"/>
                <w:szCs w:val="20"/>
              </w:rPr>
              <w:t>chr17:17206527-17207306</w:t>
            </w:r>
          </w:p>
        </w:tc>
        <w:tc>
          <w:tcPr>
            <w:tcW w:w="286" w:type="pct"/>
            <w:shd w:val="clear" w:color="auto" w:fill="E7E6E6" w:themeFill="background2"/>
            <w:vAlign w:val="center"/>
          </w:tcPr>
          <w:p w14:paraId="60AB06A0" w14:textId="52958362" w:rsidR="00F37F40" w:rsidRPr="00506972" w:rsidRDefault="00F37F40" w:rsidP="00682EEF">
            <w:pPr>
              <w:pStyle w:val="NoSpacing"/>
              <w:rPr>
                <w:sz w:val="20"/>
                <w:szCs w:val="20"/>
              </w:rPr>
            </w:pPr>
            <w:r w:rsidRPr="00506972">
              <w:rPr>
                <w:sz w:val="20"/>
                <w:szCs w:val="20"/>
              </w:rPr>
              <w:t>ISVA</w:t>
            </w:r>
          </w:p>
        </w:tc>
        <w:tc>
          <w:tcPr>
            <w:tcW w:w="363" w:type="pct"/>
            <w:shd w:val="clear" w:color="auto" w:fill="E7E6E6" w:themeFill="background2"/>
            <w:tcMar>
              <w:top w:w="15" w:type="dxa"/>
              <w:left w:w="108" w:type="dxa"/>
              <w:bottom w:w="0" w:type="dxa"/>
              <w:right w:w="108" w:type="dxa"/>
            </w:tcMar>
            <w:vAlign w:val="center"/>
            <w:hideMark/>
          </w:tcPr>
          <w:p w14:paraId="72B82B7D" w14:textId="20A1223B" w:rsidR="00F37F40" w:rsidRPr="003A32D9" w:rsidRDefault="00F37F40" w:rsidP="006F3C05">
            <w:pPr>
              <w:pStyle w:val="NoSpacing"/>
              <w:rPr>
                <w:rFonts w:cstheme="minorHAnsi"/>
                <w:sz w:val="20"/>
                <w:szCs w:val="20"/>
              </w:rPr>
            </w:pPr>
            <w:r w:rsidRPr="003A32D9">
              <w:rPr>
                <w:rFonts w:cstheme="minorHAnsi"/>
                <w:sz w:val="20"/>
                <w:szCs w:val="20"/>
              </w:rPr>
              <w:t>0.011</w:t>
            </w:r>
          </w:p>
        </w:tc>
        <w:tc>
          <w:tcPr>
            <w:tcW w:w="303" w:type="pct"/>
            <w:shd w:val="clear" w:color="auto" w:fill="E7E6E6" w:themeFill="background2"/>
            <w:vAlign w:val="center"/>
          </w:tcPr>
          <w:p w14:paraId="7BEF3E90" w14:textId="4FC9ECE7" w:rsidR="00F37F40" w:rsidRPr="003A32D9" w:rsidRDefault="00F37F40" w:rsidP="006F3C05">
            <w:pPr>
              <w:pStyle w:val="NoSpacing"/>
              <w:rPr>
                <w:rFonts w:cstheme="minorHAnsi"/>
                <w:sz w:val="20"/>
                <w:szCs w:val="20"/>
              </w:rPr>
            </w:pPr>
            <w:r w:rsidRPr="003A32D9">
              <w:rPr>
                <w:rFonts w:cstheme="minorHAnsi"/>
                <w:color w:val="000000"/>
                <w:sz w:val="20"/>
                <w:szCs w:val="20"/>
              </w:rPr>
              <w:t>0.0018</w:t>
            </w:r>
          </w:p>
        </w:tc>
        <w:tc>
          <w:tcPr>
            <w:tcW w:w="478" w:type="pct"/>
            <w:shd w:val="clear" w:color="auto" w:fill="E7E6E6" w:themeFill="background2"/>
            <w:vAlign w:val="center"/>
          </w:tcPr>
          <w:p w14:paraId="7ADEA13D" w14:textId="46F68F96" w:rsidR="00F37F40" w:rsidRPr="00506972" w:rsidRDefault="00F37F40" w:rsidP="00682EEF">
            <w:pPr>
              <w:pStyle w:val="NoSpacing"/>
              <w:rPr>
                <w:sz w:val="20"/>
                <w:szCs w:val="20"/>
              </w:rPr>
            </w:pPr>
            <w:r w:rsidRPr="00506972">
              <w:rPr>
                <w:sz w:val="20"/>
                <w:szCs w:val="20"/>
              </w:rPr>
              <w:t>2.91x10</w:t>
            </w:r>
            <w:r w:rsidRPr="00506972">
              <w:rPr>
                <w:sz w:val="20"/>
                <w:szCs w:val="20"/>
                <w:vertAlign w:val="superscript"/>
              </w:rPr>
              <w:t>-7</w:t>
            </w:r>
          </w:p>
        </w:tc>
        <w:tc>
          <w:tcPr>
            <w:tcW w:w="320" w:type="pct"/>
            <w:shd w:val="clear" w:color="auto" w:fill="E7E6E6" w:themeFill="background2"/>
            <w:tcMar>
              <w:top w:w="15" w:type="dxa"/>
              <w:left w:w="108" w:type="dxa"/>
              <w:bottom w:w="0" w:type="dxa"/>
              <w:right w:w="108" w:type="dxa"/>
            </w:tcMar>
            <w:vAlign w:val="center"/>
            <w:hideMark/>
          </w:tcPr>
          <w:p w14:paraId="1E69421D" w14:textId="1F129C11" w:rsidR="00F37F40" w:rsidRPr="00506972" w:rsidRDefault="00F37F40" w:rsidP="00682EEF">
            <w:pPr>
              <w:pStyle w:val="NoSpacing"/>
              <w:rPr>
                <w:sz w:val="20"/>
                <w:szCs w:val="20"/>
              </w:rPr>
            </w:pPr>
            <w:r w:rsidRPr="00506972">
              <w:rPr>
                <w:sz w:val="20"/>
                <w:szCs w:val="20"/>
              </w:rPr>
              <w:t>0.02</w:t>
            </w:r>
          </w:p>
        </w:tc>
      </w:tr>
      <w:tr w:rsidR="00956785" w:rsidRPr="00506972" w14:paraId="0A1CF4B5" w14:textId="77777777" w:rsidTr="00682EEF">
        <w:trPr>
          <w:trHeight w:val="86"/>
        </w:trPr>
        <w:tc>
          <w:tcPr>
            <w:tcW w:w="165" w:type="pct"/>
            <w:shd w:val="clear" w:color="auto" w:fill="FFFFFF" w:themeFill="background1"/>
            <w:vAlign w:val="center"/>
          </w:tcPr>
          <w:p w14:paraId="758BB6C2" w14:textId="77777777" w:rsidR="00F37F40" w:rsidRPr="00852999" w:rsidRDefault="00F37F40" w:rsidP="00682EEF">
            <w:pPr>
              <w:pStyle w:val="NoSpacing"/>
              <w:rPr>
                <w:b/>
                <w:sz w:val="20"/>
                <w:szCs w:val="20"/>
              </w:rPr>
            </w:pPr>
          </w:p>
        </w:tc>
        <w:tc>
          <w:tcPr>
            <w:tcW w:w="1196" w:type="pct"/>
            <w:gridSpan w:val="3"/>
            <w:shd w:val="clear" w:color="auto" w:fill="FFFFFF" w:themeFill="background1"/>
            <w:vAlign w:val="center"/>
          </w:tcPr>
          <w:p w14:paraId="3A795A36" w14:textId="07F5A370" w:rsidR="00F37F40" w:rsidRPr="00852999" w:rsidRDefault="00F37F40" w:rsidP="00682EEF">
            <w:pPr>
              <w:pStyle w:val="NoSpacing"/>
              <w:rPr>
                <w:b/>
                <w:sz w:val="20"/>
                <w:szCs w:val="20"/>
              </w:rPr>
            </w:pPr>
            <w:r w:rsidRPr="00852999">
              <w:rPr>
                <w:b/>
                <w:sz w:val="20"/>
                <w:szCs w:val="20"/>
              </w:rPr>
              <w:t>Without cell counts</w:t>
            </w:r>
          </w:p>
        </w:tc>
        <w:tc>
          <w:tcPr>
            <w:tcW w:w="524" w:type="pct"/>
            <w:shd w:val="clear" w:color="auto" w:fill="FFFFFF" w:themeFill="background1"/>
            <w:tcMar>
              <w:top w:w="15" w:type="dxa"/>
              <w:left w:w="108" w:type="dxa"/>
              <w:bottom w:w="0" w:type="dxa"/>
              <w:right w:w="108" w:type="dxa"/>
            </w:tcMar>
            <w:vAlign w:val="center"/>
          </w:tcPr>
          <w:p w14:paraId="35CBFF12" w14:textId="77777777" w:rsidR="00F37F40" w:rsidRPr="00B57B39" w:rsidRDefault="00F37F40" w:rsidP="00682EEF">
            <w:pPr>
              <w:pStyle w:val="NoSpacing"/>
              <w:rPr>
                <w:i/>
                <w:sz w:val="20"/>
                <w:szCs w:val="20"/>
              </w:rPr>
            </w:pPr>
          </w:p>
        </w:tc>
        <w:tc>
          <w:tcPr>
            <w:tcW w:w="447" w:type="pct"/>
            <w:shd w:val="clear" w:color="auto" w:fill="FFFFFF" w:themeFill="background1"/>
            <w:tcMar>
              <w:top w:w="15" w:type="dxa"/>
              <w:left w:w="108" w:type="dxa"/>
              <w:bottom w:w="0" w:type="dxa"/>
              <w:right w:w="108" w:type="dxa"/>
            </w:tcMar>
            <w:vAlign w:val="center"/>
          </w:tcPr>
          <w:p w14:paraId="6E052D6D" w14:textId="77777777" w:rsidR="00F37F40" w:rsidRPr="00506972" w:rsidRDefault="00F37F40" w:rsidP="00682EEF">
            <w:pPr>
              <w:pStyle w:val="NoSpacing"/>
              <w:rPr>
                <w:sz w:val="20"/>
                <w:szCs w:val="20"/>
              </w:rPr>
            </w:pPr>
          </w:p>
        </w:tc>
        <w:tc>
          <w:tcPr>
            <w:tcW w:w="917" w:type="pct"/>
            <w:shd w:val="clear" w:color="auto" w:fill="FFFFFF" w:themeFill="background1"/>
            <w:tcMar>
              <w:top w:w="15" w:type="dxa"/>
              <w:left w:w="108" w:type="dxa"/>
              <w:bottom w:w="0" w:type="dxa"/>
              <w:right w:w="108" w:type="dxa"/>
            </w:tcMar>
            <w:vAlign w:val="center"/>
          </w:tcPr>
          <w:p w14:paraId="57ACB145" w14:textId="77777777" w:rsidR="00F37F40" w:rsidRPr="00506972" w:rsidRDefault="00F37F40" w:rsidP="00682EEF">
            <w:pPr>
              <w:pStyle w:val="NoSpacing"/>
              <w:rPr>
                <w:sz w:val="20"/>
                <w:szCs w:val="20"/>
              </w:rPr>
            </w:pPr>
          </w:p>
        </w:tc>
        <w:tc>
          <w:tcPr>
            <w:tcW w:w="286" w:type="pct"/>
            <w:shd w:val="clear" w:color="auto" w:fill="FFFFFF" w:themeFill="background1"/>
            <w:vAlign w:val="center"/>
          </w:tcPr>
          <w:p w14:paraId="159F6F9E" w14:textId="77777777" w:rsidR="00F37F40" w:rsidRPr="00506972" w:rsidRDefault="00F37F40" w:rsidP="00682EEF">
            <w:pPr>
              <w:pStyle w:val="NoSpacing"/>
              <w:rPr>
                <w:sz w:val="20"/>
                <w:szCs w:val="20"/>
              </w:rPr>
            </w:pPr>
          </w:p>
        </w:tc>
        <w:tc>
          <w:tcPr>
            <w:tcW w:w="363" w:type="pct"/>
            <w:shd w:val="clear" w:color="auto" w:fill="FFFFFF" w:themeFill="background1"/>
            <w:tcMar>
              <w:top w:w="15" w:type="dxa"/>
              <w:left w:w="108" w:type="dxa"/>
              <w:bottom w:w="0" w:type="dxa"/>
              <w:right w:w="108" w:type="dxa"/>
            </w:tcMar>
            <w:vAlign w:val="center"/>
          </w:tcPr>
          <w:p w14:paraId="17199BE1" w14:textId="1C2A161F" w:rsidR="00F37F40" w:rsidRPr="003A32D9" w:rsidRDefault="00F37F40" w:rsidP="006F3C05">
            <w:pPr>
              <w:pStyle w:val="NoSpacing"/>
              <w:rPr>
                <w:rFonts w:cstheme="minorHAnsi"/>
                <w:sz w:val="20"/>
                <w:szCs w:val="20"/>
              </w:rPr>
            </w:pPr>
          </w:p>
        </w:tc>
        <w:tc>
          <w:tcPr>
            <w:tcW w:w="303" w:type="pct"/>
            <w:shd w:val="clear" w:color="auto" w:fill="FFFFFF" w:themeFill="background1"/>
            <w:vAlign w:val="center"/>
          </w:tcPr>
          <w:p w14:paraId="4799EA7B" w14:textId="77777777" w:rsidR="00F37F40" w:rsidRPr="003A32D9" w:rsidRDefault="00F37F40" w:rsidP="006F3C05">
            <w:pPr>
              <w:pStyle w:val="NoSpacing"/>
              <w:rPr>
                <w:rFonts w:cstheme="minorHAnsi"/>
                <w:sz w:val="20"/>
                <w:szCs w:val="20"/>
              </w:rPr>
            </w:pPr>
          </w:p>
        </w:tc>
        <w:tc>
          <w:tcPr>
            <w:tcW w:w="478" w:type="pct"/>
            <w:shd w:val="clear" w:color="auto" w:fill="FFFFFF" w:themeFill="background1"/>
            <w:vAlign w:val="center"/>
          </w:tcPr>
          <w:p w14:paraId="6B6173FE" w14:textId="244008AF" w:rsidR="00F37F40" w:rsidRPr="00506972" w:rsidRDefault="00F37F40" w:rsidP="00682EEF">
            <w:pPr>
              <w:pStyle w:val="NoSpacing"/>
              <w:rPr>
                <w:sz w:val="20"/>
                <w:szCs w:val="20"/>
              </w:rPr>
            </w:pPr>
          </w:p>
        </w:tc>
        <w:tc>
          <w:tcPr>
            <w:tcW w:w="320" w:type="pct"/>
            <w:shd w:val="clear" w:color="auto" w:fill="FFFFFF" w:themeFill="background1"/>
            <w:tcMar>
              <w:top w:w="15" w:type="dxa"/>
              <w:left w:w="108" w:type="dxa"/>
              <w:bottom w:w="0" w:type="dxa"/>
              <w:right w:w="108" w:type="dxa"/>
            </w:tcMar>
            <w:vAlign w:val="center"/>
          </w:tcPr>
          <w:p w14:paraId="4C7DCB39" w14:textId="49DC8A96" w:rsidR="00F37F40" w:rsidRPr="00506972" w:rsidRDefault="00F37F40" w:rsidP="00682EEF">
            <w:pPr>
              <w:pStyle w:val="NoSpacing"/>
              <w:rPr>
                <w:sz w:val="20"/>
                <w:szCs w:val="20"/>
              </w:rPr>
            </w:pPr>
          </w:p>
        </w:tc>
      </w:tr>
      <w:tr w:rsidR="00956785" w:rsidRPr="00506972" w14:paraId="285A190F" w14:textId="77777777" w:rsidTr="00682EEF">
        <w:trPr>
          <w:trHeight w:val="94"/>
        </w:trPr>
        <w:tc>
          <w:tcPr>
            <w:tcW w:w="456" w:type="pct"/>
            <w:gridSpan w:val="2"/>
            <w:shd w:val="clear" w:color="auto" w:fill="FFFFFF"/>
            <w:vAlign w:val="center"/>
          </w:tcPr>
          <w:p w14:paraId="13E46F5E" w14:textId="77777777" w:rsidR="00F37F40" w:rsidRPr="00506972" w:rsidRDefault="00F37F40" w:rsidP="00682EEF">
            <w:pPr>
              <w:pStyle w:val="NoSpacing"/>
              <w:rPr>
                <w:sz w:val="20"/>
                <w:szCs w:val="20"/>
              </w:rPr>
            </w:pPr>
            <w:r w:rsidRPr="00506972">
              <w:rPr>
                <w:sz w:val="20"/>
                <w:szCs w:val="20"/>
              </w:rPr>
              <w:t>RWG</w:t>
            </w:r>
          </w:p>
        </w:tc>
        <w:tc>
          <w:tcPr>
            <w:tcW w:w="216" w:type="pct"/>
            <w:shd w:val="clear" w:color="auto" w:fill="FFFFFF"/>
            <w:vAlign w:val="center"/>
          </w:tcPr>
          <w:p w14:paraId="6F5415C0" w14:textId="2DAF933B" w:rsidR="00F37F40" w:rsidRPr="00506972" w:rsidRDefault="00F37F40" w:rsidP="00682EEF">
            <w:pPr>
              <w:pStyle w:val="NoSpacing"/>
              <w:rPr>
                <w:sz w:val="20"/>
                <w:szCs w:val="20"/>
              </w:rPr>
            </w:pPr>
            <w:r>
              <w:rPr>
                <w:sz w:val="20"/>
                <w:szCs w:val="20"/>
              </w:rPr>
              <w:t>125</w:t>
            </w:r>
          </w:p>
        </w:tc>
        <w:tc>
          <w:tcPr>
            <w:tcW w:w="689" w:type="pct"/>
            <w:shd w:val="clear" w:color="auto" w:fill="FFFFFF"/>
            <w:tcMar>
              <w:top w:w="15" w:type="dxa"/>
              <w:left w:w="108" w:type="dxa"/>
              <w:bottom w:w="0" w:type="dxa"/>
              <w:right w:w="108" w:type="dxa"/>
            </w:tcMar>
            <w:vAlign w:val="center"/>
            <w:hideMark/>
          </w:tcPr>
          <w:p w14:paraId="3D911D30" w14:textId="0BEF1DBA" w:rsidR="00F37F40" w:rsidRPr="00506972" w:rsidRDefault="00F37F40" w:rsidP="00682EEF">
            <w:pPr>
              <w:pStyle w:val="NoSpacing"/>
              <w:rPr>
                <w:sz w:val="20"/>
                <w:szCs w:val="20"/>
              </w:rPr>
            </w:pPr>
            <w:r w:rsidRPr="00506972">
              <w:rPr>
                <w:sz w:val="20"/>
                <w:szCs w:val="20"/>
              </w:rPr>
              <w:t>cg01379158</w:t>
            </w:r>
          </w:p>
        </w:tc>
        <w:tc>
          <w:tcPr>
            <w:tcW w:w="524" w:type="pct"/>
            <w:shd w:val="clear" w:color="auto" w:fill="FFFFFF"/>
            <w:tcMar>
              <w:top w:w="15" w:type="dxa"/>
              <w:left w:w="108" w:type="dxa"/>
              <w:bottom w:w="0" w:type="dxa"/>
              <w:right w:w="108" w:type="dxa"/>
            </w:tcMar>
            <w:vAlign w:val="center"/>
            <w:hideMark/>
          </w:tcPr>
          <w:p w14:paraId="055640A5" w14:textId="77777777" w:rsidR="00F37F40" w:rsidRPr="00B57B39" w:rsidRDefault="00F37F40" w:rsidP="00682EEF">
            <w:pPr>
              <w:pStyle w:val="NoSpacing"/>
              <w:rPr>
                <w:i/>
                <w:sz w:val="20"/>
                <w:szCs w:val="20"/>
              </w:rPr>
            </w:pPr>
            <w:r w:rsidRPr="00B57B39">
              <w:rPr>
                <w:i/>
                <w:sz w:val="20"/>
                <w:szCs w:val="20"/>
              </w:rPr>
              <w:t>NT5M</w:t>
            </w:r>
          </w:p>
        </w:tc>
        <w:tc>
          <w:tcPr>
            <w:tcW w:w="447" w:type="pct"/>
            <w:shd w:val="clear" w:color="auto" w:fill="FFFFFF"/>
            <w:tcMar>
              <w:top w:w="15" w:type="dxa"/>
              <w:left w:w="108" w:type="dxa"/>
              <w:bottom w:w="0" w:type="dxa"/>
              <w:right w:w="108" w:type="dxa"/>
            </w:tcMar>
            <w:vAlign w:val="center"/>
            <w:hideMark/>
          </w:tcPr>
          <w:p w14:paraId="58FAB450" w14:textId="77777777" w:rsidR="00F37F40" w:rsidRPr="00506972" w:rsidRDefault="00F37F40" w:rsidP="00682EEF">
            <w:pPr>
              <w:pStyle w:val="NoSpacing"/>
              <w:rPr>
                <w:sz w:val="20"/>
                <w:szCs w:val="20"/>
              </w:rPr>
            </w:pPr>
            <w:r w:rsidRPr="00506972">
              <w:rPr>
                <w:sz w:val="20"/>
                <w:szCs w:val="20"/>
              </w:rPr>
              <w:t>TSS200</w:t>
            </w:r>
          </w:p>
        </w:tc>
        <w:tc>
          <w:tcPr>
            <w:tcW w:w="917" w:type="pct"/>
            <w:shd w:val="clear" w:color="auto" w:fill="FFFFFF"/>
            <w:tcMar>
              <w:top w:w="15" w:type="dxa"/>
              <w:left w:w="108" w:type="dxa"/>
              <w:bottom w:w="0" w:type="dxa"/>
              <w:right w:w="108" w:type="dxa"/>
            </w:tcMar>
            <w:vAlign w:val="center"/>
            <w:hideMark/>
          </w:tcPr>
          <w:p w14:paraId="24E43EA4" w14:textId="77777777" w:rsidR="00F37F40" w:rsidRPr="00506972" w:rsidRDefault="00F37F40" w:rsidP="00682EEF">
            <w:pPr>
              <w:pStyle w:val="NoSpacing"/>
              <w:rPr>
                <w:sz w:val="20"/>
                <w:szCs w:val="20"/>
              </w:rPr>
            </w:pPr>
            <w:r w:rsidRPr="00506972">
              <w:rPr>
                <w:sz w:val="20"/>
                <w:szCs w:val="20"/>
              </w:rPr>
              <w:t>chr17:17206527-17207306</w:t>
            </w:r>
          </w:p>
        </w:tc>
        <w:tc>
          <w:tcPr>
            <w:tcW w:w="286" w:type="pct"/>
            <w:shd w:val="clear" w:color="auto" w:fill="FFFFFF"/>
            <w:vAlign w:val="center"/>
          </w:tcPr>
          <w:p w14:paraId="5E4D83F8" w14:textId="085D90C9" w:rsidR="00F37F40" w:rsidRPr="00506972" w:rsidRDefault="00F37F40" w:rsidP="00682EEF">
            <w:pPr>
              <w:pStyle w:val="NoSpacing"/>
              <w:rPr>
                <w:sz w:val="20"/>
                <w:szCs w:val="20"/>
              </w:rPr>
            </w:pPr>
            <w:r w:rsidRPr="00506972">
              <w:rPr>
                <w:sz w:val="20"/>
                <w:szCs w:val="20"/>
              </w:rPr>
              <w:t>ISVA</w:t>
            </w:r>
          </w:p>
        </w:tc>
        <w:tc>
          <w:tcPr>
            <w:tcW w:w="363" w:type="pct"/>
            <w:shd w:val="clear" w:color="auto" w:fill="FFFFFF"/>
            <w:tcMar>
              <w:top w:w="15" w:type="dxa"/>
              <w:left w:w="108" w:type="dxa"/>
              <w:bottom w:w="0" w:type="dxa"/>
              <w:right w:w="108" w:type="dxa"/>
            </w:tcMar>
            <w:vAlign w:val="center"/>
            <w:hideMark/>
          </w:tcPr>
          <w:p w14:paraId="6343DF1C" w14:textId="2089B766" w:rsidR="00F37F40" w:rsidRPr="003A32D9" w:rsidRDefault="00F37F40" w:rsidP="006F3C05">
            <w:pPr>
              <w:pStyle w:val="NoSpacing"/>
              <w:rPr>
                <w:rFonts w:cstheme="minorHAnsi"/>
                <w:sz w:val="20"/>
                <w:szCs w:val="20"/>
              </w:rPr>
            </w:pPr>
            <w:r w:rsidRPr="003A32D9">
              <w:rPr>
                <w:rFonts w:cstheme="minorHAnsi"/>
                <w:sz w:val="20"/>
                <w:szCs w:val="20"/>
              </w:rPr>
              <w:t>0.011</w:t>
            </w:r>
          </w:p>
        </w:tc>
        <w:tc>
          <w:tcPr>
            <w:tcW w:w="303" w:type="pct"/>
            <w:shd w:val="clear" w:color="auto" w:fill="FFFFFF"/>
            <w:vAlign w:val="center"/>
          </w:tcPr>
          <w:p w14:paraId="0844B9D0" w14:textId="53121412" w:rsidR="00F37F40" w:rsidRPr="00A94ACE" w:rsidRDefault="00075CE2" w:rsidP="006F3C05">
            <w:pPr>
              <w:spacing w:line="240" w:lineRule="auto"/>
              <w:rPr>
                <w:rFonts w:cstheme="minorHAnsi"/>
                <w:color w:val="000000"/>
                <w:sz w:val="20"/>
                <w:szCs w:val="20"/>
              </w:rPr>
            </w:pPr>
            <w:r w:rsidRPr="003A32D9">
              <w:rPr>
                <w:rFonts w:cstheme="minorHAnsi"/>
                <w:color w:val="000000"/>
                <w:sz w:val="20"/>
                <w:szCs w:val="20"/>
              </w:rPr>
              <w:t>0.0017</w:t>
            </w:r>
          </w:p>
        </w:tc>
        <w:tc>
          <w:tcPr>
            <w:tcW w:w="478" w:type="pct"/>
            <w:shd w:val="clear" w:color="auto" w:fill="FFFFFF"/>
            <w:vAlign w:val="center"/>
          </w:tcPr>
          <w:p w14:paraId="04DB36AC" w14:textId="2042031F" w:rsidR="00F37F40" w:rsidRPr="00506972" w:rsidRDefault="00075CE2" w:rsidP="00682EEF">
            <w:pPr>
              <w:pStyle w:val="NoSpacing"/>
              <w:rPr>
                <w:sz w:val="20"/>
                <w:szCs w:val="20"/>
              </w:rPr>
            </w:pPr>
            <w:r>
              <w:rPr>
                <w:rFonts w:cs="Arial"/>
                <w:color w:val="000000"/>
                <w:sz w:val="20"/>
                <w:szCs w:val="20"/>
                <w:shd w:val="clear" w:color="auto" w:fill="FFFFFF"/>
              </w:rPr>
              <w:t>1.41</w:t>
            </w:r>
            <w:r w:rsidR="00F37F40" w:rsidRPr="00506972">
              <w:rPr>
                <w:rFonts w:cs="Arial"/>
                <w:color w:val="000000"/>
                <w:sz w:val="20"/>
                <w:szCs w:val="20"/>
                <w:shd w:val="clear" w:color="auto" w:fill="FFFFFF"/>
              </w:rPr>
              <w:t>x10</w:t>
            </w:r>
            <w:r w:rsidR="00F37F40" w:rsidRPr="00506972">
              <w:rPr>
                <w:rFonts w:cs="Arial"/>
                <w:color w:val="000000"/>
                <w:sz w:val="20"/>
                <w:szCs w:val="20"/>
                <w:shd w:val="clear" w:color="auto" w:fill="FFFFFF"/>
                <w:vertAlign w:val="superscript"/>
              </w:rPr>
              <w:t>-8</w:t>
            </w:r>
          </w:p>
        </w:tc>
        <w:tc>
          <w:tcPr>
            <w:tcW w:w="320" w:type="pct"/>
            <w:shd w:val="clear" w:color="auto" w:fill="FFFFFF"/>
            <w:tcMar>
              <w:top w:w="15" w:type="dxa"/>
              <w:left w:w="108" w:type="dxa"/>
              <w:bottom w:w="0" w:type="dxa"/>
              <w:right w:w="108" w:type="dxa"/>
            </w:tcMar>
            <w:vAlign w:val="center"/>
            <w:hideMark/>
          </w:tcPr>
          <w:p w14:paraId="3DD32497" w14:textId="14ABD6E1" w:rsidR="00F37F40" w:rsidRPr="00506972" w:rsidRDefault="00F37F40" w:rsidP="00682EEF">
            <w:pPr>
              <w:pStyle w:val="NoSpacing"/>
              <w:rPr>
                <w:sz w:val="20"/>
                <w:szCs w:val="20"/>
              </w:rPr>
            </w:pPr>
            <w:r w:rsidRPr="00506972">
              <w:rPr>
                <w:sz w:val="20"/>
                <w:szCs w:val="20"/>
              </w:rPr>
              <w:t>0.01</w:t>
            </w:r>
          </w:p>
        </w:tc>
      </w:tr>
      <w:tr w:rsidR="00956785" w:rsidRPr="00506972" w14:paraId="7C68A5C7" w14:textId="77777777" w:rsidTr="00682EEF">
        <w:trPr>
          <w:trHeight w:val="13"/>
        </w:trPr>
        <w:tc>
          <w:tcPr>
            <w:tcW w:w="456" w:type="pct"/>
            <w:gridSpan w:val="2"/>
            <w:shd w:val="clear" w:color="auto" w:fill="FFFFFF"/>
            <w:vAlign w:val="center"/>
          </w:tcPr>
          <w:p w14:paraId="23800F6B" w14:textId="77777777" w:rsidR="00F37F40" w:rsidRPr="00506972" w:rsidRDefault="00F37F40" w:rsidP="00682EEF">
            <w:pPr>
              <w:pStyle w:val="NoSpacing"/>
              <w:rPr>
                <w:sz w:val="20"/>
                <w:szCs w:val="20"/>
              </w:rPr>
            </w:pPr>
            <w:r w:rsidRPr="00506972">
              <w:rPr>
                <w:sz w:val="20"/>
                <w:szCs w:val="20"/>
              </w:rPr>
              <w:t>RWG</w:t>
            </w:r>
          </w:p>
        </w:tc>
        <w:tc>
          <w:tcPr>
            <w:tcW w:w="216" w:type="pct"/>
            <w:shd w:val="clear" w:color="auto" w:fill="FFFFFF"/>
            <w:vAlign w:val="center"/>
          </w:tcPr>
          <w:p w14:paraId="516CAFA1" w14:textId="0A7FD437" w:rsidR="00F37F40" w:rsidRPr="00506972" w:rsidRDefault="00F37F40" w:rsidP="00682EEF">
            <w:pPr>
              <w:pStyle w:val="NoSpacing"/>
              <w:rPr>
                <w:sz w:val="20"/>
                <w:szCs w:val="20"/>
              </w:rPr>
            </w:pPr>
            <w:r>
              <w:rPr>
                <w:sz w:val="20"/>
                <w:szCs w:val="20"/>
              </w:rPr>
              <w:t>125</w:t>
            </w:r>
          </w:p>
        </w:tc>
        <w:tc>
          <w:tcPr>
            <w:tcW w:w="689" w:type="pct"/>
            <w:shd w:val="clear" w:color="auto" w:fill="FFFFFF"/>
            <w:tcMar>
              <w:top w:w="15" w:type="dxa"/>
              <w:left w:w="108" w:type="dxa"/>
              <w:bottom w:w="0" w:type="dxa"/>
              <w:right w:w="108" w:type="dxa"/>
            </w:tcMar>
            <w:vAlign w:val="center"/>
            <w:hideMark/>
          </w:tcPr>
          <w:p w14:paraId="02DC53D7" w14:textId="07D354E6" w:rsidR="00F37F40" w:rsidRPr="00506972" w:rsidRDefault="00F37F40" w:rsidP="00682EEF">
            <w:pPr>
              <w:pStyle w:val="NoSpacing"/>
              <w:rPr>
                <w:sz w:val="20"/>
                <w:szCs w:val="20"/>
              </w:rPr>
            </w:pPr>
            <w:r w:rsidRPr="00506972">
              <w:rPr>
                <w:sz w:val="20"/>
                <w:szCs w:val="20"/>
              </w:rPr>
              <w:t>cg11531579</w:t>
            </w:r>
          </w:p>
        </w:tc>
        <w:tc>
          <w:tcPr>
            <w:tcW w:w="524" w:type="pct"/>
            <w:shd w:val="clear" w:color="auto" w:fill="FFFFFF"/>
            <w:tcMar>
              <w:top w:w="15" w:type="dxa"/>
              <w:left w:w="108" w:type="dxa"/>
              <w:bottom w:w="0" w:type="dxa"/>
              <w:right w:w="108" w:type="dxa"/>
            </w:tcMar>
            <w:vAlign w:val="center"/>
            <w:hideMark/>
          </w:tcPr>
          <w:p w14:paraId="7C04DF81" w14:textId="77777777" w:rsidR="00F37F40" w:rsidRPr="00B57B39" w:rsidRDefault="00F37F40" w:rsidP="00682EEF">
            <w:pPr>
              <w:pStyle w:val="NoSpacing"/>
              <w:rPr>
                <w:i/>
                <w:sz w:val="20"/>
                <w:szCs w:val="20"/>
              </w:rPr>
            </w:pPr>
            <w:r w:rsidRPr="00B57B39">
              <w:rPr>
                <w:i/>
                <w:sz w:val="20"/>
                <w:szCs w:val="20"/>
              </w:rPr>
              <w:t>CHFR</w:t>
            </w:r>
          </w:p>
        </w:tc>
        <w:tc>
          <w:tcPr>
            <w:tcW w:w="447" w:type="pct"/>
            <w:shd w:val="clear" w:color="auto" w:fill="FFFFFF"/>
            <w:tcMar>
              <w:top w:w="15" w:type="dxa"/>
              <w:left w:w="108" w:type="dxa"/>
              <w:bottom w:w="0" w:type="dxa"/>
              <w:right w:w="108" w:type="dxa"/>
            </w:tcMar>
            <w:vAlign w:val="center"/>
            <w:hideMark/>
          </w:tcPr>
          <w:p w14:paraId="61FF5A16" w14:textId="77777777" w:rsidR="00F37F40" w:rsidRPr="00506972" w:rsidRDefault="00F37F40" w:rsidP="00682EEF">
            <w:pPr>
              <w:pStyle w:val="NoSpacing"/>
              <w:rPr>
                <w:sz w:val="20"/>
                <w:szCs w:val="20"/>
              </w:rPr>
            </w:pPr>
            <w:r w:rsidRPr="00506972">
              <w:rPr>
                <w:sz w:val="20"/>
                <w:szCs w:val="20"/>
              </w:rPr>
              <w:t>Island</w:t>
            </w:r>
          </w:p>
        </w:tc>
        <w:tc>
          <w:tcPr>
            <w:tcW w:w="917" w:type="pct"/>
            <w:shd w:val="clear" w:color="auto" w:fill="FFFFFF"/>
            <w:tcMar>
              <w:top w:w="15" w:type="dxa"/>
              <w:left w:w="108" w:type="dxa"/>
              <w:bottom w:w="0" w:type="dxa"/>
              <w:right w:w="108" w:type="dxa"/>
            </w:tcMar>
            <w:vAlign w:val="center"/>
            <w:hideMark/>
          </w:tcPr>
          <w:p w14:paraId="1C2FF282" w14:textId="77777777" w:rsidR="00F37F40" w:rsidRPr="00506972" w:rsidRDefault="00F37F40" w:rsidP="00682EEF">
            <w:pPr>
              <w:pStyle w:val="NoSpacing"/>
              <w:rPr>
                <w:sz w:val="20"/>
                <w:szCs w:val="20"/>
              </w:rPr>
            </w:pPr>
            <w:r w:rsidRPr="00506972">
              <w:rPr>
                <w:sz w:val="20"/>
                <w:szCs w:val="20"/>
              </w:rPr>
              <w:t>chr12:133484658-133485739</w:t>
            </w:r>
          </w:p>
        </w:tc>
        <w:tc>
          <w:tcPr>
            <w:tcW w:w="286" w:type="pct"/>
            <w:shd w:val="clear" w:color="auto" w:fill="FFFFFF"/>
            <w:vAlign w:val="center"/>
          </w:tcPr>
          <w:p w14:paraId="6A077881" w14:textId="08882738" w:rsidR="00F37F40" w:rsidRPr="00506972" w:rsidRDefault="00F37F40" w:rsidP="00682EEF">
            <w:pPr>
              <w:pStyle w:val="NoSpacing"/>
              <w:rPr>
                <w:sz w:val="20"/>
                <w:szCs w:val="20"/>
              </w:rPr>
            </w:pPr>
            <w:r w:rsidRPr="00506972">
              <w:rPr>
                <w:sz w:val="20"/>
                <w:szCs w:val="20"/>
              </w:rPr>
              <w:t>SVA</w:t>
            </w:r>
          </w:p>
        </w:tc>
        <w:tc>
          <w:tcPr>
            <w:tcW w:w="363" w:type="pct"/>
            <w:shd w:val="clear" w:color="auto" w:fill="FFFFFF"/>
            <w:tcMar>
              <w:top w:w="15" w:type="dxa"/>
              <w:left w:w="108" w:type="dxa"/>
              <w:bottom w:w="0" w:type="dxa"/>
              <w:right w:w="108" w:type="dxa"/>
            </w:tcMar>
            <w:vAlign w:val="center"/>
            <w:hideMark/>
          </w:tcPr>
          <w:p w14:paraId="76772A02" w14:textId="5ECC989C" w:rsidR="00F37F40" w:rsidRPr="003A32D9" w:rsidRDefault="00F37F40" w:rsidP="006F3C05">
            <w:pPr>
              <w:pStyle w:val="NoSpacing"/>
              <w:rPr>
                <w:rFonts w:cstheme="minorHAnsi"/>
                <w:sz w:val="20"/>
                <w:szCs w:val="20"/>
              </w:rPr>
            </w:pPr>
            <w:r w:rsidRPr="003A32D9">
              <w:rPr>
                <w:rFonts w:cstheme="minorHAnsi"/>
                <w:sz w:val="20"/>
                <w:szCs w:val="20"/>
              </w:rPr>
              <w:t>0.011</w:t>
            </w:r>
          </w:p>
        </w:tc>
        <w:tc>
          <w:tcPr>
            <w:tcW w:w="303" w:type="pct"/>
            <w:shd w:val="clear" w:color="auto" w:fill="FFFFFF"/>
            <w:vAlign w:val="center"/>
          </w:tcPr>
          <w:p w14:paraId="4176F4B7" w14:textId="66B35846" w:rsidR="00F37F40" w:rsidRPr="00682EEF" w:rsidRDefault="00682EEF" w:rsidP="006F3C05">
            <w:pPr>
              <w:spacing w:after="0"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0.0019</w:t>
            </w:r>
          </w:p>
        </w:tc>
        <w:tc>
          <w:tcPr>
            <w:tcW w:w="478" w:type="pct"/>
            <w:shd w:val="clear" w:color="auto" w:fill="FFFFFF"/>
            <w:vAlign w:val="center"/>
          </w:tcPr>
          <w:p w14:paraId="1C87E7C9" w14:textId="4F9926EB" w:rsidR="00F37F40" w:rsidRPr="00506972" w:rsidRDefault="00F37F40" w:rsidP="00682EEF">
            <w:pPr>
              <w:pStyle w:val="NoSpacing"/>
              <w:rPr>
                <w:sz w:val="20"/>
                <w:szCs w:val="20"/>
              </w:rPr>
            </w:pPr>
            <w:r w:rsidRPr="00506972">
              <w:rPr>
                <w:color w:val="000000"/>
                <w:sz w:val="20"/>
                <w:szCs w:val="20"/>
              </w:rPr>
              <w:t>4.16</w:t>
            </w:r>
            <w:r w:rsidRPr="00506972">
              <w:rPr>
                <w:rFonts w:cs="Arial"/>
                <w:color w:val="000000"/>
                <w:sz w:val="20"/>
                <w:szCs w:val="20"/>
                <w:shd w:val="clear" w:color="auto" w:fill="FFFFFF"/>
              </w:rPr>
              <w:t>x10</w:t>
            </w:r>
            <w:r w:rsidRPr="00506972">
              <w:rPr>
                <w:rFonts w:cs="Arial"/>
                <w:color w:val="000000"/>
                <w:sz w:val="20"/>
                <w:szCs w:val="20"/>
                <w:shd w:val="clear" w:color="auto" w:fill="FFFFFF"/>
                <w:vertAlign w:val="superscript"/>
              </w:rPr>
              <w:t>-8</w:t>
            </w:r>
          </w:p>
        </w:tc>
        <w:tc>
          <w:tcPr>
            <w:tcW w:w="320" w:type="pct"/>
            <w:shd w:val="clear" w:color="auto" w:fill="FFFFFF"/>
            <w:tcMar>
              <w:top w:w="15" w:type="dxa"/>
              <w:left w:w="108" w:type="dxa"/>
              <w:bottom w:w="0" w:type="dxa"/>
              <w:right w:w="108" w:type="dxa"/>
            </w:tcMar>
            <w:vAlign w:val="center"/>
            <w:hideMark/>
          </w:tcPr>
          <w:p w14:paraId="54938530" w14:textId="22AB5E69" w:rsidR="00F37F40" w:rsidRPr="00506972" w:rsidRDefault="00F37F40" w:rsidP="00682EEF">
            <w:pPr>
              <w:pStyle w:val="NoSpacing"/>
              <w:rPr>
                <w:sz w:val="20"/>
                <w:szCs w:val="20"/>
              </w:rPr>
            </w:pPr>
            <w:r w:rsidRPr="00506972">
              <w:rPr>
                <w:sz w:val="20"/>
                <w:szCs w:val="20"/>
              </w:rPr>
              <w:t>0.02</w:t>
            </w:r>
          </w:p>
        </w:tc>
      </w:tr>
      <w:tr w:rsidR="00956785" w:rsidRPr="00506972" w14:paraId="66195A19" w14:textId="77777777" w:rsidTr="00682EEF">
        <w:trPr>
          <w:trHeight w:val="94"/>
        </w:trPr>
        <w:tc>
          <w:tcPr>
            <w:tcW w:w="456" w:type="pct"/>
            <w:gridSpan w:val="2"/>
            <w:tcBorders>
              <w:bottom w:val="single" w:sz="4" w:space="0" w:color="auto"/>
            </w:tcBorders>
            <w:shd w:val="clear" w:color="auto" w:fill="FFFFFF"/>
            <w:vAlign w:val="center"/>
          </w:tcPr>
          <w:p w14:paraId="55ACB34F" w14:textId="77777777" w:rsidR="00F37F40" w:rsidRPr="00506972" w:rsidRDefault="00F37F40" w:rsidP="00682EEF">
            <w:pPr>
              <w:pStyle w:val="NoSpacing"/>
              <w:rPr>
                <w:sz w:val="20"/>
                <w:szCs w:val="20"/>
              </w:rPr>
            </w:pPr>
            <w:r w:rsidRPr="00506972">
              <w:rPr>
                <w:sz w:val="20"/>
                <w:szCs w:val="20"/>
              </w:rPr>
              <w:t>RWG</w:t>
            </w:r>
          </w:p>
        </w:tc>
        <w:tc>
          <w:tcPr>
            <w:tcW w:w="216" w:type="pct"/>
            <w:tcBorders>
              <w:bottom w:val="single" w:sz="4" w:space="0" w:color="auto"/>
            </w:tcBorders>
            <w:shd w:val="clear" w:color="auto" w:fill="FFFFFF"/>
            <w:vAlign w:val="center"/>
          </w:tcPr>
          <w:p w14:paraId="328E3148" w14:textId="64FCF3F5" w:rsidR="00F37F40" w:rsidRPr="00506972" w:rsidRDefault="00F37F40" w:rsidP="00682EEF">
            <w:pPr>
              <w:pStyle w:val="NoSpacing"/>
              <w:rPr>
                <w:sz w:val="20"/>
                <w:szCs w:val="20"/>
              </w:rPr>
            </w:pPr>
            <w:r>
              <w:rPr>
                <w:sz w:val="20"/>
                <w:szCs w:val="20"/>
              </w:rPr>
              <w:t>125</w:t>
            </w:r>
          </w:p>
        </w:tc>
        <w:tc>
          <w:tcPr>
            <w:tcW w:w="689" w:type="pct"/>
            <w:tcBorders>
              <w:bottom w:val="single" w:sz="4" w:space="0" w:color="auto"/>
            </w:tcBorders>
            <w:shd w:val="clear" w:color="auto" w:fill="FFFFFF"/>
            <w:tcMar>
              <w:top w:w="15" w:type="dxa"/>
              <w:left w:w="108" w:type="dxa"/>
              <w:bottom w:w="0" w:type="dxa"/>
              <w:right w:w="108" w:type="dxa"/>
            </w:tcMar>
            <w:vAlign w:val="center"/>
            <w:hideMark/>
          </w:tcPr>
          <w:p w14:paraId="5D67CCD1" w14:textId="519A968B" w:rsidR="00F37F40" w:rsidRPr="00506972" w:rsidRDefault="00F37F40" w:rsidP="00682EEF">
            <w:pPr>
              <w:pStyle w:val="NoSpacing"/>
              <w:rPr>
                <w:sz w:val="20"/>
                <w:szCs w:val="20"/>
              </w:rPr>
            </w:pPr>
            <w:r w:rsidRPr="00506972">
              <w:rPr>
                <w:sz w:val="20"/>
                <w:szCs w:val="20"/>
              </w:rPr>
              <w:t>cg11531579</w:t>
            </w:r>
          </w:p>
        </w:tc>
        <w:tc>
          <w:tcPr>
            <w:tcW w:w="524" w:type="pct"/>
            <w:tcBorders>
              <w:bottom w:val="single" w:sz="4" w:space="0" w:color="auto"/>
            </w:tcBorders>
            <w:shd w:val="clear" w:color="auto" w:fill="FFFFFF"/>
            <w:tcMar>
              <w:top w:w="15" w:type="dxa"/>
              <w:left w:w="108" w:type="dxa"/>
              <w:bottom w:w="0" w:type="dxa"/>
              <w:right w:w="108" w:type="dxa"/>
            </w:tcMar>
            <w:vAlign w:val="center"/>
            <w:hideMark/>
          </w:tcPr>
          <w:p w14:paraId="36D8032D" w14:textId="77777777" w:rsidR="00F37F40" w:rsidRPr="00B57B39" w:rsidRDefault="00F37F40" w:rsidP="00682EEF">
            <w:pPr>
              <w:pStyle w:val="NoSpacing"/>
              <w:rPr>
                <w:i/>
                <w:sz w:val="20"/>
                <w:szCs w:val="20"/>
              </w:rPr>
            </w:pPr>
            <w:r w:rsidRPr="00B57B39">
              <w:rPr>
                <w:i/>
                <w:sz w:val="20"/>
                <w:szCs w:val="20"/>
              </w:rPr>
              <w:t>CHFR</w:t>
            </w:r>
          </w:p>
        </w:tc>
        <w:tc>
          <w:tcPr>
            <w:tcW w:w="447" w:type="pct"/>
            <w:tcBorders>
              <w:bottom w:val="single" w:sz="4" w:space="0" w:color="auto"/>
            </w:tcBorders>
            <w:shd w:val="clear" w:color="auto" w:fill="FFFFFF"/>
            <w:tcMar>
              <w:top w:w="15" w:type="dxa"/>
              <w:left w:w="108" w:type="dxa"/>
              <w:bottom w:w="0" w:type="dxa"/>
              <w:right w:w="108" w:type="dxa"/>
            </w:tcMar>
            <w:vAlign w:val="center"/>
            <w:hideMark/>
          </w:tcPr>
          <w:p w14:paraId="17FE9AF5" w14:textId="77777777" w:rsidR="00F37F40" w:rsidRPr="00506972" w:rsidRDefault="00F37F40" w:rsidP="00682EEF">
            <w:pPr>
              <w:pStyle w:val="NoSpacing"/>
              <w:rPr>
                <w:sz w:val="20"/>
                <w:szCs w:val="20"/>
              </w:rPr>
            </w:pPr>
            <w:r w:rsidRPr="00506972">
              <w:rPr>
                <w:sz w:val="20"/>
                <w:szCs w:val="20"/>
              </w:rPr>
              <w:t>Island</w:t>
            </w:r>
          </w:p>
        </w:tc>
        <w:tc>
          <w:tcPr>
            <w:tcW w:w="917" w:type="pct"/>
            <w:tcBorders>
              <w:bottom w:val="single" w:sz="4" w:space="0" w:color="auto"/>
            </w:tcBorders>
            <w:shd w:val="clear" w:color="auto" w:fill="FFFFFF"/>
            <w:tcMar>
              <w:top w:w="15" w:type="dxa"/>
              <w:left w:w="108" w:type="dxa"/>
              <w:bottom w:w="0" w:type="dxa"/>
              <w:right w:w="108" w:type="dxa"/>
            </w:tcMar>
            <w:vAlign w:val="center"/>
            <w:hideMark/>
          </w:tcPr>
          <w:p w14:paraId="1D8B7908" w14:textId="77777777" w:rsidR="00F37F40" w:rsidRPr="00506972" w:rsidRDefault="00F37F40" w:rsidP="00682EEF">
            <w:pPr>
              <w:pStyle w:val="NoSpacing"/>
              <w:rPr>
                <w:sz w:val="20"/>
                <w:szCs w:val="20"/>
              </w:rPr>
            </w:pPr>
            <w:r w:rsidRPr="00506972">
              <w:rPr>
                <w:sz w:val="20"/>
                <w:szCs w:val="20"/>
              </w:rPr>
              <w:t>chr12:133484658-133485739</w:t>
            </w:r>
          </w:p>
        </w:tc>
        <w:tc>
          <w:tcPr>
            <w:tcW w:w="286" w:type="pct"/>
            <w:tcBorders>
              <w:bottom w:val="single" w:sz="4" w:space="0" w:color="auto"/>
            </w:tcBorders>
            <w:shd w:val="clear" w:color="auto" w:fill="FFFFFF"/>
            <w:vAlign w:val="center"/>
          </w:tcPr>
          <w:p w14:paraId="09F643FC" w14:textId="6A554BA9" w:rsidR="00F37F40" w:rsidRPr="00506972" w:rsidRDefault="00F37F40" w:rsidP="00682EEF">
            <w:pPr>
              <w:pStyle w:val="NoSpacing"/>
              <w:rPr>
                <w:sz w:val="20"/>
                <w:szCs w:val="20"/>
              </w:rPr>
            </w:pPr>
            <w:r w:rsidRPr="00506972">
              <w:rPr>
                <w:sz w:val="20"/>
                <w:szCs w:val="20"/>
              </w:rPr>
              <w:t>ISVA</w:t>
            </w:r>
          </w:p>
        </w:tc>
        <w:tc>
          <w:tcPr>
            <w:tcW w:w="363" w:type="pct"/>
            <w:tcBorders>
              <w:bottom w:val="single" w:sz="4" w:space="0" w:color="auto"/>
            </w:tcBorders>
            <w:shd w:val="clear" w:color="auto" w:fill="FFFFFF"/>
            <w:tcMar>
              <w:top w:w="15" w:type="dxa"/>
              <w:left w:w="108" w:type="dxa"/>
              <w:bottom w:w="0" w:type="dxa"/>
              <w:right w:w="108" w:type="dxa"/>
            </w:tcMar>
            <w:vAlign w:val="center"/>
            <w:hideMark/>
          </w:tcPr>
          <w:p w14:paraId="0AAEDB16" w14:textId="3BA6D2EB" w:rsidR="00F37F40" w:rsidRPr="003A32D9" w:rsidRDefault="00F37F40" w:rsidP="006F3C05">
            <w:pPr>
              <w:pStyle w:val="NoSpacing"/>
              <w:rPr>
                <w:rFonts w:cstheme="minorHAnsi"/>
                <w:sz w:val="20"/>
                <w:szCs w:val="20"/>
              </w:rPr>
            </w:pPr>
            <w:r w:rsidRPr="003A32D9">
              <w:rPr>
                <w:rFonts w:cstheme="minorHAnsi"/>
                <w:sz w:val="20"/>
                <w:szCs w:val="20"/>
              </w:rPr>
              <w:t>0.011</w:t>
            </w:r>
          </w:p>
        </w:tc>
        <w:tc>
          <w:tcPr>
            <w:tcW w:w="303" w:type="pct"/>
            <w:tcBorders>
              <w:bottom w:val="single" w:sz="4" w:space="0" w:color="auto"/>
            </w:tcBorders>
            <w:shd w:val="clear" w:color="auto" w:fill="FFFFFF"/>
            <w:vAlign w:val="center"/>
          </w:tcPr>
          <w:p w14:paraId="372F62E5" w14:textId="094E5C4F" w:rsidR="00F37F40" w:rsidRPr="00682EEF" w:rsidRDefault="003A32D9" w:rsidP="006F3C05">
            <w:pPr>
              <w:shd w:val="clear" w:color="auto" w:fill="FFFFFF"/>
              <w:spacing w:after="0" w:line="240" w:lineRule="auto"/>
              <w:rPr>
                <w:rFonts w:eastAsia="Times New Roman" w:cstheme="minorHAnsi"/>
                <w:color w:val="000000"/>
                <w:sz w:val="20"/>
                <w:szCs w:val="20"/>
                <w:lang w:eastAsia="en-GB"/>
              </w:rPr>
            </w:pPr>
            <w:r w:rsidRPr="003A32D9">
              <w:rPr>
                <w:rFonts w:eastAsia="Times New Roman" w:cstheme="minorHAnsi"/>
                <w:color w:val="000000"/>
                <w:sz w:val="20"/>
                <w:szCs w:val="20"/>
                <w:lang w:eastAsia="en-GB"/>
              </w:rPr>
              <w:t>0.001</w:t>
            </w:r>
            <w:r w:rsidR="00682EEF">
              <w:rPr>
                <w:rFonts w:eastAsia="Times New Roman" w:cstheme="minorHAnsi"/>
                <w:color w:val="000000"/>
                <w:sz w:val="20"/>
                <w:szCs w:val="20"/>
                <w:lang w:eastAsia="en-GB"/>
              </w:rPr>
              <w:t>9</w:t>
            </w:r>
          </w:p>
        </w:tc>
        <w:tc>
          <w:tcPr>
            <w:tcW w:w="478" w:type="pct"/>
            <w:tcBorders>
              <w:bottom w:val="single" w:sz="4" w:space="0" w:color="auto"/>
            </w:tcBorders>
            <w:shd w:val="clear" w:color="auto" w:fill="FFFFFF"/>
            <w:vAlign w:val="center"/>
          </w:tcPr>
          <w:p w14:paraId="6E18D4C4" w14:textId="0B96E72D" w:rsidR="00F37F40" w:rsidRPr="00506972" w:rsidRDefault="00F37F40" w:rsidP="00682EEF">
            <w:pPr>
              <w:pStyle w:val="NoSpacing"/>
              <w:rPr>
                <w:sz w:val="20"/>
                <w:szCs w:val="20"/>
              </w:rPr>
            </w:pPr>
            <w:r w:rsidRPr="00506972">
              <w:rPr>
                <w:color w:val="000000"/>
                <w:sz w:val="20"/>
                <w:szCs w:val="20"/>
              </w:rPr>
              <w:t>1.26</w:t>
            </w:r>
            <w:r w:rsidRPr="00506972">
              <w:rPr>
                <w:rFonts w:cs="Arial"/>
                <w:color w:val="000000"/>
                <w:sz w:val="20"/>
                <w:szCs w:val="20"/>
                <w:shd w:val="clear" w:color="auto" w:fill="FFFFFF"/>
              </w:rPr>
              <w:t xml:space="preserve"> x10</w:t>
            </w:r>
            <w:r w:rsidRPr="00506972">
              <w:rPr>
                <w:rFonts w:cs="Arial"/>
                <w:color w:val="000000"/>
                <w:sz w:val="20"/>
                <w:szCs w:val="20"/>
                <w:shd w:val="clear" w:color="auto" w:fill="FFFFFF"/>
                <w:vertAlign w:val="superscript"/>
              </w:rPr>
              <w:t>-7</w:t>
            </w:r>
          </w:p>
        </w:tc>
        <w:tc>
          <w:tcPr>
            <w:tcW w:w="320" w:type="pct"/>
            <w:tcBorders>
              <w:bottom w:val="single" w:sz="4" w:space="0" w:color="auto"/>
            </w:tcBorders>
            <w:shd w:val="clear" w:color="auto" w:fill="FFFFFF"/>
            <w:tcMar>
              <w:top w:w="15" w:type="dxa"/>
              <w:left w:w="108" w:type="dxa"/>
              <w:bottom w:w="0" w:type="dxa"/>
              <w:right w:w="108" w:type="dxa"/>
            </w:tcMar>
            <w:vAlign w:val="center"/>
            <w:hideMark/>
          </w:tcPr>
          <w:p w14:paraId="711790CA" w14:textId="0ED6E48E" w:rsidR="00F37F40" w:rsidRPr="00506972" w:rsidRDefault="00F37F40" w:rsidP="00682EEF">
            <w:pPr>
              <w:pStyle w:val="NoSpacing"/>
              <w:rPr>
                <w:sz w:val="20"/>
                <w:szCs w:val="20"/>
              </w:rPr>
            </w:pPr>
            <w:r w:rsidRPr="00506972">
              <w:rPr>
                <w:sz w:val="20"/>
                <w:szCs w:val="20"/>
              </w:rPr>
              <w:t>0.03</w:t>
            </w:r>
          </w:p>
        </w:tc>
      </w:tr>
    </w:tbl>
    <w:p w14:paraId="58E3C1CA" w14:textId="1077988A" w:rsidR="00E04BFB" w:rsidRDefault="002B1257" w:rsidP="00FE3164">
      <w:pPr>
        <w:pStyle w:val="Caption"/>
      </w:pPr>
      <w:r>
        <w:t xml:space="preserve">All associations </w:t>
      </w:r>
      <w:r w:rsidRPr="00510725">
        <w:t>FDR p&lt;0.</w:t>
      </w:r>
      <w:r>
        <w:t xml:space="preserve">05 </w:t>
      </w:r>
      <w:r w:rsidR="0009160B">
        <w:t xml:space="preserve">are </w:t>
      </w:r>
      <w:r>
        <w:t xml:space="preserve">presented from the ISVA and SVA models, and </w:t>
      </w:r>
      <w:r w:rsidR="0009160B">
        <w:t xml:space="preserve">the models </w:t>
      </w:r>
      <w:r>
        <w:t xml:space="preserve">with and without adjustment for cell types. </w:t>
      </w:r>
      <w:proofErr w:type="spellStart"/>
      <w:r w:rsidR="00250403" w:rsidRPr="00510725">
        <w:t>Chr</w:t>
      </w:r>
      <w:proofErr w:type="spellEnd"/>
      <w:r w:rsidR="00250403" w:rsidRPr="00510725">
        <w:t>, chromosome; P</w:t>
      </w:r>
      <w:r w:rsidR="00250403" w:rsidRPr="00510725">
        <w:rPr>
          <w:vertAlign w:val="subscript"/>
        </w:rPr>
        <w:t>FDR</w:t>
      </w:r>
      <w:r w:rsidR="00250403" w:rsidRPr="00510725">
        <w:t xml:space="preserve">, FDR p value; P, </w:t>
      </w:r>
      <w:r w:rsidR="00894EB5">
        <w:t>unadjusted</w:t>
      </w:r>
      <w:r w:rsidR="00250403" w:rsidRPr="00510725">
        <w:t xml:space="preserve"> p value, </w:t>
      </w:r>
      <w:proofErr w:type="spellStart"/>
      <w:r w:rsidR="00250403" w:rsidRPr="00510725">
        <w:t>Coef</w:t>
      </w:r>
      <w:proofErr w:type="spellEnd"/>
      <w:r w:rsidR="00250403" w:rsidRPr="00510725">
        <w:t>, coefficient; T</w:t>
      </w:r>
      <w:r w:rsidR="00446ACF">
        <w:t>SS200, transcription start site</w:t>
      </w:r>
      <w:r w:rsidR="00250403" w:rsidRPr="00510725">
        <w:t>; RWG, rapid weight gain</w:t>
      </w:r>
      <w:r w:rsidR="008E7176">
        <w:t>; SVA, S</w:t>
      </w:r>
      <w:r w:rsidR="008E7176" w:rsidRPr="00BF3101">
        <w:t>urrogate variable analysis</w:t>
      </w:r>
      <w:r w:rsidR="008E7176">
        <w:t>,</w:t>
      </w:r>
      <w:r w:rsidR="008E7176" w:rsidRPr="00BF3101">
        <w:t xml:space="preserve"> </w:t>
      </w:r>
      <w:r w:rsidR="008E7176">
        <w:t xml:space="preserve">and ISVA, </w:t>
      </w:r>
      <w:r w:rsidR="008E7176" w:rsidRPr="00BF3101">
        <w:t>independe</w:t>
      </w:r>
      <w:r w:rsidR="008E7176">
        <w:t>nt surrogate variable analysis</w:t>
      </w:r>
      <w:r w:rsidR="00250403" w:rsidRPr="00510725">
        <w:t>.</w:t>
      </w:r>
      <w:r w:rsidR="00E04BFB">
        <w:t xml:space="preserve"> </w:t>
      </w:r>
      <w:r w:rsidR="00E04BFB" w:rsidRPr="00E04BFB">
        <w:t xml:space="preserve">Bonferroni p value threshold </w:t>
      </w:r>
      <w:r w:rsidR="00E04BFB">
        <w:t>=</w:t>
      </w:r>
      <w:r w:rsidR="00E04BFB" w:rsidRPr="00E04BFB">
        <w:t>1.04x10</w:t>
      </w:r>
      <w:r w:rsidR="00E04BFB" w:rsidRPr="00E04BFB">
        <w:rPr>
          <w:vertAlign w:val="superscript"/>
        </w:rPr>
        <w:t>-7</w:t>
      </w:r>
      <w:r w:rsidR="00E04BFB" w:rsidRPr="00E04BFB">
        <w:t>.</w:t>
      </w:r>
    </w:p>
    <w:p w14:paraId="7A62A200" w14:textId="77777777" w:rsidR="00FE3164" w:rsidRPr="00FE3164" w:rsidRDefault="00FE3164" w:rsidP="00FE3164"/>
    <w:p w14:paraId="71DF2A7D" w14:textId="1E38053D" w:rsidR="00863E35" w:rsidRPr="00863E35" w:rsidRDefault="002B1257" w:rsidP="00863E35">
      <w:pPr>
        <w:keepNext/>
        <w:keepLines/>
        <w:spacing w:before="80" w:after="0" w:line="240" w:lineRule="auto"/>
        <w:outlineLvl w:val="2"/>
        <w:rPr>
          <w:rFonts w:asciiTheme="majorHAnsi" w:eastAsiaTheme="majorEastAsia" w:hAnsiTheme="majorHAnsi" w:cstheme="majorBidi"/>
          <w:color w:val="404040" w:themeColor="text1" w:themeTint="BF"/>
          <w:sz w:val="26"/>
          <w:szCs w:val="26"/>
        </w:rPr>
      </w:pPr>
      <w:r>
        <w:rPr>
          <w:rFonts w:asciiTheme="majorHAnsi" w:eastAsiaTheme="majorEastAsia" w:hAnsiTheme="majorHAnsi" w:cstheme="majorBidi"/>
          <w:color w:val="404040" w:themeColor="text1" w:themeTint="BF"/>
          <w:sz w:val="26"/>
          <w:szCs w:val="26"/>
        </w:rPr>
        <w:t>The c</w:t>
      </w:r>
      <w:r w:rsidR="00863E35" w:rsidRPr="00863E35">
        <w:rPr>
          <w:rFonts w:asciiTheme="majorHAnsi" w:eastAsiaTheme="majorEastAsia" w:hAnsiTheme="majorHAnsi" w:cstheme="majorBidi"/>
          <w:color w:val="404040" w:themeColor="text1" w:themeTint="BF"/>
          <w:sz w:val="26"/>
          <w:szCs w:val="26"/>
        </w:rPr>
        <w:t>andidate gene analysis</w:t>
      </w:r>
    </w:p>
    <w:p w14:paraId="4084587E" w14:textId="0260333C" w:rsidR="00F87D32" w:rsidRPr="00510725" w:rsidRDefault="00F87D32" w:rsidP="00F87D32">
      <w:pPr>
        <w:rPr>
          <w:shd w:val="clear" w:color="auto" w:fill="FFFFFF"/>
        </w:rPr>
      </w:pPr>
      <w:r w:rsidRPr="00510725">
        <w:rPr>
          <w:rFonts w:eastAsiaTheme="majorEastAsia"/>
        </w:rPr>
        <w:t>The aim of the</w:t>
      </w:r>
      <w:r>
        <w:rPr>
          <w:rFonts w:eastAsiaTheme="majorEastAsia"/>
        </w:rPr>
        <w:t xml:space="preserve"> candidate gene</w:t>
      </w:r>
      <w:r w:rsidRPr="00510725">
        <w:rPr>
          <w:rFonts w:eastAsiaTheme="majorEastAsia"/>
        </w:rPr>
        <w:t xml:space="preserve"> analyses was to </w:t>
      </w:r>
      <w:r w:rsidR="00C85A01">
        <w:rPr>
          <w:rFonts w:eastAsiaTheme="majorEastAsia"/>
        </w:rPr>
        <w:t>select</w:t>
      </w:r>
      <w:r w:rsidRPr="00510725">
        <w:rPr>
          <w:rFonts w:eastAsiaTheme="majorEastAsia"/>
        </w:rPr>
        <w:t xml:space="preserve"> CpG loci already known to be associated with the outcome phenotype of interest (body composition). </w:t>
      </w:r>
      <w:r w:rsidR="00BF5ECB" w:rsidRPr="00510725">
        <w:rPr>
          <w:shd w:val="clear" w:color="auto" w:fill="FFFFFF"/>
        </w:rPr>
        <w:t>Using a smaller subset of loci as candidates has the advantage of</w:t>
      </w:r>
      <w:r w:rsidR="00BF5ECB">
        <w:rPr>
          <w:shd w:val="clear" w:color="auto" w:fill="FFFFFF"/>
        </w:rPr>
        <w:t xml:space="preserve"> reducing the stringent p value</w:t>
      </w:r>
      <w:r w:rsidR="00BF5ECB" w:rsidRPr="00510725">
        <w:rPr>
          <w:shd w:val="clear" w:color="auto" w:fill="FFFFFF"/>
        </w:rPr>
        <w:t xml:space="preserve"> threshold </w:t>
      </w:r>
      <w:r w:rsidR="00BF5ECB">
        <w:rPr>
          <w:shd w:val="clear" w:color="auto" w:fill="FFFFFF"/>
        </w:rPr>
        <w:t>when correcting for multiple tests</w:t>
      </w:r>
      <w:r w:rsidR="00BF5ECB" w:rsidRPr="00510725">
        <w:rPr>
          <w:shd w:val="clear" w:color="auto" w:fill="FFFFFF"/>
        </w:rPr>
        <w:t xml:space="preserve">. </w:t>
      </w:r>
      <w:r w:rsidRPr="00510725">
        <w:rPr>
          <w:shd w:val="clear" w:color="auto" w:fill="FFFFFF"/>
        </w:rPr>
        <w:t xml:space="preserve">The candidate gene analysis utilised findings from a consortium, which integrated data from 4 </w:t>
      </w:r>
      <w:r w:rsidRPr="00510725">
        <w:rPr>
          <w:shd w:val="clear" w:color="auto" w:fill="FFFFFF"/>
        </w:rPr>
        <w:lastRenderedPageBreak/>
        <w:t xml:space="preserve">discovery cohorts and replicated findings in 9 </w:t>
      </w:r>
      <w:proofErr w:type="gramStart"/>
      <w:r w:rsidRPr="00510725">
        <w:rPr>
          <w:shd w:val="clear" w:color="auto" w:fill="FFFFFF"/>
        </w:rPr>
        <w:t>cohorts</w:t>
      </w:r>
      <w:r>
        <w:rPr>
          <w:shd w:val="clear" w:color="auto" w:fill="FFFFFF"/>
        </w:rPr>
        <w:t>,</w:t>
      </w:r>
      <w:r w:rsidRPr="00510725">
        <w:rPr>
          <w:shd w:val="clear" w:color="auto" w:fill="FFFFFF"/>
        </w:rPr>
        <w:t xml:space="preserve"> and</w:t>
      </w:r>
      <w:proofErr w:type="gramEnd"/>
      <w:r w:rsidRPr="00510725">
        <w:rPr>
          <w:shd w:val="clear" w:color="auto" w:fill="FFFFFF"/>
        </w:rPr>
        <w:t xml:space="preserve"> found 187 validated methylation markers associated with BMI </w:t>
      </w:r>
      <w:r w:rsidR="000862ED">
        <w:rPr>
          <w:noProof/>
          <w:shd w:val="clear" w:color="auto" w:fill="FFFFFF"/>
        </w:rPr>
        <w:t>(12)</w:t>
      </w:r>
      <w:r w:rsidRPr="00510725">
        <w:rPr>
          <w:shd w:val="clear" w:color="auto" w:fill="FFFFFF"/>
        </w:rPr>
        <w:t xml:space="preserve">. </w:t>
      </w:r>
    </w:p>
    <w:p w14:paraId="12E2BE10" w14:textId="3590A1E2" w:rsidR="00B57B39" w:rsidRPr="00B57B39" w:rsidRDefault="00F87D32" w:rsidP="001D785A">
      <w:r w:rsidRPr="00510725">
        <w:rPr>
          <w:shd w:val="clear" w:color="auto" w:fill="FFFFFF"/>
        </w:rPr>
        <w:t>The associations between t</w:t>
      </w:r>
      <w:r w:rsidR="00BF5ECB">
        <w:rPr>
          <w:shd w:val="clear" w:color="auto" w:fill="FFFFFF"/>
        </w:rPr>
        <w:t>he candidate</w:t>
      </w:r>
      <w:r w:rsidR="00B1155A">
        <w:rPr>
          <w:shd w:val="clear" w:color="auto" w:fill="FFFFFF"/>
        </w:rPr>
        <w:t xml:space="preserve"> C</w:t>
      </w:r>
      <w:r w:rsidR="006B0C0D">
        <w:rPr>
          <w:shd w:val="clear" w:color="auto" w:fill="FFFFFF"/>
        </w:rPr>
        <w:t>p</w:t>
      </w:r>
      <w:r w:rsidR="00B1155A">
        <w:rPr>
          <w:shd w:val="clear" w:color="auto" w:fill="FFFFFF"/>
        </w:rPr>
        <w:t>G</w:t>
      </w:r>
      <w:r w:rsidR="00BF5ECB">
        <w:rPr>
          <w:shd w:val="clear" w:color="auto" w:fill="FFFFFF"/>
        </w:rPr>
        <w:t xml:space="preserve"> loci </w:t>
      </w:r>
      <w:r w:rsidR="00B1155A">
        <w:rPr>
          <w:shd w:val="clear" w:color="auto" w:fill="FFFFFF"/>
        </w:rPr>
        <w:t>(</w:t>
      </w:r>
      <w:r w:rsidR="00B1155A" w:rsidRPr="00822E25">
        <w:rPr>
          <w:i/>
          <w:shd w:val="clear" w:color="auto" w:fill="FFFFFF"/>
        </w:rPr>
        <w:t>n</w:t>
      </w:r>
      <w:r w:rsidR="00B1155A">
        <w:rPr>
          <w:shd w:val="clear" w:color="auto" w:fill="FFFFFF"/>
        </w:rPr>
        <w:t xml:space="preserve">=187) </w:t>
      </w:r>
      <w:r w:rsidR="00BF5ECB">
        <w:rPr>
          <w:shd w:val="clear" w:color="auto" w:fill="FFFFFF"/>
        </w:rPr>
        <w:t xml:space="preserve">and </w:t>
      </w:r>
      <w:r w:rsidRPr="00510725">
        <w:rPr>
          <w:shd w:val="clear" w:color="auto" w:fill="FFFFFF"/>
        </w:rPr>
        <w:t xml:space="preserve">early life </w:t>
      </w:r>
      <w:r w:rsidR="00BF5ECB">
        <w:rPr>
          <w:shd w:val="clear" w:color="auto" w:fill="FFFFFF"/>
        </w:rPr>
        <w:t xml:space="preserve">rapid growth </w:t>
      </w:r>
      <w:r w:rsidRPr="00510725">
        <w:rPr>
          <w:shd w:val="clear" w:color="auto" w:fill="FFFFFF"/>
        </w:rPr>
        <w:t>were examined using the ALSPAC methylation childhood and adolescent data, however there were no associations identified (Bonferroni p value</w:t>
      </w:r>
      <w:r w:rsidR="008743EC">
        <w:rPr>
          <w:shd w:val="clear" w:color="auto" w:fill="FFFFFF"/>
        </w:rPr>
        <w:t>&gt;</w:t>
      </w:r>
      <w:r w:rsidRPr="00510725">
        <w:rPr>
          <w:shd w:val="clear" w:color="auto" w:fill="FFFFFF"/>
        </w:rPr>
        <w:t>3x10</w:t>
      </w:r>
      <w:r w:rsidRPr="00510725">
        <w:rPr>
          <w:shd w:val="clear" w:color="auto" w:fill="FFFFFF"/>
          <w:vertAlign w:val="superscript"/>
        </w:rPr>
        <w:t>-4</w:t>
      </w:r>
      <w:r w:rsidRPr="00510725">
        <w:rPr>
          <w:shd w:val="clear" w:color="auto" w:fill="FFFFFF"/>
        </w:rPr>
        <w:t>).</w:t>
      </w:r>
    </w:p>
    <w:p w14:paraId="37005EBA" w14:textId="74F39814" w:rsidR="000260F9" w:rsidRPr="000260F9" w:rsidRDefault="000260F9" w:rsidP="000260F9"/>
    <w:p w14:paraId="5AD04D24" w14:textId="44B7ABB6" w:rsidR="000260F9" w:rsidRDefault="000260F9" w:rsidP="000260F9">
      <w:pPr>
        <w:pStyle w:val="Heading3"/>
      </w:pPr>
      <w:r w:rsidRPr="006B7F5A">
        <w:t>Investigat</w:t>
      </w:r>
      <w:r>
        <w:t>ing</w:t>
      </w:r>
      <w:r w:rsidRPr="006B7F5A">
        <w:t xml:space="preserve"> phenotypic differences in </w:t>
      </w:r>
      <w:proofErr w:type="spellStart"/>
      <w:r>
        <w:t>DNAm</w:t>
      </w:r>
      <w:proofErr w:type="spellEnd"/>
      <w:r>
        <w:t xml:space="preserve"> associated with RWG</w:t>
      </w:r>
    </w:p>
    <w:p w14:paraId="38B1A25A" w14:textId="77777777" w:rsidR="0009160B" w:rsidRPr="0009160B" w:rsidRDefault="0009160B" w:rsidP="0009160B"/>
    <w:p w14:paraId="6EA97AF8" w14:textId="2FE219E9" w:rsidR="00C85A01" w:rsidRPr="00EF4F8D" w:rsidRDefault="003B2512" w:rsidP="00C85A01">
      <w:r w:rsidRPr="00510725">
        <w:t xml:space="preserve">Methylation at </w:t>
      </w:r>
      <w:r w:rsidR="00C85A01">
        <w:t xml:space="preserve">either </w:t>
      </w:r>
      <w:r w:rsidR="000B7AC1">
        <w:t xml:space="preserve">site </w:t>
      </w:r>
      <w:r w:rsidRPr="00510725">
        <w:t xml:space="preserve">was not </w:t>
      </w:r>
      <w:r w:rsidR="00446ACF">
        <w:t xml:space="preserve">directly </w:t>
      </w:r>
      <w:r w:rsidRPr="00510725">
        <w:t xml:space="preserve">associated with </w:t>
      </w:r>
      <w:proofErr w:type="spellStart"/>
      <w:r w:rsidRPr="00510725">
        <w:t>BMI</w:t>
      </w:r>
      <w:r>
        <w:t>z</w:t>
      </w:r>
      <w:proofErr w:type="spellEnd"/>
      <w:r w:rsidRPr="00510725">
        <w:t xml:space="preserve"> at age 7 or 17</w:t>
      </w:r>
      <w:r w:rsidR="00446ACF">
        <w:t xml:space="preserve"> in regression analyses</w:t>
      </w:r>
      <w:r w:rsidRPr="00510725">
        <w:t xml:space="preserve">. </w:t>
      </w:r>
      <w:r w:rsidR="00C85A01">
        <w:t xml:space="preserve">For both </w:t>
      </w:r>
      <w:r w:rsidR="000B7AC1">
        <w:t>CpG sites</w:t>
      </w:r>
      <w:r w:rsidR="00C85A01">
        <w:t>, h</w:t>
      </w:r>
      <w:r w:rsidRPr="00510725">
        <w:t xml:space="preserve">ighest methylation was in those who </w:t>
      </w:r>
      <w:r w:rsidR="005B3481">
        <w:t xml:space="preserve">had </w:t>
      </w:r>
      <w:r w:rsidRPr="00510725">
        <w:t xml:space="preserve">RWG and were </w:t>
      </w:r>
      <w:r w:rsidR="005B3481">
        <w:t xml:space="preserve">subsequently </w:t>
      </w:r>
      <w:r w:rsidR="00095CE0">
        <w:t>overweight/obese</w:t>
      </w:r>
      <w:r w:rsidR="005B3481">
        <w:t xml:space="preserve"> (compared to healthy weight)</w:t>
      </w:r>
      <w:r w:rsidR="00C85A01">
        <w:t xml:space="preserve">, </w:t>
      </w:r>
      <w:r w:rsidRPr="00510725">
        <w:t>both in childhood and adolescence (</w:t>
      </w:r>
      <w:r w:rsidRPr="004D0CC0">
        <w:t xml:space="preserve">Supplementary </w:t>
      </w:r>
      <w:r w:rsidR="009E396F">
        <w:t>Table 3</w:t>
      </w:r>
      <w:r>
        <w:t>)</w:t>
      </w:r>
      <w:r w:rsidRPr="004D0CC0">
        <w:t>.</w:t>
      </w:r>
      <w:r>
        <w:t xml:space="preserve"> </w:t>
      </w:r>
      <w:r w:rsidR="00B77F0B">
        <w:t xml:space="preserve">At the </w:t>
      </w:r>
      <w:r w:rsidR="00B77F0B" w:rsidRPr="00510725">
        <w:t>cg11531579</w:t>
      </w:r>
      <w:r w:rsidR="00B77F0B">
        <w:t xml:space="preserve"> </w:t>
      </w:r>
      <w:r w:rsidR="00EA207F">
        <w:t>site</w:t>
      </w:r>
      <w:r w:rsidR="00B77F0B">
        <w:t xml:space="preserve">, </w:t>
      </w:r>
      <w:r>
        <w:t xml:space="preserve">childhood methylation </w:t>
      </w:r>
      <w:r w:rsidR="00B77F0B">
        <w:t xml:space="preserve">was higher in those who were subsequently </w:t>
      </w:r>
      <w:r w:rsidR="00095CE0">
        <w:t>overweight/obese</w:t>
      </w:r>
      <w:r w:rsidR="00B77F0B">
        <w:t xml:space="preserve"> (age 17)</w:t>
      </w:r>
      <w:r>
        <w:t xml:space="preserve"> </w:t>
      </w:r>
      <w:r w:rsidR="00B77F0B" w:rsidRPr="006B7F5A">
        <w:rPr>
          <w:u w:val="single"/>
        </w:rPr>
        <w:t>and</w:t>
      </w:r>
      <w:r w:rsidR="00B77F0B">
        <w:t xml:space="preserve"> had RWG compared to those who did not have RWG </w:t>
      </w:r>
      <w:r>
        <w:t>(</w:t>
      </w:r>
      <w:r w:rsidR="004B3654">
        <w:t>Figure 2</w:t>
      </w:r>
      <w:r w:rsidRPr="00690C76">
        <w:t>, ANOVA p</w:t>
      </w:r>
      <w:r w:rsidR="00B77F0B">
        <w:t>&lt;</w:t>
      </w:r>
      <w:r w:rsidRPr="00690C76">
        <w:t>0.05).</w:t>
      </w:r>
      <w:r w:rsidR="00B77F0B">
        <w:t xml:space="preserve"> </w:t>
      </w:r>
      <w:r w:rsidR="00C85A01" w:rsidRPr="00510725">
        <w:t>However, the sample size</w:t>
      </w:r>
      <w:r w:rsidR="00CF7257">
        <w:t>s</w:t>
      </w:r>
      <w:r w:rsidR="00C85A01" w:rsidRPr="00510725">
        <w:t xml:space="preserve"> for these group</w:t>
      </w:r>
      <w:r w:rsidR="00CD5ECC">
        <w:t>s</w:t>
      </w:r>
      <w:r w:rsidR="00C85A01" w:rsidRPr="00510725">
        <w:t xml:space="preserve"> were small</w:t>
      </w:r>
      <w:r w:rsidR="00C85A01">
        <w:t xml:space="preserve"> and therefore results are </w:t>
      </w:r>
      <w:r w:rsidR="00EA207F">
        <w:t>inconclusive</w:t>
      </w:r>
      <w:r w:rsidR="00C85A01" w:rsidRPr="00510725">
        <w:t>.</w:t>
      </w:r>
    </w:p>
    <w:p w14:paraId="68C71306" w14:textId="77777777" w:rsidR="002A6F71" w:rsidRDefault="002A6F71" w:rsidP="002A6F71"/>
    <w:p w14:paraId="3831AD8A" w14:textId="1008D0CC" w:rsidR="002A6F71" w:rsidRDefault="002A6F71" w:rsidP="002A6F71">
      <w:r w:rsidRPr="00510725">
        <w:t xml:space="preserve">Furthermore, those who were healthy weight at age 7 but </w:t>
      </w:r>
      <w:r>
        <w:t>were</w:t>
      </w:r>
      <w:r w:rsidRPr="00510725">
        <w:t xml:space="preserve"> </w:t>
      </w:r>
      <w:r w:rsidR="00095CE0">
        <w:t>overweight/obese</w:t>
      </w:r>
      <w:r w:rsidRPr="00510725">
        <w:t xml:space="preserve"> at age 17 had higher methylation at age 7</w:t>
      </w:r>
      <w:r>
        <w:t xml:space="preserve"> </w:t>
      </w:r>
      <w:r w:rsidRPr="00510725">
        <w:t>(</w:t>
      </w:r>
      <w:r w:rsidR="004B3654">
        <w:t>Figure 3</w:t>
      </w:r>
      <w:r w:rsidRPr="00510725">
        <w:t>). Whereas</w:t>
      </w:r>
      <w:r>
        <w:t>,</w:t>
      </w:r>
      <w:r w:rsidRPr="00510725">
        <w:t xml:space="preserve"> those who had RWG but were a healthy weight </w:t>
      </w:r>
      <w:r w:rsidR="00446ACF">
        <w:t>(</w:t>
      </w:r>
      <w:r w:rsidRPr="00510725">
        <w:t xml:space="preserve">at </w:t>
      </w:r>
      <w:r>
        <w:t>either time point</w:t>
      </w:r>
      <w:r w:rsidR="00446ACF">
        <w:t>)</w:t>
      </w:r>
      <w:r w:rsidRPr="00510725">
        <w:t xml:space="preserve"> had consistently lower levels of methylation. On average, methylation was lower in those who did not have RWG regardless of weight status. Although </w:t>
      </w:r>
      <w:r>
        <w:t>group sizes were small</w:t>
      </w:r>
      <w:r w:rsidRPr="00510725">
        <w:t xml:space="preserve"> (</w:t>
      </w:r>
      <w:r w:rsidRPr="00510725">
        <w:rPr>
          <w:i/>
        </w:rPr>
        <w:t>n=</w:t>
      </w:r>
      <w:r w:rsidRPr="00510725">
        <w:t>6), methylation at age 7 could have indicated futu</w:t>
      </w:r>
      <w:r>
        <w:t xml:space="preserve">re risk of </w:t>
      </w:r>
      <w:r w:rsidR="00095CE0">
        <w:t>overweight/obes</w:t>
      </w:r>
      <w:r w:rsidR="00176A15">
        <w:t>ity</w:t>
      </w:r>
      <w:r>
        <w:t xml:space="preserve"> in the ‘high-risk’ group.</w:t>
      </w:r>
    </w:p>
    <w:p w14:paraId="6D109F8A" w14:textId="77777777" w:rsidR="00C12A92" w:rsidRPr="00C12A92" w:rsidRDefault="00C12A92" w:rsidP="00C12A92"/>
    <w:p w14:paraId="705AA8D9" w14:textId="6AD22E2B" w:rsidR="00C12A92" w:rsidRDefault="00C12A92" w:rsidP="00C12A92">
      <w:pPr>
        <w:pStyle w:val="Heading3"/>
      </w:pPr>
      <w:r>
        <w:t>Methylation change over time within individuals</w:t>
      </w:r>
    </w:p>
    <w:p w14:paraId="1C4220B5" w14:textId="77777777" w:rsidR="0009160B" w:rsidRPr="0009160B" w:rsidRDefault="0009160B" w:rsidP="0009160B"/>
    <w:p w14:paraId="22C4191E" w14:textId="55432BEC" w:rsidR="00C12A92" w:rsidRPr="00ED2A3B" w:rsidRDefault="00ED2A3B">
      <w:r>
        <w:lastRenderedPageBreak/>
        <w:t>Overall, t</w:t>
      </w:r>
      <w:r w:rsidR="007C551D">
        <w:t xml:space="preserve">he two </w:t>
      </w:r>
      <w:r w:rsidR="0076218D">
        <w:t xml:space="preserve">CpG sites </w:t>
      </w:r>
      <w:r w:rsidR="007C551D">
        <w:t xml:space="preserve">which were positively associated with RWG tended to </w:t>
      </w:r>
      <w:r>
        <w:t>in</w:t>
      </w:r>
      <w:r w:rsidR="007C551D">
        <w:t xml:space="preserve">crease in methylation </w:t>
      </w:r>
      <w:r>
        <w:t xml:space="preserve">over time </w:t>
      </w:r>
      <w:r w:rsidR="007C551D">
        <w:t>from childhood to adolescence</w:t>
      </w:r>
      <w:r>
        <w:t xml:space="preserve"> </w:t>
      </w:r>
      <w:r w:rsidRPr="00ED2A3B">
        <w:t>within individuals</w:t>
      </w:r>
      <w:r w:rsidR="00B577D6" w:rsidRPr="00ED2A3B">
        <w:t xml:space="preserve"> </w:t>
      </w:r>
      <w:r w:rsidR="00537045" w:rsidRPr="00ED2A3B">
        <w:t>(</w:t>
      </w:r>
      <w:r w:rsidR="004B3654">
        <w:t>Figure 4</w:t>
      </w:r>
      <w:r w:rsidR="00537045" w:rsidRPr="00ED2A3B">
        <w:t>)</w:t>
      </w:r>
      <w:r w:rsidR="00C12A92" w:rsidRPr="00ED2A3B">
        <w:t xml:space="preserve">. However, </w:t>
      </w:r>
      <w:r w:rsidR="00863E35" w:rsidRPr="00ED2A3B">
        <w:t>when stratifying by RWG, in</w:t>
      </w:r>
      <w:r w:rsidR="00C12A92" w:rsidRPr="00ED2A3B">
        <w:t xml:space="preserve"> those who had RWG </w:t>
      </w:r>
      <w:r w:rsidR="00537045" w:rsidRPr="00ED2A3B">
        <w:t>there wa</w:t>
      </w:r>
      <w:r w:rsidR="00C12A92" w:rsidRPr="00ED2A3B">
        <w:t xml:space="preserve">s </w:t>
      </w:r>
      <w:r w:rsidR="0050423E" w:rsidRPr="00ED2A3B">
        <w:t xml:space="preserve">a decrease in </w:t>
      </w:r>
      <w:r w:rsidR="00C12A92" w:rsidRPr="00ED2A3B">
        <w:t>methylation over time</w:t>
      </w:r>
      <w:r w:rsidR="00863E35" w:rsidRPr="00ED2A3B">
        <w:t xml:space="preserve"> compared to those who did not experience RWG</w:t>
      </w:r>
      <w:r w:rsidR="00C12A92" w:rsidRPr="00ED2A3B">
        <w:t xml:space="preserve">, </w:t>
      </w:r>
      <w:r w:rsidR="0009160B">
        <w:t>particularly</w:t>
      </w:r>
      <w:r w:rsidR="00C12A92" w:rsidRPr="00ED2A3B">
        <w:t xml:space="preserve"> for cg11531579 (p&lt;0.001, </w:t>
      </w:r>
      <w:r w:rsidR="004B3654">
        <w:t>Figure 4</w:t>
      </w:r>
      <w:r w:rsidR="00C12A92" w:rsidRPr="00ED2A3B">
        <w:t xml:space="preserve">). </w:t>
      </w:r>
    </w:p>
    <w:p w14:paraId="3939C4CF" w14:textId="2EC1AF5D" w:rsidR="00583C71" w:rsidRDefault="00052A9F" w:rsidP="00052A9F">
      <w:pPr>
        <w:pStyle w:val="Heading3"/>
      </w:pPr>
      <w:r>
        <w:br/>
      </w:r>
      <w:r w:rsidR="00583C71">
        <w:t>Childhood methylation in the replication cohort</w:t>
      </w:r>
      <w:r>
        <w:br/>
      </w:r>
    </w:p>
    <w:p w14:paraId="694FA816" w14:textId="753D96F0" w:rsidR="00E04EB7" w:rsidRDefault="00E430B1" w:rsidP="001719E7">
      <w:r>
        <w:t>R</w:t>
      </w:r>
      <w:r w:rsidR="00E04EB7" w:rsidRPr="00E04EB7">
        <w:t xml:space="preserve">eplication of the significant CpG sites </w:t>
      </w:r>
      <w:r>
        <w:t xml:space="preserve">was carried out </w:t>
      </w:r>
      <w:r w:rsidR="00E04EB7" w:rsidRPr="00E04EB7">
        <w:t>using a similar UK-based cohort with</w:t>
      </w:r>
      <w:r w:rsidR="00682EEF">
        <w:t xml:space="preserve"> data on growth in early life and </w:t>
      </w:r>
      <w:r w:rsidR="00E04EB7" w:rsidRPr="00E04EB7">
        <w:t>epi</w:t>
      </w:r>
      <w:r w:rsidR="00E04EB7">
        <w:t>genetic data in childhood (n=104</w:t>
      </w:r>
      <w:r w:rsidR="00E04EB7" w:rsidRPr="00E04EB7">
        <w:t xml:space="preserve"> at age 12). Compared to ALSPAC children, fewer experienced rapid growth in the first year in the SWS cohort; 29.7% had RWG (30/101) and 22.8% (23/101) had RT. Similar to the findings in ALSPAC, there was evidence of an association between RWG and DNA methylation at cg11531579 in the ISVA (p=0.02) and SVA (p=0.04) models, although the coefficients were smaller (0.005 and 0.004 in the ISVA and SVA models respectively)</w:t>
      </w:r>
      <w:r>
        <w:t xml:space="preserve"> (Table </w:t>
      </w:r>
      <w:r>
        <w:rPr>
          <w:noProof/>
        </w:rPr>
        <w:t>3</w:t>
      </w:r>
      <w:r>
        <w:t>)</w:t>
      </w:r>
      <w:r w:rsidR="00E04EB7" w:rsidRPr="00E04EB7">
        <w:t xml:space="preserve">. There was no association for the </w:t>
      </w:r>
      <w:r>
        <w:t xml:space="preserve">either the </w:t>
      </w:r>
      <w:r w:rsidRPr="00E04EB7">
        <w:t>cg01379158 site or</w:t>
      </w:r>
      <w:r w:rsidR="00E04EB7" w:rsidRPr="00E04EB7">
        <w:t xml:space="preserve"> the RT models.</w:t>
      </w:r>
    </w:p>
    <w:p w14:paraId="099D11D7" w14:textId="77777777" w:rsidR="00E430B1" w:rsidRDefault="00E430B1" w:rsidP="001719E7"/>
    <w:p w14:paraId="7E9BBDE2" w14:textId="3E579C36" w:rsidR="001719E7" w:rsidRDefault="001719E7" w:rsidP="001719E7">
      <w:pPr>
        <w:pStyle w:val="Caption"/>
        <w:keepNext/>
      </w:pPr>
      <w:bookmarkStart w:id="10" w:name="_Ref50026357"/>
      <w:r>
        <w:t xml:space="preserve">Table </w:t>
      </w:r>
      <w:r>
        <w:rPr>
          <w:noProof/>
        </w:rPr>
        <w:t>3</w:t>
      </w:r>
      <w:bookmarkEnd w:id="10"/>
      <w:r>
        <w:t xml:space="preserve"> Associations between early life rapid growth and childhood methylation in the replication cohort (</w:t>
      </w:r>
      <w:r w:rsidR="00E04EB7">
        <w:t xml:space="preserve">SWS children </w:t>
      </w:r>
      <w:r>
        <w:t>age 1</w:t>
      </w:r>
      <w:r w:rsidR="00052A9F">
        <w:t>1-13</w:t>
      </w:r>
      <w:r>
        <w:t>, n=104)</w:t>
      </w:r>
    </w:p>
    <w:tbl>
      <w:tblPr>
        <w:tblW w:w="9582" w:type="dxa"/>
        <w:tblLook w:val="04A0" w:firstRow="1" w:lastRow="0" w:firstColumn="1" w:lastColumn="0" w:noHBand="0" w:noVBand="1"/>
      </w:tblPr>
      <w:tblGrid>
        <w:gridCol w:w="1127"/>
        <w:gridCol w:w="1526"/>
        <w:gridCol w:w="1000"/>
        <w:gridCol w:w="970"/>
        <w:gridCol w:w="970"/>
        <w:gridCol w:w="770"/>
        <w:gridCol w:w="472"/>
        <w:gridCol w:w="1006"/>
        <w:gridCol w:w="970"/>
        <w:gridCol w:w="771"/>
      </w:tblGrid>
      <w:tr w:rsidR="001719E7" w:rsidRPr="00793D70" w14:paraId="1C3026F5" w14:textId="77777777" w:rsidTr="001719E7">
        <w:trPr>
          <w:trHeight w:val="420"/>
        </w:trPr>
        <w:tc>
          <w:tcPr>
            <w:tcW w:w="2653" w:type="dxa"/>
            <w:gridSpan w:val="2"/>
            <w:tcBorders>
              <w:top w:val="single" w:sz="4" w:space="0" w:color="auto"/>
              <w:left w:val="nil"/>
              <w:bottom w:val="nil"/>
              <w:right w:val="nil"/>
            </w:tcBorders>
            <w:shd w:val="clear" w:color="auto" w:fill="auto"/>
            <w:vAlign w:val="center"/>
            <w:hideMark/>
          </w:tcPr>
          <w:p w14:paraId="7757EF95" w14:textId="5BB51B9C" w:rsidR="001719E7" w:rsidRPr="00793D70" w:rsidRDefault="001719E7" w:rsidP="00793D70">
            <w:pPr>
              <w:spacing w:after="0" w:line="240" w:lineRule="auto"/>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Models w</w:t>
            </w:r>
            <w:r w:rsidRPr="00793D70">
              <w:rPr>
                <w:rFonts w:ascii="Calibri" w:eastAsia="Times New Roman" w:hAnsi="Calibri" w:cs="Calibri"/>
                <w:b/>
                <w:bCs/>
                <w:color w:val="000000"/>
                <w:sz w:val="20"/>
                <w:szCs w:val="20"/>
                <w:lang w:eastAsia="en-GB"/>
              </w:rPr>
              <w:t>ith cell counts</w:t>
            </w:r>
          </w:p>
        </w:tc>
        <w:tc>
          <w:tcPr>
            <w:tcW w:w="1000" w:type="dxa"/>
            <w:tcBorders>
              <w:top w:val="single" w:sz="4" w:space="0" w:color="auto"/>
              <w:left w:val="nil"/>
              <w:bottom w:val="nil"/>
              <w:right w:val="nil"/>
            </w:tcBorders>
            <w:shd w:val="clear" w:color="auto" w:fill="auto"/>
            <w:noWrap/>
            <w:vAlign w:val="bottom"/>
            <w:hideMark/>
          </w:tcPr>
          <w:p w14:paraId="038F0E89" w14:textId="77777777" w:rsidR="001719E7" w:rsidRPr="00793D70" w:rsidRDefault="001719E7" w:rsidP="00793D70">
            <w:pPr>
              <w:spacing w:after="0" w:line="240" w:lineRule="auto"/>
              <w:rPr>
                <w:rFonts w:ascii="Times New Roman" w:eastAsia="Times New Roman" w:hAnsi="Times New Roman" w:cs="Times New Roman"/>
                <w:sz w:val="20"/>
                <w:szCs w:val="20"/>
                <w:lang w:eastAsia="en-GB"/>
              </w:rPr>
            </w:pPr>
          </w:p>
        </w:tc>
        <w:tc>
          <w:tcPr>
            <w:tcW w:w="2710" w:type="dxa"/>
            <w:gridSpan w:val="3"/>
            <w:tcBorders>
              <w:top w:val="single" w:sz="4" w:space="0" w:color="auto"/>
              <w:left w:val="nil"/>
              <w:bottom w:val="single" w:sz="8" w:space="0" w:color="auto"/>
              <w:right w:val="nil"/>
            </w:tcBorders>
            <w:shd w:val="clear" w:color="auto" w:fill="auto"/>
            <w:noWrap/>
            <w:vAlign w:val="bottom"/>
            <w:hideMark/>
          </w:tcPr>
          <w:p w14:paraId="222D445C" w14:textId="77777777" w:rsidR="001719E7" w:rsidRPr="00793D70" w:rsidRDefault="001719E7" w:rsidP="00793D70">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ISVA</w:t>
            </w:r>
          </w:p>
        </w:tc>
        <w:tc>
          <w:tcPr>
            <w:tcW w:w="472" w:type="dxa"/>
            <w:tcBorders>
              <w:top w:val="single" w:sz="4" w:space="0" w:color="auto"/>
              <w:left w:val="nil"/>
              <w:bottom w:val="nil"/>
              <w:right w:val="nil"/>
            </w:tcBorders>
            <w:shd w:val="clear" w:color="auto" w:fill="auto"/>
            <w:noWrap/>
            <w:vAlign w:val="bottom"/>
            <w:hideMark/>
          </w:tcPr>
          <w:p w14:paraId="3DA445CE" w14:textId="77777777" w:rsidR="001719E7" w:rsidRPr="00793D70" w:rsidRDefault="001719E7" w:rsidP="00793D70">
            <w:pPr>
              <w:spacing w:after="0" w:line="240" w:lineRule="auto"/>
              <w:jc w:val="center"/>
              <w:rPr>
                <w:rFonts w:ascii="Calibri" w:eastAsia="Times New Roman" w:hAnsi="Calibri" w:cs="Calibri"/>
                <w:color w:val="000000"/>
                <w:szCs w:val="22"/>
                <w:lang w:eastAsia="en-GB"/>
              </w:rPr>
            </w:pPr>
          </w:p>
        </w:tc>
        <w:tc>
          <w:tcPr>
            <w:tcW w:w="2747" w:type="dxa"/>
            <w:gridSpan w:val="3"/>
            <w:tcBorders>
              <w:top w:val="single" w:sz="4" w:space="0" w:color="auto"/>
              <w:left w:val="nil"/>
              <w:bottom w:val="single" w:sz="8" w:space="0" w:color="auto"/>
              <w:right w:val="nil"/>
            </w:tcBorders>
            <w:shd w:val="clear" w:color="auto" w:fill="auto"/>
            <w:noWrap/>
            <w:vAlign w:val="bottom"/>
            <w:hideMark/>
          </w:tcPr>
          <w:p w14:paraId="6216B525" w14:textId="77777777" w:rsidR="001719E7" w:rsidRPr="00793D70" w:rsidRDefault="001719E7" w:rsidP="00793D70">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SVA</w:t>
            </w:r>
          </w:p>
        </w:tc>
      </w:tr>
      <w:tr w:rsidR="001719E7" w:rsidRPr="00793D70" w14:paraId="2DDD5E1E" w14:textId="77777777" w:rsidTr="001719E7">
        <w:trPr>
          <w:trHeight w:val="528"/>
        </w:trPr>
        <w:tc>
          <w:tcPr>
            <w:tcW w:w="1127" w:type="dxa"/>
            <w:tcBorders>
              <w:top w:val="single" w:sz="8" w:space="0" w:color="auto"/>
              <w:left w:val="nil"/>
              <w:bottom w:val="single" w:sz="8" w:space="0" w:color="auto"/>
              <w:right w:val="nil"/>
            </w:tcBorders>
            <w:shd w:val="clear" w:color="auto" w:fill="auto"/>
            <w:vAlign w:val="center"/>
            <w:hideMark/>
          </w:tcPr>
          <w:p w14:paraId="7E5348A9" w14:textId="77777777" w:rsidR="00793D70" w:rsidRPr="00793D70" w:rsidRDefault="00793D70" w:rsidP="00793D70">
            <w:pPr>
              <w:spacing w:after="0" w:line="240" w:lineRule="auto"/>
              <w:rPr>
                <w:rFonts w:ascii="Calibri" w:eastAsia="Times New Roman" w:hAnsi="Calibri" w:cs="Calibri"/>
                <w:color w:val="000000"/>
                <w:sz w:val="20"/>
                <w:szCs w:val="20"/>
                <w:lang w:eastAsia="en-GB"/>
              </w:rPr>
            </w:pPr>
            <w:r w:rsidRPr="00793D70">
              <w:rPr>
                <w:rFonts w:ascii="Calibri" w:eastAsia="Times New Roman" w:hAnsi="Calibri" w:cs="Calibri"/>
                <w:color w:val="000000"/>
                <w:sz w:val="20"/>
                <w:szCs w:val="20"/>
                <w:lang w:eastAsia="en-GB"/>
              </w:rPr>
              <w:t>Exposure</w:t>
            </w:r>
          </w:p>
        </w:tc>
        <w:tc>
          <w:tcPr>
            <w:tcW w:w="1526" w:type="dxa"/>
            <w:tcBorders>
              <w:top w:val="single" w:sz="8" w:space="0" w:color="auto"/>
              <w:left w:val="nil"/>
              <w:bottom w:val="single" w:sz="8" w:space="0" w:color="auto"/>
              <w:right w:val="nil"/>
            </w:tcBorders>
            <w:shd w:val="clear" w:color="auto" w:fill="auto"/>
            <w:vAlign w:val="center"/>
            <w:hideMark/>
          </w:tcPr>
          <w:p w14:paraId="5C177C6B" w14:textId="28AF8910" w:rsidR="00793D70" w:rsidRPr="00793D70" w:rsidRDefault="001719E7" w:rsidP="001719E7">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CpG site</w:t>
            </w:r>
          </w:p>
        </w:tc>
        <w:tc>
          <w:tcPr>
            <w:tcW w:w="1000" w:type="dxa"/>
            <w:tcBorders>
              <w:top w:val="single" w:sz="8" w:space="0" w:color="auto"/>
              <w:left w:val="nil"/>
              <w:bottom w:val="single" w:sz="8" w:space="0" w:color="auto"/>
              <w:right w:val="nil"/>
            </w:tcBorders>
            <w:shd w:val="clear" w:color="auto" w:fill="auto"/>
            <w:vAlign w:val="center"/>
            <w:hideMark/>
          </w:tcPr>
          <w:p w14:paraId="0C0D0CFC" w14:textId="77777777" w:rsidR="00793D70" w:rsidRPr="00793D70" w:rsidRDefault="00793D70" w:rsidP="00793D70">
            <w:pPr>
              <w:spacing w:after="0" w:line="240" w:lineRule="auto"/>
              <w:rPr>
                <w:rFonts w:ascii="Calibri" w:eastAsia="Times New Roman" w:hAnsi="Calibri" w:cs="Calibri"/>
                <w:color w:val="000000"/>
                <w:sz w:val="20"/>
                <w:szCs w:val="20"/>
                <w:lang w:eastAsia="en-GB"/>
              </w:rPr>
            </w:pPr>
            <w:r w:rsidRPr="00793D70">
              <w:rPr>
                <w:rFonts w:ascii="Calibri" w:eastAsia="Times New Roman" w:hAnsi="Calibri" w:cs="Calibri"/>
                <w:color w:val="000000"/>
                <w:sz w:val="20"/>
                <w:szCs w:val="20"/>
                <w:lang w:eastAsia="en-GB"/>
              </w:rPr>
              <w:t>Nearest gene</w:t>
            </w:r>
          </w:p>
        </w:tc>
        <w:tc>
          <w:tcPr>
            <w:tcW w:w="970" w:type="dxa"/>
            <w:tcBorders>
              <w:top w:val="nil"/>
              <w:left w:val="nil"/>
              <w:bottom w:val="single" w:sz="8" w:space="0" w:color="auto"/>
              <w:right w:val="nil"/>
            </w:tcBorders>
            <w:shd w:val="clear" w:color="auto" w:fill="auto"/>
            <w:vAlign w:val="center"/>
            <w:hideMark/>
          </w:tcPr>
          <w:p w14:paraId="6BB7D98A" w14:textId="77777777" w:rsidR="00793D70" w:rsidRPr="00793D70" w:rsidRDefault="00793D70" w:rsidP="00793D70">
            <w:pPr>
              <w:spacing w:after="0" w:line="240" w:lineRule="auto"/>
              <w:rPr>
                <w:rFonts w:ascii="Calibri" w:eastAsia="Times New Roman" w:hAnsi="Calibri" w:cs="Calibri"/>
                <w:color w:val="000000"/>
                <w:sz w:val="20"/>
                <w:szCs w:val="20"/>
                <w:lang w:eastAsia="en-GB"/>
              </w:rPr>
            </w:pPr>
            <w:proofErr w:type="spellStart"/>
            <w:r w:rsidRPr="00793D70">
              <w:rPr>
                <w:rFonts w:ascii="Calibri" w:eastAsia="Times New Roman" w:hAnsi="Calibri" w:cs="Calibri"/>
                <w:color w:val="000000"/>
                <w:sz w:val="20"/>
                <w:szCs w:val="20"/>
                <w:lang w:eastAsia="en-GB"/>
              </w:rPr>
              <w:t>Coef</w:t>
            </w:r>
            <w:proofErr w:type="spellEnd"/>
          </w:p>
        </w:tc>
        <w:tc>
          <w:tcPr>
            <w:tcW w:w="970" w:type="dxa"/>
            <w:tcBorders>
              <w:top w:val="nil"/>
              <w:left w:val="nil"/>
              <w:bottom w:val="single" w:sz="8" w:space="0" w:color="auto"/>
              <w:right w:val="nil"/>
            </w:tcBorders>
            <w:shd w:val="clear" w:color="auto" w:fill="auto"/>
            <w:vAlign w:val="center"/>
            <w:hideMark/>
          </w:tcPr>
          <w:p w14:paraId="0721739B" w14:textId="77777777" w:rsidR="00793D70" w:rsidRPr="00793D70" w:rsidRDefault="00793D70" w:rsidP="00793D70">
            <w:pPr>
              <w:spacing w:after="0" w:line="240" w:lineRule="auto"/>
              <w:rPr>
                <w:rFonts w:ascii="Calibri" w:eastAsia="Times New Roman" w:hAnsi="Calibri" w:cs="Calibri"/>
                <w:color w:val="000000"/>
                <w:sz w:val="20"/>
                <w:szCs w:val="20"/>
                <w:lang w:eastAsia="en-GB"/>
              </w:rPr>
            </w:pPr>
            <w:r w:rsidRPr="00793D70">
              <w:rPr>
                <w:rFonts w:ascii="Calibri" w:eastAsia="Times New Roman" w:hAnsi="Calibri" w:cs="Calibri"/>
                <w:color w:val="000000"/>
                <w:sz w:val="20"/>
                <w:szCs w:val="20"/>
                <w:lang w:eastAsia="en-GB"/>
              </w:rPr>
              <w:t>SE</w:t>
            </w:r>
          </w:p>
        </w:tc>
        <w:tc>
          <w:tcPr>
            <w:tcW w:w="770" w:type="dxa"/>
            <w:tcBorders>
              <w:top w:val="nil"/>
              <w:left w:val="nil"/>
              <w:bottom w:val="single" w:sz="8" w:space="0" w:color="auto"/>
              <w:right w:val="nil"/>
            </w:tcBorders>
            <w:shd w:val="clear" w:color="auto" w:fill="auto"/>
            <w:vAlign w:val="center"/>
            <w:hideMark/>
          </w:tcPr>
          <w:p w14:paraId="295CA726" w14:textId="77777777" w:rsidR="00793D70" w:rsidRPr="00793D70" w:rsidRDefault="00793D70" w:rsidP="00793D70">
            <w:pPr>
              <w:spacing w:after="0" w:line="240" w:lineRule="auto"/>
              <w:rPr>
                <w:rFonts w:ascii="Calibri" w:eastAsia="Times New Roman" w:hAnsi="Calibri" w:cs="Calibri"/>
                <w:color w:val="000000"/>
                <w:sz w:val="20"/>
                <w:szCs w:val="20"/>
                <w:lang w:eastAsia="en-GB"/>
              </w:rPr>
            </w:pPr>
            <w:r w:rsidRPr="00793D70">
              <w:rPr>
                <w:rFonts w:ascii="Calibri" w:eastAsia="Times New Roman" w:hAnsi="Calibri" w:cs="Calibri"/>
                <w:color w:val="000000"/>
                <w:sz w:val="20"/>
                <w:szCs w:val="20"/>
                <w:lang w:eastAsia="en-GB"/>
              </w:rPr>
              <w:t>P</w:t>
            </w:r>
          </w:p>
        </w:tc>
        <w:tc>
          <w:tcPr>
            <w:tcW w:w="472" w:type="dxa"/>
            <w:tcBorders>
              <w:top w:val="single" w:sz="8" w:space="0" w:color="auto"/>
              <w:left w:val="nil"/>
              <w:bottom w:val="single" w:sz="8" w:space="0" w:color="auto"/>
              <w:right w:val="nil"/>
            </w:tcBorders>
            <w:shd w:val="clear" w:color="auto" w:fill="auto"/>
            <w:vAlign w:val="center"/>
            <w:hideMark/>
          </w:tcPr>
          <w:p w14:paraId="62852C3A" w14:textId="77777777" w:rsidR="00793D70" w:rsidRPr="00793D70" w:rsidRDefault="00793D70" w:rsidP="00793D70">
            <w:pPr>
              <w:spacing w:after="0" w:line="240" w:lineRule="auto"/>
              <w:rPr>
                <w:rFonts w:ascii="Calibri" w:eastAsia="Times New Roman" w:hAnsi="Calibri" w:cs="Calibri"/>
                <w:color w:val="000000"/>
                <w:sz w:val="20"/>
                <w:szCs w:val="20"/>
                <w:lang w:eastAsia="en-GB"/>
              </w:rPr>
            </w:pPr>
            <w:r w:rsidRPr="00793D70">
              <w:rPr>
                <w:rFonts w:ascii="Calibri" w:eastAsia="Times New Roman" w:hAnsi="Calibri" w:cs="Calibri"/>
                <w:color w:val="000000"/>
                <w:sz w:val="20"/>
                <w:szCs w:val="20"/>
                <w:lang w:eastAsia="en-GB"/>
              </w:rPr>
              <w:t> </w:t>
            </w:r>
          </w:p>
        </w:tc>
        <w:tc>
          <w:tcPr>
            <w:tcW w:w="1006" w:type="dxa"/>
            <w:tcBorders>
              <w:top w:val="nil"/>
              <w:left w:val="nil"/>
              <w:bottom w:val="single" w:sz="8" w:space="0" w:color="auto"/>
              <w:right w:val="nil"/>
            </w:tcBorders>
            <w:shd w:val="clear" w:color="auto" w:fill="auto"/>
            <w:vAlign w:val="center"/>
            <w:hideMark/>
          </w:tcPr>
          <w:p w14:paraId="29FE9B97" w14:textId="77777777" w:rsidR="00793D70" w:rsidRPr="00793D70" w:rsidRDefault="00793D70" w:rsidP="00793D70">
            <w:pPr>
              <w:spacing w:after="0" w:line="240" w:lineRule="auto"/>
              <w:rPr>
                <w:rFonts w:ascii="Calibri" w:eastAsia="Times New Roman" w:hAnsi="Calibri" w:cs="Calibri"/>
                <w:color w:val="000000"/>
                <w:sz w:val="20"/>
                <w:szCs w:val="20"/>
                <w:lang w:eastAsia="en-GB"/>
              </w:rPr>
            </w:pPr>
            <w:proofErr w:type="spellStart"/>
            <w:r w:rsidRPr="00793D70">
              <w:rPr>
                <w:rFonts w:ascii="Calibri" w:eastAsia="Times New Roman" w:hAnsi="Calibri" w:cs="Calibri"/>
                <w:color w:val="000000"/>
                <w:sz w:val="20"/>
                <w:szCs w:val="20"/>
                <w:lang w:eastAsia="en-GB"/>
              </w:rPr>
              <w:t>Coef</w:t>
            </w:r>
            <w:proofErr w:type="spellEnd"/>
          </w:p>
        </w:tc>
        <w:tc>
          <w:tcPr>
            <w:tcW w:w="970" w:type="dxa"/>
            <w:tcBorders>
              <w:top w:val="nil"/>
              <w:left w:val="nil"/>
              <w:bottom w:val="single" w:sz="8" w:space="0" w:color="auto"/>
              <w:right w:val="nil"/>
            </w:tcBorders>
            <w:shd w:val="clear" w:color="auto" w:fill="auto"/>
            <w:vAlign w:val="center"/>
            <w:hideMark/>
          </w:tcPr>
          <w:p w14:paraId="27A3C6A0" w14:textId="77777777" w:rsidR="00793D70" w:rsidRPr="00793D70" w:rsidRDefault="00793D70" w:rsidP="00793D70">
            <w:pPr>
              <w:spacing w:after="0" w:line="240" w:lineRule="auto"/>
              <w:rPr>
                <w:rFonts w:ascii="Calibri" w:eastAsia="Times New Roman" w:hAnsi="Calibri" w:cs="Calibri"/>
                <w:color w:val="000000"/>
                <w:sz w:val="20"/>
                <w:szCs w:val="20"/>
                <w:lang w:eastAsia="en-GB"/>
              </w:rPr>
            </w:pPr>
            <w:r w:rsidRPr="00793D70">
              <w:rPr>
                <w:rFonts w:ascii="Calibri" w:eastAsia="Times New Roman" w:hAnsi="Calibri" w:cs="Calibri"/>
                <w:color w:val="000000"/>
                <w:sz w:val="20"/>
                <w:szCs w:val="20"/>
                <w:lang w:eastAsia="en-GB"/>
              </w:rPr>
              <w:t>SE</w:t>
            </w:r>
          </w:p>
        </w:tc>
        <w:tc>
          <w:tcPr>
            <w:tcW w:w="771" w:type="dxa"/>
            <w:tcBorders>
              <w:top w:val="nil"/>
              <w:left w:val="nil"/>
              <w:bottom w:val="single" w:sz="8" w:space="0" w:color="auto"/>
              <w:right w:val="nil"/>
            </w:tcBorders>
            <w:shd w:val="clear" w:color="auto" w:fill="auto"/>
            <w:vAlign w:val="center"/>
            <w:hideMark/>
          </w:tcPr>
          <w:p w14:paraId="5107A8A3" w14:textId="77777777" w:rsidR="00793D70" w:rsidRPr="00793D70" w:rsidRDefault="00793D70" w:rsidP="00793D70">
            <w:pPr>
              <w:spacing w:after="0" w:line="240" w:lineRule="auto"/>
              <w:rPr>
                <w:rFonts w:ascii="Calibri" w:eastAsia="Times New Roman" w:hAnsi="Calibri" w:cs="Calibri"/>
                <w:color w:val="000000"/>
                <w:sz w:val="20"/>
                <w:szCs w:val="20"/>
                <w:lang w:eastAsia="en-GB"/>
              </w:rPr>
            </w:pPr>
            <w:r w:rsidRPr="00793D70">
              <w:rPr>
                <w:rFonts w:ascii="Calibri" w:eastAsia="Times New Roman" w:hAnsi="Calibri" w:cs="Calibri"/>
                <w:color w:val="000000"/>
                <w:sz w:val="20"/>
                <w:szCs w:val="20"/>
                <w:lang w:eastAsia="en-GB"/>
              </w:rPr>
              <w:t>P</w:t>
            </w:r>
          </w:p>
        </w:tc>
      </w:tr>
      <w:tr w:rsidR="001719E7" w:rsidRPr="00793D70" w14:paraId="3C7061CE" w14:textId="77777777" w:rsidTr="001719E7">
        <w:trPr>
          <w:trHeight w:val="288"/>
        </w:trPr>
        <w:tc>
          <w:tcPr>
            <w:tcW w:w="1127" w:type="dxa"/>
            <w:tcBorders>
              <w:top w:val="nil"/>
              <w:left w:val="nil"/>
              <w:bottom w:val="nil"/>
              <w:right w:val="nil"/>
            </w:tcBorders>
            <w:shd w:val="clear" w:color="auto" w:fill="auto"/>
            <w:noWrap/>
            <w:vAlign w:val="bottom"/>
            <w:hideMark/>
          </w:tcPr>
          <w:p w14:paraId="67DB8756" w14:textId="77777777" w:rsidR="00793D70" w:rsidRPr="00793D70" w:rsidRDefault="00793D70" w:rsidP="00793D70">
            <w:pPr>
              <w:spacing w:after="0" w:line="240" w:lineRule="auto"/>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RWG</w:t>
            </w:r>
          </w:p>
        </w:tc>
        <w:tc>
          <w:tcPr>
            <w:tcW w:w="1526" w:type="dxa"/>
            <w:tcBorders>
              <w:top w:val="nil"/>
              <w:left w:val="nil"/>
              <w:bottom w:val="nil"/>
              <w:right w:val="nil"/>
            </w:tcBorders>
            <w:shd w:val="clear" w:color="auto" w:fill="auto"/>
            <w:noWrap/>
            <w:vAlign w:val="bottom"/>
            <w:hideMark/>
          </w:tcPr>
          <w:p w14:paraId="6BE3DF15" w14:textId="77777777" w:rsidR="00793D70" w:rsidRPr="00793D70" w:rsidRDefault="00793D70" w:rsidP="00793D70">
            <w:pPr>
              <w:spacing w:after="0" w:line="240" w:lineRule="auto"/>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cg11531579</w:t>
            </w:r>
          </w:p>
        </w:tc>
        <w:tc>
          <w:tcPr>
            <w:tcW w:w="1000" w:type="dxa"/>
            <w:tcBorders>
              <w:top w:val="nil"/>
              <w:left w:val="nil"/>
              <w:bottom w:val="nil"/>
              <w:right w:val="nil"/>
            </w:tcBorders>
            <w:shd w:val="clear" w:color="auto" w:fill="auto"/>
            <w:noWrap/>
            <w:vAlign w:val="bottom"/>
            <w:hideMark/>
          </w:tcPr>
          <w:p w14:paraId="1FF2179A" w14:textId="77777777" w:rsidR="00793D70" w:rsidRPr="00793D70" w:rsidRDefault="00793D70" w:rsidP="00793D70">
            <w:pPr>
              <w:spacing w:after="0" w:line="240" w:lineRule="auto"/>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CHFR</w:t>
            </w:r>
          </w:p>
        </w:tc>
        <w:tc>
          <w:tcPr>
            <w:tcW w:w="970" w:type="dxa"/>
            <w:tcBorders>
              <w:top w:val="nil"/>
              <w:left w:val="nil"/>
              <w:bottom w:val="nil"/>
              <w:right w:val="nil"/>
            </w:tcBorders>
            <w:shd w:val="clear" w:color="auto" w:fill="auto"/>
            <w:noWrap/>
            <w:vAlign w:val="bottom"/>
            <w:hideMark/>
          </w:tcPr>
          <w:p w14:paraId="258022DF" w14:textId="77777777" w:rsidR="00793D70" w:rsidRPr="00793D70" w:rsidRDefault="00793D70" w:rsidP="00793D70">
            <w:pPr>
              <w:spacing w:after="0" w:line="240" w:lineRule="auto"/>
              <w:jc w:val="right"/>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0.0045</w:t>
            </w:r>
          </w:p>
        </w:tc>
        <w:tc>
          <w:tcPr>
            <w:tcW w:w="970" w:type="dxa"/>
            <w:tcBorders>
              <w:top w:val="nil"/>
              <w:left w:val="nil"/>
              <w:bottom w:val="nil"/>
              <w:right w:val="nil"/>
            </w:tcBorders>
            <w:shd w:val="clear" w:color="auto" w:fill="auto"/>
            <w:vAlign w:val="bottom"/>
            <w:hideMark/>
          </w:tcPr>
          <w:p w14:paraId="3FC69A21" w14:textId="77777777" w:rsidR="00793D70" w:rsidRPr="00793D70" w:rsidRDefault="00793D70" w:rsidP="00793D70">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0.0020</w:t>
            </w:r>
          </w:p>
        </w:tc>
        <w:tc>
          <w:tcPr>
            <w:tcW w:w="770" w:type="dxa"/>
            <w:tcBorders>
              <w:top w:val="nil"/>
              <w:left w:val="nil"/>
              <w:bottom w:val="nil"/>
              <w:right w:val="nil"/>
            </w:tcBorders>
            <w:shd w:val="clear" w:color="auto" w:fill="auto"/>
            <w:noWrap/>
            <w:vAlign w:val="bottom"/>
            <w:hideMark/>
          </w:tcPr>
          <w:p w14:paraId="4113CB04" w14:textId="77777777" w:rsidR="00793D70" w:rsidRPr="00793D70" w:rsidRDefault="00793D70" w:rsidP="00793D70">
            <w:pPr>
              <w:spacing w:after="0" w:line="240" w:lineRule="auto"/>
              <w:jc w:val="right"/>
              <w:rPr>
                <w:rFonts w:ascii="Calibri" w:eastAsia="Times New Roman" w:hAnsi="Calibri" w:cs="Calibri"/>
                <w:b/>
                <w:bCs/>
                <w:color w:val="000000"/>
                <w:szCs w:val="22"/>
                <w:lang w:eastAsia="en-GB"/>
              </w:rPr>
            </w:pPr>
            <w:r w:rsidRPr="00793D70">
              <w:rPr>
                <w:rFonts w:ascii="Calibri" w:eastAsia="Times New Roman" w:hAnsi="Calibri" w:cs="Calibri"/>
                <w:b/>
                <w:bCs/>
                <w:color w:val="000000"/>
                <w:szCs w:val="22"/>
                <w:lang w:eastAsia="en-GB"/>
              </w:rPr>
              <w:t>0.02</w:t>
            </w:r>
          </w:p>
        </w:tc>
        <w:tc>
          <w:tcPr>
            <w:tcW w:w="472" w:type="dxa"/>
            <w:tcBorders>
              <w:top w:val="nil"/>
              <w:left w:val="nil"/>
              <w:bottom w:val="nil"/>
              <w:right w:val="nil"/>
            </w:tcBorders>
            <w:shd w:val="clear" w:color="auto" w:fill="auto"/>
            <w:noWrap/>
            <w:vAlign w:val="bottom"/>
            <w:hideMark/>
          </w:tcPr>
          <w:p w14:paraId="2F6028ED" w14:textId="77777777" w:rsidR="00793D70" w:rsidRPr="00793D70" w:rsidRDefault="00793D70" w:rsidP="00793D70">
            <w:pPr>
              <w:spacing w:after="0" w:line="240" w:lineRule="auto"/>
              <w:jc w:val="right"/>
              <w:rPr>
                <w:rFonts w:ascii="Calibri" w:eastAsia="Times New Roman" w:hAnsi="Calibri" w:cs="Calibri"/>
                <w:b/>
                <w:bCs/>
                <w:color w:val="000000"/>
                <w:szCs w:val="22"/>
                <w:lang w:eastAsia="en-GB"/>
              </w:rPr>
            </w:pPr>
          </w:p>
        </w:tc>
        <w:tc>
          <w:tcPr>
            <w:tcW w:w="1006" w:type="dxa"/>
            <w:tcBorders>
              <w:top w:val="nil"/>
              <w:left w:val="nil"/>
              <w:bottom w:val="nil"/>
              <w:right w:val="nil"/>
            </w:tcBorders>
            <w:shd w:val="clear" w:color="auto" w:fill="auto"/>
            <w:noWrap/>
            <w:vAlign w:val="bottom"/>
            <w:hideMark/>
          </w:tcPr>
          <w:p w14:paraId="170EE916" w14:textId="77777777" w:rsidR="00793D70" w:rsidRPr="00793D70" w:rsidRDefault="00793D70" w:rsidP="00793D70">
            <w:pPr>
              <w:spacing w:after="0" w:line="240" w:lineRule="auto"/>
              <w:jc w:val="right"/>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0.0045</w:t>
            </w:r>
          </w:p>
        </w:tc>
        <w:tc>
          <w:tcPr>
            <w:tcW w:w="970" w:type="dxa"/>
            <w:tcBorders>
              <w:top w:val="nil"/>
              <w:left w:val="nil"/>
              <w:bottom w:val="nil"/>
              <w:right w:val="nil"/>
            </w:tcBorders>
            <w:shd w:val="clear" w:color="auto" w:fill="auto"/>
            <w:vAlign w:val="bottom"/>
            <w:hideMark/>
          </w:tcPr>
          <w:p w14:paraId="3210B46E" w14:textId="77777777" w:rsidR="00793D70" w:rsidRPr="00793D70" w:rsidRDefault="00793D70" w:rsidP="00793D70">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0.0021</w:t>
            </w:r>
          </w:p>
        </w:tc>
        <w:tc>
          <w:tcPr>
            <w:tcW w:w="771" w:type="dxa"/>
            <w:tcBorders>
              <w:top w:val="nil"/>
              <w:left w:val="nil"/>
              <w:bottom w:val="nil"/>
              <w:right w:val="nil"/>
            </w:tcBorders>
            <w:shd w:val="clear" w:color="auto" w:fill="auto"/>
            <w:noWrap/>
            <w:vAlign w:val="bottom"/>
            <w:hideMark/>
          </w:tcPr>
          <w:p w14:paraId="45E6A5B8" w14:textId="77777777" w:rsidR="00793D70" w:rsidRPr="00793D70" w:rsidRDefault="00793D70" w:rsidP="00793D70">
            <w:pPr>
              <w:spacing w:after="0" w:line="240" w:lineRule="auto"/>
              <w:jc w:val="right"/>
              <w:rPr>
                <w:rFonts w:ascii="Calibri" w:eastAsia="Times New Roman" w:hAnsi="Calibri" w:cs="Calibri"/>
                <w:b/>
                <w:bCs/>
                <w:color w:val="000000"/>
                <w:szCs w:val="22"/>
                <w:lang w:eastAsia="en-GB"/>
              </w:rPr>
            </w:pPr>
            <w:r w:rsidRPr="00793D70">
              <w:rPr>
                <w:rFonts w:ascii="Calibri" w:eastAsia="Times New Roman" w:hAnsi="Calibri" w:cs="Calibri"/>
                <w:b/>
                <w:bCs/>
                <w:color w:val="000000"/>
                <w:szCs w:val="22"/>
                <w:lang w:eastAsia="en-GB"/>
              </w:rPr>
              <w:t>0.04</w:t>
            </w:r>
          </w:p>
        </w:tc>
      </w:tr>
      <w:tr w:rsidR="001719E7" w:rsidRPr="00793D70" w14:paraId="2FD07896" w14:textId="77777777" w:rsidTr="001719E7">
        <w:trPr>
          <w:trHeight w:val="288"/>
        </w:trPr>
        <w:tc>
          <w:tcPr>
            <w:tcW w:w="1127" w:type="dxa"/>
            <w:tcBorders>
              <w:top w:val="nil"/>
              <w:left w:val="nil"/>
              <w:bottom w:val="nil"/>
              <w:right w:val="nil"/>
            </w:tcBorders>
            <w:shd w:val="clear" w:color="auto" w:fill="auto"/>
            <w:noWrap/>
            <w:vAlign w:val="bottom"/>
            <w:hideMark/>
          </w:tcPr>
          <w:p w14:paraId="3E64ED22" w14:textId="77777777" w:rsidR="00793D70" w:rsidRPr="00793D70" w:rsidRDefault="00793D70" w:rsidP="00793D70">
            <w:pPr>
              <w:spacing w:after="0" w:line="240" w:lineRule="auto"/>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RWG</w:t>
            </w:r>
          </w:p>
        </w:tc>
        <w:tc>
          <w:tcPr>
            <w:tcW w:w="1526" w:type="dxa"/>
            <w:tcBorders>
              <w:top w:val="nil"/>
              <w:left w:val="nil"/>
              <w:bottom w:val="nil"/>
              <w:right w:val="nil"/>
            </w:tcBorders>
            <w:shd w:val="clear" w:color="auto" w:fill="auto"/>
            <w:noWrap/>
            <w:vAlign w:val="bottom"/>
            <w:hideMark/>
          </w:tcPr>
          <w:p w14:paraId="40EA0E43" w14:textId="77777777" w:rsidR="00793D70" w:rsidRPr="00793D70" w:rsidRDefault="00793D70" w:rsidP="00793D70">
            <w:pPr>
              <w:spacing w:after="0" w:line="240" w:lineRule="auto"/>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cg01379158</w:t>
            </w:r>
          </w:p>
        </w:tc>
        <w:tc>
          <w:tcPr>
            <w:tcW w:w="1000" w:type="dxa"/>
            <w:tcBorders>
              <w:top w:val="nil"/>
              <w:left w:val="nil"/>
              <w:bottom w:val="nil"/>
              <w:right w:val="nil"/>
            </w:tcBorders>
            <w:shd w:val="clear" w:color="auto" w:fill="auto"/>
            <w:noWrap/>
            <w:vAlign w:val="bottom"/>
            <w:hideMark/>
          </w:tcPr>
          <w:p w14:paraId="6E32032B" w14:textId="77777777" w:rsidR="00793D70" w:rsidRPr="00793D70" w:rsidRDefault="00793D70" w:rsidP="00793D70">
            <w:pPr>
              <w:spacing w:after="0" w:line="240" w:lineRule="auto"/>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NT5M</w:t>
            </w:r>
          </w:p>
        </w:tc>
        <w:tc>
          <w:tcPr>
            <w:tcW w:w="970" w:type="dxa"/>
            <w:tcBorders>
              <w:top w:val="nil"/>
              <w:left w:val="nil"/>
              <w:bottom w:val="nil"/>
              <w:right w:val="nil"/>
            </w:tcBorders>
            <w:shd w:val="clear" w:color="auto" w:fill="auto"/>
            <w:noWrap/>
            <w:vAlign w:val="bottom"/>
            <w:hideMark/>
          </w:tcPr>
          <w:p w14:paraId="0FB078DE" w14:textId="77777777" w:rsidR="00793D70" w:rsidRPr="00793D70" w:rsidRDefault="00793D70" w:rsidP="00793D70">
            <w:pPr>
              <w:spacing w:after="0" w:line="240" w:lineRule="auto"/>
              <w:jc w:val="right"/>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0.0004</w:t>
            </w:r>
          </w:p>
        </w:tc>
        <w:tc>
          <w:tcPr>
            <w:tcW w:w="970" w:type="dxa"/>
            <w:tcBorders>
              <w:top w:val="nil"/>
              <w:left w:val="nil"/>
              <w:bottom w:val="nil"/>
              <w:right w:val="nil"/>
            </w:tcBorders>
            <w:shd w:val="clear" w:color="auto" w:fill="auto"/>
            <w:vAlign w:val="bottom"/>
            <w:hideMark/>
          </w:tcPr>
          <w:p w14:paraId="00199406" w14:textId="77777777" w:rsidR="00793D70" w:rsidRPr="00793D70" w:rsidRDefault="00793D70" w:rsidP="00793D70">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0.0029</w:t>
            </w:r>
          </w:p>
        </w:tc>
        <w:tc>
          <w:tcPr>
            <w:tcW w:w="770" w:type="dxa"/>
            <w:tcBorders>
              <w:top w:val="nil"/>
              <w:left w:val="nil"/>
              <w:bottom w:val="nil"/>
              <w:right w:val="nil"/>
            </w:tcBorders>
            <w:shd w:val="clear" w:color="auto" w:fill="auto"/>
            <w:noWrap/>
            <w:vAlign w:val="bottom"/>
            <w:hideMark/>
          </w:tcPr>
          <w:p w14:paraId="70506692" w14:textId="77777777" w:rsidR="00793D70" w:rsidRPr="00793D70" w:rsidRDefault="00793D70" w:rsidP="00793D70">
            <w:pPr>
              <w:spacing w:after="0" w:line="240" w:lineRule="auto"/>
              <w:jc w:val="right"/>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0.90</w:t>
            </w:r>
          </w:p>
        </w:tc>
        <w:tc>
          <w:tcPr>
            <w:tcW w:w="472" w:type="dxa"/>
            <w:tcBorders>
              <w:top w:val="nil"/>
              <w:left w:val="nil"/>
              <w:bottom w:val="nil"/>
              <w:right w:val="nil"/>
            </w:tcBorders>
            <w:shd w:val="clear" w:color="auto" w:fill="auto"/>
            <w:noWrap/>
            <w:vAlign w:val="bottom"/>
            <w:hideMark/>
          </w:tcPr>
          <w:p w14:paraId="577BD850" w14:textId="77777777" w:rsidR="00793D70" w:rsidRPr="00793D70" w:rsidRDefault="00793D70" w:rsidP="00793D70">
            <w:pPr>
              <w:spacing w:after="0" w:line="240" w:lineRule="auto"/>
              <w:jc w:val="right"/>
              <w:rPr>
                <w:rFonts w:ascii="Calibri" w:eastAsia="Times New Roman" w:hAnsi="Calibri" w:cs="Calibri"/>
                <w:color w:val="000000"/>
                <w:szCs w:val="22"/>
                <w:lang w:eastAsia="en-GB"/>
              </w:rPr>
            </w:pPr>
          </w:p>
        </w:tc>
        <w:tc>
          <w:tcPr>
            <w:tcW w:w="1006" w:type="dxa"/>
            <w:tcBorders>
              <w:top w:val="nil"/>
              <w:left w:val="nil"/>
              <w:bottom w:val="nil"/>
              <w:right w:val="nil"/>
            </w:tcBorders>
            <w:shd w:val="clear" w:color="auto" w:fill="auto"/>
            <w:noWrap/>
            <w:vAlign w:val="bottom"/>
            <w:hideMark/>
          </w:tcPr>
          <w:p w14:paraId="4526647B" w14:textId="77777777" w:rsidR="00793D70" w:rsidRPr="00793D70" w:rsidRDefault="00793D70" w:rsidP="00793D70">
            <w:pPr>
              <w:spacing w:after="0" w:line="240" w:lineRule="auto"/>
              <w:jc w:val="right"/>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-0.0022</w:t>
            </w:r>
          </w:p>
        </w:tc>
        <w:tc>
          <w:tcPr>
            <w:tcW w:w="970" w:type="dxa"/>
            <w:tcBorders>
              <w:top w:val="nil"/>
              <w:left w:val="nil"/>
              <w:bottom w:val="nil"/>
              <w:right w:val="nil"/>
            </w:tcBorders>
            <w:shd w:val="clear" w:color="auto" w:fill="auto"/>
            <w:vAlign w:val="bottom"/>
            <w:hideMark/>
          </w:tcPr>
          <w:p w14:paraId="6CE9A057" w14:textId="77777777" w:rsidR="00793D70" w:rsidRPr="00793D70" w:rsidRDefault="00793D70" w:rsidP="00793D70">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0.0026</w:t>
            </w:r>
          </w:p>
        </w:tc>
        <w:tc>
          <w:tcPr>
            <w:tcW w:w="771" w:type="dxa"/>
            <w:tcBorders>
              <w:top w:val="nil"/>
              <w:left w:val="nil"/>
              <w:bottom w:val="nil"/>
              <w:right w:val="nil"/>
            </w:tcBorders>
            <w:shd w:val="clear" w:color="auto" w:fill="auto"/>
            <w:noWrap/>
            <w:vAlign w:val="bottom"/>
            <w:hideMark/>
          </w:tcPr>
          <w:p w14:paraId="59B92BC1" w14:textId="77777777" w:rsidR="00793D70" w:rsidRPr="00793D70" w:rsidRDefault="00793D70" w:rsidP="00793D70">
            <w:pPr>
              <w:spacing w:after="0" w:line="240" w:lineRule="auto"/>
              <w:jc w:val="right"/>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0.40</w:t>
            </w:r>
          </w:p>
        </w:tc>
      </w:tr>
      <w:tr w:rsidR="001719E7" w:rsidRPr="00793D70" w14:paraId="431CB952" w14:textId="77777777" w:rsidTr="001719E7">
        <w:trPr>
          <w:trHeight w:val="288"/>
        </w:trPr>
        <w:tc>
          <w:tcPr>
            <w:tcW w:w="1127" w:type="dxa"/>
            <w:tcBorders>
              <w:top w:val="nil"/>
              <w:left w:val="nil"/>
              <w:bottom w:val="nil"/>
              <w:right w:val="nil"/>
            </w:tcBorders>
            <w:shd w:val="clear" w:color="auto" w:fill="auto"/>
            <w:noWrap/>
            <w:vAlign w:val="bottom"/>
            <w:hideMark/>
          </w:tcPr>
          <w:p w14:paraId="6BAED46D" w14:textId="77777777" w:rsidR="00793D70" w:rsidRPr="00793D70" w:rsidRDefault="00793D70" w:rsidP="00793D70">
            <w:pPr>
              <w:spacing w:after="0" w:line="240" w:lineRule="auto"/>
              <w:jc w:val="right"/>
              <w:rPr>
                <w:rFonts w:ascii="Calibri" w:eastAsia="Times New Roman" w:hAnsi="Calibri" w:cs="Calibri"/>
                <w:color w:val="000000"/>
                <w:szCs w:val="22"/>
                <w:lang w:eastAsia="en-GB"/>
              </w:rPr>
            </w:pPr>
          </w:p>
        </w:tc>
        <w:tc>
          <w:tcPr>
            <w:tcW w:w="1526" w:type="dxa"/>
            <w:tcBorders>
              <w:top w:val="nil"/>
              <w:left w:val="nil"/>
              <w:bottom w:val="nil"/>
              <w:right w:val="nil"/>
            </w:tcBorders>
            <w:shd w:val="clear" w:color="auto" w:fill="auto"/>
            <w:noWrap/>
            <w:vAlign w:val="bottom"/>
            <w:hideMark/>
          </w:tcPr>
          <w:p w14:paraId="2D1853CF" w14:textId="77777777" w:rsidR="00793D70" w:rsidRPr="00793D70" w:rsidRDefault="00793D70" w:rsidP="00793D70">
            <w:pPr>
              <w:spacing w:after="0" w:line="240" w:lineRule="auto"/>
              <w:rPr>
                <w:rFonts w:ascii="Times New Roman" w:eastAsia="Times New Roman" w:hAnsi="Times New Roman" w:cs="Times New Roman"/>
                <w:sz w:val="20"/>
                <w:szCs w:val="20"/>
                <w:lang w:eastAsia="en-GB"/>
              </w:rPr>
            </w:pPr>
          </w:p>
        </w:tc>
        <w:tc>
          <w:tcPr>
            <w:tcW w:w="1000" w:type="dxa"/>
            <w:tcBorders>
              <w:top w:val="nil"/>
              <w:left w:val="nil"/>
              <w:bottom w:val="nil"/>
              <w:right w:val="nil"/>
            </w:tcBorders>
            <w:shd w:val="clear" w:color="auto" w:fill="auto"/>
            <w:noWrap/>
            <w:vAlign w:val="bottom"/>
            <w:hideMark/>
          </w:tcPr>
          <w:p w14:paraId="1953E991" w14:textId="77777777" w:rsidR="00793D70" w:rsidRPr="00793D70" w:rsidRDefault="00793D70" w:rsidP="00793D70">
            <w:pPr>
              <w:spacing w:after="0" w:line="240" w:lineRule="auto"/>
              <w:rPr>
                <w:rFonts w:ascii="Times New Roman" w:eastAsia="Times New Roman" w:hAnsi="Times New Roman" w:cs="Times New Roman"/>
                <w:sz w:val="20"/>
                <w:szCs w:val="20"/>
                <w:lang w:eastAsia="en-GB"/>
              </w:rPr>
            </w:pPr>
          </w:p>
        </w:tc>
        <w:tc>
          <w:tcPr>
            <w:tcW w:w="970" w:type="dxa"/>
            <w:tcBorders>
              <w:top w:val="nil"/>
              <w:left w:val="nil"/>
              <w:bottom w:val="nil"/>
              <w:right w:val="nil"/>
            </w:tcBorders>
            <w:shd w:val="clear" w:color="auto" w:fill="auto"/>
            <w:noWrap/>
            <w:vAlign w:val="bottom"/>
            <w:hideMark/>
          </w:tcPr>
          <w:p w14:paraId="43343073" w14:textId="77777777" w:rsidR="00793D70" w:rsidRPr="00793D70" w:rsidRDefault="00793D70" w:rsidP="00793D70">
            <w:pPr>
              <w:spacing w:after="0" w:line="240" w:lineRule="auto"/>
              <w:rPr>
                <w:rFonts w:ascii="Times New Roman" w:eastAsia="Times New Roman" w:hAnsi="Times New Roman" w:cs="Times New Roman"/>
                <w:sz w:val="20"/>
                <w:szCs w:val="20"/>
                <w:lang w:eastAsia="en-GB"/>
              </w:rPr>
            </w:pPr>
          </w:p>
        </w:tc>
        <w:tc>
          <w:tcPr>
            <w:tcW w:w="970" w:type="dxa"/>
            <w:tcBorders>
              <w:top w:val="nil"/>
              <w:left w:val="nil"/>
              <w:bottom w:val="nil"/>
              <w:right w:val="nil"/>
            </w:tcBorders>
            <w:shd w:val="clear" w:color="auto" w:fill="auto"/>
            <w:noWrap/>
            <w:vAlign w:val="bottom"/>
            <w:hideMark/>
          </w:tcPr>
          <w:p w14:paraId="44337E46" w14:textId="77777777" w:rsidR="00793D70" w:rsidRPr="00793D70" w:rsidRDefault="00793D70" w:rsidP="00793D70">
            <w:pPr>
              <w:spacing w:after="0" w:line="240" w:lineRule="auto"/>
              <w:rPr>
                <w:rFonts w:ascii="Times New Roman" w:eastAsia="Times New Roman" w:hAnsi="Times New Roman" w:cs="Times New Roman"/>
                <w:sz w:val="20"/>
                <w:szCs w:val="20"/>
                <w:lang w:eastAsia="en-GB"/>
              </w:rPr>
            </w:pPr>
          </w:p>
        </w:tc>
        <w:tc>
          <w:tcPr>
            <w:tcW w:w="770" w:type="dxa"/>
            <w:tcBorders>
              <w:top w:val="nil"/>
              <w:left w:val="nil"/>
              <w:bottom w:val="nil"/>
              <w:right w:val="nil"/>
            </w:tcBorders>
            <w:shd w:val="clear" w:color="auto" w:fill="auto"/>
            <w:noWrap/>
            <w:vAlign w:val="bottom"/>
            <w:hideMark/>
          </w:tcPr>
          <w:p w14:paraId="06801CBF" w14:textId="77777777" w:rsidR="00793D70" w:rsidRPr="00793D70" w:rsidRDefault="00793D70" w:rsidP="00793D70">
            <w:pPr>
              <w:spacing w:after="0" w:line="240" w:lineRule="auto"/>
              <w:rPr>
                <w:rFonts w:ascii="Times New Roman" w:eastAsia="Times New Roman" w:hAnsi="Times New Roman" w:cs="Times New Roman"/>
                <w:sz w:val="20"/>
                <w:szCs w:val="20"/>
                <w:lang w:eastAsia="en-GB"/>
              </w:rPr>
            </w:pPr>
          </w:p>
        </w:tc>
        <w:tc>
          <w:tcPr>
            <w:tcW w:w="472" w:type="dxa"/>
            <w:tcBorders>
              <w:top w:val="nil"/>
              <w:left w:val="nil"/>
              <w:bottom w:val="nil"/>
              <w:right w:val="nil"/>
            </w:tcBorders>
            <w:shd w:val="clear" w:color="auto" w:fill="auto"/>
            <w:noWrap/>
            <w:vAlign w:val="bottom"/>
            <w:hideMark/>
          </w:tcPr>
          <w:p w14:paraId="7BDB92A4" w14:textId="77777777" w:rsidR="00793D70" w:rsidRPr="00793D70" w:rsidRDefault="00793D70" w:rsidP="00793D70">
            <w:pPr>
              <w:spacing w:after="0" w:line="240" w:lineRule="auto"/>
              <w:rPr>
                <w:rFonts w:ascii="Times New Roman" w:eastAsia="Times New Roman" w:hAnsi="Times New Roman" w:cs="Times New Roman"/>
                <w:sz w:val="20"/>
                <w:szCs w:val="20"/>
                <w:lang w:eastAsia="en-GB"/>
              </w:rPr>
            </w:pPr>
          </w:p>
        </w:tc>
        <w:tc>
          <w:tcPr>
            <w:tcW w:w="1006" w:type="dxa"/>
            <w:tcBorders>
              <w:top w:val="nil"/>
              <w:left w:val="nil"/>
              <w:bottom w:val="nil"/>
              <w:right w:val="nil"/>
            </w:tcBorders>
            <w:shd w:val="clear" w:color="auto" w:fill="auto"/>
            <w:noWrap/>
            <w:vAlign w:val="bottom"/>
            <w:hideMark/>
          </w:tcPr>
          <w:p w14:paraId="319593D1" w14:textId="77777777" w:rsidR="00793D70" w:rsidRPr="00793D70" w:rsidRDefault="00793D70" w:rsidP="00793D70">
            <w:pPr>
              <w:spacing w:after="0" w:line="240" w:lineRule="auto"/>
              <w:rPr>
                <w:rFonts w:ascii="Times New Roman" w:eastAsia="Times New Roman" w:hAnsi="Times New Roman" w:cs="Times New Roman"/>
                <w:sz w:val="20"/>
                <w:szCs w:val="20"/>
                <w:lang w:eastAsia="en-GB"/>
              </w:rPr>
            </w:pPr>
          </w:p>
        </w:tc>
        <w:tc>
          <w:tcPr>
            <w:tcW w:w="970" w:type="dxa"/>
            <w:tcBorders>
              <w:top w:val="nil"/>
              <w:left w:val="nil"/>
              <w:bottom w:val="nil"/>
              <w:right w:val="nil"/>
            </w:tcBorders>
            <w:shd w:val="clear" w:color="auto" w:fill="auto"/>
            <w:noWrap/>
            <w:vAlign w:val="bottom"/>
            <w:hideMark/>
          </w:tcPr>
          <w:p w14:paraId="525484AD" w14:textId="77777777" w:rsidR="00793D70" w:rsidRPr="00793D70" w:rsidRDefault="00793D70" w:rsidP="00793D70">
            <w:pPr>
              <w:spacing w:after="0" w:line="240" w:lineRule="auto"/>
              <w:rPr>
                <w:rFonts w:ascii="Times New Roman" w:eastAsia="Times New Roman" w:hAnsi="Times New Roman" w:cs="Times New Roman"/>
                <w:sz w:val="20"/>
                <w:szCs w:val="20"/>
                <w:lang w:eastAsia="en-GB"/>
              </w:rPr>
            </w:pPr>
          </w:p>
        </w:tc>
        <w:tc>
          <w:tcPr>
            <w:tcW w:w="771" w:type="dxa"/>
            <w:tcBorders>
              <w:top w:val="nil"/>
              <w:left w:val="nil"/>
              <w:bottom w:val="nil"/>
              <w:right w:val="nil"/>
            </w:tcBorders>
            <w:shd w:val="clear" w:color="auto" w:fill="auto"/>
            <w:noWrap/>
            <w:vAlign w:val="bottom"/>
            <w:hideMark/>
          </w:tcPr>
          <w:p w14:paraId="0F72D331" w14:textId="77777777" w:rsidR="00793D70" w:rsidRPr="00793D70" w:rsidRDefault="00793D70" w:rsidP="00793D70">
            <w:pPr>
              <w:spacing w:after="0" w:line="240" w:lineRule="auto"/>
              <w:rPr>
                <w:rFonts w:ascii="Times New Roman" w:eastAsia="Times New Roman" w:hAnsi="Times New Roman" w:cs="Times New Roman"/>
                <w:sz w:val="20"/>
                <w:szCs w:val="20"/>
                <w:lang w:eastAsia="en-GB"/>
              </w:rPr>
            </w:pPr>
          </w:p>
        </w:tc>
      </w:tr>
      <w:tr w:rsidR="001719E7" w:rsidRPr="00793D70" w14:paraId="680968D7" w14:textId="77777777" w:rsidTr="001719E7">
        <w:trPr>
          <w:trHeight w:val="288"/>
        </w:trPr>
        <w:tc>
          <w:tcPr>
            <w:tcW w:w="1127" w:type="dxa"/>
            <w:tcBorders>
              <w:top w:val="nil"/>
              <w:left w:val="nil"/>
              <w:bottom w:val="nil"/>
              <w:right w:val="nil"/>
            </w:tcBorders>
            <w:shd w:val="clear" w:color="auto" w:fill="auto"/>
            <w:noWrap/>
            <w:vAlign w:val="bottom"/>
            <w:hideMark/>
          </w:tcPr>
          <w:p w14:paraId="3FFE534F" w14:textId="77777777" w:rsidR="00793D70" w:rsidRPr="00793D70" w:rsidRDefault="00793D70" w:rsidP="00793D70">
            <w:pPr>
              <w:spacing w:after="0" w:line="240" w:lineRule="auto"/>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RT</w:t>
            </w:r>
          </w:p>
        </w:tc>
        <w:tc>
          <w:tcPr>
            <w:tcW w:w="1526" w:type="dxa"/>
            <w:tcBorders>
              <w:top w:val="nil"/>
              <w:left w:val="nil"/>
              <w:bottom w:val="nil"/>
              <w:right w:val="nil"/>
            </w:tcBorders>
            <w:shd w:val="clear" w:color="auto" w:fill="auto"/>
            <w:noWrap/>
            <w:vAlign w:val="bottom"/>
            <w:hideMark/>
          </w:tcPr>
          <w:p w14:paraId="1ACED358" w14:textId="77777777" w:rsidR="00793D70" w:rsidRPr="00793D70" w:rsidRDefault="00793D70" w:rsidP="00793D70">
            <w:pPr>
              <w:spacing w:after="0" w:line="240" w:lineRule="auto"/>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cg11531579</w:t>
            </w:r>
          </w:p>
        </w:tc>
        <w:tc>
          <w:tcPr>
            <w:tcW w:w="1000" w:type="dxa"/>
            <w:tcBorders>
              <w:top w:val="nil"/>
              <w:left w:val="nil"/>
              <w:bottom w:val="nil"/>
              <w:right w:val="nil"/>
            </w:tcBorders>
            <w:shd w:val="clear" w:color="auto" w:fill="auto"/>
            <w:noWrap/>
            <w:vAlign w:val="bottom"/>
            <w:hideMark/>
          </w:tcPr>
          <w:p w14:paraId="0B8EA20D" w14:textId="77777777" w:rsidR="00793D70" w:rsidRPr="00793D70" w:rsidRDefault="00793D70" w:rsidP="00793D70">
            <w:pPr>
              <w:spacing w:after="0" w:line="240" w:lineRule="auto"/>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CHFR</w:t>
            </w:r>
          </w:p>
        </w:tc>
        <w:tc>
          <w:tcPr>
            <w:tcW w:w="970" w:type="dxa"/>
            <w:tcBorders>
              <w:top w:val="nil"/>
              <w:left w:val="nil"/>
              <w:bottom w:val="nil"/>
              <w:right w:val="nil"/>
            </w:tcBorders>
            <w:shd w:val="clear" w:color="auto" w:fill="auto"/>
            <w:noWrap/>
            <w:vAlign w:val="bottom"/>
            <w:hideMark/>
          </w:tcPr>
          <w:p w14:paraId="79EB8058" w14:textId="77777777" w:rsidR="00793D70" w:rsidRPr="00793D70" w:rsidRDefault="00793D70" w:rsidP="00793D70">
            <w:pPr>
              <w:spacing w:after="0" w:line="240" w:lineRule="auto"/>
              <w:jc w:val="right"/>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0.0022</w:t>
            </w:r>
          </w:p>
        </w:tc>
        <w:tc>
          <w:tcPr>
            <w:tcW w:w="970" w:type="dxa"/>
            <w:tcBorders>
              <w:top w:val="nil"/>
              <w:left w:val="nil"/>
              <w:bottom w:val="nil"/>
              <w:right w:val="nil"/>
            </w:tcBorders>
            <w:shd w:val="clear" w:color="auto" w:fill="auto"/>
            <w:vAlign w:val="bottom"/>
            <w:hideMark/>
          </w:tcPr>
          <w:p w14:paraId="5AA7B5F0" w14:textId="77777777" w:rsidR="00793D70" w:rsidRPr="00793D70" w:rsidRDefault="00793D70" w:rsidP="00793D70">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0.0026</w:t>
            </w:r>
          </w:p>
        </w:tc>
        <w:tc>
          <w:tcPr>
            <w:tcW w:w="770" w:type="dxa"/>
            <w:tcBorders>
              <w:top w:val="nil"/>
              <w:left w:val="nil"/>
              <w:bottom w:val="nil"/>
              <w:right w:val="nil"/>
            </w:tcBorders>
            <w:shd w:val="clear" w:color="auto" w:fill="auto"/>
            <w:noWrap/>
            <w:vAlign w:val="bottom"/>
            <w:hideMark/>
          </w:tcPr>
          <w:p w14:paraId="6EFBAFB2" w14:textId="77777777" w:rsidR="00793D70" w:rsidRPr="00793D70" w:rsidRDefault="00793D70" w:rsidP="00793D70">
            <w:pPr>
              <w:spacing w:after="0" w:line="240" w:lineRule="auto"/>
              <w:jc w:val="right"/>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0.39</w:t>
            </w:r>
          </w:p>
        </w:tc>
        <w:tc>
          <w:tcPr>
            <w:tcW w:w="472" w:type="dxa"/>
            <w:tcBorders>
              <w:top w:val="nil"/>
              <w:left w:val="nil"/>
              <w:bottom w:val="nil"/>
              <w:right w:val="nil"/>
            </w:tcBorders>
            <w:shd w:val="clear" w:color="auto" w:fill="auto"/>
            <w:noWrap/>
            <w:vAlign w:val="bottom"/>
            <w:hideMark/>
          </w:tcPr>
          <w:p w14:paraId="48903500" w14:textId="77777777" w:rsidR="00793D70" w:rsidRPr="00793D70" w:rsidRDefault="00793D70" w:rsidP="00793D70">
            <w:pPr>
              <w:spacing w:after="0" w:line="240" w:lineRule="auto"/>
              <w:jc w:val="right"/>
              <w:rPr>
                <w:rFonts w:ascii="Calibri" w:eastAsia="Times New Roman" w:hAnsi="Calibri" w:cs="Calibri"/>
                <w:color w:val="000000"/>
                <w:szCs w:val="22"/>
                <w:lang w:eastAsia="en-GB"/>
              </w:rPr>
            </w:pPr>
          </w:p>
        </w:tc>
        <w:tc>
          <w:tcPr>
            <w:tcW w:w="1006" w:type="dxa"/>
            <w:tcBorders>
              <w:top w:val="nil"/>
              <w:left w:val="nil"/>
              <w:bottom w:val="nil"/>
              <w:right w:val="nil"/>
            </w:tcBorders>
            <w:shd w:val="clear" w:color="auto" w:fill="auto"/>
            <w:noWrap/>
            <w:vAlign w:val="bottom"/>
            <w:hideMark/>
          </w:tcPr>
          <w:p w14:paraId="5F4E2C39" w14:textId="77777777" w:rsidR="00793D70" w:rsidRPr="00793D70" w:rsidRDefault="00793D70" w:rsidP="00793D70">
            <w:pPr>
              <w:spacing w:after="0" w:line="240" w:lineRule="auto"/>
              <w:jc w:val="right"/>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0.0029</w:t>
            </w:r>
          </w:p>
        </w:tc>
        <w:tc>
          <w:tcPr>
            <w:tcW w:w="970" w:type="dxa"/>
            <w:tcBorders>
              <w:top w:val="nil"/>
              <w:left w:val="nil"/>
              <w:bottom w:val="nil"/>
              <w:right w:val="nil"/>
            </w:tcBorders>
            <w:shd w:val="clear" w:color="auto" w:fill="auto"/>
            <w:vAlign w:val="bottom"/>
            <w:hideMark/>
          </w:tcPr>
          <w:p w14:paraId="55035DC6" w14:textId="77777777" w:rsidR="00793D70" w:rsidRPr="00793D70" w:rsidRDefault="00793D70" w:rsidP="00793D70">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0.0024</w:t>
            </w:r>
          </w:p>
        </w:tc>
        <w:tc>
          <w:tcPr>
            <w:tcW w:w="771" w:type="dxa"/>
            <w:tcBorders>
              <w:top w:val="nil"/>
              <w:left w:val="nil"/>
              <w:bottom w:val="nil"/>
              <w:right w:val="nil"/>
            </w:tcBorders>
            <w:shd w:val="clear" w:color="auto" w:fill="auto"/>
            <w:noWrap/>
            <w:vAlign w:val="bottom"/>
            <w:hideMark/>
          </w:tcPr>
          <w:p w14:paraId="7D315150" w14:textId="77777777" w:rsidR="00793D70" w:rsidRPr="00793D70" w:rsidRDefault="00793D70" w:rsidP="00793D70">
            <w:pPr>
              <w:spacing w:after="0" w:line="240" w:lineRule="auto"/>
              <w:jc w:val="right"/>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0.23</w:t>
            </w:r>
          </w:p>
        </w:tc>
      </w:tr>
      <w:tr w:rsidR="001719E7" w:rsidRPr="00793D70" w14:paraId="3BEC3227" w14:textId="77777777" w:rsidTr="001719E7">
        <w:trPr>
          <w:trHeight w:val="288"/>
        </w:trPr>
        <w:tc>
          <w:tcPr>
            <w:tcW w:w="1127" w:type="dxa"/>
            <w:tcBorders>
              <w:top w:val="nil"/>
              <w:left w:val="nil"/>
              <w:bottom w:val="nil"/>
              <w:right w:val="nil"/>
            </w:tcBorders>
            <w:shd w:val="clear" w:color="auto" w:fill="auto"/>
            <w:noWrap/>
            <w:vAlign w:val="bottom"/>
            <w:hideMark/>
          </w:tcPr>
          <w:p w14:paraId="4C07E6D5" w14:textId="77777777" w:rsidR="00793D70" w:rsidRPr="00793D70" w:rsidRDefault="00793D70" w:rsidP="00793D70">
            <w:pPr>
              <w:spacing w:after="0" w:line="240" w:lineRule="auto"/>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RT</w:t>
            </w:r>
          </w:p>
        </w:tc>
        <w:tc>
          <w:tcPr>
            <w:tcW w:w="1526" w:type="dxa"/>
            <w:tcBorders>
              <w:top w:val="nil"/>
              <w:left w:val="nil"/>
              <w:bottom w:val="nil"/>
              <w:right w:val="nil"/>
            </w:tcBorders>
            <w:shd w:val="clear" w:color="auto" w:fill="auto"/>
            <w:noWrap/>
            <w:vAlign w:val="bottom"/>
            <w:hideMark/>
          </w:tcPr>
          <w:p w14:paraId="662F5457" w14:textId="77777777" w:rsidR="00793D70" w:rsidRPr="00793D70" w:rsidRDefault="00793D70" w:rsidP="00793D70">
            <w:pPr>
              <w:spacing w:after="0" w:line="240" w:lineRule="auto"/>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cg01379158</w:t>
            </w:r>
          </w:p>
        </w:tc>
        <w:tc>
          <w:tcPr>
            <w:tcW w:w="1000" w:type="dxa"/>
            <w:tcBorders>
              <w:top w:val="nil"/>
              <w:left w:val="nil"/>
              <w:bottom w:val="nil"/>
              <w:right w:val="nil"/>
            </w:tcBorders>
            <w:shd w:val="clear" w:color="auto" w:fill="auto"/>
            <w:noWrap/>
            <w:vAlign w:val="bottom"/>
            <w:hideMark/>
          </w:tcPr>
          <w:p w14:paraId="40C37B13" w14:textId="77777777" w:rsidR="00793D70" w:rsidRPr="00793D70" w:rsidRDefault="00793D70" w:rsidP="00793D70">
            <w:pPr>
              <w:spacing w:after="0" w:line="240" w:lineRule="auto"/>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NT5M</w:t>
            </w:r>
          </w:p>
        </w:tc>
        <w:tc>
          <w:tcPr>
            <w:tcW w:w="970" w:type="dxa"/>
            <w:tcBorders>
              <w:top w:val="nil"/>
              <w:left w:val="nil"/>
              <w:bottom w:val="nil"/>
              <w:right w:val="nil"/>
            </w:tcBorders>
            <w:shd w:val="clear" w:color="auto" w:fill="auto"/>
            <w:noWrap/>
            <w:vAlign w:val="bottom"/>
            <w:hideMark/>
          </w:tcPr>
          <w:p w14:paraId="26557034" w14:textId="77777777" w:rsidR="00793D70" w:rsidRPr="00793D70" w:rsidRDefault="00793D70" w:rsidP="00793D70">
            <w:pPr>
              <w:spacing w:after="0" w:line="240" w:lineRule="auto"/>
              <w:jc w:val="right"/>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-0.0002</w:t>
            </w:r>
          </w:p>
        </w:tc>
        <w:tc>
          <w:tcPr>
            <w:tcW w:w="970" w:type="dxa"/>
            <w:tcBorders>
              <w:top w:val="nil"/>
              <w:left w:val="nil"/>
              <w:bottom w:val="nil"/>
              <w:right w:val="nil"/>
            </w:tcBorders>
            <w:shd w:val="clear" w:color="auto" w:fill="auto"/>
            <w:vAlign w:val="bottom"/>
            <w:hideMark/>
          </w:tcPr>
          <w:p w14:paraId="36BE4EBC" w14:textId="77777777" w:rsidR="00793D70" w:rsidRPr="00793D70" w:rsidRDefault="00793D70" w:rsidP="00793D70">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0.0036</w:t>
            </w:r>
          </w:p>
        </w:tc>
        <w:tc>
          <w:tcPr>
            <w:tcW w:w="770" w:type="dxa"/>
            <w:tcBorders>
              <w:top w:val="nil"/>
              <w:left w:val="nil"/>
              <w:bottom w:val="nil"/>
              <w:right w:val="nil"/>
            </w:tcBorders>
            <w:shd w:val="clear" w:color="auto" w:fill="auto"/>
            <w:noWrap/>
            <w:vAlign w:val="bottom"/>
            <w:hideMark/>
          </w:tcPr>
          <w:p w14:paraId="3DDF65F4" w14:textId="77777777" w:rsidR="00793D70" w:rsidRPr="00793D70" w:rsidRDefault="00793D70" w:rsidP="00793D70">
            <w:pPr>
              <w:spacing w:after="0" w:line="240" w:lineRule="auto"/>
              <w:jc w:val="right"/>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0.96</w:t>
            </w:r>
          </w:p>
        </w:tc>
        <w:tc>
          <w:tcPr>
            <w:tcW w:w="472" w:type="dxa"/>
            <w:tcBorders>
              <w:top w:val="nil"/>
              <w:left w:val="nil"/>
              <w:bottom w:val="nil"/>
              <w:right w:val="nil"/>
            </w:tcBorders>
            <w:shd w:val="clear" w:color="auto" w:fill="auto"/>
            <w:noWrap/>
            <w:vAlign w:val="bottom"/>
            <w:hideMark/>
          </w:tcPr>
          <w:p w14:paraId="3E570B72" w14:textId="77777777" w:rsidR="00793D70" w:rsidRPr="00793D70" w:rsidRDefault="00793D70" w:rsidP="00793D70">
            <w:pPr>
              <w:spacing w:after="0" w:line="240" w:lineRule="auto"/>
              <w:jc w:val="right"/>
              <w:rPr>
                <w:rFonts w:ascii="Calibri" w:eastAsia="Times New Roman" w:hAnsi="Calibri" w:cs="Calibri"/>
                <w:color w:val="000000"/>
                <w:szCs w:val="22"/>
                <w:lang w:eastAsia="en-GB"/>
              </w:rPr>
            </w:pPr>
          </w:p>
        </w:tc>
        <w:tc>
          <w:tcPr>
            <w:tcW w:w="1006" w:type="dxa"/>
            <w:tcBorders>
              <w:top w:val="nil"/>
              <w:left w:val="nil"/>
              <w:bottom w:val="nil"/>
              <w:right w:val="nil"/>
            </w:tcBorders>
            <w:shd w:val="clear" w:color="auto" w:fill="auto"/>
            <w:noWrap/>
            <w:vAlign w:val="bottom"/>
            <w:hideMark/>
          </w:tcPr>
          <w:p w14:paraId="2C5EEB08" w14:textId="77777777" w:rsidR="00793D70" w:rsidRPr="00793D70" w:rsidRDefault="00793D70" w:rsidP="00793D70">
            <w:pPr>
              <w:spacing w:after="0" w:line="240" w:lineRule="auto"/>
              <w:jc w:val="right"/>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-0.0030</w:t>
            </w:r>
          </w:p>
        </w:tc>
        <w:tc>
          <w:tcPr>
            <w:tcW w:w="970" w:type="dxa"/>
            <w:tcBorders>
              <w:top w:val="nil"/>
              <w:left w:val="nil"/>
              <w:bottom w:val="nil"/>
              <w:right w:val="nil"/>
            </w:tcBorders>
            <w:shd w:val="clear" w:color="auto" w:fill="auto"/>
            <w:vAlign w:val="bottom"/>
            <w:hideMark/>
          </w:tcPr>
          <w:p w14:paraId="506B6AD8" w14:textId="77777777" w:rsidR="00793D70" w:rsidRPr="00793D70" w:rsidRDefault="00793D70" w:rsidP="00793D70">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0.0029</w:t>
            </w:r>
          </w:p>
        </w:tc>
        <w:tc>
          <w:tcPr>
            <w:tcW w:w="771" w:type="dxa"/>
            <w:tcBorders>
              <w:top w:val="nil"/>
              <w:left w:val="nil"/>
              <w:bottom w:val="nil"/>
              <w:right w:val="nil"/>
            </w:tcBorders>
            <w:shd w:val="clear" w:color="auto" w:fill="auto"/>
            <w:noWrap/>
            <w:vAlign w:val="bottom"/>
            <w:hideMark/>
          </w:tcPr>
          <w:p w14:paraId="43EED19C" w14:textId="77777777" w:rsidR="00793D70" w:rsidRPr="00793D70" w:rsidRDefault="00793D70" w:rsidP="00793D70">
            <w:pPr>
              <w:spacing w:after="0" w:line="240" w:lineRule="auto"/>
              <w:jc w:val="right"/>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0.31</w:t>
            </w:r>
          </w:p>
        </w:tc>
      </w:tr>
      <w:tr w:rsidR="001719E7" w:rsidRPr="00793D70" w14:paraId="051D176E" w14:textId="77777777" w:rsidTr="001719E7">
        <w:trPr>
          <w:trHeight w:val="298"/>
        </w:trPr>
        <w:tc>
          <w:tcPr>
            <w:tcW w:w="1127" w:type="dxa"/>
            <w:tcBorders>
              <w:top w:val="nil"/>
              <w:left w:val="nil"/>
              <w:bottom w:val="single" w:sz="4" w:space="0" w:color="auto"/>
              <w:right w:val="nil"/>
            </w:tcBorders>
            <w:shd w:val="clear" w:color="auto" w:fill="auto"/>
            <w:vAlign w:val="center"/>
            <w:hideMark/>
          </w:tcPr>
          <w:p w14:paraId="6F4CCBE5" w14:textId="77777777" w:rsidR="00793D70" w:rsidRPr="00793D70" w:rsidRDefault="00793D70" w:rsidP="00793D70">
            <w:pPr>
              <w:spacing w:after="0" w:line="240" w:lineRule="auto"/>
              <w:rPr>
                <w:rFonts w:ascii="Calibri" w:eastAsia="Times New Roman" w:hAnsi="Calibri" w:cs="Calibri"/>
                <w:color w:val="000000"/>
                <w:sz w:val="20"/>
                <w:szCs w:val="20"/>
                <w:lang w:eastAsia="en-GB"/>
              </w:rPr>
            </w:pPr>
            <w:r w:rsidRPr="00793D70">
              <w:rPr>
                <w:rFonts w:ascii="Calibri" w:eastAsia="Times New Roman" w:hAnsi="Calibri" w:cs="Calibri"/>
                <w:color w:val="000000"/>
                <w:sz w:val="20"/>
                <w:szCs w:val="20"/>
                <w:lang w:eastAsia="en-GB"/>
              </w:rPr>
              <w:t> </w:t>
            </w:r>
          </w:p>
        </w:tc>
        <w:tc>
          <w:tcPr>
            <w:tcW w:w="1526" w:type="dxa"/>
            <w:tcBorders>
              <w:top w:val="nil"/>
              <w:left w:val="nil"/>
              <w:bottom w:val="single" w:sz="4" w:space="0" w:color="auto"/>
              <w:right w:val="nil"/>
            </w:tcBorders>
            <w:shd w:val="clear" w:color="auto" w:fill="auto"/>
            <w:vAlign w:val="center"/>
            <w:hideMark/>
          </w:tcPr>
          <w:p w14:paraId="70370633" w14:textId="77777777" w:rsidR="00793D70" w:rsidRPr="00793D70" w:rsidRDefault="00793D70" w:rsidP="00793D70">
            <w:pPr>
              <w:spacing w:after="0" w:line="240" w:lineRule="auto"/>
              <w:rPr>
                <w:rFonts w:ascii="Calibri" w:eastAsia="Times New Roman" w:hAnsi="Calibri" w:cs="Calibri"/>
                <w:color w:val="000000"/>
                <w:sz w:val="20"/>
                <w:szCs w:val="20"/>
                <w:lang w:eastAsia="en-GB"/>
              </w:rPr>
            </w:pPr>
            <w:r w:rsidRPr="00793D70">
              <w:rPr>
                <w:rFonts w:ascii="Calibri" w:eastAsia="Times New Roman" w:hAnsi="Calibri" w:cs="Calibri"/>
                <w:color w:val="000000"/>
                <w:sz w:val="20"/>
                <w:szCs w:val="20"/>
                <w:lang w:eastAsia="en-GB"/>
              </w:rPr>
              <w:t> </w:t>
            </w:r>
          </w:p>
        </w:tc>
        <w:tc>
          <w:tcPr>
            <w:tcW w:w="1000" w:type="dxa"/>
            <w:tcBorders>
              <w:top w:val="nil"/>
              <w:left w:val="nil"/>
              <w:bottom w:val="single" w:sz="4" w:space="0" w:color="auto"/>
              <w:right w:val="nil"/>
            </w:tcBorders>
            <w:shd w:val="clear" w:color="auto" w:fill="auto"/>
            <w:vAlign w:val="center"/>
            <w:hideMark/>
          </w:tcPr>
          <w:p w14:paraId="09F5D608" w14:textId="77777777" w:rsidR="00793D70" w:rsidRPr="00793D70" w:rsidRDefault="00793D70" w:rsidP="00793D70">
            <w:pPr>
              <w:spacing w:after="0" w:line="240" w:lineRule="auto"/>
              <w:rPr>
                <w:rFonts w:ascii="Calibri" w:eastAsia="Times New Roman" w:hAnsi="Calibri" w:cs="Calibri"/>
                <w:color w:val="000000"/>
                <w:sz w:val="20"/>
                <w:szCs w:val="20"/>
                <w:lang w:eastAsia="en-GB"/>
              </w:rPr>
            </w:pPr>
            <w:r w:rsidRPr="00793D70">
              <w:rPr>
                <w:rFonts w:ascii="Calibri" w:eastAsia="Times New Roman" w:hAnsi="Calibri" w:cs="Calibri"/>
                <w:color w:val="000000"/>
                <w:sz w:val="20"/>
                <w:szCs w:val="20"/>
                <w:lang w:eastAsia="en-GB"/>
              </w:rPr>
              <w:t> </w:t>
            </w:r>
          </w:p>
        </w:tc>
        <w:tc>
          <w:tcPr>
            <w:tcW w:w="970" w:type="dxa"/>
            <w:tcBorders>
              <w:top w:val="nil"/>
              <w:left w:val="nil"/>
              <w:bottom w:val="single" w:sz="4" w:space="0" w:color="auto"/>
              <w:right w:val="nil"/>
            </w:tcBorders>
            <w:shd w:val="clear" w:color="auto" w:fill="auto"/>
            <w:vAlign w:val="center"/>
            <w:hideMark/>
          </w:tcPr>
          <w:p w14:paraId="37209BFE" w14:textId="77777777" w:rsidR="00793D70" w:rsidRPr="00793D70" w:rsidRDefault="00793D70" w:rsidP="00793D70">
            <w:pPr>
              <w:spacing w:after="0" w:line="240" w:lineRule="auto"/>
              <w:rPr>
                <w:rFonts w:ascii="Calibri" w:eastAsia="Times New Roman" w:hAnsi="Calibri" w:cs="Calibri"/>
                <w:color w:val="000000"/>
                <w:sz w:val="20"/>
                <w:szCs w:val="20"/>
                <w:lang w:eastAsia="en-GB"/>
              </w:rPr>
            </w:pPr>
            <w:r w:rsidRPr="00793D70">
              <w:rPr>
                <w:rFonts w:ascii="Calibri" w:eastAsia="Times New Roman" w:hAnsi="Calibri" w:cs="Calibri"/>
                <w:color w:val="000000"/>
                <w:sz w:val="20"/>
                <w:szCs w:val="20"/>
                <w:lang w:eastAsia="en-GB"/>
              </w:rPr>
              <w:t> </w:t>
            </w:r>
          </w:p>
        </w:tc>
        <w:tc>
          <w:tcPr>
            <w:tcW w:w="970" w:type="dxa"/>
            <w:tcBorders>
              <w:top w:val="nil"/>
              <w:left w:val="nil"/>
              <w:bottom w:val="nil"/>
              <w:right w:val="nil"/>
            </w:tcBorders>
            <w:shd w:val="clear" w:color="auto" w:fill="auto"/>
            <w:noWrap/>
            <w:vAlign w:val="bottom"/>
            <w:hideMark/>
          </w:tcPr>
          <w:p w14:paraId="790D23C1" w14:textId="77777777" w:rsidR="00793D70" w:rsidRPr="00793D70" w:rsidRDefault="00793D70" w:rsidP="00793D70">
            <w:pPr>
              <w:spacing w:after="0" w:line="240" w:lineRule="auto"/>
              <w:rPr>
                <w:rFonts w:ascii="Calibri" w:eastAsia="Times New Roman" w:hAnsi="Calibri" w:cs="Calibri"/>
                <w:color w:val="000000"/>
                <w:sz w:val="20"/>
                <w:szCs w:val="20"/>
                <w:lang w:eastAsia="en-GB"/>
              </w:rPr>
            </w:pPr>
          </w:p>
        </w:tc>
        <w:tc>
          <w:tcPr>
            <w:tcW w:w="770" w:type="dxa"/>
            <w:tcBorders>
              <w:top w:val="nil"/>
              <w:left w:val="nil"/>
              <w:bottom w:val="single" w:sz="4" w:space="0" w:color="auto"/>
              <w:right w:val="nil"/>
            </w:tcBorders>
            <w:shd w:val="clear" w:color="auto" w:fill="auto"/>
            <w:vAlign w:val="center"/>
            <w:hideMark/>
          </w:tcPr>
          <w:p w14:paraId="0821A412" w14:textId="77777777" w:rsidR="00793D70" w:rsidRPr="00793D70" w:rsidRDefault="00793D70" w:rsidP="00793D70">
            <w:pPr>
              <w:spacing w:after="0" w:line="240" w:lineRule="auto"/>
              <w:rPr>
                <w:rFonts w:ascii="Calibri" w:eastAsia="Times New Roman" w:hAnsi="Calibri" w:cs="Calibri"/>
                <w:color w:val="000000"/>
                <w:sz w:val="20"/>
                <w:szCs w:val="20"/>
                <w:lang w:eastAsia="en-GB"/>
              </w:rPr>
            </w:pPr>
            <w:r w:rsidRPr="00793D70">
              <w:rPr>
                <w:rFonts w:ascii="Calibri" w:eastAsia="Times New Roman" w:hAnsi="Calibri" w:cs="Calibri"/>
                <w:color w:val="000000"/>
                <w:sz w:val="20"/>
                <w:szCs w:val="20"/>
                <w:lang w:eastAsia="en-GB"/>
              </w:rPr>
              <w:t> </w:t>
            </w:r>
          </w:p>
        </w:tc>
        <w:tc>
          <w:tcPr>
            <w:tcW w:w="472" w:type="dxa"/>
            <w:tcBorders>
              <w:top w:val="nil"/>
              <w:left w:val="nil"/>
              <w:bottom w:val="single" w:sz="4" w:space="0" w:color="auto"/>
              <w:right w:val="nil"/>
            </w:tcBorders>
            <w:shd w:val="clear" w:color="auto" w:fill="auto"/>
            <w:vAlign w:val="center"/>
            <w:hideMark/>
          </w:tcPr>
          <w:p w14:paraId="0D9FEAE2" w14:textId="77777777" w:rsidR="00793D70" w:rsidRPr="00793D70" w:rsidRDefault="00793D70" w:rsidP="00793D70">
            <w:pPr>
              <w:spacing w:after="0" w:line="240" w:lineRule="auto"/>
              <w:jc w:val="center"/>
              <w:rPr>
                <w:rFonts w:ascii="Calibri" w:eastAsia="Times New Roman" w:hAnsi="Calibri" w:cs="Calibri"/>
                <w:color w:val="000000"/>
                <w:sz w:val="20"/>
                <w:szCs w:val="20"/>
                <w:lang w:eastAsia="en-GB"/>
              </w:rPr>
            </w:pPr>
            <w:r w:rsidRPr="00793D70">
              <w:rPr>
                <w:rFonts w:ascii="Calibri" w:eastAsia="Times New Roman" w:hAnsi="Calibri" w:cs="Calibri"/>
                <w:color w:val="000000"/>
                <w:sz w:val="20"/>
                <w:szCs w:val="20"/>
                <w:lang w:eastAsia="en-GB"/>
              </w:rPr>
              <w:t> </w:t>
            </w:r>
          </w:p>
        </w:tc>
        <w:tc>
          <w:tcPr>
            <w:tcW w:w="1006" w:type="dxa"/>
            <w:tcBorders>
              <w:top w:val="nil"/>
              <w:left w:val="nil"/>
              <w:bottom w:val="single" w:sz="4" w:space="0" w:color="auto"/>
              <w:right w:val="nil"/>
            </w:tcBorders>
            <w:shd w:val="clear" w:color="auto" w:fill="auto"/>
            <w:noWrap/>
            <w:vAlign w:val="bottom"/>
            <w:hideMark/>
          </w:tcPr>
          <w:p w14:paraId="4B029740" w14:textId="77777777" w:rsidR="00793D70" w:rsidRPr="00793D70" w:rsidRDefault="00793D70" w:rsidP="00793D70">
            <w:pPr>
              <w:spacing w:after="0" w:line="240" w:lineRule="auto"/>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 </w:t>
            </w:r>
          </w:p>
        </w:tc>
        <w:tc>
          <w:tcPr>
            <w:tcW w:w="970" w:type="dxa"/>
            <w:tcBorders>
              <w:top w:val="nil"/>
              <w:left w:val="nil"/>
              <w:bottom w:val="single" w:sz="4" w:space="0" w:color="auto"/>
              <w:right w:val="nil"/>
            </w:tcBorders>
            <w:shd w:val="clear" w:color="auto" w:fill="auto"/>
            <w:noWrap/>
            <w:vAlign w:val="bottom"/>
            <w:hideMark/>
          </w:tcPr>
          <w:p w14:paraId="3D71401A" w14:textId="77777777" w:rsidR="00793D70" w:rsidRPr="00793D70" w:rsidRDefault="00793D70" w:rsidP="00793D70">
            <w:pPr>
              <w:spacing w:after="0" w:line="240" w:lineRule="auto"/>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 </w:t>
            </w:r>
          </w:p>
        </w:tc>
        <w:tc>
          <w:tcPr>
            <w:tcW w:w="771" w:type="dxa"/>
            <w:tcBorders>
              <w:top w:val="nil"/>
              <w:left w:val="nil"/>
              <w:bottom w:val="single" w:sz="4" w:space="0" w:color="auto"/>
              <w:right w:val="nil"/>
            </w:tcBorders>
            <w:shd w:val="clear" w:color="auto" w:fill="auto"/>
            <w:noWrap/>
            <w:vAlign w:val="bottom"/>
            <w:hideMark/>
          </w:tcPr>
          <w:p w14:paraId="3CB4F4B8" w14:textId="77777777" w:rsidR="00793D70" w:rsidRPr="00793D70" w:rsidRDefault="00793D70" w:rsidP="00793D70">
            <w:pPr>
              <w:spacing w:after="0" w:line="240" w:lineRule="auto"/>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 </w:t>
            </w:r>
          </w:p>
        </w:tc>
      </w:tr>
      <w:tr w:rsidR="001719E7" w:rsidRPr="00793D70" w14:paraId="2392BA0C" w14:textId="77777777" w:rsidTr="001719E7">
        <w:trPr>
          <w:trHeight w:val="406"/>
        </w:trPr>
        <w:tc>
          <w:tcPr>
            <w:tcW w:w="2653" w:type="dxa"/>
            <w:gridSpan w:val="2"/>
            <w:tcBorders>
              <w:top w:val="single" w:sz="8" w:space="0" w:color="auto"/>
              <w:left w:val="nil"/>
              <w:bottom w:val="single" w:sz="4" w:space="0" w:color="auto"/>
              <w:right w:val="nil"/>
            </w:tcBorders>
            <w:shd w:val="clear" w:color="auto" w:fill="auto"/>
            <w:vAlign w:val="center"/>
            <w:hideMark/>
          </w:tcPr>
          <w:p w14:paraId="714A136F" w14:textId="357234BC" w:rsidR="001719E7" w:rsidRPr="00793D70" w:rsidRDefault="001719E7" w:rsidP="00793D70">
            <w:pPr>
              <w:spacing w:after="0" w:line="240" w:lineRule="auto"/>
              <w:rPr>
                <w:rFonts w:ascii="Calibri" w:eastAsia="Times New Roman" w:hAnsi="Calibri" w:cs="Calibri"/>
                <w:color w:val="000000"/>
                <w:sz w:val="20"/>
                <w:szCs w:val="20"/>
                <w:lang w:eastAsia="en-GB"/>
              </w:rPr>
            </w:pPr>
            <w:r>
              <w:rPr>
                <w:rFonts w:ascii="Calibri" w:eastAsia="Times New Roman" w:hAnsi="Calibri" w:cs="Calibri"/>
                <w:b/>
                <w:bCs/>
                <w:color w:val="000000"/>
                <w:sz w:val="20"/>
                <w:szCs w:val="20"/>
                <w:lang w:eastAsia="en-GB"/>
              </w:rPr>
              <w:t>Models w</w:t>
            </w:r>
            <w:r w:rsidRPr="00793D70">
              <w:rPr>
                <w:rFonts w:ascii="Calibri" w:eastAsia="Times New Roman" w:hAnsi="Calibri" w:cs="Calibri"/>
                <w:b/>
                <w:bCs/>
                <w:color w:val="000000"/>
                <w:sz w:val="20"/>
                <w:szCs w:val="20"/>
                <w:lang w:eastAsia="en-GB"/>
              </w:rPr>
              <w:t>ithout cell counts</w:t>
            </w:r>
          </w:p>
        </w:tc>
        <w:tc>
          <w:tcPr>
            <w:tcW w:w="1000" w:type="dxa"/>
            <w:tcBorders>
              <w:top w:val="single" w:sz="8" w:space="0" w:color="auto"/>
              <w:left w:val="nil"/>
              <w:bottom w:val="single" w:sz="8" w:space="0" w:color="auto"/>
              <w:right w:val="nil"/>
            </w:tcBorders>
            <w:shd w:val="clear" w:color="auto" w:fill="auto"/>
            <w:vAlign w:val="center"/>
          </w:tcPr>
          <w:p w14:paraId="41D87944" w14:textId="53F0CF02" w:rsidR="001719E7" w:rsidRPr="00793D70" w:rsidRDefault="001719E7" w:rsidP="00793D70">
            <w:pPr>
              <w:spacing w:after="0" w:line="240" w:lineRule="auto"/>
              <w:rPr>
                <w:rFonts w:ascii="Calibri" w:eastAsia="Times New Roman" w:hAnsi="Calibri" w:cs="Calibri"/>
                <w:color w:val="000000"/>
                <w:sz w:val="20"/>
                <w:szCs w:val="20"/>
                <w:lang w:eastAsia="en-GB"/>
              </w:rPr>
            </w:pPr>
          </w:p>
        </w:tc>
        <w:tc>
          <w:tcPr>
            <w:tcW w:w="970" w:type="dxa"/>
            <w:tcBorders>
              <w:top w:val="single" w:sz="8" w:space="0" w:color="auto"/>
              <w:left w:val="nil"/>
              <w:bottom w:val="single" w:sz="8" w:space="0" w:color="auto"/>
              <w:right w:val="nil"/>
            </w:tcBorders>
            <w:shd w:val="clear" w:color="auto" w:fill="auto"/>
            <w:vAlign w:val="center"/>
          </w:tcPr>
          <w:p w14:paraId="28B10DEE" w14:textId="58425A77" w:rsidR="001719E7" w:rsidRPr="00793D70" w:rsidRDefault="001719E7" w:rsidP="00793D70">
            <w:pPr>
              <w:spacing w:after="0" w:line="240" w:lineRule="auto"/>
              <w:rPr>
                <w:rFonts w:ascii="Calibri" w:eastAsia="Times New Roman" w:hAnsi="Calibri" w:cs="Calibri"/>
                <w:color w:val="000000"/>
                <w:sz w:val="20"/>
                <w:szCs w:val="20"/>
                <w:lang w:eastAsia="en-GB"/>
              </w:rPr>
            </w:pPr>
          </w:p>
        </w:tc>
        <w:tc>
          <w:tcPr>
            <w:tcW w:w="970" w:type="dxa"/>
            <w:tcBorders>
              <w:top w:val="single" w:sz="8" w:space="0" w:color="auto"/>
              <w:left w:val="nil"/>
              <w:bottom w:val="single" w:sz="8" w:space="0" w:color="auto"/>
              <w:right w:val="nil"/>
            </w:tcBorders>
            <w:shd w:val="clear" w:color="auto" w:fill="auto"/>
            <w:vAlign w:val="center"/>
          </w:tcPr>
          <w:p w14:paraId="2B703057" w14:textId="04955FCD" w:rsidR="001719E7" w:rsidRPr="00793D70" w:rsidRDefault="001719E7" w:rsidP="00793D70">
            <w:pPr>
              <w:spacing w:after="0" w:line="240" w:lineRule="auto"/>
              <w:rPr>
                <w:rFonts w:ascii="Calibri" w:eastAsia="Times New Roman" w:hAnsi="Calibri" w:cs="Calibri"/>
                <w:color w:val="000000"/>
                <w:sz w:val="20"/>
                <w:szCs w:val="20"/>
                <w:lang w:eastAsia="en-GB"/>
              </w:rPr>
            </w:pPr>
          </w:p>
        </w:tc>
        <w:tc>
          <w:tcPr>
            <w:tcW w:w="770" w:type="dxa"/>
            <w:tcBorders>
              <w:top w:val="single" w:sz="8" w:space="0" w:color="auto"/>
              <w:left w:val="nil"/>
              <w:bottom w:val="single" w:sz="8" w:space="0" w:color="auto"/>
              <w:right w:val="nil"/>
            </w:tcBorders>
            <w:shd w:val="clear" w:color="auto" w:fill="auto"/>
            <w:vAlign w:val="center"/>
          </w:tcPr>
          <w:p w14:paraId="09FB3B06" w14:textId="7188E368" w:rsidR="001719E7" w:rsidRPr="00793D70" w:rsidRDefault="001719E7" w:rsidP="00793D70">
            <w:pPr>
              <w:spacing w:after="0" w:line="240" w:lineRule="auto"/>
              <w:rPr>
                <w:rFonts w:ascii="Calibri" w:eastAsia="Times New Roman" w:hAnsi="Calibri" w:cs="Calibri"/>
                <w:color w:val="000000"/>
                <w:sz w:val="20"/>
                <w:szCs w:val="20"/>
                <w:lang w:eastAsia="en-GB"/>
              </w:rPr>
            </w:pPr>
          </w:p>
        </w:tc>
        <w:tc>
          <w:tcPr>
            <w:tcW w:w="472" w:type="dxa"/>
            <w:tcBorders>
              <w:top w:val="single" w:sz="8" w:space="0" w:color="auto"/>
              <w:left w:val="nil"/>
              <w:bottom w:val="single" w:sz="8" w:space="0" w:color="auto"/>
              <w:right w:val="nil"/>
            </w:tcBorders>
            <w:shd w:val="clear" w:color="auto" w:fill="auto"/>
            <w:vAlign w:val="center"/>
          </w:tcPr>
          <w:p w14:paraId="0613F840" w14:textId="2B8905DE" w:rsidR="001719E7" w:rsidRPr="00793D70" w:rsidRDefault="001719E7" w:rsidP="00793D70">
            <w:pPr>
              <w:spacing w:after="0" w:line="240" w:lineRule="auto"/>
              <w:rPr>
                <w:rFonts w:ascii="Calibri" w:eastAsia="Times New Roman" w:hAnsi="Calibri" w:cs="Calibri"/>
                <w:color w:val="000000"/>
                <w:sz w:val="20"/>
                <w:szCs w:val="20"/>
                <w:lang w:eastAsia="en-GB"/>
              </w:rPr>
            </w:pPr>
          </w:p>
        </w:tc>
        <w:tc>
          <w:tcPr>
            <w:tcW w:w="1006" w:type="dxa"/>
            <w:tcBorders>
              <w:top w:val="single" w:sz="8" w:space="0" w:color="auto"/>
              <w:left w:val="nil"/>
              <w:bottom w:val="single" w:sz="8" w:space="0" w:color="auto"/>
              <w:right w:val="nil"/>
            </w:tcBorders>
            <w:shd w:val="clear" w:color="auto" w:fill="auto"/>
            <w:vAlign w:val="center"/>
          </w:tcPr>
          <w:p w14:paraId="47276306" w14:textId="42B2DD81" w:rsidR="001719E7" w:rsidRPr="00793D70" w:rsidRDefault="001719E7" w:rsidP="00793D70">
            <w:pPr>
              <w:spacing w:after="0" w:line="240" w:lineRule="auto"/>
              <w:rPr>
                <w:rFonts w:ascii="Calibri" w:eastAsia="Times New Roman" w:hAnsi="Calibri" w:cs="Calibri"/>
                <w:color w:val="000000"/>
                <w:sz w:val="20"/>
                <w:szCs w:val="20"/>
                <w:lang w:eastAsia="en-GB"/>
              </w:rPr>
            </w:pPr>
          </w:p>
        </w:tc>
        <w:tc>
          <w:tcPr>
            <w:tcW w:w="970" w:type="dxa"/>
            <w:tcBorders>
              <w:top w:val="single" w:sz="8" w:space="0" w:color="auto"/>
              <w:left w:val="nil"/>
              <w:bottom w:val="single" w:sz="8" w:space="0" w:color="auto"/>
              <w:right w:val="nil"/>
            </w:tcBorders>
            <w:shd w:val="clear" w:color="auto" w:fill="auto"/>
            <w:vAlign w:val="center"/>
          </w:tcPr>
          <w:p w14:paraId="4D0ECAB9" w14:textId="62E87F1E" w:rsidR="001719E7" w:rsidRPr="00793D70" w:rsidRDefault="001719E7" w:rsidP="00793D70">
            <w:pPr>
              <w:spacing w:after="0" w:line="240" w:lineRule="auto"/>
              <w:rPr>
                <w:rFonts w:ascii="Calibri" w:eastAsia="Times New Roman" w:hAnsi="Calibri" w:cs="Calibri"/>
                <w:color w:val="000000"/>
                <w:sz w:val="20"/>
                <w:szCs w:val="20"/>
                <w:lang w:eastAsia="en-GB"/>
              </w:rPr>
            </w:pPr>
          </w:p>
        </w:tc>
        <w:tc>
          <w:tcPr>
            <w:tcW w:w="771" w:type="dxa"/>
            <w:tcBorders>
              <w:top w:val="single" w:sz="8" w:space="0" w:color="auto"/>
              <w:left w:val="nil"/>
              <w:bottom w:val="single" w:sz="8" w:space="0" w:color="auto"/>
              <w:right w:val="nil"/>
            </w:tcBorders>
            <w:shd w:val="clear" w:color="auto" w:fill="auto"/>
            <w:vAlign w:val="center"/>
          </w:tcPr>
          <w:p w14:paraId="4B840A7A" w14:textId="0C619943" w:rsidR="001719E7" w:rsidRPr="00793D70" w:rsidRDefault="001719E7" w:rsidP="00793D70">
            <w:pPr>
              <w:spacing w:after="0" w:line="240" w:lineRule="auto"/>
              <w:rPr>
                <w:rFonts w:ascii="Calibri" w:eastAsia="Times New Roman" w:hAnsi="Calibri" w:cs="Calibri"/>
                <w:color w:val="000000"/>
                <w:sz w:val="20"/>
                <w:szCs w:val="20"/>
                <w:lang w:eastAsia="en-GB"/>
              </w:rPr>
            </w:pPr>
          </w:p>
        </w:tc>
      </w:tr>
      <w:tr w:rsidR="001719E7" w:rsidRPr="00793D70" w14:paraId="26B094A4" w14:textId="77777777" w:rsidTr="001719E7">
        <w:trPr>
          <w:trHeight w:val="588"/>
        </w:trPr>
        <w:tc>
          <w:tcPr>
            <w:tcW w:w="1127" w:type="dxa"/>
            <w:tcBorders>
              <w:top w:val="nil"/>
              <w:left w:val="nil"/>
              <w:bottom w:val="nil"/>
              <w:right w:val="nil"/>
            </w:tcBorders>
            <w:shd w:val="clear" w:color="auto" w:fill="auto"/>
            <w:noWrap/>
            <w:vAlign w:val="bottom"/>
            <w:hideMark/>
          </w:tcPr>
          <w:p w14:paraId="40556631" w14:textId="77777777" w:rsidR="00793D70" w:rsidRPr="00793D70" w:rsidRDefault="00793D70" w:rsidP="00793D70">
            <w:pPr>
              <w:spacing w:after="0" w:line="240" w:lineRule="auto"/>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RWG</w:t>
            </w:r>
          </w:p>
        </w:tc>
        <w:tc>
          <w:tcPr>
            <w:tcW w:w="1526" w:type="dxa"/>
            <w:tcBorders>
              <w:top w:val="nil"/>
              <w:left w:val="nil"/>
              <w:bottom w:val="nil"/>
              <w:right w:val="nil"/>
            </w:tcBorders>
            <w:shd w:val="clear" w:color="auto" w:fill="auto"/>
            <w:noWrap/>
            <w:vAlign w:val="bottom"/>
            <w:hideMark/>
          </w:tcPr>
          <w:p w14:paraId="273E33CE" w14:textId="77777777" w:rsidR="00793D70" w:rsidRPr="00793D70" w:rsidRDefault="00793D70" w:rsidP="00793D70">
            <w:pPr>
              <w:spacing w:after="0" w:line="240" w:lineRule="auto"/>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cg11531579</w:t>
            </w:r>
          </w:p>
        </w:tc>
        <w:tc>
          <w:tcPr>
            <w:tcW w:w="1000" w:type="dxa"/>
            <w:tcBorders>
              <w:top w:val="nil"/>
              <w:left w:val="nil"/>
              <w:bottom w:val="nil"/>
              <w:right w:val="nil"/>
            </w:tcBorders>
            <w:shd w:val="clear" w:color="auto" w:fill="auto"/>
            <w:noWrap/>
            <w:vAlign w:val="bottom"/>
            <w:hideMark/>
          </w:tcPr>
          <w:p w14:paraId="18561CB0" w14:textId="77777777" w:rsidR="00793D70" w:rsidRPr="00793D70" w:rsidRDefault="00793D70" w:rsidP="00793D70">
            <w:pPr>
              <w:spacing w:after="0" w:line="240" w:lineRule="auto"/>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CHFR</w:t>
            </w:r>
          </w:p>
        </w:tc>
        <w:tc>
          <w:tcPr>
            <w:tcW w:w="970" w:type="dxa"/>
            <w:tcBorders>
              <w:top w:val="nil"/>
              <w:left w:val="nil"/>
              <w:bottom w:val="nil"/>
              <w:right w:val="nil"/>
            </w:tcBorders>
            <w:shd w:val="clear" w:color="auto" w:fill="auto"/>
            <w:vAlign w:val="bottom"/>
            <w:hideMark/>
          </w:tcPr>
          <w:p w14:paraId="3A973DEA" w14:textId="77777777" w:rsidR="00793D70" w:rsidRPr="00793D70" w:rsidRDefault="00793D70" w:rsidP="001719E7">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0.0005</w:t>
            </w:r>
          </w:p>
        </w:tc>
        <w:tc>
          <w:tcPr>
            <w:tcW w:w="970" w:type="dxa"/>
            <w:tcBorders>
              <w:top w:val="nil"/>
              <w:left w:val="nil"/>
              <w:bottom w:val="nil"/>
              <w:right w:val="nil"/>
            </w:tcBorders>
            <w:shd w:val="clear" w:color="auto" w:fill="auto"/>
            <w:vAlign w:val="bottom"/>
            <w:hideMark/>
          </w:tcPr>
          <w:p w14:paraId="572F19C4" w14:textId="77777777" w:rsidR="00793D70" w:rsidRPr="00793D70" w:rsidRDefault="00793D70" w:rsidP="001719E7">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0.0020</w:t>
            </w:r>
          </w:p>
        </w:tc>
        <w:tc>
          <w:tcPr>
            <w:tcW w:w="770" w:type="dxa"/>
            <w:tcBorders>
              <w:top w:val="nil"/>
              <w:left w:val="nil"/>
              <w:bottom w:val="nil"/>
              <w:right w:val="nil"/>
            </w:tcBorders>
            <w:shd w:val="clear" w:color="auto" w:fill="auto"/>
            <w:vAlign w:val="bottom"/>
            <w:hideMark/>
          </w:tcPr>
          <w:p w14:paraId="44FC534A" w14:textId="77777777" w:rsidR="00793D70" w:rsidRPr="00793D70" w:rsidRDefault="00793D70" w:rsidP="001719E7">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0.82</w:t>
            </w:r>
          </w:p>
        </w:tc>
        <w:tc>
          <w:tcPr>
            <w:tcW w:w="472" w:type="dxa"/>
            <w:tcBorders>
              <w:top w:val="nil"/>
              <w:left w:val="nil"/>
              <w:bottom w:val="nil"/>
              <w:right w:val="nil"/>
            </w:tcBorders>
            <w:shd w:val="clear" w:color="auto" w:fill="auto"/>
            <w:noWrap/>
            <w:vAlign w:val="bottom"/>
            <w:hideMark/>
          </w:tcPr>
          <w:p w14:paraId="1F14049E" w14:textId="77777777" w:rsidR="00793D70" w:rsidRPr="00793D70" w:rsidRDefault="00793D70" w:rsidP="001719E7">
            <w:pPr>
              <w:spacing w:after="0" w:line="240" w:lineRule="auto"/>
              <w:jc w:val="center"/>
              <w:rPr>
                <w:rFonts w:ascii="Calibri" w:eastAsia="Times New Roman" w:hAnsi="Calibri" w:cs="Calibri"/>
                <w:color w:val="000000"/>
                <w:szCs w:val="22"/>
                <w:lang w:eastAsia="en-GB"/>
              </w:rPr>
            </w:pPr>
          </w:p>
        </w:tc>
        <w:tc>
          <w:tcPr>
            <w:tcW w:w="1006" w:type="dxa"/>
            <w:tcBorders>
              <w:top w:val="nil"/>
              <w:left w:val="nil"/>
              <w:bottom w:val="nil"/>
              <w:right w:val="nil"/>
            </w:tcBorders>
            <w:shd w:val="clear" w:color="auto" w:fill="auto"/>
            <w:vAlign w:val="bottom"/>
            <w:hideMark/>
          </w:tcPr>
          <w:p w14:paraId="5E01E6DB" w14:textId="77777777" w:rsidR="00793D70" w:rsidRPr="00793D70" w:rsidRDefault="00793D70" w:rsidP="001719E7">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-0.0002</w:t>
            </w:r>
          </w:p>
        </w:tc>
        <w:tc>
          <w:tcPr>
            <w:tcW w:w="970" w:type="dxa"/>
            <w:tcBorders>
              <w:top w:val="nil"/>
              <w:left w:val="nil"/>
              <w:bottom w:val="nil"/>
              <w:right w:val="nil"/>
            </w:tcBorders>
            <w:shd w:val="clear" w:color="auto" w:fill="auto"/>
            <w:vAlign w:val="bottom"/>
            <w:hideMark/>
          </w:tcPr>
          <w:p w14:paraId="0A024803" w14:textId="77777777" w:rsidR="00793D70" w:rsidRPr="00793D70" w:rsidRDefault="00793D70" w:rsidP="001719E7">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0.0020</w:t>
            </w:r>
          </w:p>
        </w:tc>
        <w:tc>
          <w:tcPr>
            <w:tcW w:w="771" w:type="dxa"/>
            <w:tcBorders>
              <w:top w:val="nil"/>
              <w:left w:val="nil"/>
              <w:bottom w:val="nil"/>
              <w:right w:val="nil"/>
            </w:tcBorders>
            <w:shd w:val="clear" w:color="auto" w:fill="auto"/>
            <w:vAlign w:val="bottom"/>
            <w:hideMark/>
          </w:tcPr>
          <w:p w14:paraId="14915683" w14:textId="77777777" w:rsidR="00793D70" w:rsidRPr="00793D70" w:rsidRDefault="00793D70" w:rsidP="001719E7">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0.92</w:t>
            </w:r>
          </w:p>
        </w:tc>
      </w:tr>
      <w:tr w:rsidR="001719E7" w:rsidRPr="00793D70" w14:paraId="404DCD6F" w14:textId="77777777" w:rsidTr="001719E7">
        <w:trPr>
          <w:trHeight w:val="288"/>
        </w:trPr>
        <w:tc>
          <w:tcPr>
            <w:tcW w:w="1127" w:type="dxa"/>
            <w:tcBorders>
              <w:top w:val="nil"/>
              <w:left w:val="nil"/>
              <w:bottom w:val="nil"/>
              <w:right w:val="nil"/>
            </w:tcBorders>
            <w:shd w:val="clear" w:color="auto" w:fill="auto"/>
            <w:noWrap/>
            <w:vAlign w:val="bottom"/>
            <w:hideMark/>
          </w:tcPr>
          <w:p w14:paraId="5F432221" w14:textId="77777777" w:rsidR="00793D70" w:rsidRPr="00793D70" w:rsidRDefault="00793D70" w:rsidP="00793D70">
            <w:pPr>
              <w:spacing w:after="0" w:line="240" w:lineRule="auto"/>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RWG</w:t>
            </w:r>
          </w:p>
        </w:tc>
        <w:tc>
          <w:tcPr>
            <w:tcW w:w="1526" w:type="dxa"/>
            <w:tcBorders>
              <w:top w:val="nil"/>
              <w:left w:val="nil"/>
              <w:bottom w:val="nil"/>
              <w:right w:val="nil"/>
            </w:tcBorders>
            <w:shd w:val="clear" w:color="auto" w:fill="auto"/>
            <w:noWrap/>
            <w:vAlign w:val="bottom"/>
            <w:hideMark/>
          </w:tcPr>
          <w:p w14:paraId="2D8141ED" w14:textId="77777777" w:rsidR="00793D70" w:rsidRPr="00793D70" w:rsidRDefault="00793D70" w:rsidP="00793D70">
            <w:pPr>
              <w:spacing w:after="0" w:line="240" w:lineRule="auto"/>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cg01379158</w:t>
            </w:r>
          </w:p>
        </w:tc>
        <w:tc>
          <w:tcPr>
            <w:tcW w:w="1000" w:type="dxa"/>
            <w:tcBorders>
              <w:top w:val="nil"/>
              <w:left w:val="nil"/>
              <w:bottom w:val="nil"/>
              <w:right w:val="nil"/>
            </w:tcBorders>
            <w:shd w:val="clear" w:color="auto" w:fill="auto"/>
            <w:noWrap/>
            <w:vAlign w:val="bottom"/>
            <w:hideMark/>
          </w:tcPr>
          <w:p w14:paraId="52CAF730" w14:textId="77777777" w:rsidR="00793D70" w:rsidRPr="00793D70" w:rsidRDefault="00793D70" w:rsidP="00793D70">
            <w:pPr>
              <w:spacing w:after="0" w:line="240" w:lineRule="auto"/>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NT5M</w:t>
            </w:r>
          </w:p>
        </w:tc>
        <w:tc>
          <w:tcPr>
            <w:tcW w:w="970" w:type="dxa"/>
            <w:tcBorders>
              <w:top w:val="nil"/>
              <w:left w:val="nil"/>
              <w:bottom w:val="nil"/>
              <w:right w:val="nil"/>
            </w:tcBorders>
            <w:shd w:val="clear" w:color="auto" w:fill="auto"/>
            <w:vAlign w:val="bottom"/>
            <w:hideMark/>
          </w:tcPr>
          <w:p w14:paraId="4F79E153" w14:textId="77777777" w:rsidR="00793D70" w:rsidRPr="00793D70" w:rsidRDefault="00793D70" w:rsidP="001719E7">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0.0019</w:t>
            </w:r>
          </w:p>
        </w:tc>
        <w:tc>
          <w:tcPr>
            <w:tcW w:w="970" w:type="dxa"/>
            <w:tcBorders>
              <w:top w:val="nil"/>
              <w:left w:val="nil"/>
              <w:bottom w:val="nil"/>
              <w:right w:val="nil"/>
            </w:tcBorders>
            <w:shd w:val="clear" w:color="auto" w:fill="auto"/>
            <w:vAlign w:val="bottom"/>
            <w:hideMark/>
          </w:tcPr>
          <w:p w14:paraId="11C614C8" w14:textId="77777777" w:rsidR="00793D70" w:rsidRPr="00793D70" w:rsidRDefault="00793D70" w:rsidP="001719E7">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0.0023</w:t>
            </w:r>
          </w:p>
        </w:tc>
        <w:tc>
          <w:tcPr>
            <w:tcW w:w="770" w:type="dxa"/>
            <w:tcBorders>
              <w:top w:val="nil"/>
              <w:left w:val="nil"/>
              <w:bottom w:val="nil"/>
              <w:right w:val="nil"/>
            </w:tcBorders>
            <w:shd w:val="clear" w:color="auto" w:fill="auto"/>
            <w:vAlign w:val="bottom"/>
            <w:hideMark/>
          </w:tcPr>
          <w:p w14:paraId="7717F825" w14:textId="77777777" w:rsidR="00793D70" w:rsidRPr="00793D70" w:rsidRDefault="00793D70" w:rsidP="001719E7">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0.40</w:t>
            </w:r>
          </w:p>
        </w:tc>
        <w:tc>
          <w:tcPr>
            <w:tcW w:w="472" w:type="dxa"/>
            <w:tcBorders>
              <w:top w:val="nil"/>
              <w:left w:val="nil"/>
              <w:bottom w:val="nil"/>
              <w:right w:val="nil"/>
            </w:tcBorders>
            <w:shd w:val="clear" w:color="auto" w:fill="auto"/>
            <w:noWrap/>
            <w:vAlign w:val="bottom"/>
            <w:hideMark/>
          </w:tcPr>
          <w:p w14:paraId="6D97AC2F" w14:textId="77777777" w:rsidR="00793D70" w:rsidRPr="00793D70" w:rsidRDefault="00793D70" w:rsidP="001719E7">
            <w:pPr>
              <w:spacing w:after="0" w:line="240" w:lineRule="auto"/>
              <w:jc w:val="center"/>
              <w:rPr>
                <w:rFonts w:ascii="Calibri" w:eastAsia="Times New Roman" w:hAnsi="Calibri" w:cs="Calibri"/>
                <w:color w:val="000000"/>
                <w:szCs w:val="22"/>
                <w:lang w:eastAsia="en-GB"/>
              </w:rPr>
            </w:pPr>
          </w:p>
        </w:tc>
        <w:tc>
          <w:tcPr>
            <w:tcW w:w="1006" w:type="dxa"/>
            <w:tcBorders>
              <w:top w:val="nil"/>
              <w:left w:val="nil"/>
              <w:bottom w:val="nil"/>
              <w:right w:val="nil"/>
            </w:tcBorders>
            <w:shd w:val="clear" w:color="auto" w:fill="auto"/>
            <w:vAlign w:val="bottom"/>
            <w:hideMark/>
          </w:tcPr>
          <w:p w14:paraId="6EB573F1" w14:textId="77777777" w:rsidR="00793D70" w:rsidRPr="00793D70" w:rsidRDefault="00793D70" w:rsidP="001719E7">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0.0020</w:t>
            </w:r>
          </w:p>
        </w:tc>
        <w:tc>
          <w:tcPr>
            <w:tcW w:w="970" w:type="dxa"/>
            <w:tcBorders>
              <w:top w:val="nil"/>
              <w:left w:val="nil"/>
              <w:bottom w:val="nil"/>
              <w:right w:val="nil"/>
            </w:tcBorders>
            <w:shd w:val="clear" w:color="auto" w:fill="auto"/>
            <w:vAlign w:val="bottom"/>
            <w:hideMark/>
          </w:tcPr>
          <w:p w14:paraId="422DE1E8" w14:textId="77777777" w:rsidR="00793D70" w:rsidRPr="00793D70" w:rsidRDefault="00793D70" w:rsidP="001719E7">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0.0023</w:t>
            </w:r>
          </w:p>
        </w:tc>
        <w:tc>
          <w:tcPr>
            <w:tcW w:w="771" w:type="dxa"/>
            <w:tcBorders>
              <w:top w:val="nil"/>
              <w:left w:val="nil"/>
              <w:bottom w:val="nil"/>
              <w:right w:val="nil"/>
            </w:tcBorders>
            <w:shd w:val="clear" w:color="auto" w:fill="auto"/>
            <w:vAlign w:val="bottom"/>
            <w:hideMark/>
          </w:tcPr>
          <w:p w14:paraId="754056C6" w14:textId="77777777" w:rsidR="00793D70" w:rsidRPr="00793D70" w:rsidRDefault="00793D70" w:rsidP="001719E7">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0.40</w:t>
            </w:r>
          </w:p>
        </w:tc>
      </w:tr>
      <w:tr w:rsidR="001719E7" w:rsidRPr="00793D70" w14:paraId="1CA3A7E7" w14:textId="77777777" w:rsidTr="001719E7">
        <w:trPr>
          <w:trHeight w:val="288"/>
        </w:trPr>
        <w:tc>
          <w:tcPr>
            <w:tcW w:w="1127" w:type="dxa"/>
            <w:tcBorders>
              <w:top w:val="nil"/>
              <w:left w:val="nil"/>
              <w:bottom w:val="nil"/>
              <w:right w:val="nil"/>
            </w:tcBorders>
            <w:shd w:val="clear" w:color="auto" w:fill="auto"/>
            <w:noWrap/>
            <w:vAlign w:val="bottom"/>
            <w:hideMark/>
          </w:tcPr>
          <w:p w14:paraId="03CEFD8F" w14:textId="77777777" w:rsidR="00793D70" w:rsidRPr="00793D70" w:rsidRDefault="00793D70" w:rsidP="00793D70">
            <w:pPr>
              <w:spacing w:after="0" w:line="240" w:lineRule="auto"/>
              <w:jc w:val="center"/>
              <w:rPr>
                <w:rFonts w:ascii="Calibri" w:eastAsia="Times New Roman" w:hAnsi="Calibri" w:cs="Calibri"/>
                <w:color w:val="000000"/>
                <w:szCs w:val="22"/>
                <w:lang w:eastAsia="en-GB"/>
              </w:rPr>
            </w:pPr>
          </w:p>
        </w:tc>
        <w:tc>
          <w:tcPr>
            <w:tcW w:w="1526" w:type="dxa"/>
            <w:tcBorders>
              <w:top w:val="nil"/>
              <w:left w:val="nil"/>
              <w:bottom w:val="nil"/>
              <w:right w:val="nil"/>
            </w:tcBorders>
            <w:shd w:val="clear" w:color="auto" w:fill="auto"/>
            <w:noWrap/>
            <w:vAlign w:val="bottom"/>
            <w:hideMark/>
          </w:tcPr>
          <w:p w14:paraId="36E20F72" w14:textId="77777777" w:rsidR="00793D70" w:rsidRPr="00793D70" w:rsidRDefault="00793D70" w:rsidP="00793D70">
            <w:pPr>
              <w:spacing w:after="0" w:line="240" w:lineRule="auto"/>
              <w:rPr>
                <w:rFonts w:ascii="Times New Roman" w:eastAsia="Times New Roman" w:hAnsi="Times New Roman" w:cs="Times New Roman"/>
                <w:sz w:val="20"/>
                <w:szCs w:val="20"/>
                <w:lang w:eastAsia="en-GB"/>
              </w:rPr>
            </w:pPr>
          </w:p>
        </w:tc>
        <w:tc>
          <w:tcPr>
            <w:tcW w:w="1000" w:type="dxa"/>
            <w:tcBorders>
              <w:top w:val="nil"/>
              <w:left w:val="nil"/>
              <w:bottom w:val="nil"/>
              <w:right w:val="nil"/>
            </w:tcBorders>
            <w:shd w:val="clear" w:color="auto" w:fill="auto"/>
            <w:noWrap/>
            <w:vAlign w:val="bottom"/>
            <w:hideMark/>
          </w:tcPr>
          <w:p w14:paraId="1977609B" w14:textId="77777777" w:rsidR="00793D70" w:rsidRPr="00793D70" w:rsidRDefault="00793D70" w:rsidP="00793D70">
            <w:pPr>
              <w:spacing w:after="0" w:line="240" w:lineRule="auto"/>
              <w:rPr>
                <w:rFonts w:ascii="Times New Roman" w:eastAsia="Times New Roman" w:hAnsi="Times New Roman" w:cs="Times New Roman"/>
                <w:sz w:val="20"/>
                <w:szCs w:val="20"/>
                <w:lang w:eastAsia="en-GB"/>
              </w:rPr>
            </w:pPr>
          </w:p>
        </w:tc>
        <w:tc>
          <w:tcPr>
            <w:tcW w:w="970" w:type="dxa"/>
            <w:tcBorders>
              <w:top w:val="nil"/>
              <w:left w:val="nil"/>
              <w:bottom w:val="nil"/>
              <w:right w:val="nil"/>
            </w:tcBorders>
            <w:shd w:val="clear" w:color="auto" w:fill="auto"/>
            <w:noWrap/>
            <w:vAlign w:val="bottom"/>
            <w:hideMark/>
          </w:tcPr>
          <w:p w14:paraId="13C1EC22" w14:textId="77777777" w:rsidR="00793D70" w:rsidRPr="00793D70" w:rsidRDefault="00793D70" w:rsidP="001719E7">
            <w:pPr>
              <w:spacing w:after="0" w:line="240" w:lineRule="auto"/>
              <w:jc w:val="center"/>
              <w:rPr>
                <w:rFonts w:ascii="Times New Roman" w:eastAsia="Times New Roman" w:hAnsi="Times New Roman" w:cs="Times New Roman"/>
                <w:sz w:val="20"/>
                <w:szCs w:val="20"/>
                <w:lang w:eastAsia="en-GB"/>
              </w:rPr>
            </w:pPr>
          </w:p>
        </w:tc>
        <w:tc>
          <w:tcPr>
            <w:tcW w:w="970" w:type="dxa"/>
            <w:tcBorders>
              <w:top w:val="nil"/>
              <w:left w:val="nil"/>
              <w:bottom w:val="nil"/>
              <w:right w:val="nil"/>
            </w:tcBorders>
            <w:shd w:val="clear" w:color="auto" w:fill="auto"/>
            <w:noWrap/>
            <w:vAlign w:val="bottom"/>
            <w:hideMark/>
          </w:tcPr>
          <w:p w14:paraId="118C9551" w14:textId="77777777" w:rsidR="00793D70" w:rsidRPr="00793D70" w:rsidRDefault="00793D70" w:rsidP="001719E7">
            <w:pPr>
              <w:spacing w:after="0" w:line="240" w:lineRule="auto"/>
              <w:jc w:val="center"/>
              <w:rPr>
                <w:rFonts w:ascii="Times New Roman" w:eastAsia="Times New Roman" w:hAnsi="Times New Roman" w:cs="Times New Roman"/>
                <w:sz w:val="20"/>
                <w:szCs w:val="20"/>
                <w:lang w:eastAsia="en-GB"/>
              </w:rPr>
            </w:pPr>
          </w:p>
        </w:tc>
        <w:tc>
          <w:tcPr>
            <w:tcW w:w="770" w:type="dxa"/>
            <w:tcBorders>
              <w:top w:val="nil"/>
              <w:left w:val="nil"/>
              <w:bottom w:val="nil"/>
              <w:right w:val="nil"/>
            </w:tcBorders>
            <w:shd w:val="clear" w:color="auto" w:fill="auto"/>
            <w:noWrap/>
            <w:vAlign w:val="bottom"/>
            <w:hideMark/>
          </w:tcPr>
          <w:p w14:paraId="59490A68" w14:textId="77777777" w:rsidR="00793D70" w:rsidRPr="00793D70" w:rsidRDefault="00793D70" w:rsidP="001719E7">
            <w:pPr>
              <w:spacing w:after="0" w:line="240" w:lineRule="auto"/>
              <w:jc w:val="center"/>
              <w:rPr>
                <w:rFonts w:ascii="Times New Roman" w:eastAsia="Times New Roman" w:hAnsi="Times New Roman" w:cs="Times New Roman"/>
                <w:sz w:val="20"/>
                <w:szCs w:val="20"/>
                <w:lang w:eastAsia="en-GB"/>
              </w:rPr>
            </w:pPr>
          </w:p>
        </w:tc>
        <w:tc>
          <w:tcPr>
            <w:tcW w:w="472" w:type="dxa"/>
            <w:tcBorders>
              <w:top w:val="nil"/>
              <w:left w:val="nil"/>
              <w:bottom w:val="nil"/>
              <w:right w:val="nil"/>
            </w:tcBorders>
            <w:shd w:val="clear" w:color="auto" w:fill="auto"/>
            <w:noWrap/>
            <w:vAlign w:val="bottom"/>
            <w:hideMark/>
          </w:tcPr>
          <w:p w14:paraId="62212AA5" w14:textId="77777777" w:rsidR="00793D70" w:rsidRPr="00793D70" w:rsidRDefault="00793D70" w:rsidP="001719E7">
            <w:pPr>
              <w:spacing w:after="0" w:line="240" w:lineRule="auto"/>
              <w:jc w:val="center"/>
              <w:rPr>
                <w:rFonts w:ascii="Times New Roman" w:eastAsia="Times New Roman" w:hAnsi="Times New Roman" w:cs="Times New Roman"/>
                <w:sz w:val="20"/>
                <w:szCs w:val="20"/>
                <w:lang w:eastAsia="en-GB"/>
              </w:rPr>
            </w:pPr>
          </w:p>
        </w:tc>
        <w:tc>
          <w:tcPr>
            <w:tcW w:w="1006" w:type="dxa"/>
            <w:tcBorders>
              <w:top w:val="nil"/>
              <w:left w:val="nil"/>
              <w:bottom w:val="nil"/>
              <w:right w:val="nil"/>
            </w:tcBorders>
            <w:shd w:val="clear" w:color="auto" w:fill="auto"/>
            <w:noWrap/>
            <w:vAlign w:val="bottom"/>
            <w:hideMark/>
          </w:tcPr>
          <w:p w14:paraId="2D6DE73D" w14:textId="77777777" w:rsidR="00793D70" w:rsidRPr="00793D70" w:rsidRDefault="00793D70" w:rsidP="001719E7">
            <w:pPr>
              <w:spacing w:after="0" w:line="240" w:lineRule="auto"/>
              <w:jc w:val="center"/>
              <w:rPr>
                <w:rFonts w:ascii="Times New Roman" w:eastAsia="Times New Roman" w:hAnsi="Times New Roman" w:cs="Times New Roman"/>
                <w:sz w:val="20"/>
                <w:szCs w:val="20"/>
                <w:lang w:eastAsia="en-GB"/>
              </w:rPr>
            </w:pPr>
          </w:p>
        </w:tc>
        <w:tc>
          <w:tcPr>
            <w:tcW w:w="970" w:type="dxa"/>
            <w:tcBorders>
              <w:top w:val="nil"/>
              <w:left w:val="nil"/>
              <w:bottom w:val="nil"/>
              <w:right w:val="nil"/>
            </w:tcBorders>
            <w:shd w:val="clear" w:color="auto" w:fill="auto"/>
            <w:noWrap/>
            <w:vAlign w:val="bottom"/>
            <w:hideMark/>
          </w:tcPr>
          <w:p w14:paraId="6C4CED31" w14:textId="77777777" w:rsidR="00793D70" w:rsidRPr="00793D70" w:rsidRDefault="00793D70" w:rsidP="001719E7">
            <w:pPr>
              <w:spacing w:after="0" w:line="240" w:lineRule="auto"/>
              <w:jc w:val="center"/>
              <w:rPr>
                <w:rFonts w:ascii="Times New Roman" w:eastAsia="Times New Roman" w:hAnsi="Times New Roman" w:cs="Times New Roman"/>
                <w:sz w:val="20"/>
                <w:szCs w:val="20"/>
                <w:lang w:eastAsia="en-GB"/>
              </w:rPr>
            </w:pPr>
          </w:p>
        </w:tc>
        <w:tc>
          <w:tcPr>
            <w:tcW w:w="771" w:type="dxa"/>
            <w:tcBorders>
              <w:top w:val="nil"/>
              <w:left w:val="nil"/>
              <w:bottom w:val="nil"/>
              <w:right w:val="nil"/>
            </w:tcBorders>
            <w:shd w:val="clear" w:color="auto" w:fill="auto"/>
            <w:noWrap/>
            <w:vAlign w:val="bottom"/>
            <w:hideMark/>
          </w:tcPr>
          <w:p w14:paraId="5E346F6E" w14:textId="77777777" w:rsidR="00793D70" w:rsidRPr="00793D70" w:rsidRDefault="00793D70" w:rsidP="001719E7">
            <w:pPr>
              <w:spacing w:after="0" w:line="240" w:lineRule="auto"/>
              <w:jc w:val="center"/>
              <w:rPr>
                <w:rFonts w:ascii="Times New Roman" w:eastAsia="Times New Roman" w:hAnsi="Times New Roman" w:cs="Times New Roman"/>
                <w:sz w:val="20"/>
                <w:szCs w:val="20"/>
                <w:lang w:eastAsia="en-GB"/>
              </w:rPr>
            </w:pPr>
          </w:p>
        </w:tc>
      </w:tr>
      <w:tr w:rsidR="001719E7" w:rsidRPr="00793D70" w14:paraId="46E4A78B" w14:textId="77777777" w:rsidTr="001719E7">
        <w:trPr>
          <w:trHeight w:val="288"/>
        </w:trPr>
        <w:tc>
          <w:tcPr>
            <w:tcW w:w="1127" w:type="dxa"/>
            <w:tcBorders>
              <w:top w:val="nil"/>
              <w:left w:val="nil"/>
              <w:bottom w:val="nil"/>
              <w:right w:val="nil"/>
            </w:tcBorders>
            <w:shd w:val="clear" w:color="auto" w:fill="auto"/>
            <w:noWrap/>
            <w:vAlign w:val="bottom"/>
            <w:hideMark/>
          </w:tcPr>
          <w:p w14:paraId="4D6D13B2" w14:textId="77777777" w:rsidR="00793D70" w:rsidRPr="00793D70" w:rsidRDefault="00793D70" w:rsidP="00793D70">
            <w:pPr>
              <w:spacing w:after="0" w:line="240" w:lineRule="auto"/>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RT</w:t>
            </w:r>
          </w:p>
        </w:tc>
        <w:tc>
          <w:tcPr>
            <w:tcW w:w="1526" w:type="dxa"/>
            <w:tcBorders>
              <w:top w:val="nil"/>
              <w:left w:val="nil"/>
              <w:bottom w:val="nil"/>
              <w:right w:val="nil"/>
            </w:tcBorders>
            <w:shd w:val="clear" w:color="auto" w:fill="auto"/>
            <w:noWrap/>
            <w:vAlign w:val="bottom"/>
            <w:hideMark/>
          </w:tcPr>
          <w:p w14:paraId="6C997824" w14:textId="77777777" w:rsidR="00793D70" w:rsidRPr="00793D70" w:rsidRDefault="00793D70" w:rsidP="00793D70">
            <w:pPr>
              <w:spacing w:after="0" w:line="240" w:lineRule="auto"/>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cg11531579</w:t>
            </w:r>
          </w:p>
        </w:tc>
        <w:tc>
          <w:tcPr>
            <w:tcW w:w="1000" w:type="dxa"/>
            <w:tcBorders>
              <w:top w:val="nil"/>
              <w:left w:val="nil"/>
              <w:bottom w:val="nil"/>
              <w:right w:val="nil"/>
            </w:tcBorders>
            <w:shd w:val="clear" w:color="auto" w:fill="auto"/>
            <w:noWrap/>
            <w:vAlign w:val="bottom"/>
            <w:hideMark/>
          </w:tcPr>
          <w:p w14:paraId="56A2ED2B" w14:textId="77777777" w:rsidR="00793D70" w:rsidRPr="00793D70" w:rsidRDefault="00793D70" w:rsidP="00793D70">
            <w:pPr>
              <w:spacing w:after="0" w:line="240" w:lineRule="auto"/>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CHFR</w:t>
            </w:r>
          </w:p>
        </w:tc>
        <w:tc>
          <w:tcPr>
            <w:tcW w:w="970" w:type="dxa"/>
            <w:tcBorders>
              <w:top w:val="nil"/>
              <w:left w:val="nil"/>
              <w:bottom w:val="nil"/>
              <w:right w:val="nil"/>
            </w:tcBorders>
            <w:shd w:val="clear" w:color="auto" w:fill="auto"/>
            <w:vAlign w:val="bottom"/>
            <w:hideMark/>
          </w:tcPr>
          <w:p w14:paraId="437180A2" w14:textId="77777777" w:rsidR="00793D70" w:rsidRPr="00793D70" w:rsidRDefault="00793D70" w:rsidP="001719E7">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-0.0013</w:t>
            </w:r>
          </w:p>
        </w:tc>
        <w:tc>
          <w:tcPr>
            <w:tcW w:w="970" w:type="dxa"/>
            <w:tcBorders>
              <w:top w:val="nil"/>
              <w:left w:val="nil"/>
              <w:bottom w:val="nil"/>
              <w:right w:val="nil"/>
            </w:tcBorders>
            <w:shd w:val="clear" w:color="auto" w:fill="auto"/>
            <w:vAlign w:val="bottom"/>
            <w:hideMark/>
          </w:tcPr>
          <w:p w14:paraId="7460A3E9" w14:textId="77777777" w:rsidR="00793D70" w:rsidRPr="00793D70" w:rsidRDefault="00793D70" w:rsidP="001719E7">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0.0020</w:t>
            </w:r>
          </w:p>
        </w:tc>
        <w:tc>
          <w:tcPr>
            <w:tcW w:w="770" w:type="dxa"/>
            <w:tcBorders>
              <w:top w:val="nil"/>
              <w:left w:val="nil"/>
              <w:bottom w:val="nil"/>
              <w:right w:val="nil"/>
            </w:tcBorders>
            <w:shd w:val="clear" w:color="auto" w:fill="auto"/>
            <w:vAlign w:val="bottom"/>
            <w:hideMark/>
          </w:tcPr>
          <w:p w14:paraId="3A7D126A" w14:textId="77777777" w:rsidR="00793D70" w:rsidRPr="00793D70" w:rsidRDefault="00793D70" w:rsidP="001719E7">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0.52</w:t>
            </w:r>
          </w:p>
        </w:tc>
        <w:tc>
          <w:tcPr>
            <w:tcW w:w="472" w:type="dxa"/>
            <w:tcBorders>
              <w:top w:val="nil"/>
              <w:left w:val="nil"/>
              <w:bottom w:val="nil"/>
              <w:right w:val="nil"/>
            </w:tcBorders>
            <w:shd w:val="clear" w:color="auto" w:fill="auto"/>
            <w:noWrap/>
            <w:vAlign w:val="bottom"/>
            <w:hideMark/>
          </w:tcPr>
          <w:p w14:paraId="6B382E38" w14:textId="77777777" w:rsidR="00793D70" w:rsidRPr="00793D70" w:rsidRDefault="00793D70" w:rsidP="001719E7">
            <w:pPr>
              <w:spacing w:after="0" w:line="240" w:lineRule="auto"/>
              <w:jc w:val="center"/>
              <w:rPr>
                <w:rFonts w:ascii="Calibri" w:eastAsia="Times New Roman" w:hAnsi="Calibri" w:cs="Calibri"/>
                <w:color w:val="000000"/>
                <w:szCs w:val="22"/>
                <w:lang w:eastAsia="en-GB"/>
              </w:rPr>
            </w:pPr>
          </w:p>
        </w:tc>
        <w:tc>
          <w:tcPr>
            <w:tcW w:w="1006" w:type="dxa"/>
            <w:tcBorders>
              <w:top w:val="nil"/>
              <w:left w:val="nil"/>
              <w:bottom w:val="nil"/>
              <w:right w:val="nil"/>
            </w:tcBorders>
            <w:shd w:val="clear" w:color="auto" w:fill="auto"/>
            <w:vAlign w:val="bottom"/>
            <w:hideMark/>
          </w:tcPr>
          <w:p w14:paraId="6551FFA5" w14:textId="77777777" w:rsidR="00793D70" w:rsidRPr="00793D70" w:rsidRDefault="00793D70" w:rsidP="001719E7">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-0.0020</w:t>
            </w:r>
          </w:p>
        </w:tc>
        <w:tc>
          <w:tcPr>
            <w:tcW w:w="970" w:type="dxa"/>
            <w:tcBorders>
              <w:top w:val="nil"/>
              <w:left w:val="nil"/>
              <w:bottom w:val="nil"/>
              <w:right w:val="nil"/>
            </w:tcBorders>
            <w:shd w:val="clear" w:color="auto" w:fill="auto"/>
            <w:vAlign w:val="bottom"/>
            <w:hideMark/>
          </w:tcPr>
          <w:p w14:paraId="15C94CF6" w14:textId="77777777" w:rsidR="00793D70" w:rsidRPr="00793D70" w:rsidRDefault="00793D70" w:rsidP="001719E7">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0.0022</w:t>
            </w:r>
          </w:p>
        </w:tc>
        <w:tc>
          <w:tcPr>
            <w:tcW w:w="771" w:type="dxa"/>
            <w:tcBorders>
              <w:top w:val="nil"/>
              <w:left w:val="nil"/>
              <w:bottom w:val="nil"/>
              <w:right w:val="nil"/>
            </w:tcBorders>
            <w:shd w:val="clear" w:color="auto" w:fill="auto"/>
            <w:vAlign w:val="bottom"/>
            <w:hideMark/>
          </w:tcPr>
          <w:p w14:paraId="669A420C" w14:textId="77777777" w:rsidR="00793D70" w:rsidRPr="00793D70" w:rsidRDefault="00793D70" w:rsidP="001719E7">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0.37</w:t>
            </w:r>
          </w:p>
        </w:tc>
      </w:tr>
      <w:tr w:rsidR="001719E7" w:rsidRPr="00793D70" w14:paraId="354F0C2F" w14:textId="77777777" w:rsidTr="001719E7">
        <w:trPr>
          <w:trHeight w:val="288"/>
        </w:trPr>
        <w:tc>
          <w:tcPr>
            <w:tcW w:w="1127" w:type="dxa"/>
            <w:tcBorders>
              <w:top w:val="nil"/>
              <w:left w:val="nil"/>
              <w:bottom w:val="single" w:sz="4" w:space="0" w:color="auto"/>
              <w:right w:val="nil"/>
            </w:tcBorders>
            <w:shd w:val="clear" w:color="auto" w:fill="auto"/>
            <w:noWrap/>
            <w:vAlign w:val="bottom"/>
            <w:hideMark/>
          </w:tcPr>
          <w:p w14:paraId="4CFC4986" w14:textId="77777777" w:rsidR="00793D70" w:rsidRPr="00793D70" w:rsidRDefault="00793D70" w:rsidP="00793D70">
            <w:pPr>
              <w:spacing w:after="0" w:line="240" w:lineRule="auto"/>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RT</w:t>
            </w:r>
          </w:p>
        </w:tc>
        <w:tc>
          <w:tcPr>
            <w:tcW w:w="1526" w:type="dxa"/>
            <w:tcBorders>
              <w:top w:val="nil"/>
              <w:left w:val="nil"/>
              <w:bottom w:val="single" w:sz="4" w:space="0" w:color="auto"/>
              <w:right w:val="nil"/>
            </w:tcBorders>
            <w:shd w:val="clear" w:color="auto" w:fill="auto"/>
            <w:noWrap/>
            <w:vAlign w:val="bottom"/>
            <w:hideMark/>
          </w:tcPr>
          <w:p w14:paraId="059D8535" w14:textId="77777777" w:rsidR="00793D70" w:rsidRPr="00793D70" w:rsidRDefault="00793D70" w:rsidP="00793D70">
            <w:pPr>
              <w:spacing w:after="0" w:line="240" w:lineRule="auto"/>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cg01379158</w:t>
            </w:r>
          </w:p>
        </w:tc>
        <w:tc>
          <w:tcPr>
            <w:tcW w:w="1000" w:type="dxa"/>
            <w:tcBorders>
              <w:top w:val="nil"/>
              <w:left w:val="nil"/>
              <w:bottom w:val="single" w:sz="4" w:space="0" w:color="auto"/>
              <w:right w:val="nil"/>
            </w:tcBorders>
            <w:shd w:val="clear" w:color="auto" w:fill="auto"/>
            <w:noWrap/>
            <w:vAlign w:val="bottom"/>
            <w:hideMark/>
          </w:tcPr>
          <w:p w14:paraId="070BE879" w14:textId="77777777" w:rsidR="00793D70" w:rsidRPr="00793D70" w:rsidRDefault="00793D70" w:rsidP="00793D70">
            <w:pPr>
              <w:spacing w:after="0" w:line="240" w:lineRule="auto"/>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NT5M</w:t>
            </w:r>
          </w:p>
        </w:tc>
        <w:tc>
          <w:tcPr>
            <w:tcW w:w="970" w:type="dxa"/>
            <w:tcBorders>
              <w:top w:val="nil"/>
              <w:left w:val="nil"/>
              <w:bottom w:val="single" w:sz="4" w:space="0" w:color="auto"/>
              <w:right w:val="nil"/>
            </w:tcBorders>
            <w:shd w:val="clear" w:color="auto" w:fill="auto"/>
            <w:vAlign w:val="bottom"/>
            <w:hideMark/>
          </w:tcPr>
          <w:p w14:paraId="6EE20F7E" w14:textId="77777777" w:rsidR="00793D70" w:rsidRPr="00793D70" w:rsidRDefault="00793D70" w:rsidP="001719E7">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0.0043</w:t>
            </w:r>
          </w:p>
        </w:tc>
        <w:tc>
          <w:tcPr>
            <w:tcW w:w="970" w:type="dxa"/>
            <w:tcBorders>
              <w:top w:val="nil"/>
              <w:left w:val="nil"/>
              <w:bottom w:val="single" w:sz="4" w:space="0" w:color="auto"/>
              <w:right w:val="nil"/>
            </w:tcBorders>
            <w:shd w:val="clear" w:color="auto" w:fill="auto"/>
            <w:vAlign w:val="bottom"/>
            <w:hideMark/>
          </w:tcPr>
          <w:p w14:paraId="7179550C" w14:textId="77777777" w:rsidR="00793D70" w:rsidRPr="00793D70" w:rsidRDefault="00793D70" w:rsidP="001719E7">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0.0027</w:t>
            </w:r>
          </w:p>
        </w:tc>
        <w:tc>
          <w:tcPr>
            <w:tcW w:w="770" w:type="dxa"/>
            <w:tcBorders>
              <w:top w:val="nil"/>
              <w:left w:val="nil"/>
              <w:bottom w:val="single" w:sz="4" w:space="0" w:color="auto"/>
              <w:right w:val="nil"/>
            </w:tcBorders>
            <w:shd w:val="clear" w:color="auto" w:fill="auto"/>
            <w:vAlign w:val="bottom"/>
            <w:hideMark/>
          </w:tcPr>
          <w:p w14:paraId="56C0AC5D" w14:textId="77777777" w:rsidR="00793D70" w:rsidRPr="00793D70" w:rsidRDefault="00793D70" w:rsidP="001719E7">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0.12</w:t>
            </w:r>
          </w:p>
        </w:tc>
        <w:tc>
          <w:tcPr>
            <w:tcW w:w="472" w:type="dxa"/>
            <w:tcBorders>
              <w:top w:val="nil"/>
              <w:left w:val="nil"/>
              <w:bottom w:val="single" w:sz="4" w:space="0" w:color="auto"/>
              <w:right w:val="nil"/>
            </w:tcBorders>
            <w:shd w:val="clear" w:color="auto" w:fill="auto"/>
            <w:noWrap/>
            <w:vAlign w:val="bottom"/>
            <w:hideMark/>
          </w:tcPr>
          <w:p w14:paraId="38A14121" w14:textId="77777777" w:rsidR="00793D70" w:rsidRPr="00793D70" w:rsidRDefault="00793D70" w:rsidP="001719E7">
            <w:pPr>
              <w:spacing w:after="0" w:line="240" w:lineRule="auto"/>
              <w:jc w:val="center"/>
              <w:rPr>
                <w:rFonts w:ascii="Calibri" w:eastAsia="Times New Roman" w:hAnsi="Calibri" w:cs="Calibri"/>
                <w:color w:val="000000"/>
                <w:szCs w:val="22"/>
                <w:lang w:eastAsia="en-GB"/>
              </w:rPr>
            </w:pPr>
          </w:p>
        </w:tc>
        <w:tc>
          <w:tcPr>
            <w:tcW w:w="1006" w:type="dxa"/>
            <w:tcBorders>
              <w:top w:val="nil"/>
              <w:left w:val="nil"/>
              <w:bottom w:val="single" w:sz="4" w:space="0" w:color="auto"/>
              <w:right w:val="nil"/>
            </w:tcBorders>
            <w:shd w:val="clear" w:color="auto" w:fill="auto"/>
            <w:vAlign w:val="bottom"/>
            <w:hideMark/>
          </w:tcPr>
          <w:p w14:paraId="1D4C648F" w14:textId="77777777" w:rsidR="00793D70" w:rsidRPr="00793D70" w:rsidRDefault="00793D70" w:rsidP="001719E7">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0.0018</w:t>
            </w:r>
          </w:p>
        </w:tc>
        <w:tc>
          <w:tcPr>
            <w:tcW w:w="970" w:type="dxa"/>
            <w:tcBorders>
              <w:top w:val="nil"/>
              <w:left w:val="nil"/>
              <w:bottom w:val="single" w:sz="4" w:space="0" w:color="auto"/>
              <w:right w:val="nil"/>
            </w:tcBorders>
            <w:shd w:val="clear" w:color="auto" w:fill="auto"/>
            <w:vAlign w:val="bottom"/>
            <w:hideMark/>
          </w:tcPr>
          <w:p w14:paraId="16BA8610" w14:textId="77777777" w:rsidR="00793D70" w:rsidRPr="00793D70" w:rsidRDefault="00793D70" w:rsidP="001719E7">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0.0026</w:t>
            </w:r>
          </w:p>
        </w:tc>
        <w:tc>
          <w:tcPr>
            <w:tcW w:w="771" w:type="dxa"/>
            <w:tcBorders>
              <w:top w:val="nil"/>
              <w:left w:val="nil"/>
              <w:bottom w:val="single" w:sz="4" w:space="0" w:color="auto"/>
              <w:right w:val="nil"/>
            </w:tcBorders>
            <w:shd w:val="clear" w:color="auto" w:fill="auto"/>
            <w:vAlign w:val="bottom"/>
            <w:hideMark/>
          </w:tcPr>
          <w:p w14:paraId="0CB5CB90" w14:textId="77777777" w:rsidR="00793D70" w:rsidRPr="00793D70" w:rsidRDefault="00793D70" w:rsidP="001719E7">
            <w:pPr>
              <w:spacing w:after="0" w:line="240" w:lineRule="auto"/>
              <w:jc w:val="center"/>
              <w:rPr>
                <w:rFonts w:ascii="Calibri" w:eastAsia="Times New Roman" w:hAnsi="Calibri" w:cs="Calibri"/>
                <w:color w:val="000000"/>
                <w:szCs w:val="22"/>
                <w:lang w:eastAsia="en-GB"/>
              </w:rPr>
            </w:pPr>
            <w:r w:rsidRPr="00793D70">
              <w:rPr>
                <w:rFonts w:ascii="Calibri" w:eastAsia="Times New Roman" w:hAnsi="Calibri" w:cs="Calibri"/>
                <w:color w:val="000000"/>
                <w:szCs w:val="22"/>
                <w:lang w:eastAsia="en-GB"/>
              </w:rPr>
              <w:t>0.48</w:t>
            </w:r>
          </w:p>
        </w:tc>
      </w:tr>
    </w:tbl>
    <w:p w14:paraId="416A8E2C" w14:textId="21A8C757" w:rsidR="0029432F" w:rsidRDefault="001719E7" w:rsidP="001719E7">
      <w:pPr>
        <w:pStyle w:val="Caption"/>
      </w:pPr>
      <w:r w:rsidRPr="00510725">
        <w:lastRenderedPageBreak/>
        <w:t xml:space="preserve">P, </w:t>
      </w:r>
      <w:r>
        <w:t>unadjusted</w:t>
      </w:r>
      <w:r w:rsidRPr="00510725">
        <w:t xml:space="preserve"> p value, </w:t>
      </w:r>
      <w:proofErr w:type="spellStart"/>
      <w:r w:rsidRPr="00510725">
        <w:t>Coef</w:t>
      </w:r>
      <w:proofErr w:type="spellEnd"/>
      <w:r w:rsidRPr="00510725">
        <w:t>, coefficient; RWG, rapid weight gain</w:t>
      </w:r>
      <w:r>
        <w:t>; SVA, S</w:t>
      </w:r>
      <w:r w:rsidRPr="00BF3101">
        <w:t>urrogate variable analysis</w:t>
      </w:r>
      <w:r>
        <w:t>,</w:t>
      </w:r>
      <w:r w:rsidRPr="00BF3101">
        <w:t xml:space="preserve"> </w:t>
      </w:r>
      <w:r>
        <w:t xml:space="preserve">and ISVA, </w:t>
      </w:r>
      <w:r w:rsidRPr="00BF3101">
        <w:t>independe</w:t>
      </w:r>
      <w:r>
        <w:t>nt surrogate variable analysis</w:t>
      </w:r>
      <w:r w:rsidRPr="00510725">
        <w:t>.</w:t>
      </w:r>
      <w:r>
        <w:t xml:space="preserve"> </w:t>
      </w:r>
    </w:p>
    <w:p w14:paraId="39315C9A" w14:textId="77777777" w:rsidR="001719E7" w:rsidRPr="001719E7" w:rsidRDefault="001719E7" w:rsidP="001719E7"/>
    <w:p w14:paraId="61722011" w14:textId="48B51260" w:rsidR="00ED2A3B" w:rsidRPr="00243F37" w:rsidRDefault="000F6ED6" w:rsidP="00ED2A3B">
      <w:pPr>
        <w:pStyle w:val="Heading3"/>
      </w:pPr>
      <w:r>
        <w:t>Genomic location of the differentially methylated CpG sites</w:t>
      </w:r>
    </w:p>
    <w:p w14:paraId="72451A3E" w14:textId="666948F1" w:rsidR="00ED2A3B" w:rsidRPr="00C12A92" w:rsidRDefault="00ED2A3B" w:rsidP="00ED2A3B">
      <w:r w:rsidRPr="00510725">
        <w:t xml:space="preserve">The CpG </w:t>
      </w:r>
      <w:r w:rsidR="0076218D">
        <w:t>site</w:t>
      </w:r>
      <w:r w:rsidRPr="00510725">
        <w:t>; cg01379158 was located upstream of the transcriptional start site in a CpG isl</w:t>
      </w:r>
      <w:r>
        <w:t xml:space="preserve">and (chr17:17206527-17207306). </w:t>
      </w:r>
      <w:r w:rsidRPr="00510725">
        <w:t xml:space="preserve">The nearest gene to cg01379158 is </w:t>
      </w:r>
      <w:r w:rsidRPr="00916F9E">
        <w:rPr>
          <w:i/>
        </w:rPr>
        <w:t>NT5M</w:t>
      </w:r>
      <w:r w:rsidRPr="00510725">
        <w:t xml:space="preserve">, also known as 5',3'-Nucleotidase, Mitochondrial. </w:t>
      </w:r>
      <w:r>
        <w:t xml:space="preserve"> T</w:t>
      </w:r>
      <w:r w:rsidRPr="00510725">
        <w:t xml:space="preserve">he </w:t>
      </w:r>
      <w:r>
        <w:t>second</w:t>
      </w:r>
      <w:r w:rsidRPr="00510725">
        <w:t xml:space="preserve"> CpG </w:t>
      </w:r>
      <w:r>
        <w:t xml:space="preserve">site </w:t>
      </w:r>
      <w:r w:rsidRPr="00510725">
        <w:t>(cg11531579), was positively associated with RWG (</w:t>
      </w:r>
      <w:proofErr w:type="spellStart"/>
      <w:r w:rsidRPr="00510725">
        <w:t>p</w:t>
      </w:r>
      <w:r w:rsidRPr="00510725">
        <w:rPr>
          <w:vertAlign w:val="subscript"/>
        </w:rPr>
        <w:t>FDR</w:t>
      </w:r>
      <w:proofErr w:type="spellEnd"/>
      <w:r w:rsidRPr="00510725">
        <w:t>&lt;0.05</w:t>
      </w:r>
      <w:r>
        <w:t xml:space="preserve">, </w:t>
      </w:r>
      <w:r w:rsidR="0040767C">
        <w:t xml:space="preserve">Table </w:t>
      </w:r>
      <w:r w:rsidR="0040767C">
        <w:rPr>
          <w:noProof/>
        </w:rPr>
        <w:t>2</w:t>
      </w:r>
      <w:r w:rsidRPr="00510725">
        <w:t>)</w:t>
      </w:r>
      <w:r>
        <w:t xml:space="preserve">. </w:t>
      </w:r>
      <w:r w:rsidRPr="00510725">
        <w:t>Th</w:t>
      </w:r>
      <w:r>
        <w:t>is</w:t>
      </w:r>
      <w:r w:rsidRPr="00510725">
        <w:t xml:space="preserve"> CpG (cg11531579) is located within a CpG island on chromosome 12</w:t>
      </w:r>
      <w:r w:rsidR="001D3CEB">
        <w:t>:</w:t>
      </w:r>
      <w:r w:rsidRPr="00510725">
        <w:t xml:space="preserve"> </w:t>
      </w:r>
      <w:r w:rsidR="001D3CEB">
        <w:t>u</w:t>
      </w:r>
      <w:r w:rsidR="001D3CEB" w:rsidRPr="00510725">
        <w:t xml:space="preserve">pstream </w:t>
      </w:r>
      <w:r w:rsidRPr="00510725">
        <w:t>30</w:t>
      </w:r>
      <w:r w:rsidR="00117E36">
        <w:t>+ kilo</w:t>
      </w:r>
      <w:r w:rsidRPr="00510725">
        <w:t xml:space="preserve">bases is the protein coding gene Checkpoint With </w:t>
      </w:r>
      <w:proofErr w:type="spellStart"/>
      <w:r w:rsidRPr="00510725">
        <w:t>Forkhead</w:t>
      </w:r>
      <w:proofErr w:type="spellEnd"/>
      <w:r w:rsidRPr="00510725">
        <w:t xml:space="preserve"> </w:t>
      </w:r>
      <w:r>
        <w:t>And Ring Finger Domains (</w:t>
      </w:r>
      <w:r w:rsidRPr="00916F9E">
        <w:rPr>
          <w:i/>
        </w:rPr>
        <w:t>CHFR</w:t>
      </w:r>
      <w:r>
        <w:t>)</w:t>
      </w:r>
      <w:r w:rsidR="001D3CEB" w:rsidRPr="001D3CEB">
        <w:t xml:space="preserve"> </w:t>
      </w:r>
      <w:r w:rsidR="001D3CEB" w:rsidRPr="00510725">
        <w:t>(</w:t>
      </w:r>
      <w:r w:rsidR="0040767C">
        <w:t xml:space="preserve">Table </w:t>
      </w:r>
      <w:r w:rsidR="0040767C">
        <w:rPr>
          <w:noProof/>
        </w:rPr>
        <w:t>2</w:t>
      </w:r>
      <w:r w:rsidR="001D3CEB">
        <w:t>),</w:t>
      </w:r>
      <w:r>
        <w:t xml:space="preserve"> </w:t>
      </w:r>
      <w:r w:rsidR="001D3CEB">
        <w:t>w</w:t>
      </w:r>
      <w:r w:rsidR="001D3CEB" w:rsidRPr="00510725">
        <w:t xml:space="preserve">hilst </w:t>
      </w:r>
      <w:r w:rsidRPr="00510725">
        <w:t>558 base pairs downstream, is a small (2 exons) non-coding region (AK055957), for which there is limited information.</w:t>
      </w:r>
    </w:p>
    <w:p w14:paraId="6F1B7C81" w14:textId="75AF7F42" w:rsidR="00D51B1B" w:rsidRDefault="00D51B1B">
      <w:pPr>
        <w:rPr>
          <w:rFonts w:asciiTheme="majorHAnsi" w:eastAsiaTheme="majorEastAsia" w:hAnsiTheme="majorHAnsi" w:cstheme="majorBidi"/>
          <w:color w:val="2F5496" w:themeColor="accent1" w:themeShade="BF"/>
          <w:sz w:val="28"/>
          <w:szCs w:val="28"/>
        </w:rPr>
      </w:pPr>
    </w:p>
    <w:p w14:paraId="03A93932" w14:textId="46F2E3D7" w:rsidR="00603144" w:rsidRDefault="00603144" w:rsidP="00250403">
      <w:pPr>
        <w:pStyle w:val="Heading2"/>
      </w:pPr>
      <w:r>
        <w:t>Discussion</w:t>
      </w:r>
    </w:p>
    <w:p w14:paraId="0E03D7A8" w14:textId="77777777" w:rsidR="00962EB8" w:rsidRDefault="00962EB8" w:rsidP="00962EB8">
      <w:pPr>
        <w:pStyle w:val="NoSpacing"/>
      </w:pPr>
    </w:p>
    <w:p w14:paraId="44750D1D" w14:textId="77777777" w:rsidR="00DB392C" w:rsidRPr="00962EB8" w:rsidRDefault="00DB392C" w:rsidP="00DB392C">
      <w:pPr>
        <w:pStyle w:val="Heading3"/>
      </w:pPr>
      <w:r>
        <w:t>Summary</w:t>
      </w:r>
    </w:p>
    <w:p w14:paraId="51C24126" w14:textId="77777777" w:rsidR="00716950" w:rsidRDefault="00716950" w:rsidP="00D51B1B"/>
    <w:p w14:paraId="317A103A" w14:textId="1E1B9194" w:rsidR="00A96413" w:rsidRDefault="00537045" w:rsidP="00537045">
      <w:r>
        <w:t xml:space="preserve">In this study, </w:t>
      </w:r>
      <w:r w:rsidR="00C55A21">
        <w:t xml:space="preserve">we identified </w:t>
      </w:r>
      <w:r w:rsidR="007628B2">
        <w:t xml:space="preserve">that RWG in the first year </w:t>
      </w:r>
      <w:r w:rsidR="0076218D">
        <w:t xml:space="preserve">of life </w:t>
      </w:r>
      <w:r w:rsidR="007628B2">
        <w:t xml:space="preserve">was associated with </w:t>
      </w:r>
      <w:r w:rsidR="00C55A21">
        <w:t>small but</w:t>
      </w:r>
      <w:r w:rsidR="00D51B1B">
        <w:t xml:space="preserve"> significant </w:t>
      </w:r>
      <w:r w:rsidR="00C35137">
        <w:t>increases</w:t>
      </w:r>
      <w:r w:rsidR="00D51B1B">
        <w:t xml:space="preserve"> in </w:t>
      </w:r>
      <w:r w:rsidR="00C55A21">
        <w:t xml:space="preserve">childhood </w:t>
      </w:r>
      <w:proofErr w:type="spellStart"/>
      <w:r w:rsidR="00D51B1B">
        <w:t>DNAm</w:t>
      </w:r>
      <w:proofErr w:type="spellEnd"/>
      <w:r w:rsidR="006B0C0D">
        <w:t xml:space="preserve"> (age 7)</w:t>
      </w:r>
      <w:r w:rsidR="00C55A21">
        <w:t xml:space="preserve"> at</w:t>
      </w:r>
      <w:r w:rsidR="00D51B1B">
        <w:t xml:space="preserve"> </w:t>
      </w:r>
      <w:r w:rsidR="00C55A21">
        <w:t>t</w:t>
      </w:r>
      <w:r w:rsidR="00C55A21" w:rsidRPr="00510725">
        <w:t xml:space="preserve">wo </w:t>
      </w:r>
      <w:r w:rsidR="00D51B1B" w:rsidRPr="00510725">
        <w:t>CpG sites (cg</w:t>
      </w:r>
      <w:r w:rsidR="0076218D">
        <w:t>0</w:t>
      </w:r>
      <w:r w:rsidR="00D51B1B" w:rsidRPr="00510725">
        <w:t>1379158 and cg11531579).</w:t>
      </w:r>
      <w:r w:rsidR="00D51B1B">
        <w:t xml:space="preserve"> </w:t>
      </w:r>
      <w:r w:rsidR="001C3669">
        <w:t>The h</w:t>
      </w:r>
      <w:r w:rsidRPr="00FF178F">
        <w:t xml:space="preserve">ighest levels of methylation </w:t>
      </w:r>
      <w:r>
        <w:t xml:space="preserve">at the </w:t>
      </w:r>
      <w:r w:rsidRPr="00FF178F">
        <w:t>cg11531579 locus</w:t>
      </w:r>
      <w:r w:rsidR="00755051">
        <w:t xml:space="preserve"> </w:t>
      </w:r>
      <w:r w:rsidR="00755051" w:rsidRPr="00755051">
        <w:t xml:space="preserve">(age 7) </w:t>
      </w:r>
      <w:r w:rsidRPr="00FF178F">
        <w:t>were in those who had</w:t>
      </w:r>
      <w:r>
        <w:t xml:space="preserve"> RWG </w:t>
      </w:r>
      <w:r w:rsidRPr="006F3C05">
        <w:rPr>
          <w:u w:val="single"/>
        </w:rPr>
        <w:t>and</w:t>
      </w:r>
      <w:r>
        <w:t xml:space="preserve"> were</w:t>
      </w:r>
      <w:r w:rsidR="00A96413">
        <w:t xml:space="preserve"> either currently (age 7) or</w:t>
      </w:r>
      <w:r>
        <w:t xml:space="preserve"> subsequently </w:t>
      </w:r>
      <w:r w:rsidR="00095CE0">
        <w:t>overweight/obese</w:t>
      </w:r>
      <w:r w:rsidR="00755051">
        <w:t xml:space="preserve"> (age 17)</w:t>
      </w:r>
      <w:r>
        <w:t>.</w:t>
      </w:r>
      <w:r w:rsidR="006B0C0D">
        <w:t xml:space="preserve"> </w:t>
      </w:r>
      <w:r w:rsidR="003E4230">
        <w:t xml:space="preserve">Furthermore, there was suggestive evidence that this site was differentially methylated in the replication cohort. </w:t>
      </w:r>
      <w:r w:rsidR="006B0C0D">
        <w:t xml:space="preserve">We did not find evidence of </w:t>
      </w:r>
      <w:r w:rsidR="00C45CCA">
        <w:t>differentially methylated regions, of differential methylation</w:t>
      </w:r>
      <w:r w:rsidR="006B0C0D">
        <w:t xml:space="preserve"> associated</w:t>
      </w:r>
      <w:r w:rsidR="00C45CCA">
        <w:t xml:space="preserve"> with RT, or of differentially methylated BMI-associated candidate sites.</w:t>
      </w:r>
    </w:p>
    <w:p w14:paraId="68167DC7" w14:textId="32870632" w:rsidR="00DB392C" w:rsidRDefault="00DB392C" w:rsidP="00DB392C">
      <w:pPr>
        <w:pStyle w:val="Heading3"/>
      </w:pPr>
      <w:r>
        <w:t>Interpretation</w:t>
      </w:r>
      <w:r w:rsidR="00716950">
        <w:t xml:space="preserve"> and comparison with </w:t>
      </w:r>
      <w:r w:rsidR="00537045">
        <w:t>previous</w:t>
      </w:r>
      <w:r w:rsidR="00716950">
        <w:t xml:space="preserve"> findings </w:t>
      </w:r>
      <w:r>
        <w:t xml:space="preserve"> </w:t>
      </w:r>
    </w:p>
    <w:p w14:paraId="76F75851" w14:textId="77777777" w:rsidR="00276124" w:rsidRDefault="00276124" w:rsidP="00276124"/>
    <w:p w14:paraId="1E792859" w14:textId="142A26A4" w:rsidR="004E4340" w:rsidRDefault="000379C7" w:rsidP="00FB2AAE">
      <w:r>
        <w:t xml:space="preserve">To our knowledge this is the first EWAS to identify </w:t>
      </w:r>
      <w:r w:rsidR="00E61B47">
        <w:t xml:space="preserve">differential </w:t>
      </w:r>
      <w:proofErr w:type="spellStart"/>
      <w:r>
        <w:t>DNAm</w:t>
      </w:r>
      <w:proofErr w:type="spellEnd"/>
      <w:r>
        <w:t xml:space="preserve"> </w:t>
      </w:r>
      <w:r w:rsidR="0029432F">
        <w:t>associated with</w:t>
      </w:r>
      <w:r>
        <w:t xml:space="preserve"> early life rapid </w:t>
      </w:r>
      <w:r w:rsidR="00052A9F">
        <w:t>weight gain</w:t>
      </w:r>
      <w:r>
        <w:t xml:space="preserve">. </w:t>
      </w:r>
      <w:proofErr w:type="spellStart"/>
      <w:r w:rsidR="00BA736F">
        <w:t>DNAm</w:t>
      </w:r>
      <w:proofErr w:type="spellEnd"/>
      <w:r w:rsidR="00BA736F">
        <w:t xml:space="preserve"> at the locus near </w:t>
      </w:r>
      <w:r w:rsidR="00BA736F" w:rsidRPr="00916F9E">
        <w:rPr>
          <w:i/>
        </w:rPr>
        <w:t xml:space="preserve">CHFR </w:t>
      </w:r>
      <w:r w:rsidR="00BA736F" w:rsidRPr="00F32BAE">
        <w:t>(cg11531579)</w:t>
      </w:r>
      <w:r w:rsidR="00BA736F">
        <w:t xml:space="preserve"> was higher in those who had RWG and who </w:t>
      </w:r>
      <w:r w:rsidR="00BA736F">
        <w:lastRenderedPageBreak/>
        <w:t xml:space="preserve">were </w:t>
      </w:r>
      <w:r w:rsidR="00095CE0">
        <w:t>overweight/obese</w:t>
      </w:r>
      <w:r w:rsidR="00BA736F">
        <w:t xml:space="preserve"> in childhood or adolescence. </w:t>
      </w:r>
      <w:r w:rsidR="00BA736F" w:rsidRPr="00510725">
        <w:t xml:space="preserve">Early life RWG was associated with </w:t>
      </w:r>
      <w:r w:rsidR="003E4230">
        <w:t xml:space="preserve">small </w:t>
      </w:r>
      <w:r w:rsidR="00BA736F" w:rsidRPr="00510725">
        <w:t>changes in childhood methylation,</w:t>
      </w:r>
      <w:r w:rsidR="00BA736F">
        <w:t xml:space="preserve"> but not with methylation in adolescence</w:t>
      </w:r>
      <w:r w:rsidR="00BA736F" w:rsidRPr="00510725">
        <w:t>, which could have been partly due to a smaller sample size</w:t>
      </w:r>
      <w:r w:rsidR="0076218D">
        <w:t xml:space="preserve"> or a lack of persistence in the differential </w:t>
      </w:r>
      <w:proofErr w:type="spellStart"/>
      <w:r w:rsidR="0076218D">
        <w:t>DNAm</w:t>
      </w:r>
      <w:proofErr w:type="spellEnd"/>
      <w:r w:rsidR="0076218D">
        <w:t xml:space="preserve"> seen in early life</w:t>
      </w:r>
      <w:r w:rsidR="00BA736F" w:rsidRPr="00510725">
        <w:t>.</w:t>
      </w:r>
      <w:r w:rsidR="0076218D">
        <w:t xml:space="preserve"> </w:t>
      </w:r>
      <w:r w:rsidR="00BA736F" w:rsidRPr="00510725">
        <w:t xml:space="preserve"> </w:t>
      </w:r>
      <w:r w:rsidR="00402349">
        <w:t xml:space="preserve">Indeed, </w:t>
      </w:r>
      <w:r w:rsidR="0076218D">
        <w:t xml:space="preserve">in </w:t>
      </w:r>
      <w:r w:rsidR="00BA736F">
        <w:t>those who had RWG t</w:t>
      </w:r>
      <w:r w:rsidR="00BA736F" w:rsidRPr="00510725">
        <w:t>he</w:t>
      </w:r>
      <w:r w:rsidR="00BA736F">
        <w:t>re was a</w:t>
      </w:r>
      <w:r w:rsidR="00BA736F" w:rsidRPr="00510725">
        <w:t xml:space="preserve"> decrease </w:t>
      </w:r>
      <w:r w:rsidR="00BA736F">
        <w:t xml:space="preserve">in methylation </w:t>
      </w:r>
      <w:r w:rsidR="00BA736F" w:rsidRPr="00510725">
        <w:t>over time</w:t>
      </w:r>
      <w:r w:rsidR="00BA736F">
        <w:t xml:space="preserve"> (age 7</w:t>
      </w:r>
      <w:r w:rsidR="00FC3DF0">
        <w:t xml:space="preserve"> to </w:t>
      </w:r>
      <w:r w:rsidR="00BA736F">
        <w:t>17),</w:t>
      </w:r>
      <w:r w:rsidR="00BA736F" w:rsidRPr="00510725">
        <w:t xml:space="preserve"> </w:t>
      </w:r>
      <w:r w:rsidR="00BA736F">
        <w:t xml:space="preserve">which </w:t>
      </w:r>
      <w:r w:rsidR="00BA736F" w:rsidRPr="00510725">
        <w:t>may reflect the ‘recovery’ of</w:t>
      </w:r>
      <w:r w:rsidR="00BA736F">
        <w:t xml:space="preserve"> hypermethylation in childhood. </w:t>
      </w:r>
      <w:r w:rsidR="0076218D">
        <w:t xml:space="preserve">This phenomenon of attenuation of </w:t>
      </w:r>
      <w:proofErr w:type="spellStart"/>
      <w:r w:rsidR="0076218D">
        <w:t>DNAm</w:t>
      </w:r>
      <w:proofErr w:type="spellEnd"/>
      <w:r w:rsidR="0076218D">
        <w:t xml:space="preserve"> over time from signals detected in early life has been reported previously</w:t>
      </w:r>
      <w:r w:rsidR="00FD11D8">
        <w:t xml:space="preserve"> </w:t>
      </w:r>
      <w:r w:rsidR="008C7174">
        <w:rPr>
          <w:noProof/>
        </w:rPr>
        <w:t>(24)</w:t>
      </w:r>
      <w:r w:rsidR="00FD11D8">
        <w:t>.</w:t>
      </w:r>
      <w:r w:rsidR="001C3669" w:rsidRPr="001C3669">
        <w:t xml:space="preserve"> </w:t>
      </w:r>
      <w:r w:rsidR="001C3669">
        <w:t>The</w:t>
      </w:r>
      <w:r w:rsidR="00052A9F">
        <w:t>re is the possibility that</w:t>
      </w:r>
      <w:r w:rsidR="001C3669">
        <w:t xml:space="preserve"> </w:t>
      </w:r>
      <w:r w:rsidR="001C3669" w:rsidRPr="00510725">
        <w:t xml:space="preserve">methylation changes </w:t>
      </w:r>
      <w:r w:rsidR="001C3669">
        <w:t>may be greater earlier in childhood closer to the timing of the exposure.</w:t>
      </w:r>
    </w:p>
    <w:p w14:paraId="71A82DC1" w14:textId="62E804B0" w:rsidR="00240E1D" w:rsidRDefault="00240E1D" w:rsidP="00FB2AAE">
      <w:r w:rsidRPr="00240E1D">
        <w:t xml:space="preserve">There are inherent links between birthweight and postnatal growth, and birthweight associated </w:t>
      </w:r>
      <w:proofErr w:type="spellStart"/>
      <w:r w:rsidRPr="00240E1D">
        <w:t>DNAm</w:t>
      </w:r>
      <w:proofErr w:type="spellEnd"/>
      <w:r w:rsidRPr="00240E1D">
        <w:t xml:space="preserve"> changes are also often related to growth control </w:t>
      </w:r>
      <w:r w:rsidR="0063220B">
        <w:rPr>
          <w:noProof/>
        </w:rPr>
        <w:t>(40)</w:t>
      </w:r>
      <w:r w:rsidRPr="00240E1D">
        <w:t xml:space="preserve">. </w:t>
      </w:r>
      <w:r w:rsidR="004E4340" w:rsidRPr="00240E1D">
        <w:t>Rapid thrive</w:t>
      </w:r>
      <w:r w:rsidR="004E4340">
        <w:t xml:space="preserve"> accounts for </w:t>
      </w:r>
      <w:r w:rsidR="004E4340" w:rsidRPr="00240E1D">
        <w:t xml:space="preserve">catch-up growth from low birthweight, whereas RWG includes some of the effects of low birthweight. </w:t>
      </w:r>
      <w:r w:rsidR="004E4340">
        <w:t>A</w:t>
      </w:r>
      <w:r w:rsidR="00755051">
        <w:t xml:space="preserve">lthough birthweight influences RWG, </w:t>
      </w:r>
      <w:r w:rsidRPr="00240E1D">
        <w:t xml:space="preserve">associations between RWG and adiposity remain after adjustment for birthweight </w:t>
      </w:r>
      <w:r w:rsidR="0063220B">
        <w:rPr>
          <w:noProof/>
        </w:rPr>
        <w:t>(41)</w:t>
      </w:r>
      <w:r w:rsidRPr="00240E1D">
        <w:t>.</w:t>
      </w:r>
      <w:r w:rsidR="00C55A21" w:rsidRPr="00C55A21">
        <w:t xml:space="preserve"> </w:t>
      </w:r>
      <w:r w:rsidR="00F5617C" w:rsidRPr="00240E1D">
        <w:t xml:space="preserve">As associations were stronger between </w:t>
      </w:r>
      <w:proofErr w:type="spellStart"/>
      <w:r w:rsidR="00F5617C" w:rsidRPr="00240E1D">
        <w:t>DNAm</w:t>
      </w:r>
      <w:proofErr w:type="spellEnd"/>
      <w:r w:rsidR="00F5617C" w:rsidRPr="00240E1D">
        <w:t xml:space="preserve"> (at the identified</w:t>
      </w:r>
      <w:r w:rsidR="00A96413">
        <w:t xml:space="preserve"> CpG</w:t>
      </w:r>
      <w:r w:rsidR="00F5617C" w:rsidRPr="00240E1D">
        <w:t xml:space="preserve"> </w:t>
      </w:r>
      <w:r w:rsidR="00A96413">
        <w:t>sites</w:t>
      </w:r>
      <w:r w:rsidR="00F5617C" w:rsidRPr="00240E1D">
        <w:t xml:space="preserve">) and RWG (rather than RT), it is plausible that methylation at these </w:t>
      </w:r>
      <w:r w:rsidR="00A96413">
        <w:t>sites</w:t>
      </w:r>
      <w:r w:rsidR="00A96413" w:rsidRPr="00240E1D">
        <w:t xml:space="preserve"> </w:t>
      </w:r>
      <w:r w:rsidR="00F5617C" w:rsidRPr="00240E1D">
        <w:t xml:space="preserve">also </w:t>
      </w:r>
      <w:r w:rsidR="00C35137">
        <w:t>encompasses some of the effects</w:t>
      </w:r>
      <w:r w:rsidR="00F5617C" w:rsidRPr="00240E1D">
        <w:t xml:space="preserve"> of catch</w:t>
      </w:r>
      <w:r w:rsidR="00F5617C">
        <w:t>-</w:t>
      </w:r>
      <w:r w:rsidR="00F5617C" w:rsidRPr="00240E1D">
        <w:t>up growth from low birthweight.</w:t>
      </w:r>
    </w:p>
    <w:p w14:paraId="0D288922" w14:textId="2D44E98F" w:rsidR="006D2573" w:rsidRDefault="00964ECE" w:rsidP="00DB392C">
      <w:r>
        <w:t>Neither early life growth nor birthweight</w:t>
      </w:r>
      <w:r w:rsidRPr="003B2512">
        <w:t xml:space="preserve"> </w:t>
      </w:r>
      <w:r>
        <w:t>have been</w:t>
      </w:r>
      <w:r w:rsidR="000F6ED6">
        <w:t xml:space="preserve"> previously associated with </w:t>
      </w:r>
      <w:proofErr w:type="spellStart"/>
      <w:r>
        <w:t>DNAm</w:t>
      </w:r>
      <w:proofErr w:type="spellEnd"/>
      <w:r>
        <w:t xml:space="preserve"> </w:t>
      </w:r>
      <w:r w:rsidR="000F6ED6">
        <w:t>at either of the identified</w:t>
      </w:r>
      <w:r>
        <w:t xml:space="preserve"> sites</w:t>
      </w:r>
      <w:r w:rsidR="000F6ED6">
        <w:t xml:space="preserve">. </w:t>
      </w:r>
      <w:r w:rsidR="003A48FE" w:rsidRPr="005F2211">
        <w:t>We searched the EWAS Catalogue (</w:t>
      </w:r>
      <w:r w:rsidR="003A48FE" w:rsidRPr="009D5E64">
        <w:rPr>
          <w:rStyle w:val="Hyperlink"/>
        </w:rPr>
        <w:t>http://ewascatalog.org/</w:t>
      </w:r>
      <w:r w:rsidR="003A48FE" w:rsidRPr="005F2211">
        <w:t>) to assess whether any of the CpG sites had been prev</w:t>
      </w:r>
      <w:r w:rsidR="00A96413">
        <w:t>iously identified in other EWAS</w:t>
      </w:r>
      <w:r w:rsidR="003A48FE" w:rsidRPr="005F2211">
        <w:t xml:space="preserve">, </w:t>
      </w:r>
      <w:r w:rsidR="00594FDA">
        <w:t>with results</w:t>
      </w:r>
      <w:r w:rsidR="003A48FE" w:rsidRPr="005F2211">
        <w:t xml:space="preserve"> suggest</w:t>
      </w:r>
      <w:r w:rsidR="00594FDA">
        <w:t>ing</w:t>
      </w:r>
      <w:r w:rsidR="003A48FE" w:rsidRPr="005F2211">
        <w:t xml:space="preserve"> that </w:t>
      </w:r>
      <w:r w:rsidR="00FC3DF0">
        <w:t xml:space="preserve">both of </w:t>
      </w:r>
      <w:r w:rsidR="003A48FE" w:rsidRPr="005F2211">
        <w:t xml:space="preserve">these loci may be linked to bone composition and cholesterol metabolism, </w:t>
      </w:r>
      <w:r w:rsidR="00923669">
        <w:t>factors</w:t>
      </w:r>
      <w:r w:rsidR="003A48FE" w:rsidRPr="005F2211">
        <w:t xml:space="preserve"> which could plausibly be linked to growth.</w:t>
      </w:r>
      <w:r w:rsidR="003A48FE">
        <w:t xml:space="preserve"> </w:t>
      </w:r>
      <w:r w:rsidR="00BA736F">
        <w:t xml:space="preserve">As the </w:t>
      </w:r>
      <w:proofErr w:type="spellStart"/>
      <w:r w:rsidR="00BA736F">
        <w:t>DNAm</w:t>
      </w:r>
      <w:proofErr w:type="spellEnd"/>
      <w:r w:rsidR="00BA736F">
        <w:t xml:space="preserve"> changes identified were small, it is perhaps speculative to discuss the impact on gene expression. </w:t>
      </w:r>
    </w:p>
    <w:p w14:paraId="4A87D5D2" w14:textId="56EEF9A7" w:rsidR="008D5134" w:rsidRDefault="00450A4A" w:rsidP="00DB392C">
      <w:r>
        <w:t xml:space="preserve">The </w:t>
      </w:r>
      <w:r w:rsidRPr="00F32BAE">
        <w:t>cg11531579</w:t>
      </w:r>
      <w:r>
        <w:t xml:space="preserve"> site, which was positively associated with RWG in ALSPAC </w:t>
      </w:r>
      <w:r w:rsidRPr="006F3C05">
        <w:t>and</w:t>
      </w:r>
      <w:r>
        <w:t xml:space="preserve"> the SWS children</w:t>
      </w:r>
      <w:r w:rsidRPr="000B52BD">
        <w:t>, has nearby transcripts with cancer-associated roles</w:t>
      </w:r>
      <w:r w:rsidRPr="000B52BD" w:rsidDel="000B52BD">
        <w:t xml:space="preserve"> </w:t>
      </w:r>
      <w:r w:rsidR="0063220B">
        <w:rPr>
          <w:noProof/>
        </w:rPr>
        <w:t>(42-48)</w:t>
      </w:r>
      <w:r>
        <w:t xml:space="preserve">.  </w:t>
      </w:r>
      <w:r w:rsidR="00A96413">
        <w:t>The</w:t>
      </w:r>
      <w:r w:rsidR="00BA736F" w:rsidRPr="00510725">
        <w:t xml:space="preserve"> </w:t>
      </w:r>
      <w:r w:rsidR="00BA736F" w:rsidRPr="002F7E26">
        <w:rPr>
          <w:i/>
        </w:rPr>
        <w:t>CHFR</w:t>
      </w:r>
      <w:r w:rsidR="00BA736F" w:rsidRPr="00510725">
        <w:t xml:space="preserve"> </w:t>
      </w:r>
      <w:r w:rsidR="00BB1BEC">
        <w:t>(</w:t>
      </w:r>
      <w:r w:rsidR="00BB1BEC" w:rsidRPr="00F32BAE">
        <w:t>cg11531579</w:t>
      </w:r>
      <w:r w:rsidR="00BB1BEC">
        <w:t xml:space="preserve">) gene </w:t>
      </w:r>
      <w:r w:rsidR="00BA736F">
        <w:t>encodes</w:t>
      </w:r>
      <w:r w:rsidR="00BA736F" w:rsidRPr="00510725">
        <w:t xml:space="preserve"> </w:t>
      </w:r>
      <w:r w:rsidR="00901082">
        <w:t xml:space="preserve">a </w:t>
      </w:r>
      <w:r w:rsidR="00BA736F" w:rsidRPr="00510725">
        <w:t>E3 ubiquiti</w:t>
      </w:r>
      <w:r w:rsidR="00901082">
        <w:t>n-protein ligase which</w:t>
      </w:r>
      <w:r w:rsidR="00BA736F" w:rsidRPr="00510725">
        <w:t xml:space="preserve"> regulates the cell cycle at the </w:t>
      </w:r>
      <w:proofErr w:type="spellStart"/>
      <w:r w:rsidR="00BA736F" w:rsidRPr="00510725">
        <w:t>antephase</w:t>
      </w:r>
      <w:proofErr w:type="spellEnd"/>
      <w:r w:rsidR="00BA736F" w:rsidRPr="00510725">
        <w:t xml:space="preserve"> checkpoint</w:t>
      </w:r>
      <w:r w:rsidR="00BA736F">
        <w:t xml:space="preserve"> (prior to cell division) </w:t>
      </w:r>
      <w:r w:rsidR="0063220B">
        <w:rPr>
          <w:noProof/>
        </w:rPr>
        <w:t>(42)</w:t>
      </w:r>
      <w:r w:rsidR="00BA736F" w:rsidRPr="00510725">
        <w:t>.</w:t>
      </w:r>
      <w:r w:rsidR="00BA736F">
        <w:t xml:space="preserve"> </w:t>
      </w:r>
      <w:r w:rsidR="002335DE">
        <w:t>D</w:t>
      </w:r>
      <w:r w:rsidR="00BA736F">
        <w:t xml:space="preserve">ifferential epigenetic regulation of </w:t>
      </w:r>
      <w:r w:rsidR="00BA736F" w:rsidRPr="00901082">
        <w:rPr>
          <w:i/>
        </w:rPr>
        <w:t>CHFR</w:t>
      </w:r>
      <w:r w:rsidR="00BA736F">
        <w:t xml:space="preserve"> ha</w:t>
      </w:r>
      <w:r w:rsidR="00C35137">
        <w:t xml:space="preserve">s been </w:t>
      </w:r>
      <w:r w:rsidR="002335DE">
        <w:t>identified in cancer</w:t>
      </w:r>
      <w:r w:rsidR="00BA736F" w:rsidRPr="00510725">
        <w:t xml:space="preserve"> as a result of </w:t>
      </w:r>
      <w:r w:rsidR="00BA736F" w:rsidRPr="00510725">
        <w:lastRenderedPageBreak/>
        <w:t>promoter hypermethylation</w:t>
      </w:r>
      <w:r w:rsidR="00BA736F">
        <w:t xml:space="preserve"> </w:t>
      </w:r>
      <w:r w:rsidR="0063220B">
        <w:rPr>
          <w:noProof/>
        </w:rPr>
        <w:t>(43, 44)</w:t>
      </w:r>
      <w:r w:rsidR="00BA736F">
        <w:t xml:space="preserve">, or </w:t>
      </w:r>
      <w:r w:rsidR="00BA736F" w:rsidRPr="00510725">
        <w:t xml:space="preserve">deacetylation of histones in the promoter region </w:t>
      </w:r>
      <w:r w:rsidR="0063220B">
        <w:rPr>
          <w:noProof/>
        </w:rPr>
        <w:t>(45)</w:t>
      </w:r>
      <w:r w:rsidR="00BA736F" w:rsidRPr="00510725">
        <w:t>, however it is unclear whether</w:t>
      </w:r>
      <w:r w:rsidR="00BA736F">
        <w:t xml:space="preserve"> </w:t>
      </w:r>
      <w:r w:rsidR="002F7E26">
        <w:t>changes in expression are</w:t>
      </w:r>
      <w:r w:rsidR="00BA736F" w:rsidRPr="00510725">
        <w:t xml:space="preserve"> a </w:t>
      </w:r>
      <w:r w:rsidR="00BA736F">
        <w:t>cause or consequence</w:t>
      </w:r>
      <w:r w:rsidR="002F7E26">
        <w:t xml:space="preserve"> of cancer</w:t>
      </w:r>
      <w:r w:rsidR="00BA736F" w:rsidRPr="00510725">
        <w:t xml:space="preserve">. </w:t>
      </w:r>
      <w:r w:rsidR="001D3CEB">
        <w:t>T</w:t>
      </w:r>
      <w:r w:rsidR="000B220B">
        <w:t xml:space="preserve">he </w:t>
      </w:r>
      <w:r w:rsidR="001D3CEB">
        <w:t xml:space="preserve">CpG site </w:t>
      </w:r>
      <w:r w:rsidR="000B220B">
        <w:t>is located within</w:t>
      </w:r>
      <w:r w:rsidR="000B220B" w:rsidRPr="00510725">
        <w:t xml:space="preserve"> a </w:t>
      </w:r>
      <w:proofErr w:type="spellStart"/>
      <w:r w:rsidR="000B220B" w:rsidRPr="00510725">
        <w:t>DNAse</w:t>
      </w:r>
      <w:proofErr w:type="spellEnd"/>
      <w:r w:rsidR="000B220B" w:rsidRPr="00510725">
        <w:t xml:space="preserve"> I hypersensitivity cluster, which may suggest a transcript</w:t>
      </w:r>
      <w:r w:rsidR="000B220B">
        <w:t xml:space="preserve">ion factor binding region, and </w:t>
      </w:r>
      <w:r w:rsidR="000B220B" w:rsidRPr="00510725">
        <w:t>a H3K27Ac histone mark, which is often found near regulatory elements</w:t>
      </w:r>
      <w:r w:rsidR="000B220B">
        <w:t xml:space="preserve"> </w:t>
      </w:r>
      <w:r w:rsidR="000B220B" w:rsidRPr="00510725">
        <w:t>and is thought to be a transcription enhancer</w:t>
      </w:r>
      <w:r w:rsidR="000B220B">
        <w:t xml:space="preserve">, suggesting </w:t>
      </w:r>
      <w:r w:rsidR="00ED1BEE">
        <w:t>regulatory</w:t>
      </w:r>
      <w:r w:rsidR="000B220B">
        <w:t xml:space="preserve"> functions. </w:t>
      </w:r>
      <w:r w:rsidR="00BA736F">
        <w:t>Downs</w:t>
      </w:r>
      <w:r w:rsidR="00BA736F" w:rsidRPr="00510725">
        <w:t>tream of cg11531579 is AK055957, a small non</w:t>
      </w:r>
      <w:r w:rsidR="00BA736F">
        <w:t>-coding RNA regulatory sequence, with an uncharacterised biological role</w:t>
      </w:r>
      <w:r w:rsidR="00BA736F" w:rsidRPr="00510725">
        <w:t xml:space="preserve">. Recently, this CpG (in combination with others) has been identified as a potential </w:t>
      </w:r>
      <w:proofErr w:type="spellStart"/>
      <w:r w:rsidR="00BA736F" w:rsidRPr="00510725">
        <w:t>DNAm</w:t>
      </w:r>
      <w:proofErr w:type="spellEnd"/>
      <w:r w:rsidR="00BA736F" w:rsidRPr="00510725">
        <w:t xml:space="preserve"> biomarker for use in detection panels for hepatocellular carcinoma </w:t>
      </w:r>
      <w:r w:rsidR="0063220B">
        <w:rPr>
          <w:noProof/>
        </w:rPr>
        <w:t>(46)</w:t>
      </w:r>
      <w:r w:rsidR="00BA736F" w:rsidRPr="00510725">
        <w:t xml:space="preserve"> and pancreatic ductal adenocarcinoma </w:t>
      </w:r>
      <w:r w:rsidR="0063220B">
        <w:rPr>
          <w:noProof/>
        </w:rPr>
        <w:t>(47)</w:t>
      </w:r>
      <w:r w:rsidR="00FC3DF0">
        <w:t>, and is differentially methylated</w:t>
      </w:r>
      <w:r w:rsidR="00FC3DF0" w:rsidRPr="00510725">
        <w:t xml:space="preserve"> </w:t>
      </w:r>
      <w:r w:rsidR="00FC3DF0">
        <w:t>i</w:t>
      </w:r>
      <w:r w:rsidR="00BA736F">
        <w:t>n children</w:t>
      </w:r>
      <w:r w:rsidR="00BA736F" w:rsidRPr="00510725">
        <w:t xml:space="preserve"> with acute myeloid leukaemia</w:t>
      </w:r>
      <w:r w:rsidR="00FC3DF0">
        <w:t xml:space="preserve"> </w:t>
      </w:r>
      <w:r w:rsidR="00901082">
        <w:t>post-</w:t>
      </w:r>
      <w:r w:rsidR="00BA736F" w:rsidRPr="000F11DD">
        <w:t>chemotherapy (-0.24 change in beta</w:t>
      </w:r>
      <w:r w:rsidR="00BA736F">
        <w:t xml:space="preserve"> value</w:t>
      </w:r>
      <w:r w:rsidR="00BA736F" w:rsidRPr="000F11DD">
        <w:t xml:space="preserve">, p=0.004) </w:t>
      </w:r>
      <w:r w:rsidR="0063220B">
        <w:rPr>
          <w:noProof/>
        </w:rPr>
        <w:t>(48)</w:t>
      </w:r>
      <w:r w:rsidR="00BA736F" w:rsidRPr="000F11DD">
        <w:t xml:space="preserve">. </w:t>
      </w:r>
      <w:r w:rsidR="00ED1BEE" w:rsidRPr="0037122C">
        <w:t>These finding</w:t>
      </w:r>
      <w:r w:rsidR="00FC3DF0" w:rsidRPr="0037122C">
        <w:t>s</w:t>
      </w:r>
      <w:r w:rsidR="00ED1BEE" w:rsidRPr="0037122C">
        <w:t xml:space="preserve"> suggest</w:t>
      </w:r>
      <w:r w:rsidR="00BA736F" w:rsidRPr="0037122C">
        <w:t xml:space="preserve"> this locus may have a role in carcinogenesis</w:t>
      </w:r>
      <w:r w:rsidR="00ED1BEE" w:rsidRPr="0037122C">
        <w:t xml:space="preserve">, </w:t>
      </w:r>
      <w:r w:rsidR="00196377" w:rsidRPr="0037122C">
        <w:t>which may suggest a weak</w:t>
      </w:r>
      <w:r w:rsidR="003A32D9" w:rsidRPr="0037122C">
        <w:t xml:space="preserve"> </w:t>
      </w:r>
      <w:r w:rsidR="00BA736F" w:rsidRPr="0037122C">
        <w:t xml:space="preserve">link </w:t>
      </w:r>
      <w:r w:rsidR="00ED1BEE" w:rsidRPr="0037122C">
        <w:t>with</w:t>
      </w:r>
      <w:r w:rsidR="00BA736F" w:rsidRPr="0037122C">
        <w:t xml:space="preserve"> rapid growth.</w:t>
      </w:r>
    </w:p>
    <w:p w14:paraId="62974C2E" w14:textId="4309FB4B" w:rsidR="000B52BD" w:rsidRDefault="000B52BD" w:rsidP="00DB392C">
      <w:r w:rsidRPr="00510725">
        <w:t xml:space="preserve">The cg01379158 </w:t>
      </w:r>
      <w:r w:rsidR="00A0489D">
        <w:t>site</w:t>
      </w:r>
      <w:r w:rsidRPr="00510725">
        <w:t xml:space="preserve"> is located in the </w:t>
      </w:r>
      <w:r>
        <w:t>transcriptional start site</w:t>
      </w:r>
      <w:r w:rsidRPr="00510725">
        <w:t xml:space="preserve"> of the </w:t>
      </w:r>
      <w:r w:rsidRPr="00822E25">
        <w:rPr>
          <w:i/>
        </w:rPr>
        <w:t>NT5M</w:t>
      </w:r>
      <w:r w:rsidRPr="00510725">
        <w:t xml:space="preserve"> gene,</w:t>
      </w:r>
      <w:r>
        <w:t xml:space="preserve"> a gene involved in nucleotide metabolism. </w:t>
      </w:r>
      <w:r w:rsidRPr="00510725">
        <w:t>The gene is located on chromosome 17 in the Smith-</w:t>
      </w:r>
      <w:proofErr w:type="spellStart"/>
      <w:r w:rsidRPr="00510725">
        <w:t>Magenis</w:t>
      </w:r>
      <w:proofErr w:type="spellEnd"/>
      <w:r w:rsidRPr="00510725">
        <w:t xml:space="preserve"> syndrome-critical region</w:t>
      </w:r>
      <w:r>
        <w:t>,</w:t>
      </w:r>
      <w:r w:rsidRPr="00510725">
        <w:t xml:space="preserve"> </w:t>
      </w:r>
      <w:r>
        <w:t>which</w:t>
      </w:r>
      <w:r w:rsidRPr="00510725">
        <w:t xml:space="preserve"> is a rare condition characterised by inverse circadian rhythm and disturbed sleep</w:t>
      </w:r>
      <w:r>
        <w:t xml:space="preserve">, </w:t>
      </w:r>
      <w:r w:rsidRPr="00510725">
        <w:t xml:space="preserve">factors which have also been linked to </w:t>
      </w:r>
      <w:r>
        <w:t xml:space="preserve">child </w:t>
      </w:r>
      <w:r w:rsidRPr="00510725">
        <w:t xml:space="preserve">obesity </w:t>
      </w:r>
      <w:r w:rsidR="0063220B">
        <w:rPr>
          <w:noProof/>
        </w:rPr>
        <w:t>(49, 50)</w:t>
      </w:r>
      <w:r>
        <w:t xml:space="preserve">. </w:t>
      </w:r>
      <w:r w:rsidR="00392A65">
        <w:t xml:space="preserve">At this CpG site there was no evidence of differential </w:t>
      </w:r>
      <w:r>
        <w:t>methylat</w:t>
      </w:r>
      <w:r w:rsidR="00392A65">
        <w:t>ion</w:t>
      </w:r>
      <w:r>
        <w:t xml:space="preserve"> in the SWS cohort, and methylation at the </w:t>
      </w:r>
      <w:r w:rsidRPr="00F32BAE">
        <w:t>cg11531579</w:t>
      </w:r>
      <w:r>
        <w:t xml:space="preserve"> site was around half that observed in ALSPAC. </w:t>
      </w:r>
      <w:r w:rsidRPr="00B2078B">
        <w:t xml:space="preserve">There are </w:t>
      </w:r>
      <w:r>
        <w:t>several</w:t>
      </w:r>
      <w:r w:rsidRPr="00B2078B">
        <w:t xml:space="preserve"> </w:t>
      </w:r>
      <w:r>
        <w:t>possible</w:t>
      </w:r>
      <w:r w:rsidRPr="00B2078B">
        <w:t xml:space="preserve"> reasons</w:t>
      </w:r>
      <w:r>
        <w:t xml:space="preserve"> for this, such as the </w:t>
      </w:r>
      <w:r w:rsidR="00923669">
        <w:t>moderate</w:t>
      </w:r>
      <w:r w:rsidRPr="00B2078B">
        <w:t xml:space="preserve"> sample sizes,</w:t>
      </w:r>
      <w:r>
        <w:t xml:space="preserve"> or smaller </w:t>
      </w:r>
      <w:r w:rsidR="00E760CA">
        <w:t>proportion</w:t>
      </w:r>
      <w:r>
        <w:t xml:space="preserve"> of those who had rapid growth in the SWS. From the ALSPAC data it was evident that there is loss of methylation over time (age 7-17) at these loci in those with RWG, therefore as the SWS were also slightly older (+5 years) this may also explain less differential methylation. This</w:t>
      </w:r>
      <w:r w:rsidR="00392A65">
        <w:t xml:space="preserve"> may suggest</w:t>
      </w:r>
      <w:r>
        <w:t xml:space="preserve"> that a biomarker for early rapid growth </w:t>
      </w:r>
      <w:r w:rsidR="00392A65">
        <w:t>could</w:t>
      </w:r>
      <w:r>
        <w:t xml:space="preserve"> have greater utility in early childhood and warrants further investigation in younger cohorts. </w:t>
      </w:r>
    </w:p>
    <w:p w14:paraId="3228EFFD" w14:textId="052BCDDB" w:rsidR="004C0CD1" w:rsidRDefault="004C0CD1" w:rsidP="004C0CD1">
      <w:r w:rsidRPr="00510725">
        <w:t>There were no</w:t>
      </w:r>
      <w:r w:rsidR="0087194C">
        <w:t xml:space="preserve"> </w:t>
      </w:r>
      <w:r w:rsidRPr="00510725">
        <w:t xml:space="preserve">associations </w:t>
      </w:r>
      <w:r w:rsidR="008C47C3">
        <w:t>between previously reported BMI-related</w:t>
      </w:r>
      <w:r w:rsidR="008C47C3" w:rsidRPr="00510725">
        <w:t xml:space="preserve"> CpG </w:t>
      </w:r>
      <w:r w:rsidR="008C47C3">
        <w:t>sites and</w:t>
      </w:r>
      <w:r w:rsidR="0076218D">
        <w:t xml:space="preserve"> RWG or RT </w:t>
      </w:r>
      <w:r w:rsidRPr="00510725">
        <w:t>a</w:t>
      </w:r>
      <w:r w:rsidR="0076218D" w:rsidRPr="00594FDA">
        <w:t>rising from our</w:t>
      </w:r>
      <w:r w:rsidRPr="00594FDA">
        <w:t xml:space="preserve"> candidate</w:t>
      </w:r>
      <w:r w:rsidR="0076218D" w:rsidRPr="00594FDA">
        <w:t xml:space="preserve"> </w:t>
      </w:r>
      <w:r w:rsidR="002F7E26" w:rsidRPr="00594FDA">
        <w:t>analysis</w:t>
      </w:r>
      <w:r w:rsidRPr="00594FDA">
        <w:t xml:space="preserve">, which could be for various reasons. </w:t>
      </w:r>
      <w:r w:rsidR="003F3761" w:rsidRPr="00594FDA">
        <w:t xml:space="preserve">First, </w:t>
      </w:r>
      <w:bookmarkStart w:id="11" w:name="_Hlk18314940"/>
      <w:r w:rsidR="003F3761" w:rsidRPr="00594FDA">
        <w:t>t</w:t>
      </w:r>
      <w:r w:rsidRPr="00594FDA">
        <w:t xml:space="preserve">he candidate loci mapped to genes with specific roles, which could be different to the </w:t>
      </w:r>
      <w:r w:rsidR="003F3761" w:rsidRPr="00594FDA">
        <w:t xml:space="preserve">mechanisms </w:t>
      </w:r>
      <w:r w:rsidRPr="00594FDA">
        <w:t xml:space="preserve">and pathways of </w:t>
      </w:r>
      <w:r w:rsidR="003F3761" w:rsidRPr="00594FDA">
        <w:t>RWG</w:t>
      </w:r>
      <w:r w:rsidRPr="00594FDA">
        <w:t xml:space="preserve">. </w:t>
      </w:r>
      <w:r w:rsidR="00E50546" w:rsidRPr="00901082">
        <w:t>Secondly</w:t>
      </w:r>
      <w:r w:rsidR="00E50546" w:rsidRPr="00594FDA">
        <w:t xml:space="preserve">, although some of the associations have been replicated in pre-school children </w:t>
      </w:r>
      <w:r w:rsidR="00FD1B77">
        <w:rPr>
          <w:noProof/>
        </w:rPr>
        <w:t>(9)</w:t>
      </w:r>
      <w:r w:rsidR="00E50546" w:rsidRPr="00594FDA">
        <w:t xml:space="preserve">, </w:t>
      </w:r>
      <w:r w:rsidR="00E50546" w:rsidRPr="00594FDA">
        <w:lastRenderedPageBreak/>
        <w:t>primarily the candidate loci were relevan</w:t>
      </w:r>
      <w:r w:rsidR="00E50546" w:rsidRPr="00510725">
        <w:t xml:space="preserve">t to an adult population, whereas this cohort were </w:t>
      </w:r>
      <w:r w:rsidR="00E50546">
        <w:t xml:space="preserve">sampled and analysed at a </w:t>
      </w:r>
      <w:r w:rsidR="00E50546" w:rsidRPr="00510725">
        <w:t>much younger</w:t>
      </w:r>
      <w:r w:rsidR="00E50546">
        <w:t xml:space="preserve"> age</w:t>
      </w:r>
      <w:r w:rsidR="00E50546" w:rsidRPr="00510725">
        <w:t>.</w:t>
      </w:r>
      <w:r w:rsidR="00E360B9">
        <w:t xml:space="preserve"> </w:t>
      </w:r>
      <w:r w:rsidR="00E50546">
        <w:t>F</w:t>
      </w:r>
      <w:r w:rsidR="00E360B9">
        <w:t>inally</w:t>
      </w:r>
      <w:r w:rsidR="003F3761">
        <w:t xml:space="preserve">, RWG has </w:t>
      </w:r>
      <w:r w:rsidRPr="00510725">
        <w:t>been associated with subsequent changes in BMI</w:t>
      </w:r>
      <w:r w:rsidR="003F3761">
        <w:t>, w</w:t>
      </w:r>
      <w:r w:rsidRPr="00510725">
        <w:t>hereas,</w:t>
      </w:r>
      <w:r w:rsidR="003F3761">
        <w:t xml:space="preserve"> </w:t>
      </w:r>
      <w:r w:rsidR="0076218D">
        <w:t>Wahl and colleagues</w:t>
      </w:r>
      <w:r w:rsidR="003F3761">
        <w:t xml:space="preserve"> </w:t>
      </w:r>
      <w:r w:rsidR="00594FDA">
        <w:t>conclude</w:t>
      </w:r>
      <w:r w:rsidR="008C47C3" w:rsidRPr="00510725">
        <w:t xml:space="preserve"> </w:t>
      </w:r>
      <w:r w:rsidRPr="00510725">
        <w:t xml:space="preserve">that the </w:t>
      </w:r>
      <w:bookmarkEnd w:id="11"/>
      <w:r w:rsidRPr="00510725">
        <w:t xml:space="preserve">majority of the </w:t>
      </w:r>
      <w:r w:rsidR="0076218D">
        <w:t xml:space="preserve">identified BMI-related </w:t>
      </w:r>
      <w:proofErr w:type="spellStart"/>
      <w:r w:rsidRPr="00510725">
        <w:t>CpGs</w:t>
      </w:r>
      <w:proofErr w:type="spellEnd"/>
      <w:r w:rsidRPr="00510725">
        <w:t xml:space="preserve"> were a consequence (rather than a cause) of changes in BMI </w:t>
      </w:r>
      <w:r w:rsidR="000862ED">
        <w:rPr>
          <w:noProof/>
        </w:rPr>
        <w:t>(12)</w:t>
      </w:r>
      <w:r w:rsidRPr="00510725">
        <w:t xml:space="preserve">. </w:t>
      </w:r>
      <w:r w:rsidR="00ED1BEE">
        <w:t>Thus</w:t>
      </w:r>
      <w:r w:rsidR="006A73DC">
        <w:t>,</w:t>
      </w:r>
      <w:r w:rsidR="00ED1BEE" w:rsidRPr="00510725">
        <w:t xml:space="preserve"> </w:t>
      </w:r>
      <w:r w:rsidRPr="00510725">
        <w:t xml:space="preserve">if </w:t>
      </w:r>
      <w:r w:rsidR="003F3761">
        <w:t xml:space="preserve">rapid growth was </w:t>
      </w:r>
      <w:r w:rsidRPr="00510725">
        <w:t xml:space="preserve">associated with DNA changes in this subset of </w:t>
      </w:r>
      <w:proofErr w:type="spellStart"/>
      <w:r w:rsidRPr="00510725">
        <w:t>CpG</w:t>
      </w:r>
      <w:r w:rsidR="00827A3B">
        <w:t>s</w:t>
      </w:r>
      <w:proofErr w:type="spellEnd"/>
      <w:r w:rsidRPr="00510725">
        <w:t xml:space="preserve">, this </w:t>
      </w:r>
      <w:r w:rsidR="00436603">
        <w:t xml:space="preserve">perhaps </w:t>
      </w:r>
      <w:r w:rsidRPr="00510725">
        <w:t xml:space="preserve">would have been </w:t>
      </w:r>
      <w:r w:rsidR="00436603">
        <w:t xml:space="preserve">more likely to have been </w:t>
      </w:r>
      <w:r w:rsidRPr="00510725">
        <w:t>a</w:t>
      </w:r>
      <w:r w:rsidR="00436603">
        <w:t>s a</w:t>
      </w:r>
      <w:r w:rsidRPr="00510725">
        <w:t xml:space="preserve"> </w:t>
      </w:r>
      <w:r w:rsidR="005B47CF">
        <w:t>consequence</w:t>
      </w:r>
      <w:r w:rsidRPr="00510725">
        <w:t xml:space="preserve"> </w:t>
      </w:r>
      <w:r w:rsidR="005B47CF" w:rsidRPr="005B47CF">
        <w:t>of changes in BMI</w:t>
      </w:r>
      <w:r w:rsidRPr="00510725">
        <w:t xml:space="preserve">. </w:t>
      </w:r>
      <w:r w:rsidR="00436603">
        <w:t>Indeed, c</w:t>
      </w:r>
      <w:r w:rsidR="00E360B9">
        <w:t>urrent</w:t>
      </w:r>
      <w:r w:rsidR="00C66908">
        <w:t xml:space="preserve"> evidence suggests</w:t>
      </w:r>
      <w:r w:rsidR="00E360B9">
        <w:t xml:space="preserve"> that the direction of the effect is from BMI to </w:t>
      </w:r>
      <w:proofErr w:type="spellStart"/>
      <w:r w:rsidR="00E360B9">
        <w:t>DNAm</w:t>
      </w:r>
      <w:proofErr w:type="spellEnd"/>
      <w:r w:rsidR="00F3529E">
        <w:t xml:space="preserve"> </w:t>
      </w:r>
      <w:r w:rsidR="0063220B">
        <w:rPr>
          <w:noProof/>
        </w:rPr>
        <w:t>(12, 51)</w:t>
      </w:r>
      <w:r w:rsidR="00E360B9">
        <w:t xml:space="preserve">, </w:t>
      </w:r>
      <w:r w:rsidR="00530CE4">
        <w:t xml:space="preserve">therefore </w:t>
      </w:r>
      <w:r w:rsidR="00901082">
        <w:t>RWG</w:t>
      </w:r>
      <w:r w:rsidR="00E360B9">
        <w:t xml:space="preserve"> (i.e. early life increases in BMI) </w:t>
      </w:r>
      <w:r w:rsidR="00F3529E">
        <w:t xml:space="preserve">associated </w:t>
      </w:r>
      <w:proofErr w:type="spellStart"/>
      <w:r w:rsidR="00F3529E">
        <w:t>DNAm</w:t>
      </w:r>
      <w:proofErr w:type="spellEnd"/>
      <w:r w:rsidR="00F3529E">
        <w:t xml:space="preserve"> changes </w:t>
      </w:r>
      <w:r w:rsidR="00E360B9">
        <w:t xml:space="preserve">may also be consequential of </w:t>
      </w:r>
      <w:r w:rsidR="00594FDA">
        <w:t xml:space="preserve">the </w:t>
      </w:r>
      <w:r w:rsidR="00E360B9">
        <w:t xml:space="preserve">phenotype rather than causal. </w:t>
      </w:r>
    </w:p>
    <w:p w14:paraId="1EF7B91E" w14:textId="72102460" w:rsidR="00C03893" w:rsidRPr="00C169AB" w:rsidRDefault="00441DE5">
      <w:r w:rsidRPr="00C169AB">
        <w:t xml:space="preserve">Similar to </w:t>
      </w:r>
      <w:r w:rsidR="00F70BA1">
        <w:t xml:space="preserve">Reed </w:t>
      </w:r>
      <w:r w:rsidR="00F70BA1" w:rsidRPr="00822E25">
        <w:rPr>
          <w:i/>
        </w:rPr>
        <w:t xml:space="preserve">et </w:t>
      </w:r>
      <w:proofErr w:type="gramStart"/>
      <w:r w:rsidR="00F70BA1" w:rsidRPr="00822E25">
        <w:rPr>
          <w:i/>
        </w:rPr>
        <w:t>al,.</w:t>
      </w:r>
      <w:proofErr w:type="gramEnd"/>
      <w:r w:rsidR="00F70BA1">
        <w:t xml:space="preserve"> </w:t>
      </w:r>
      <w:r w:rsidR="0063220B">
        <w:rPr>
          <w:noProof/>
        </w:rPr>
        <w:t>(51)</w:t>
      </w:r>
      <w:r w:rsidRPr="00C169AB">
        <w:t xml:space="preserve">, we did not identify strong direct </w:t>
      </w:r>
      <w:r w:rsidRPr="00901082">
        <w:t>associations between childhood</w:t>
      </w:r>
      <w:r w:rsidR="00F3529E" w:rsidRPr="00901082">
        <w:t xml:space="preserve"> methylation at these </w:t>
      </w:r>
      <w:proofErr w:type="spellStart"/>
      <w:r w:rsidR="00402349">
        <w:t>CpGs</w:t>
      </w:r>
      <w:proofErr w:type="spellEnd"/>
      <w:r w:rsidR="00F3529E" w:rsidRPr="00901082">
        <w:t xml:space="preserve"> </w:t>
      </w:r>
      <w:r w:rsidRPr="00901082">
        <w:t>and later BMI</w:t>
      </w:r>
      <w:r w:rsidR="007D4C1B">
        <w:t>. T</w:t>
      </w:r>
      <w:r w:rsidR="00594FDA" w:rsidRPr="00901082">
        <w:t>hey</w:t>
      </w:r>
      <w:r w:rsidRPr="00901082">
        <w:t xml:space="preserve"> did however identify associations between </w:t>
      </w:r>
      <w:r w:rsidR="00594FDA" w:rsidRPr="00C169AB">
        <w:t xml:space="preserve">a </w:t>
      </w:r>
      <w:proofErr w:type="spellStart"/>
      <w:r w:rsidRPr="00901082">
        <w:t>DNAm</w:t>
      </w:r>
      <w:proofErr w:type="spellEnd"/>
      <w:r w:rsidRPr="00901082">
        <w:t xml:space="preserve"> score for BMI and health outcomes </w:t>
      </w:r>
      <w:r w:rsidR="00594FDA" w:rsidRPr="00C169AB">
        <w:t>where</w:t>
      </w:r>
      <w:r w:rsidRPr="00901082">
        <w:t xml:space="preserve"> BMI is a risk factor, suggesting methylation may have more utility as a biomarker of</w:t>
      </w:r>
      <w:r w:rsidR="00B35153">
        <w:t xml:space="preserve"> BMI-related morbidity</w:t>
      </w:r>
      <w:r w:rsidRPr="00901082">
        <w:t xml:space="preserve"> than </w:t>
      </w:r>
      <w:r w:rsidR="00B35153">
        <w:t xml:space="preserve">as </w:t>
      </w:r>
      <w:r w:rsidRPr="00901082">
        <w:t>a predictor of BMI</w:t>
      </w:r>
      <w:r w:rsidR="007D4C1B">
        <w:t xml:space="preserve"> </w:t>
      </w:r>
      <w:r w:rsidR="00B35153">
        <w:t xml:space="preserve">itself </w:t>
      </w:r>
      <w:r w:rsidR="0063220B">
        <w:rPr>
          <w:noProof/>
        </w:rPr>
        <w:t>(51)</w:t>
      </w:r>
      <w:r w:rsidRPr="00D16A3E">
        <w:t>.</w:t>
      </w:r>
      <w:r w:rsidR="00C169AB">
        <w:t xml:space="preserve"> </w:t>
      </w:r>
    </w:p>
    <w:p w14:paraId="33C1E678" w14:textId="77777777" w:rsidR="00C03893" w:rsidRPr="00510725" w:rsidRDefault="00C03893" w:rsidP="004C0CD1"/>
    <w:p w14:paraId="7497B69E" w14:textId="1EC7DDC4" w:rsidR="00DB392C" w:rsidRDefault="00DB392C" w:rsidP="00DB392C">
      <w:pPr>
        <w:pStyle w:val="Heading3"/>
      </w:pPr>
      <w:r>
        <w:t>Strengths</w:t>
      </w:r>
      <w:r w:rsidR="004C0CD1">
        <w:t xml:space="preserve"> and limitations </w:t>
      </w:r>
    </w:p>
    <w:p w14:paraId="721202A7" w14:textId="5B2DE502" w:rsidR="005547C4" w:rsidRPr="0037122C" w:rsidRDefault="00254F80" w:rsidP="00D51B1B">
      <w:pPr>
        <w:rPr>
          <w:shd w:val="clear" w:color="auto" w:fill="FFFFFF"/>
        </w:rPr>
      </w:pPr>
      <w:r>
        <w:rPr>
          <w:shd w:val="clear" w:color="auto" w:fill="FFFFFF"/>
        </w:rPr>
        <w:t>A limitation of our study is the small sample size</w:t>
      </w:r>
      <w:r w:rsidR="000B52BD" w:rsidRPr="000B52BD">
        <w:t>, however despite this</w:t>
      </w:r>
      <w:r w:rsidR="00B35153">
        <w:t>,</w:t>
      </w:r>
      <w:r w:rsidR="000B52BD" w:rsidRPr="000B52BD">
        <w:t xml:space="preserve"> results were independently replicated at 1 of the </w:t>
      </w:r>
      <w:proofErr w:type="spellStart"/>
      <w:r w:rsidR="000B52BD" w:rsidRPr="000B52BD">
        <w:t>CpGs</w:t>
      </w:r>
      <w:proofErr w:type="spellEnd"/>
      <w:r w:rsidR="000B52BD" w:rsidRPr="000B52BD">
        <w:t xml:space="preserve">. </w:t>
      </w:r>
      <w:r w:rsidRPr="00254F80">
        <w:t xml:space="preserve"> </w:t>
      </w:r>
      <w:r w:rsidR="000B52BD">
        <w:t>I</w:t>
      </w:r>
      <w:r>
        <w:t xml:space="preserve">t </w:t>
      </w:r>
      <w:r w:rsidRPr="0037122C">
        <w:t xml:space="preserve">will be </w:t>
      </w:r>
      <w:r w:rsidR="00F70BA1">
        <w:t xml:space="preserve">important to replicate these findings in </w:t>
      </w:r>
      <w:r w:rsidR="00F70BA1" w:rsidRPr="00510725">
        <w:t xml:space="preserve">other cohorts with </w:t>
      </w:r>
      <w:r w:rsidR="000B52BD">
        <w:t xml:space="preserve">much </w:t>
      </w:r>
      <w:r w:rsidR="00F70BA1" w:rsidRPr="00510725">
        <w:t>larger sample siz</w:t>
      </w:r>
      <w:r w:rsidR="00F70BA1">
        <w:t>es</w:t>
      </w:r>
      <w:r w:rsidR="000B52BD">
        <w:t xml:space="preserve"> and a range of ages</w:t>
      </w:r>
      <w:r w:rsidR="00F70BA1">
        <w:t xml:space="preserve">. </w:t>
      </w:r>
      <w:r w:rsidR="000B52BD">
        <w:t>This study has a number of strengths, principally</w:t>
      </w:r>
      <w:r w:rsidR="000B52BD" w:rsidDel="000B52BD">
        <w:t xml:space="preserve"> </w:t>
      </w:r>
      <w:r w:rsidR="00F70BA1">
        <w:t xml:space="preserve">the </w:t>
      </w:r>
      <w:r w:rsidR="00F70BA1">
        <w:rPr>
          <w:shd w:val="clear" w:color="auto" w:fill="FFFFFF"/>
        </w:rPr>
        <w:t>rare combination of detailed early life phenotypic and anthropometric data, as well as epigenetic data</w:t>
      </w:r>
      <w:r w:rsidR="00BC275A">
        <w:rPr>
          <w:shd w:val="clear" w:color="auto" w:fill="FFFFFF"/>
        </w:rPr>
        <w:t>,</w:t>
      </w:r>
      <w:r w:rsidR="00F70BA1">
        <w:rPr>
          <w:shd w:val="clear" w:color="auto" w:fill="FFFFFF"/>
        </w:rPr>
        <w:t xml:space="preserve"> as </w:t>
      </w:r>
      <w:r w:rsidR="00F70BA1">
        <w:t>cohorts with longitudinal and epigenetic data of this nature are</w:t>
      </w:r>
      <w:r w:rsidR="00F70BA1" w:rsidRPr="00237D80">
        <w:t xml:space="preserve"> </w:t>
      </w:r>
      <w:r w:rsidR="00F70BA1">
        <w:t>scarce.</w:t>
      </w:r>
      <w:r w:rsidRPr="0037122C">
        <w:t xml:space="preserve"> </w:t>
      </w:r>
      <w:r w:rsidR="00775D55" w:rsidRPr="0037122C">
        <w:t>O</w:t>
      </w:r>
      <w:r w:rsidRPr="0037122C">
        <w:t>ther</w:t>
      </w:r>
      <w:r>
        <w:t xml:space="preserve"> studies </w:t>
      </w:r>
      <w:r w:rsidR="00775D55">
        <w:t xml:space="preserve">will undoubtedly </w:t>
      </w:r>
      <w:r>
        <w:t xml:space="preserve">also be limited </w:t>
      </w:r>
      <w:r w:rsidR="0032024B">
        <w:t xml:space="preserve">by </w:t>
      </w:r>
      <w:r>
        <w:t xml:space="preserve">the lack of </w:t>
      </w:r>
      <w:r w:rsidR="00984490">
        <w:t xml:space="preserve">available </w:t>
      </w:r>
      <w:r>
        <w:t xml:space="preserve">early life weight </w:t>
      </w:r>
      <w:r w:rsidR="00775D55">
        <w:t>measures, and future birth cohort studies should strive to collect these vital data.</w:t>
      </w:r>
      <w:r w:rsidR="00C1070B">
        <w:t xml:space="preserve"> </w:t>
      </w:r>
      <w:r w:rsidR="00F70BA1">
        <w:t>W</w:t>
      </w:r>
      <w:r>
        <w:t>hilst our analysis may have been underpowered,</w:t>
      </w:r>
      <w:r w:rsidRPr="00510725">
        <w:t xml:space="preserve"> robust associations were still identified</w:t>
      </w:r>
      <w:r>
        <w:t>, although</w:t>
      </w:r>
      <w:r w:rsidR="00775D55">
        <w:t xml:space="preserve"> it is possible that other differentially methylated</w:t>
      </w:r>
      <w:r>
        <w:t xml:space="preserve"> </w:t>
      </w:r>
      <w:r w:rsidR="00775D55">
        <w:t>sites</w:t>
      </w:r>
      <w:r>
        <w:t xml:space="preserve"> may have been missed. </w:t>
      </w:r>
    </w:p>
    <w:p w14:paraId="7B45D351" w14:textId="381716CB" w:rsidR="00DB392C" w:rsidRDefault="007D3D66" w:rsidP="00D51B1B">
      <w:r>
        <w:t>Here we investigated RWG in the first year, however t</w:t>
      </w:r>
      <w:r w:rsidR="00ED1BEE" w:rsidRPr="00381CBB">
        <w:t xml:space="preserve">he entire childhood period could also be a critical period for growth and development of obesity </w:t>
      </w:r>
      <w:r w:rsidR="0063220B">
        <w:rPr>
          <w:noProof/>
        </w:rPr>
        <w:t>(52)</w:t>
      </w:r>
      <w:r w:rsidR="00ED1BEE" w:rsidRPr="00381CBB">
        <w:t xml:space="preserve">. </w:t>
      </w:r>
      <w:r w:rsidR="00ED1BEE" w:rsidRPr="003F3761">
        <w:t xml:space="preserve">There is the possibility that associations </w:t>
      </w:r>
      <w:r w:rsidR="00ED1BEE" w:rsidRPr="003F3761">
        <w:lastRenderedPageBreak/>
        <w:t xml:space="preserve">may be stronger in early life (before age 7), closer to the timing of the exposure, although this is not possible to test without multiple measures of </w:t>
      </w:r>
      <w:proofErr w:type="spellStart"/>
      <w:r w:rsidR="00ED1BEE" w:rsidRPr="003F3761">
        <w:t>DNAm</w:t>
      </w:r>
      <w:proofErr w:type="spellEnd"/>
      <w:r w:rsidR="00ED1BEE" w:rsidRPr="003F3761">
        <w:t xml:space="preserve"> throughout childhood.</w:t>
      </w:r>
    </w:p>
    <w:p w14:paraId="2A0CA81A" w14:textId="1D37B7C4" w:rsidR="00C55A21" w:rsidRPr="00381CBB" w:rsidRDefault="0063220B" w:rsidP="00C55A21">
      <w:r w:rsidRPr="0063220B">
        <w:t xml:space="preserve">There were differences in the associations identified in the models with and without adjustment for cell types. </w:t>
      </w:r>
      <w:r w:rsidR="002238AA" w:rsidRPr="00510725">
        <w:t xml:space="preserve">Whole blood represents a mixed cell population with varying proportions of white blood cells. </w:t>
      </w:r>
      <w:r w:rsidR="002238AA" w:rsidRPr="00716950">
        <w:t>Phenotypic variation in cell-type composition could confound analyses, or it could also represent an important physiological change in response to an exposure or disease, which may be related to the phenotype of interest. Obesity is an acknowledged chronic, inflammatory condition</w:t>
      </w:r>
      <w:r w:rsidR="00C169AB">
        <w:t>, and</w:t>
      </w:r>
      <w:r w:rsidR="002238AA" w:rsidRPr="00716950">
        <w:t xml:space="preserve"> has been associated with inflammatory indicators including C-reactive protein </w:t>
      </w:r>
      <w:r>
        <w:rPr>
          <w:noProof/>
        </w:rPr>
        <w:t>(53)</w:t>
      </w:r>
      <w:r w:rsidR="002238AA" w:rsidRPr="00716950">
        <w:t xml:space="preserve"> and white blood cell counts </w:t>
      </w:r>
      <w:r>
        <w:rPr>
          <w:noProof/>
        </w:rPr>
        <w:t>(54, 55)</w:t>
      </w:r>
      <w:r w:rsidR="002238AA" w:rsidRPr="00716950">
        <w:t>.</w:t>
      </w:r>
      <w:r w:rsidR="002238AA" w:rsidRPr="00437362">
        <w:t xml:space="preserve"> </w:t>
      </w:r>
      <w:r w:rsidR="002238AA" w:rsidRPr="00716950">
        <w:t xml:space="preserve">When </w:t>
      </w:r>
      <w:r w:rsidR="002238AA">
        <w:t>investigating</w:t>
      </w:r>
      <w:r w:rsidR="002238AA" w:rsidRPr="00716950">
        <w:t xml:space="preserve"> biomarkers (related to an exposure) that are associated with a</w:t>
      </w:r>
      <w:r w:rsidR="002238AA">
        <w:t>n inflammatory</w:t>
      </w:r>
      <w:r w:rsidR="002238AA" w:rsidRPr="00716950">
        <w:t xml:space="preserve"> disease outcome, to re</w:t>
      </w:r>
      <w:r w:rsidR="002238AA">
        <w:t>move</w:t>
      </w:r>
      <w:r w:rsidR="002238AA" w:rsidRPr="00716950">
        <w:t xml:space="preserve"> variation from cell counts could potential</w:t>
      </w:r>
      <w:r w:rsidR="00240E1D">
        <w:t>ly</w:t>
      </w:r>
      <w:r w:rsidR="002238AA" w:rsidRPr="00716950">
        <w:t xml:space="preserve"> disregard important loci.</w:t>
      </w:r>
      <w:r w:rsidR="00240E1D" w:rsidRPr="00240E1D">
        <w:t xml:space="preserve"> </w:t>
      </w:r>
    </w:p>
    <w:p w14:paraId="16BA9D09" w14:textId="1CDB146F" w:rsidR="002238AA" w:rsidRPr="00DA3765" w:rsidRDefault="0037122C" w:rsidP="002238AA">
      <w:pPr>
        <w:rPr>
          <w:szCs w:val="22"/>
        </w:rPr>
      </w:pPr>
      <w:r>
        <w:t xml:space="preserve">We utilised </w:t>
      </w:r>
      <w:r w:rsidRPr="00510725">
        <w:t>SVA</w:t>
      </w:r>
      <w:r>
        <w:t xml:space="preserve"> and ISVA </w:t>
      </w:r>
      <w:r w:rsidRPr="00510725">
        <w:t>to remove unwanted variation</w:t>
      </w:r>
      <w:r>
        <w:t xml:space="preserve"> f</w:t>
      </w:r>
      <w:r w:rsidR="00BC275A">
        <w:t>rom</w:t>
      </w:r>
      <w:r>
        <w:t xml:space="preserve"> co</w:t>
      </w:r>
      <w:r w:rsidR="00BC275A">
        <w:t>nfounders</w:t>
      </w:r>
      <w:r>
        <w:t xml:space="preserve"> (</w:t>
      </w:r>
      <w:r w:rsidRPr="00510725">
        <w:t>which cannot always be adequately corrected for</w:t>
      </w:r>
      <w:r>
        <w:t>),</w:t>
      </w:r>
      <w:r w:rsidRPr="00510725">
        <w:t xml:space="preserve"> whilst retaining differences due to </w:t>
      </w:r>
      <w:r>
        <w:t xml:space="preserve">the exposure of interest </w:t>
      </w:r>
      <w:r w:rsidR="0063220B">
        <w:rPr>
          <w:noProof/>
        </w:rPr>
        <w:t>(56)</w:t>
      </w:r>
      <w:r>
        <w:t>. SVA</w:t>
      </w:r>
      <w:r w:rsidRPr="00510725">
        <w:t xml:space="preserve"> finds sources of variation from the methylation data itself, and models these as linearly uncorrelated singular vectors (surrogate variables) </w:t>
      </w:r>
      <w:r>
        <w:t xml:space="preserve">which </w:t>
      </w:r>
      <w:r w:rsidRPr="00510725">
        <w:t xml:space="preserve">are then included as covariates in the regression model </w:t>
      </w:r>
      <w:r>
        <w:rPr>
          <w:noProof/>
        </w:rPr>
        <w:t>(33)</w:t>
      </w:r>
      <w:r w:rsidRPr="00510725">
        <w:t>. ISVA is a modified version of SVA where surrogate variables are deemed independent. In support of ISVA, known confounding factors such as age and batch are linearly uncorrelated statistically independent variables, therefore it</w:t>
      </w:r>
      <w:r>
        <w:t xml:space="preserve"> would be</w:t>
      </w:r>
      <w:r w:rsidRPr="00510725">
        <w:t xml:space="preserve"> appropriate to model these as independent variables. ISVA was shown to perform best at capturing a known specific biological signature when compared to other adjustment methods </w:t>
      </w:r>
      <w:r>
        <w:rPr>
          <w:noProof/>
        </w:rPr>
        <w:t>(34)</w:t>
      </w:r>
      <w:r w:rsidR="00DA3765">
        <w:t xml:space="preserve">, although this </w:t>
      </w:r>
      <w:r w:rsidRPr="00510725">
        <w:t xml:space="preserve">may not hold true for all datasets </w:t>
      </w:r>
      <w:r w:rsidR="0063220B">
        <w:rPr>
          <w:noProof/>
        </w:rPr>
        <w:t>(34, 57)</w:t>
      </w:r>
      <w:r w:rsidRPr="00510725">
        <w:t>. A thorough</w:t>
      </w:r>
      <w:r>
        <w:t xml:space="preserve"> simulation</w:t>
      </w:r>
      <w:r w:rsidRPr="00510725">
        <w:t xml:space="preserve"> study compar</w:t>
      </w:r>
      <w:r>
        <w:t>ing</w:t>
      </w:r>
      <w:r w:rsidRPr="00510725">
        <w:t xml:space="preserve"> each of the common </w:t>
      </w:r>
      <w:r>
        <w:t xml:space="preserve">adjustment </w:t>
      </w:r>
      <w:r w:rsidRPr="00510725">
        <w:t xml:space="preserve">methods (Houseman’s reference-based method, </w:t>
      </w:r>
      <w:proofErr w:type="spellStart"/>
      <w:r w:rsidRPr="00510725">
        <w:t>RefFreeEWAS</w:t>
      </w:r>
      <w:proofErr w:type="spellEnd"/>
      <w:r w:rsidRPr="00510725">
        <w:t xml:space="preserve">, SVA, ISVA, </w:t>
      </w:r>
      <w:proofErr w:type="spellStart"/>
      <w:r w:rsidRPr="00510725">
        <w:t>EWASher</w:t>
      </w:r>
      <w:proofErr w:type="spellEnd"/>
      <w:r w:rsidRPr="00510725">
        <w:t xml:space="preserve"> and RUV)</w:t>
      </w:r>
      <w:r>
        <w:t xml:space="preserve"> and</w:t>
      </w:r>
      <w:r w:rsidRPr="00510725">
        <w:t xml:space="preserve"> </w:t>
      </w:r>
      <w:r>
        <w:t>found</w:t>
      </w:r>
      <w:r w:rsidRPr="00510725">
        <w:t xml:space="preserve"> no method performed perfectly for all </w:t>
      </w:r>
      <w:proofErr w:type="gramStart"/>
      <w:r w:rsidRPr="00510725">
        <w:t xml:space="preserve">parameters, </w:t>
      </w:r>
      <w:r>
        <w:t>but</w:t>
      </w:r>
      <w:proofErr w:type="gramEnd"/>
      <w:r w:rsidRPr="00510725">
        <w:t xml:space="preserve"> concluded SVA was most robust (and ‘safest’) </w:t>
      </w:r>
      <w:r w:rsidR="0063220B">
        <w:rPr>
          <w:noProof/>
        </w:rPr>
        <w:t>(58)</w:t>
      </w:r>
      <w:r w:rsidRPr="00510725">
        <w:t>. In summary,</w:t>
      </w:r>
      <w:r>
        <w:t xml:space="preserve"> </w:t>
      </w:r>
      <w:r w:rsidRPr="00510725">
        <w:t>as high</w:t>
      </w:r>
      <w:r w:rsidR="00DA3765">
        <w:t xml:space="preserve">-performing adjustment methods </w:t>
      </w:r>
      <w:r w:rsidRPr="00510725">
        <w:t>both were utilised in these analyses</w:t>
      </w:r>
      <w:r w:rsidRPr="00984490">
        <w:rPr>
          <w:szCs w:val="22"/>
        </w:rPr>
        <w:t xml:space="preserve">. </w:t>
      </w:r>
    </w:p>
    <w:p w14:paraId="366C0E23" w14:textId="77777777" w:rsidR="00DB392C" w:rsidRDefault="00DB392C" w:rsidP="00DB392C">
      <w:pPr>
        <w:pStyle w:val="Heading3"/>
      </w:pPr>
      <w:r>
        <w:lastRenderedPageBreak/>
        <w:t>Conclusion</w:t>
      </w:r>
    </w:p>
    <w:p w14:paraId="42D937F1" w14:textId="5AB17B13" w:rsidR="007B65B7" w:rsidRPr="006F3C05" w:rsidRDefault="00C1070B">
      <w:r>
        <w:t>O</w:t>
      </w:r>
      <w:r w:rsidR="00DB392C">
        <w:t>ur finding</w:t>
      </w:r>
      <w:r w:rsidR="002238AA">
        <w:t xml:space="preserve">s suggest that </w:t>
      </w:r>
      <w:r w:rsidR="00E61B47">
        <w:t xml:space="preserve">differential </w:t>
      </w:r>
      <w:proofErr w:type="spellStart"/>
      <w:r w:rsidR="002238AA">
        <w:t>DNAm</w:t>
      </w:r>
      <w:proofErr w:type="spellEnd"/>
      <w:r w:rsidR="002238AA">
        <w:t xml:space="preserve"> at 2 </w:t>
      </w:r>
      <w:r w:rsidR="005E4842">
        <w:t xml:space="preserve">loci could be </w:t>
      </w:r>
      <w:r w:rsidR="00DB392C">
        <w:t>marker</w:t>
      </w:r>
      <w:r w:rsidR="005E4842">
        <w:t>s</w:t>
      </w:r>
      <w:r w:rsidR="00DB392C">
        <w:t xml:space="preserve"> of early </w:t>
      </w:r>
      <w:r w:rsidR="00183502">
        <w:t>weight gain</w:t>
      </w:r>
      <w:r w:rsidR="00DB392C">
        <w:t xml:space="preserve">. </w:t>
      </w:r>
      <w:r w:rsidR="005E4842">
        <w:t xml:space="preserve">At one </w:t>
      </w:r>
      <w:r w:rsidR="00A161A0">
        <w:t>CpG site,</w:t>
      </w:r>
      <w:r w:rsidR="005E4842">
        <w:t xml:space="preserve"> the highest levels of childhood methylation were in those who had RWG in early life and were subsequently </w:t>
      </w:r>
      <w:r w:rsidR="00095CE0">
        <w:t>overweight/obese</w:t>
      </w:r>
      <w:r w:rsidR="005E4842">
        <w:t xml:space="preserve"> in </w:t>
      </w:r>
      <w:r w:rsidR="00D16A3E">
        <w:t xml:space="preserve">childhood or </w:t>
      </w:r>
      <w:r w:rsidR="005E4842">
        <w:t xml:space="preserve">adolescence, therefore this </w:t>
      </w:r>
      <w:r w:rsidR="00A161A0">
        <w:t xml:space="preserve">site </w:t>
      </w:r>
      <w:r w:rsidR="005E4842">
        <w:t xml:space="preserve">may have use as a </w:t>
      </w:r>
      <w:r w:rsidR="003A48FE">
        <w:t>bio</w:t>
      </w:r>
      <w:r w:rsidR="005E4842">
        <w:t xml:space="preserve">marker of subsequent </w:t>
      </w:r>
      <w:r w:rsidR="00095CE0">
        <w:t>overweight/obes</w:t>
      </w:r>
      <w:r w:rsidR="00176A15">
        <w:t>ity</w:t>
      </w:r>
      <w:r w:rsidR="00D16A3E">
        <w:t xml:space="preserve"> in those who experience RWG</w:t>
      </w:r>
      <w:r w:rsidR="005E4842">
        <w:t xml:space="preserve">. </w:t>
      </w:r>
      <w:r w:rsidR="003C21A9" w:rsidRPr="00510725">
        <w:t xml:space="preserve">The EWAS </w:t>
      </w:r>
      <w:r w:rsidR="0056657E">
        <w:t>identified 2</w:t>
      </w:r>
      <w:r w:rsidR="0056657E" w:rsidRPr="00510725">
        <w:t xml:space="preserve"> </w:t>
      </w:r>
      <w:r w:rsidR="003C21A9" w:rsidRPr="00510725">
        <w:t>potentially important candidate sites, which could be the focus of further investigation.</w:t>
      </w:r>
      <w:r w:rsidR="005E4842">
        <w:t xml:space="preserve"> </w:t>
      </w:r>
      <w:r w:rsidR="0056657E">
        <w:t>Further work is</w:t>
      </w:r>
      <w:r w:rsidR="005E4842" w:rsidRPr="00510725">
        <w:t xml:space="preserve"> required to determine if </w:t>
      </w:r>
      <w:r w:rsidR="0056657E">
        <w:t xml:space="preserve">these </w:t>
      </w:r>
      <w:r w:rsidR="005E4842" w:rsidRPr="00510725">
        <w:t xml:space="preserve">CpG </w:t>
      </w:r>
      <w:r w:rsidR="00C169AB">
        <w:t xml:space="preserve">sites </w:t>
      </w:r>
      <w:r w:rsidR="005E4842" w:rsidRPr="00510725">
        <w:t>are consistently, differentially methylated in diff</w:t>
      </w:r>
      <w:r w:rsidR="00640B0F">
        <w:t xml:space="preserve">erent populations, time </w:t>
      </w:r>
      <w:r w:rsidR="003D1669">
        <w:t>points,</w:t>
      </w:r>
      <w:r w:rsidR="00640B0F">
        <w:t xml:space="preserve"> and </w:t>
      </w:r>
      <w:r w:rsidR="005E4842" w:rsidRPr="00510725">
        <w:t>ages.</w:t>
      </w:r>
      <w:r w:rsidR="005E4842">
        <w:t xml:space="preserve"> </w:t>
      </w:r>
    </w:p>
    <w:p w14:paraId="22CDB0B4" w14:textId="36F101F5" w:rsidR="00721CCD" w:rsidRPr="00923669" w:rsidRDefault="00721CCD" w:rsidP="00923669">
      <w:pPr>
        <w:spacing w:line="264" w:lineRule="auto"/>
      </w:pPr>
    </w:p>
    <w:p w14:paraId="37B64AF2" w14:textId="77777777" w:rsidR="007B65B7" w:rsidRDefault="007B65B7">
      <w:pPr>
        <w:spacing w:line="264" w:lineRule="auto"/>
        <w:rPr>
          <w:rFonts w:asciiTheme="majorHAnsi" w:eastAsiaTheme="majorEastAsia" w:hAnsiTheme="majorHAnsi" w:cstheme="majorBidi"/>
          <w:color w:val="2F5496" w:themeColor="accent1" w:themeShade="BF"/>
          <w:sz w:val="28"/>
          <w:szCs w:val="28"/>
        </w:rPr>
      </w:pPr>
      <w:r>
        <w:br w:type="page"/>
      </w:r>
    </w:p>
    <w:p w14:paraId="69D27A17" w14:textId="3764F921" w:rsidR="00EA273A" w:rsidRPr="00923669" w:rsidRDefault="00EA273A" w:rsidP="001D20F4">
      <w:pPr>
        <w:pStyle w:val="Heading2"/>
      </w:pPr>
      <w:r w:rsidRPr="00923669">
        <w:lastRenderedPageBreak/>
        <w:t>Declaration</w:t>
      </w:r>
    </w:p>
    <w:p w14:paraId="5B2BF4FA" w14:textId="25A9ED41" w:rsidR="006E3EC7" w:rsidRPr="00923669" w:rsidRDefault="006E3EC7" w:rsidP="006E3EC7">
      <w:pPr>
        <w:pStyle w:val="Heading3"/>
      </w:pPr>
      <w:r w:rsidRPr="00923669">
        <w:t>Acknowledgements</w:t>
      </w:r>
    </w:p>
    <w:p w14:paraId="1014630F" w14:textId="45E7F743" w:rsidR="006E3EC7" w:rsidRPr="00923669" w:rsidRDefault="006E3EC7" w:rsidP="006E3EC7">
      <w:r w:rsidRPr="00923669">
        <w:t xml:space="preserve">We are </w:t>
      </w:r>
      <w:r w:rsidR="009049DF" w:rsidRPr="00923669">
        <w:t xml:space="preserve">extremely </w:t>
      </w:r>
      <w:r w:rsidRPr="00923669">
        <w:t xml:space="preserve">grateful to all the participants who took part in the study, </w:t>
      </w:r>
      <w:r w:rsidR="009049DF" w:rsidRPr="00923669">
        <w:rPr>
          <w:iCs/>
          <w:szCs w:val="22"/>
        </w:rPr>
        <w:t xml:space="preserve">the midwives for their help in recruiting them, and the whole ALSPAC team, </w:t>
      </w:r>
      <w:r w:rsidRPr="00923669">
        <w:t xml:space="preserve">cohort administrators and all of </w:t>
      </w:r>
      <w:r w:rsidR="009049DF" w:rsidRPr="00923669">
        <w:t xml:space="preserve">the entire ALSPAC team </w:t>
      </w:r>
      <w:r w:rsidRPr="00923669">
        <w:t>involved in data collection</w:t>
      </w:r>
      <w:r w:rsidR="009049DF" w:rsidRPr="00923669">
        <w:t>,</w:t>
      </w:r>
      <w:r w:rsidR="009049DF" w:rsidRPr="00923669">
        <w:rPr>
          <w:iCs/>
          <w:szCs w:val="22"/>
        </w:rPr>
        <w:t xml:space="preserve"> which includes interviewers, computer and laboratory technicians, clerical workers, research scientists, volunteers, managers, receptionists and nurses</w:t>
      </w:r>
      <w:r w:rsidR="009049DF" w:rsidRPr="00923669">
        <w:rPr>
          <w:szCs w:val="22"/>
        </w:rPr>
        <w:t>.</w:t>
      </w:r>
    </w:p>
    <w:p w14:paraId="60191FB8" w14:textId="64D382EC" w:rsidR="006E3EC7" w:rsidRPr="00923669" w:rsidRDefault="00C22C89" w:rsidP="006E3EC7">
      <w:r w:rsidRPr="00923669">
        <w:t>The authors are grateful to the women of Southampton and their offspring who gave their time to take part in the Southampton Women’s Survey and to the research nurses and other staff who collected and processed the data.</w:t>
      </w:r>
    </w:p>
    <w:p w14:paraId="24A2D504" w14:textId="1CAFFB66" w:rsidR="006E3EC7" w:rsidRPr="00923669" w:rsidRDefault="006E3EC7" w:rsidP="006E3EC7">
      <w:pPr>
        <w:pStyle w:val="Heading3"/>
      </w:pPr>
      <w:r w:rsidRPr="00923669">
        <w:t>Funding</w:t>
      </w:r>
    </w:p>
    <w:p w14:paraId="1AB0BF8B" w14:textId="23AA0337" w:rsidR="002019F0" w:rsidRDefault="002019F0" w:rsidP="002019F0">
      <w:r w:rsidRPr="00923669">
        <w:t xml:space="preserve">The UK Medical Research Council and </w:t>
      </w:r>
      <w:proofErr w:type="spellStart"/>
      <w:r w:rsidRPr="00923669">
        <w:t>Wellcome</w:t>
      </w:r>
      <w:proofErr w:type="spellEnd"/>
      <w:r w:rsidRPr="00923669">
        <w:t xml:space="preserve"> (Grant ref: 217065/Z/19/Z) and the University of Bristol provide core support for ALSPAC. </w:t>
      </w:r>
      <w:r w:rsidRPr="006F3C05">
        <w:t xml:space="preserve">Methylation data in the ALSPAC cohort were generated as part of the UK BBSRC funded (BB/I025751/1 and BB/I025263/1) Accessible Resource for Integrated Epigenomic Studies (ARIES, </w:t>
      </w:r>
      <w:r w:rsidRPr="00923669">
        <w:t>http://www.ariesepigenomics</w:t>
      </w:r>
      <w:r>
        <w:t>.org.uk).</w:t>
      </w:r>
      <w:r w:rsidRPr="006F3C05">
        <w:t xml:space="preserve"> CLR is supported by the UK Medical Research Council Integrative Epidemiology Unit at the University of Bristol (Grant ref: MC_UU_00011/5).</w:t>
      </w:r>
      <w:r>
        <w:t xml:space="preserve"> Full details of ALSPAC grant funding can be found on the ALSPAC website (http://www.bristol.ac.uk/alspac/external/documents/grant-acknowledgements.pdf).</w:t>
      </w:r>
    </w:p>
    <w:p w14:paraId="09B10281" w14:textId="77777777" w:rsidR="002019F0" w:rsidRDefault="002019F0" w:rsidP="002019F0">
      <w:r>
        <w:t>The SWS is supported by grants from the Medical Research Council, National Institute for Health</w:t>
      </w:r>
    </w:p>
    <w:p w14:paraId="66B9BB85" w14:textId="77777777" w:rsidR="002019F0" w:rsidRDefault="002019F0" w:rsidP="002019F0">
      <w:r>
        <w:t>Research Southampton Biomedical Research Centre, University of Southampton and University</w:t>
      </w:r>
    </w:p>
    <w:p w14:paraId="7E5BC10B" w14:textId="77777777" w:rsidR="002019F0" w:rsidRDefault="002019F0" w:rsidP="002019F0">
      <w:r>
        <w:t>Hospital Southampton National Health Service Foundation Trust, and the European Union’s Seventh</w:t>
      </w:r>
    </w:p>
    <w:p w14:paraId="2109BA22" w14:textId="77777777" w:rsidR="002019F0" w:rsidRDefault="002019F0" w:rsidP="002019F0">
      <w:r>
        <w:t xml:space="preserve">Framework Programme (FP7/2007-2013), project </w:t>
      </w:r>
      <w:proofErr w:type="spellStart"/>
      <w:r>
        <w:t>EarlyNutrition</w:t>
      </w:r>
      <w:proofErr w:type="spellEnd"/>
      <w:r>
        <w:t xml:space="preserve"> (grant 289346). Study participants</w:t>
      </w:r>
    </w:p>
    <w:p w14:paraId="0D367D00" w14:textId="77777777" w:rsidR="002019F0" w:rsidRDefault="002019F0" w:rsidP="002019F0">
      <w:r>
        <w:t>were drawn from a cohort study funded by the Medical Research Council and the Dunhill Medical</w:t>
      </w:r>
    </w:p>
    <w:p w14:paraId="7E6629E2" w14:textId="77777777" w:rsidR="002019F0" w:rsidRDefault="002019F0" w:rsidP="002019F0">
      <w:r>
        <w:t>Trust.</w:t>
      </w:r>
    </w:p>
    <w:p w14:paraId="5C6E3E87" w14:textId="64BB0214" w:rsidR="00D55F28" w:rsidRDefault="00D55F28" w:rsidP="00D55F28">
      <w:r>
        <w:t xml:space="preserve">This publication is the work of the authors, who will serve as guarantors for the contents of this paper. This research was supported by a BBSRC DTP studentship (Grant ref: BB/M011186/1) at </w:t>
      </w:r>
      <w:r>
        <w:lastRenderedPageBreak/>
        <w:t xml:space="preserve">Newcastle University. CLR is supported by the UK Medical Research Council Integrative Epidemiology Unit at the University of Bristol (Grant ref: MC_UU_00011/5). KAL, EA and RM are part of an academic consortium that has received research funding from Abbott Nutrition, </w:t>
      </w:r>
      <w:proofErr w:type="spellStart"/>
      <w:r>
        <w:t>Nestec</w:t>
      </w:r>
      <w:proofErr w:type="spellEnd"/>
      <w:r>
        <w:t xml:space="preserve">, </w:t>
      </w:r>
      <w:proofErr w:type="spellStart"/>
      <w:r>
        <w:t>BenevolentAI</w:t>
      </w:r>
      <w:proofErr w:type="spellEnd"/>
      <w:r>
        <w:t xml:space="preserve"> Bio Ltd. and Danone. EA is supported by Diabetes UK (16/0005454). KAL is supported by NIHR Southampton Biomedical Research Centre (IS-BRC-1215-20004)), British Heart Foundation (RG/15/17/3174), and Diabetes UK (16/0005454).  KMG is supported by the UK Medical Research Council (MC_UU_12011/4), the National Institute for Health Research (NIHR Senior Investigator (NF-SI-0515-10042) and NIHR Southampton Biomedical Research Centre (IS-BRC-1215-20004)), the European Union (Erasmus+ Programme </w:t>
      </w:r>
      <w:proofErr w:type="spellStart"/>
      <w:r>
        <w:t>ImpENSA</w:t>
      </w:r>
      <w:proofErr w:type="spellEnd"/>
      <w:r>
        <w:t xml:space="preserve"> 598488-EPP-1-2018-1-DE-EPPKA2-CBHE-JP), British Heart Foundation (RG/15/17/3174),  the US National Institute On Aging of the National Institutes of Health (Award No. U24AG047867) and the UK ESRC and BBSRC (Award No. ES/M00919X/1).  KMG has received reimbursement for speaking at conferences sponsored by companies selling nutritional </w:t>
      </w:r>
      <w:proofErr w:type="gramStart"/>
      <w:r>
        <w:t>products, and</w:t>
      </w:r>
      <w:proofErr w:type="gramEnd"/>
      <w:r>
        <w:t xml:space="preserve"> is part of an academic consortium that has received research funding from Abbott Nutrition, </w:t>
      </w:r>
      <w:proofErr w:type="spellStart"/>
      <w:r>
        <w:t>Nestec</w:t>
      </w:r>
      <w:proofErr w:type="spellEnd"/>
      <w:r>
        <w:t xml:space="preserve">, </w:t>
      </w:r>
      <w:proofErr w:type="spellStart"/>
      <w:r>
        <w:t>BenevolentAI</w:t>
      </w:r>
      <w:proofErr w:type="spellEnd"/>
      <w:r>
        <w:t xml:space="preserve"> Bio Ltd. and Danone. MAH is supported by the British Heart </w:t>
      </w:r>
      <w:r w:rsidRPr="00923669">
        <w:t xml:space="preserve">Foundation. </w:t>
      </w:r>
    </w:p>
    <w:p w14:paraId="754BAB4E" w14:textId="77777777" w:rsidR="00923669" w:rsidRPr="00923669" w:rsidRDefault="00923669" w:rsidP="00D55F28"/>
    <w:p w14:paraId="23CE101F" w14:textId="4FB5E6A8" w:rsidR="00DF1976" w:rsidRPr="00923669" w:rsidRDefault="00D55F28" w:rsidP="00923669">
      <w:pPr>
        <w:pStyle w:val="Heading3"/>
      </w:pPr>
      <w:r w:rsidRPr="00923669">
        <w:t xml:space="preserve"> </w:t>
      </w:r>
      <w:r w:rsidR="00EA273A" w:rsidRPr="00923669">
        <w:t>Author information</w:t>
      </w:r>
    </w:p>
    <w:p w14:paraId="50E50AE3" w14:textId="783EFF1E" w:rsidR="006E3EC7" w:rsidRPr="006E3EC7" w:rsidRDefault="006E3EC7" w:rsidP="00EA273A">
      <w:pPr>
        <w:rPr>
          <w:b/>
        </w:rPr>
      </w:pPr>
      <w:r w:rsidRPr="006E3EC7">
        <w:rPr>
          <w:b/>
        </w:rPr>
        <w:t>Population Health Sciences, Newcastle University, Newcastle upon Tyne</w:t>
      </w:r>
    </w:p>
    <w:p w14:paraId="49022530" w14:textId="3276667D" w:rsidR="00EA273A" w:rsidRPr="00EA273A" w:rsidRDefault="00DF1976" w:rsidP="00EA273A">
      <w:proofErr w:type="spellStart"/>
      <w:r>
        <w:t>Natassia</w:t>
      </w:r>
      <w:proofErr w:type="spellEnd"/>
      <w:r>
        <w:t xml:space="preserve"> Robinson, </w:t>
      </w:r>
      <w:r w:rsidR="006E3EC7">
        <w:t>Heather Bro</w:t>
      </w:r>
      <w:r w:rsidR="00633F58">
        <w:t xml:space="preserve">wn, Mark Pearce, Viviana </w:t>
      </w:r>
      <w:proofErr w:type="spellStart"/>
      <w:r w:rsidR="00633F58">
        <w:t>Albani</w:t>
      </w:r>
      <w:proofErr w:type="spellEnd"/>
    </w:p>
    <w:p w14:paraId="33C3BCC9" w14:textId="17A88AB4" w:rsidR="00EA273A" w:rsidRPr="006E3EC7" w:rsidRDefault="00EA273A" w:rsidP="00EA273A">
      <w:pPr>
        <w:rPr>
          <w:b/>
        </w:rPr>
      </w:pPr>
      <w:r w:rsidRPr="006E3EC7">
        <w:rPr>
          <w:b/>
        </w:rPr>
        <w:t>Department of Applied Sciences</w:t>
      </w:r>
      <w:r w:rsidR="006E3EC7" w:rsidRPr="006E3EC7">
        <w:rPr>
          <w:b/>
        </w:rPr>
        <w:t>, Northumbria University, Newcastle upon Tyne</w:t>
      </w:r>
    </w:p>
    <w:p w14:paraId="1EE96E1A" w14:textId="71247BCB" w:rsidR="00EA273A" w:rsidRDefault="00EA273A" w:rsidP="00EA273A">
      <w:r w:rsidRPr="00EA273A">
        <w:t>Jill M</w:t>
      </w:r>
      <w:r w:rsidRPr="00EA273A">
        <w:rPr>
          <w:vertAlign w:val="superscript"/>
        </w:rPr>
        <w:t>c</w:t>
      </w:r>
      <w:r w:rsidRPr="00EA273A">
        <w:t>Kay</w:t>
      </w:r>
      <w:r>
        <w:t xml:space="preserve"> </w:t>
      </w:r>
    </w:p>
    <w:p w14:paraId="6A725999" w14:textId="6ED67F5C" w:rsidR="00633F58" w:rsidRPr="00633F58" w:rsidRDefault="00633F58" w:rsidP="00EA273A">
      <w:pPr>
        <w:rPr>
          <w:rFonts w:cstheme="minorHAnsi"/>
          <w:b/>
          <w:bCs/>
        </w:rPr>
      </w:pPr>
      <w:r w:rsidRPr="00633F58">
        <w:rPr>
          <w:rFonts w:cstheme="minorHAnsi"/>
          <w:b/>
          <w:bCs/>
        </w:rPr>
        <w:t>MRC Integrative Epidemiology Unit, Population Health Sciences, Bristol Medical School, University of Bristol, UK</w:t>
      </w:r>
    </w:p>
    <w:p w14:paraId="350A4A07" w14:textId="3980D7BC" w:rsidR="00633F58" w:rsidRDefault="00633F58" w:rsidP="00EA273A">
      <w:pPr>
        <w:rPr>
          <w:rFonts w:cstheme="minorHAnsi"/>
          <w:bCs/>
        </w:rPr>
      </w:pPr>
      <w:r>
        <w:rPr>
          <w:rFonts w:cstheme="minorHAnsi"/>
          <w:bCs/>
        </w:rPr>
        <w:t xml:space="preserve">Caroline L. </w:t>
      </w:r>
      <w:proofErr w:type="spellStart"/>
      <w:r>
        <w:rPr>
          <w:rFonts w:cstheme="minorHAnsi"/>
          <w:bCs/>
        </w:rPr>
        <w:t>Relton</w:t>
      </w:r>
      <w:proofErr w:type="spellEnd"/>
    </w:p>
    <w:p w14:paraId="77831700" w14:textId="77777777" w:rsidR="00DF1976" w:rsidRPr="0009160B" w:rsidRDefault="00DF1976" w:rsidP="00DF1976">
      <w:pPr>
        <w:rPr>
          <w:b/>
          <w:bCs/>
        </w:rPr>
      </w:pPr>
      <w:r w:rsidRPr="0009160B">
        <w:rPr>
          <w:b/>
          <w:bCs/>
        </w:rPr>
        <w:lastRenderedPageBreak/>
        <w:t xml:space="preserve">MRC </w:t>
      </w:r>
      <w:proofErr w:type="spellStart"/>
      <w:r w:rsidRPr="0009160B">
        <w:rPr>
          <w:b/>
          <w:bCs/>
        </w:rPr>
        <w:t>Lifecourse</w:t>
      </w:r>
      <w:proofErr w:type="spellEnd"/>
      <w:r w:rsidRPr="0009160B">
        <w:rPr>
          <w:b/>
          <w:bCs/>
        </w:rPr>
        <w:t xml:space="preserve"> Epidemiology Unit and NIHR Southampton Biomedical Research Centre, University of Southampton and University Hospital Southampton NHS Foundation Trust </w:t>
      </w:r>
    </w:p>
    <w:p w14:paraId="5B7B66CC" w14:textId="4C53FA57" w:rsidR="00DF1976" w:rsidRPr="00DF1976" w:rsidRDefault="00DF1976" w:rsidP="00DF1976">
      <w:r w:rsidRPr="00DF1976">
        <w:t>Keith M</w:t>
      </w:r>
      <w:r w:rsidRPr="00DF1976">
        <w:tab/>
        <w:t>Godfrey</w:t>
      </w:r>
      <w:r w:rsidRPr="0009160B">
        <w:t xml:space="preserve">, </w:t>
      </w:r>
      <w:r w:rsidRPr="00DF1976">
        <w:t>Sarah R</w:t>
      </w:r>
      <w:r>
        <w:t xml:space="preserve"> </w:t>
      </w:r>
      <w:r w:rsidRPr="00DF1976">
        <w:t xml:space="preserve">Crozier </w:t>
      </w:r>
      <w:r w:rsidRPr="00DF1976">
        <w:tab/>
      </w:r>
    </w:p>
    <w:p w14:paraId="79462834" w14:textId="2D9A9CAA" w:rsidR="00DF1976" w:rsidRPr="0009160B" w:rsidRDefault="00DF1976" w:rsidP="00DF1976">
      <w:pPr>
        <w:rPr>
          <w:b/>
          <w:bCs/>
        </w:rPr>
      </w:pPr>
      <w:r w:rsidRPr="0009160B">
        <w:rPr>
          <w:b/>
          <w:bCs/>
        </w:rPr>
        <w:t>Institute of Developmental Sciences, Biological Sciences and NIHR Southampton Biomedical Research Centre, University of Southampton</w:t>
      </w:r>
    </w:p>
    <w:p w14:paraId="52BDA738" w14:textId="4EB46357" w:rsidR="00DF1976" w:rsidRPr="00DF1976" w:rsidRDefault="00DF1976" w:rsidP="00DF1976">
      <w:pPr>
        <w:pStyle w:val="NoSpacing"/>
      </w:pPr>
      <w:r w:rsidRPr="00DF1976">
        <w:t>Karen A</w:t>
      </w:r>
      <w:r w:rsidRPr="00DF1976">
        <w:tab/>
      </w:r>
      <w:proofErr w:type="spellStart"/>
      <w:r w:rsidRPr="00DF1976">
        <w:t>Lillycrop</w:t>
      </w:r>
      <w:proofErr w:type="spellEnd"/>
      <w:r w:rsidRPr="00DF1976">
        <w:t>, Mark A</w:t>
      </w:r>
      <w:r w:rsidRPr="00DF1976">
        <w:tab/>
      </w:r>
      <w:r>
        <w:t xml:space="preserve"> </w:t>
      </w:r>
      <w:r w:rsidRPr="00DF1976">
        <w:t>Hanson</w:t>
      </w:r>
      <w:r w:rsidRPr="00DF1976">
        <w:tab/>
        <w:t>, Robert Murray, Elie</w:t>
      </w:r>
      <w:r>
        <w:t xml:space="preserve"> </w:t>
      </w:r>
      <w:proofErr w:type="spellStart"/>
      <w:r w:rsidRPr="00DF1976">
        <w:t>Antoun</w:t>
      </w:r>
      <w:proofErr w:type="spellEnd"/>
    </w:p>
    <w:p w14:paraId="0BBACC4A" w14:textId="77777777" w:rsidR="00EA273A" w:rsidRPr="00EA273A" w:rsidRDefault="00EA273A" w:rsidP="00EA273A"/>
    <w:p w14:paraId="7ABDD43D" w14:textId="3785183E" w:rsidR="00EA273A" w:rsidRPr="00923669" w:rsidRDefault="00112ABA" w:rsidP="00923669">
      <w:pPr>
        <w:pStyle w:val="Heading3"/>
      </w:pPr>
      <w:r w:rsidRPr="00923669">
        <w:t xml:space="preserve">Contributions </w:t>
      </w:r>
    </w:p>
    <w:p w14:paraId="0331EDF2" w14:textId="5C964518" w:rsidR="008A0822" w:rsidRDefault="00112ABA" w:rsidP="00EA273A">
      <w:r w:rsidRPr="00923669">
        <w:t>NR was responsible for the data analysis</w:t>
      </w:r>
      <w:r w:rsidR="00E627E2" w:rsidRPr="00923669">
        <w:t>, prepared the tables/figures, d</w:t>
      </w:r>
      <w:r w:rsidRPr="00923669">
        <w:t>raft</w:t>
      </w:r>
      <w:r w:rsidR="00E627E2" w:rsidRPr="00923669">
        <w:t>ed</w:t>
      </w:r>
      <w:r w:rsidRPr="00923669">
        <w:t xml:space="preserve"> the manuscript</w:t>
      </w:r>
      <w:r w:rsidR="00E627E2" w:rsidRPr="00923669">
        <w:t>, and reviewed and edited the manuscript</w:t>
      </w:r>
      <w:r>
        <w:t>. JAM, HB, VA and MSP were responsible for the concept and design, and critical revision of the manuscript. C</w:t>
      </w:r>
      <w:r w:rsidR="00633F58">
        <w:t>L</w:t>
      </w:r>
      <w:r>
        <w:t xml:space="preserve">R contributed to the </w:t>
      </w:r>
      <w:r w:rsidR="006B7F5A">
        <w:t>early</w:t>
      </w:r>
      <w:r w:rsidR="006B7F5A" w:rsidDel="006B7F5A">
        <w:t xml:space="preserve"> </w:t>
      </w:r>
      <w:r>
        <w:t>appraisal of the method</w:t>
      </w:r>
      <w:r w:rsidRPr="00112ABA">
        <w:t>s.</w:t>
      </w:r>
      <w:r>
        <w:t xml:space="preserve"> </w:t>
      </w:r>
      <w:r w:rsidR="008E6DFB">
        <w:t>K</w:t>
      </w:r>
      <w:r w:rsidR="00E627E2">
        <w:t>M</w:t>
      </w:r>
      <w:r w:rsidR="008E6DFB">
        <w:t>G, KAL, M</w:t>
      </w:r>
      <w:r w:rsidR="00E627E2">
        <w:t>A</w:t>
      </w:r>
      <w:r w:rsidR="008E6DFB">
        <w:t>H, RM are responsible for the SWS study design</w:t>
      </w:r>
      <w:r w:rsidR="00E627E2">
        <w:t>, concept</w:t>
      </w:r>
      <w:r w:rsidR="008E6DFB">
        <w:t xml:space="preserve"> and/or data collection, EA performed the statistical replication analysis in the SWS. </w:t>
      </w:r>
      <w:r w:rsidR="00E627E2" w:rsidRPr="00E627E2">
        <w:t xml:space="preserve"> All authors participated in manuscript editing and read/approved the final</w:t>
      </w:r>
      <w:r w:rsidR="00D55F28">
        <w:t xml:space="preserve"> version</w:t>
      </w:r>
      <w:r w:rsidR="00E627E2" w:rsidRPr="00E627E2">
        <w:t>.</w:t>
      </w:r>
    </w:p>
    <w:p w14:paraId="37789C6B" w14:textId="77777777" w:rsidR="00112ABA" w:rsidRPr="00EA273A" w:rsidRDefault="00112ABA" w:rsidP="00EA273A"/>
    <w:p w14:paraId="151AA6CC" w14:textId="6D4FBA09" w:rsidR="00EA273A" w:rsidRPr="006F3C05" w:rsidRDefault="00EA273A" w:rsidP="006F3C05">
      <w:pPr>
        <w:pStyle w:val="Heading3"/>
      </w:pPr>
      <w:r w:rsidRPr="006F3C05">
        <w:t>Ethics approval and consent to participate</w:t>
      </w:r>
    </w:p>
    <w:p w14:paraId="5A20A943" w14:textId="455AA4B9" w:rsidR="008A6075" w:rsidRPr="006F3C05" w:rsidRDefault="008A6075" w:rsidP="008B3321">
      <w:pPr>
        <w:rPr>
          <w:lang/>
        </w:rPr>
      </w:pPr>
      <w:r w:rsidRPr="00923669">
        <w:t>Informed consent for the use of</w:t>
      </w:r>
      <w:r w:rsidR="00E627E2" w:rsidRPr="00923669">
        <w:t xml:space="preserve"> ALSPAC</w:t>
      </w:r>
      <w:r w:rsidRPr="00923669">
        <w:t xml:space="preserve"> data collected via questionnaires</w:t>
      </w:r>
      <w:r w:rsidRPr="008B3321">
        <w:t xml:space="preserve"> and clinics was obtained from participants following the recommendations of the ALSPAC Ethics and Law Committee at the time.</w:t>
      </w:r>
      <w:r w:rsidR="00E627E2">
        <w:t xml:space="preserve"> </w:t>
      </w:r>
      <w:r w:rsidR="00E627E2" w:rsidRPr="00E627E2">
        <w:t xml:space="preserve">Follow up of the </w:t>
      </w:r>
      <w:r w:rsidR="00E627E2">
        <w:t>children</w:t>
      </w:r>
      <w:r w:rsidR="00E627E2" w:rsidRPr="00E627E2">
        <w:t xml:space="preserve"> and sample collection/analysis was carried out under Institutional Review Board approval (Southampton and SW Hampshire Local Research Ethics Committee) with written informed consent obtained from parents or guardians.</w:t>
      </w:r>
    </w:p>
    <w:p w14:paraId="01C12E92" w14:textId="397D9682" w:rsidR="00EA273A" w:rsidRPr="006F3C05" w:rsidRDefault="00EA273A" w:rsidP="006F3C05">
      <w:pPr>
        <w:pStyle w:val="Heading3"/>
      </w:pPr>
      <w:r w:rsidRPr="006F3C05">
        <w:t>Consent for publication</w:t>
      </w:r>
    </w:p>
    <w:p w14:paraId="385CBC24" w14:textId="4BF67052" w:rsidR="00112ABA" w:rsidRPr="00EA273A" w:rsidRDefault="00A02C0A" w:rsidP="00EA273A">
      <w:pPr>
        <w:rPr>
          <w:b/>
        </w:rPr>
      </w:pPr>
      <w:r w:rsidRPr="002D42B7">
        <w:t xml:space="preserve">Manuscript was approved by the ALSPAC </w:t>
      </w:r>
      <w:r w:rsidR="0073028F">
        <w:t>E</w:t>
      </w:r>
      <w:r w:rsidRPr="002D42B7">
        <w:t>xecutive prior to journal submission</w:t>
      </w:r>
      <w:r w:rsidR="002D42B7">
        <w:t>.</w:t>
      </w:r>
    </w:p>
    <w:p w14:paraId="67ECF6EA" w14:textId="77777777" w:rsidR="00EA273A" w:rsidRPr="006F3C05" w:rsidRDefault="00EA273A" w:rsidP="006F3C05">
      <w:pPr>
        <w:pStyle w:val="Heading3"/>
      </w:pPr>
      <w:r w:rsidRPr="006F3C05">
        <w:t>Competing interests</w:t>
      </w:r>
    </w:p>
    <w:p w14:paraId="08C95297" w14:textId="77777777" w:rsidR="00EA273A" w:rsidRPr="00EA273A" w:rsidRDefault="00EA273A" w:rsidP="00EA273A">
      <w:r w:rsidRPr="00EA273A">
        <w:t>The authors declare that they have no competing interests.</w:t>
      </w:r>
    </w:p>
    <w:p w14:paraId="6A4ED259" w14:textId="306C622C" w:rsidR="006F3C05" w:rsidRDefault="006F3C05">
      <w:pPr>
        <w:spacing w:line="264" w:lineRule="auto"/>
      </w:pPr>
    </w:p>
    <w:p w14:paraId="2852C71B" w14:textId="77777777" w:rsidR="006F3C05" w:rsidRDefault="006F3C05" w:rsidP="006F3C05">
      <w:pPr>
        <w:spacing w:after="160" w:line="259" w:lineRule="auto"/>
        <w:rPr>
          <w:rFonts w:ascii="Calibri" w:eastAsia="Calibri" w:hAnsi="Calibri" w:cs="Times New Roman"/>
          <w:szCs w:val="22"/>
        </w:rPr>
        <w:sectPr w:rsidR="006F3C05" w:rsidSect="002B7F6C">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lnNumType w:countBy="1" w:restart="continuous"/>
          <w:cols w:space="708"/>
          <w:docGrid w:linePitch="360"/>
        </w:sectPr>
      </w:pPr>
    </w:p>
    <w:p w14:paraId="463AD2D2" w14:textId="3DE5F9DE" w:rsidR="006F3C05" w:rsidRDefault="006F3C05" w:rsidP="006F3C05">
      <w:pPr>
        <w:pStyle w:val="Heading2"/>
      </w:pPr>
      <w:r>
        <w:lastRenderedPageBreak/>
        <w:t xml:space="preserve">Figures </w:t>
      </w:r>
    </w:p>
    <w:p w14:paraId="3AAF913E" w14:textId="77777777" w:rsidR="006F3C05" w:rsidRPr="006F3C05" w:rsidRDefault="006F3C05" w:rsidP="006F3C05"/>
    <w:p w14:paraId="552E0AA4" w14:textId="005133BF" w:rsidR="006F3C05" w:rsidRPr="006F3C05" w:rsidRDefault="006F3C05" w:rsidP="006F3C05">
      <w:pPr>
        <w:spacing w:after="160" w:line="259" w:lineRule="auto"/>
        <w:rPr>
          <w:rFonts w:ascii="Calibri" w:eastAsia="Calibri" w:hAnsi="Calibri" w:cs="Times New Roman"/>
          <w:szCs w:val="22"/>
        </w:rPr>
      </w:pPr>
      <w:r w:rsidRPr="006F3C05">
        <w:rPr>
          <w:rFonts w:ascii="Calibri" w:eastAsia="Calibri" w:hAnsi="Calibri" w:cs="Times New Roman"/>
          <w:noProof/>
          <w:szCs w:val="22"/>
          <w:lang w:eastAsia="en-GB"/>
        </w:rPr>
        <w:drawing>
          <wp:inline distT="0" distB="0" distL="0" distR="0" wp14:anchorId="4B51A324" wp14:editId="7D135319">
            <wp:extent cx="9035143" cy="3087361"/>
            <wp:effectExtent l="0" t="0" r="0" b="0"/>
            <wp:docPr id="1"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67019" cy="3098253"/>
                    </a:xfrm>
                    <a:prstGeom prst="rect">
                      <a:avLst/>
                    </a:prstGeom>
                    <a:noFill/>
                  </pic:spPr>
                </pic:pic>
              </a:graphicData>
            </a:graphic>
          </wp:inline>
        </w:drawing>
      </w:r>
    </w:p>
    <w:p w14:paraId="625B163C" w14:textId="77777777" w:rsidR="006F3C05" w:rsidRPr="006F3C05" w:rsidRDefault="006F3C05" w:rsidP="006F3C05">
      <w:pPr>
        <w:spacing w:after="160" w:line="259" w:lineRule="auto"/>
        <w:rPr>
          <w:rFonts w:ascii="Calibri" w:eastAsia="Calibri" w:hAnsi="Calibri" w:cs="Times New Roman"/>
          <w:sz w:val="21"/>
        </w:rPr>
      </w:pPr>
      <w:r w:rsidRPr="006F3C05">
        <w:rPr>
          <w:rFonts w:ascii="Calibri" w:eastAsia="Calibri" w:hAnsi="Calibri" w:cs="Times New Roman"/>
          <w:b/>
          <w:bCs/>
          <w:sz w:val="21"/>
        </w:rPr>
        <w:t>Figure 1 Description and measurement of rapid infant weight gain exposures, and epigenome-wide DNA methylation and anthropometric</w:t>
      </w:r>
      <w:r w:rsidRPr="006F3C05">
        <w:rPr>
          <w:rFonts w:ascii="Calibri" w:eastAsia="Calibri" w:hAnsi="Calibri" w:cs="Times New Roman"/>
          <w:sz w:val="21"/>
        </w:rPr>
        <w:t> </w:t>
      </w:r>
      <w:r w:rsidRPr="006F3C05">
        <w:rPr>
          <w:rFonts w:ascii="Calibri" w:eastAsia="Calibri" w:hAnsi="Calibri" w:cs="Times New Roman"/>
          <w:b/>
          <w:bCs/>
          <w:sz w:val="21"/>
        </w:rPr>
        <w:t>outcomes, and an overview of the analysis. Participants were measured at around age 7 (mean 7.4 (SD 0.10) years) and 17 (mean 17.7 (SD 0.31) years).</w:t>
      </w:r>
    </w:p>
    <w:p w14:paraId="5B70E1C6" w14:textId="77777777" w:rsidR="006F3C05" w:rsidRPr="006F3C05" w:rsidRDefault="006F3C05" w:rsidP="006F3C05">
      <w:pPr>
        <w:spacing w:after="160" w:line="259" w:lineRule="auto"/>
        <w:rPr>
          <w:rFonts w:ascii="Calibri" w:eastAsia="Calibri" w:hAnsi="Calibri" w:cs="Times New Roman"/>
          <w:sz w:val="21"/>
        </w:rPr>
      </w:pPr>
      <w:r w:rsidRPr="006F3C05">
        <w:rPr>
          <w:rFonts w:ascii="Calibri" w:eastAsia="Calibri" w:hAnsi="Calibri" w:cs="Times New Roman"/>
          <w:b/>
          <w:bCs/>
          <w:sz w:val="21"/>
        </w:rPr>
        <w:t xml:space="preserve">RWG, rapid weight gain; RT, rapid thrive; </w:t>
      </w:r>
      <w:proofErr w:type="spellStart"/>
      <w:r w:rsidRPr="006F3C05">
        <w:rPr>
          <w:rFonts w:ascii="Calibri" w:eastAsia="Calibri" w:hAnsi="Calibri" w:cs="Times New Roman"/>
          <w:b/>
          <w:bCs/>
          <w:sz w:val="21"/>
        </w:rPr>
        <w:t>BMIz</w:t>
      </w:r>
      <w:proofErr w:type="spellEnd"/>
      <w:r w:rsidRPr="006F3C05">
        <w:rPr>
          <w:rFonts w:ascii="Calibri" w:eastAsia="Calibri" w:hAnsi="Calibri" w:cs="Times New Roman"/>
          <w:b/>
          <w:bCs/>
          <w:sz w:val="21"/>
        </w:rPr>
        <w:t xml:space="preserve">, BMI z-scores; OWOB, overweight/obese; </w:t>
      </w:r>
      <w:proofErr w:type="spellStart"/>
      <w:r w:rsidRPr="006F3C05">
        <w:rPr>
          <w:rFonts w:ascii="Calibri" w:eastAsia="Calibri" w:hAnsi="Calibri" w:cs="Times New Roman"/>
          <w:b/>
          <w:bCs/>
          <w:sz w:val="21"/>
        </w:rPr>
        <w:t>DNAm</w:t>
      </w:r>
      <w:proofErr w:type="spellEnd"/>
      <w:r w:rsidRPr="006F3C05">
        <w:rPr>
          <w:rFonts w:ascii="Calibri" w:eastAsia="Calibri" w:hAnsi="Calibri" w:cs="Times New Roman"/>
          <w:b/>
          <w:bCs/>
          <w:sz w:val="21"/>
        </w:rPr>
        <w:t>, DNA methylation; EWAS, Epigenome-wide association study; UK90, the British 1990 growth reference.</w:t>
      </w:r>
    </w:p>
    <w:p w14:paraId="09F195BC" w14:textId="77777777" w:rsidR="006F3C05" w:rsidRDefault="006F3C05" w:rsidP="006F3C05"/>
    <w:tbl>
      <w:tblPr>
        <w:tblStyle w:val="TableGrid"/>
        <w:tblW w:w="96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518"/>
      </w:tblGrid>
      <w:tr w:rsidR="006F3C05" w14:paraId="5FE952D2" w14:textId="77777777" w:rsidTr="006F3C05">
        <w:trPr>
          <w:trHeight w:val="60"/>
        </w:trPr>
        <w:tc>
          <w:tcPr>
            <w:tcW w:w="5098" w:type="dxa"/>
          </w:tcPr>
          <w:p w14:paraId="140A074B" w14:textId="77777777" w:rsidR="006F3C05" w:rsidRPr="00423498" w:rsidRDefault="006F3C05" w:rsidP="006F3C05">
            <w:pPr>
              <w:keepNext/>
              <w:jc w:val="center"/>
              <w:rPr>
                <w:noProof/>
                <w:lang w:eastAsia="en-GB"/>
              </w:rPr>
            </w:pPr>
            <w:r w:rsidRPr="00423498">
              <w:rPr>
                <w:noProof/>
                <w:lang w:eastAsia="en-GB"/>
              </w:rPr>
              <w:lastRenderedPageBreak/>
              <w:t>cg01379158</w:t>
            </w:r>
          </w:p>
        </w:tc>
        <w:tc>
          <w:tcPr>
            <w:tcW w:w="4518" w:type="dxa"/>
          </w:tcPr>
          <w:p w14:paraId="5FC69259" w14:textId="77777777" w:rsidR="006F3C05" w:rsidRPr="00423498" w:rsidRDefault="006F3C05" w:rsidP="006F3C05">
            <w:pPr>
              <w:keepNext/>
              <w:jc w:val="center"/>
              <w:rPr>
                <w:noProof/>
                <w:lang w:eastAsia="en-GB"/>
              </w:rPr>
            </w:pPr>
            <w:r w:rsidRPr="00423498">
              <w:rPr>
                <w:noProof/>
                <w:lang w:eastAsia="en-GB"/>
              </w:rPr>
              <w:t>cg11531579</w:t>
            </w:r>
          </w:p>
        </w:tc>
      </w:tr>
      <w:tr w:rsidR="006F3C05" w14:paraId="4F37CB73" w14:textId="77777777" w:rsidTr="006F3C05">
        <w:trPr>
          <w:trHeight w:val="3668"/>
        </w:trPr>
        <w:tc>
          <w:tcPr>
            <w:tcW w:w="9616" w:type="dxa"/>
            <w:gridSpan w:val="2"/>
          </w:tcPr>
          <w:p w14:paraId="151B311C" w14:textId="77777777" w:rsidR="006F3C05" w:rsidRDefault="006F3C05" w:rsidP="006F3C05">
            <w:pPr>
              <w:keepNext/>
            </w:pPr>
            <w:r w:rsidRPr="00423498">
              <w:rPr>
                <w:noProof/>
                <w:lang w:eastAsia="en-GB"/>
              </w:rPr>
              <mc:AlternateContent>
                <mc:Choice Requires="wps">
                  <w:drawing>
                    <wp:anchor distT="0" distB="0" distL="114300" distR="114300" simplePos="0" relativeHeight="251664384" behindDoc="0" locked="0" layoutInCell="1" allowOverlap="1" wp14:anchorId="44594905" wp14:editId="30531BF6">
                      <wp:simplePos x="0" y="0"/>
                      <wp:positionH relativeFrom="column">
                        <wp:posOffset>4135120</wp:posOffset>
                      </wp:positionH>
                      <wp:positionV relativeFrom="paragraph">
                        <wp:posOffset>86995</wp:posOffset>
                      </wp:positionV>
                      <wp:extent cx="775970" cy="377190"/>
                      <wp:effectExtent l="0" t="0" r="0" b="3810"/>
                      <wp:wrapSquare wrapText="bothSides"/>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377190"/>
                              </a:xfrm>
                              <a:prstGeom prst="rect">
                                <a:avLst/>
                              </a:prstGeom>
                              <a:noFill/>
                              <a:ln w="9525">
                                <a:noFill/>
                                <a:miter lim="800000"/>
                                <a:headEnd/>
                                <a:tailEnd/>
                              </a:ln>
                            </wps:spPr>
                            <wps:txbx>
                              <w:txbxContent>
                                <w:p w14:paraId="173CCD49" w14:textId="77777777" w:rsidR="006F3C05" w:rsidRPr="00BF5ECB" w:rsidRDefault="006F3C05" w:rsidP="006F3C05">
                                  <w:pPr>
                                    <w:rPr>
                                      <w:sz w:val="18"/>
                                      <w:szCs w:val="22"/>
                                    </w:rPr>
                                  </w:pPr>
                                  <w:r w:rsidRPr="00BF5ECB">
                                    <w:rPr>
                                      <w:sz w:val="18"/>
                                      <w:szCs w:val="22"/>
                                    </w:rPr>
                                    <w:t>p=0.02</w:t>
                                  </w:r>
                                </w:p>
                              </w:txbxContent>
                            </wps:txbx>
                            <wps:bodyPr rot="0" vert="horz" wrap="square" lIns="91440" tIns="45720" rIns="91440" bIns="45720" anchor="t" anchorCtr="0">
                              <a:noAutofit/>
                            </wps:bodyPr>
                          </wps:wsp>
                        </a:graphicData>
                      </a:graphic>
                    </wp:anchor>
                  </w:drawing>
                </mc:Choice>
                <mc:Fallback xmlns:w16="http://schemas.microsoft.com/office/word/2018/wordml" xmlns:w16cex="http://schemas.microsoft.com/office/word/2018/wordml/cex">
                  <w:pict>
                    <v:shapetype w14:anchorId="44594905" id="_x0000_t202" coordsize="21600,21600" o:spt="202" path="m,l,21600r21600,l21600,xe">
                      <v:stroke joinstyle="miter"/>
                      <v:path gradientshapeok="t" o:connecttype="rect"/>
                    </v:shapetype>
                    <v:shape id="Text Box 2" o:spid="_x0000_s1026" type="#_x0000_t202" style="position:absolute;margin-left:325.6pt;margin-top:6.85pt;width:61.1pt;height:29.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" filled="f" stroked="f">
                      <v:textbox>
                        <w:txbxContent>
                          <w:p w14:paraId="173CCD49" w14:textId="77777777" w:rsidR="006F3C05" w:rsidRPr="00BF5ECB" w:rsidRDefault="006F3C05" w:rsidP="006F3C05">
                            <w:pPr>
                              <w:rPr>
                                <w:sz w:val="18"/>
                                <w:szCs w:val="22"/>
                              </w:rPr>
                            </w:pPr>
                            <w:r w:rsidRPr="00BF5ECB">
                              <w:rPr>
                                <w:sz w:val="18"/>
                                <w:szCs w:val="22"/>
                              </w:rPr>
                              <w:t>p=0.02</w:t>
                            </w:r>
                          </w:p>
                        </w:txbxContent>
                      </v:textbox>
                      <w10:wrap type="square"/>
                    </v:shape>
                  </w:pict>
                </mc:Fallback>
              </mc:AlternateContent>
            </w:r>
            <w:r w:rsidRPr="00423498">
              <w:rPr>
                <w:noProof/>
                <w:lang w:eastAsia="en-GB"/>
              </w:rPr>
              <mc:AlternateContent>
                <mc:Choice Requires="wps">
                  <w:drawing>
                    <wp:anchor distT="45720" distB="45720" distL="114300" distR="114300" simplePos="0" relativeHeight="251662336" behindDoc="0" locked="0" layoutInCell="1" allowOverlap="1" wp14:anchorId="7F64695B" wp14:editId="4A2AC2B7">
                      <wp:simplePos x="0" y="0"/>
                      <wp:positionH relativeFrom="column">
                        <wp:posOffset>4988484</wp:posOffset>
                      </wp:positionH>
                      <wp:positionV relativeFrom="paragraph">
                        <wp:posOffset>288609</wp:posOffset>
                      </wp:positionV>
                      <wp:extent cx="775970" cy="344805"/>
                      <wp:effectExtent l="0" t="0" r="0" b="0"/>
                      <wp:wrapSquare wrapText="bothSides"/>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344805"/>
                              </a:xfrm>
                              <a:prstGeom prst="rect">
                                <a:avLst/>
                              </a:prstGeom>
                              <a:noFill/>
                              <a:ln w="9525">
                                <a:noFill/>
                                <a:miter lim="800000"/>
                                <a:headEnd/>
                                <a:tailEnd/>
                              </a:ln>
                            </wps:spPr>
                            <wps:txbx>
                              <w:txbxContent>
                                <w:p w14:paraId="129C1C2D" w14:textId="77777777" w:rsidR="006F3C05" w:rsidRPr="00BF5ECB" w:rsidRDefault="006F3C05" w:rsidP="006F3C05">
                                  <w:pPr>
                                    <w:rPr>
                                      <w:sz w:val="18"/>
                                      <w:szCs w:val="22"/>
                                    </w:rPr>
                                  </w:pPr>
                                  <w:r w:rsidRPr="00BF5ECB">
                                    <w:rPr>
                                      <w:sz w:val="18"/>
                                      <w:szCs w:val="22"/>
                                    </w:rPr>
                                    <w:t>p=0.04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F64695B" id="_x0000_s1027" type="#_x0000_t202" style="position:absolute;margin-left:392.8pt;margin-top:22.75pt;width:61.1pt;height:27.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" filled="f" stroked="f">
                      <v:textbox>
                        <w:txbxContent>
                          <w:p w14:paraId="129C1C2D" w14:textId="77777777" w:rsidR="006F3C05" w:rsidRPr="00BF5ECB" w:rsidRDefault="006F3C05" w:rsidP="006F3C05">
                            <w:pPr>
                              <w:rPr>
                                <w:sz w:val="18"/>
                                <w:szCs w:val="22"/>
                              </w:rPr>
                            </w:pPr>
                            <w:r w:rsidRPr="00BF5ECB">
                              <w:rPr>
                                <w:sz w:val="18"/>
                                <w:szCs w:val="22"/>
                              </w:rPr>
                              <w:t>p=0.04</w:t>
                            </w:r>
                          </w:p>
                        </w:txbxContent>
                      </v:textbox>
                      <w10:wrap type="square"/>
                    </v:shape>
                  </w:pict>
                </mc:Fallback>
              </mc:AlternateContent>
            </w:r>
            <w:r w:rsidRPr="00423498">
              <w:rPr>
                <w:noProof/>
                <w:lang w:eastAsia="en-GB"/>
              </w:rPr>
              <mc:AlternateContent>
                <mc:Choice Requires="wps">
                  <w:drawing>
                    <wp:anchor distT="0" distB="0" distL="114300" distR="114300" simplePos="0" relativeHeight="251661312" behindDoc="0" locked="0" layoutInCell="1" allowOverlap="1" wp14:anchorId="657CCDA8" wp14:editId="7FEA8470">
                      <wp:simplePos x="0" y="0"/>
                      <wp:positionH relativeFrom="column">
                        <wp:posOffset>4416425</wp:posOffset>
                      </wp:positionH>
                      <wp:positionV relativeFrom="paragraph">
                        <wp:posOffset>-761365</wp:posOffset>
                      </wp:positionV>
                      <wp:extent cx="71755" cy="2183130"/>
                      <wp:effectExtent l="0" t="7937" r="15557" b="15558"/>
                      <wp:wrapSquare wrapText="bothSides"/>
                      <wp:docPr id="123" name="Right Bracket 123"/>
                      <wp:cNvGraphicFramePr/>
                      <a:graphic xmlns:a="http://schemas.openxmlformats.org/drawingml/2006/main">
                        <a:graphicData uri="http://schemas.microsoft.com/office/word/2010/wordprocessingShape">
                          <wps:wsp>
                            <wps:cNvSpPr/>
                            <wps:spPr>
                              <a:xfrm rot="16200000">
                                <a:off x="0" y="0"/>
                                <a:ext cx="71755" cy="2183130"/>
                              </a:xfrm>
                              <a:prstGeom prst="rightBracket">
                                <a:avLst/>
                              </a:prstGeom>
                              <a:ln w="9525">
                                <a:solidFill>
                                  <a:schemeClr val="accent3">
                                    <a:lumMod val="50000"/>
                                  </a:schemeClr>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7D1D156B"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23" o:spid="_x0000_s1026" type="#_x0000_t86" style="position:absolute;margin-left:347.75pt;margin-top:-59.95pt;width:5.65pt;height:171.9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" adj="59" strokecolor="#525252 [1606]">
                      <v:stroke joinstyle="miter"/>
                      <w10:wrap type="square"/>
                    </v:shape>
                  </w:pict>
                </mc:Fallback>
              </mc:AlternateContent>
            </w:r>
            <w:r w:rsidRPr="00423498">
              <w:rPr>
                <w:noProof/>
                <w:lang w:eastAsia="en-GB"/>
              </w:rPr>
              <mc:AlternateContent>
                <mc:Choice Requires="wps">
                  <w:drawing>
                    <wp:anchor distT="0" distB="0" distL="114300" distR="114300" simplePos="0" relativeHeight="251663360" behindDoc="0" locked="0" layoutInCell="1" allowOverlap="1" wp14:anchorId="62E7B7CB" wp14:editId="6E82D15E">
                      <wp:simplePos x="0" y="0"/>
                      <wp:positionH relativeFrom="column">
                        <wp:posOffset>5239385</wp:posOffset>
                      </wp:positionH>
                      <wp:positionV relativeFrom="paragraph">
                        <wp:posOffset>240665</wp:posOffset>
                      </wp:positionV>
                      <wp:extent cx="48260" cy="552450"/>
                      <wp:effectExtent l="0" t="4445" r="23495" b="23495"/>
                      <wp:wrapSquare wrapText="bothSides"/>
                      <wp:docPr id="122" name="Right Bracket 122"/>
                      <wp:cNvGraphicFramePr/>
                      <a:graphic xmlns:a="http://schemas.openxmlformats.org/drawingml/2006/main">
                        <a:graphicData uri="http://schemas.microsoft.com/office/word/2010/wordprocessingShape">
                          <wps:wsp>
                            <wps:cNvSpPr/>
                            <wps:spPr>
                              <a:xfrm rot="16200000">
                                <a:off x="0" y="0"/>
                                <a:ext cx="48260" cy="552450"/>
                              </a:xfrm>
                              <a:prstGeom prst="rightBracket">
                                <a:avLst/>
                              </a:prstGeom>
                              <a:ln w="9525">
                                <a:solidFill>
                                  <a:schemeClr val="accent3">
                                    <a:lumMod val="50000"/>
                                  </a:schemeClr>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65A372E" id="Right Bracket 122" o:spid="_x0000_s1026" type="#_x0000_t86" style="position:absolute;margin-left:412.55pt;margin-top:18.95pt;width:3.8pt;height:43.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" adj="157" strokecolor="#525252 [1606]">
                      <v:stroke joinstyle="miter"/>
                      <w10:wrap type="square"/>
                    </v:shape>
                  </w:pict>
                </mc:Fallback>
              </mc:AlternateContent>
            </w:r>
            <w:r w:rsidRPr="00423498">
              <w:rPr>
                <w:noProof/>
                <w:lang w:eastAsia="en-GB"/>
              </w:rPr>
              <w:drawing>
                <wp:anchor distT="0" distB="0" distL="114300" distR="114300" simplePos="0" relativeHeight="251660288" behindDoc="0" locked="0" layoutInCell="1" allowOverlap="1" wp14:anchorId="2BA6EF32" wp14:editId="3E33284E">
                  <wp:simplePos x="0" y="0"/>
                  <wp:positionH relativeFrom="column">
                    <wp:posOffset>635</wp:posOffset>
                  </wp:positionH>
                  <wp:positionV relativeFrom="paragraph">
                    <wp:posOffset>180975</wp:posOffset>
                  </wp:positionV>
                  <wp:extent cx="3239770" cy="19767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469"/>
                          <a:stretch/>
                        </pic:blipFill>
                        <pic:spPr bwMode="auto">
                          <a:xfrm>
                            <a:off x="0" y="0"/>
                            <a:ext cx="3239770" cy="19767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23498">
              <w:rPr>
                <w:noProof/>
                <w:lang w:eastAsia="en-GB"/>
              </w:rPr>
              <w:drawing>
                <wp:anchor distT="0" distB="0" distL="114300" distR="114300" simplePos="0" relativeHeight="251659264" behindDoc="0" locked="0" layoutInCell="1" allowOverlap="1" wp14:anchorId="4B9E1BB1" wp14:editId="0B992999">
                  <wp:simplePos x="0" y="0"/>
                  <wp:positionH relativeFrom="column">
                    <wp:posOffset>2688590</wp:posOffset>
                  </wp:positionH>
                  <wp:positionV relativeFrom="paragraph">
                    <wp:posOffset>177800</wp:posOffset>
                  </wp:positionV>
                  <wp:extent cx="3239770" cy="19843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100"/>
                          <a:stretch/>
                        </pic:blipFill>
                        <pic:spPr bwMode="auto">
                          <a:xfrm>
                            <a:off x="0" y="0"/>
                            <a:ext cx="3239770" cy="19843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 xml:space="preserve">  </w:t>
            </w:r>
          </w:p>
        </w:tc>
      </w:tr>
    </w:tbl>
    <w:p w14:paraId="2A84D12C" w14:textId="75A870C5" w:rsidR="006F3C05" w:rsidRPr="005A0CE6" w:rsidRDefault="006F3C05" w:rsidP="006F3C05">
      <w:pPr>
        <w:pStyle w:val="Caption"/>
      </w:pPr>
      <w:bookmarkStart w:id="12" w:name="_Ref24466335"/>
      <w:r w:rsidRPr="005A0CE6">
        <w:t xml:space="preserve">Figure </w:t>
      </w:r>
      <w:bookmarkEnd w:id="12"/>
      <w:r>
        <w:rPr>
          <w:noProof/>
        </w:rPr>
        <w:t>2</w:t>
      </w:r>
      <w:r w:rsidRPr="005A0CE6">
        <w:t xml:space="preserve"> Childhood methylation and adolescent body composition. </w:t>
      </w:r>
      <w:r w:rsidRPr="005A0CE6">
        <w:br/>
        <w:t xml:space="preserve">Methylation at the </w:t>
      </w:r>
      <w:r w:rsidRPr="005A0CE6">
        <w:rPr>
          <w:noProof/>
          <w:lang w:eastAsia="en-GB"/>
        </w:rPr>
        <w:t xml:space="preserve">cg01379158 locus </w:t>
      </w:r>
      <w:r>
        <w:rPr>
          <w:noProof/>
          <w:lang w:eastAsia="en-GB"/>
        </w:rPr>
        <w:t>(</w:t>
      </w:r>
      <w:r w:rsidRPr="005A0CE6">
        <w:rPr>
          <w:noProof/>
          <w:lang w:eastAsia="en-GB"/>
        </w:rPr>
        <w:t>left plot</w:t>
      </w:r>
      <w:r>
        <w:rPr>
          <w:noProof/>
          <w:lang w:eastAsia="en-GB"/>
        </w:rPr>
        <w:t>)</w:t>
      </w:r>
      <w:r w:rsidRPr="005A0CE6">
        <w:rPr>
          <w:noProof/>
          <w:lang w:eastAsia="en-GB"/>
        </w:rPr>
        <w:t xml:space="preserve">, and cg11531579 </w:t>
      </w:r>
      <w:r>
        <w:rPr>
          <w:noProof/>
          <w:lang w:eastAsia="en-GB"/>
        </w:rPr>
        <w:t>(</w:t>
      </w:r>
      <w:r w:rsidRPr="005A0CE6">
        <w:rPr>
          <w:noProof/>
          <w:lang w:eastAsia="en-GB"/>
        </w:rPr>
        <w:t>right plot</w:t>
      </w:r>
      <w:r>
        <w:rPr>
          <w:noProof/>
          <w:lang w:eastAsia="en-GB"/>
        </w:rPr>
        <w:t>)</w:t>
      </w:r>
      <w:r w:rsidRPr="005A0CE6">
        <w:rPr>
          <w:noProof/>
          <w:lang w:eastAsia="en-GB"/>
        </w:rPr>
        <w:t xml:space="preserve">. </w:t>
      </w:r>
      <w:r>
        <w:rPr>
          <w:noProof/>
          <w:lang w:eastAsia="en-GB"/>
        </w:rPr>
        <w:t xml:space="preserve">There were no  differences between groups for </w:t>
      </w:r>
      <w:r w:rsidRPr="005A0CE6">
        <w:rPr>
          <w:noProof/>
          <w:lang w:eastAsia="en-GB"/>
        </w:rPr>
        <w:t>cg01379158</w:t>
      </w:r>
      <w:r>
        <w:rPr>
          <w:noProof/>
          <w:lang w:eastAsia="en-GB"/>
        </w:rPr>
        <w:t xml:space="preserve"> </w:t>
      </w:r>
      <w:r w:rsidRPr="00690C76">
        <w:t xml:space="preserve">ANOVA </w:t>
      </w:r>
      <w:r>
        <w:t>(</w:t>
      </w:r>
      <w:r w:rsidRPr="00690C76">
        <w:t>p&gt;0.05).</w:t>
      </w:r>
      <w:r>
        <w:t xml:space="preserve"> </w:t>
      </w:r>
      <w:r>
        <w:br/>
        <w:t xml:space="preserve">The </w:t>
      </w:r>
      <w:r w:rsidRPr="005A0CE6">
        <w:rPr>
          <w:noProof/>
          <w:lang w:eastAsia="en-GB"/>
        </w:rPr>
        <w:t>cg1153157</w:t>
      </w:r>
      <w:r>
        <w:rPr>
          <w:noProof/>
          <w:lang w:eastAsia="en-GB"/>
        </w:rPr>
        <w:t>9 plot presents</w:t>
      </w:r>
      <w:r w:rsidRPr="005A0CE6">
        <w:t xml:space="preserve"> tests for significance (p values) from the K</w:t>
      </w:r>
      <w:r>
        <w:t xml:space="preserve">ruskal </w:t>
      </w:r>
      <w:r w:rsidRPr="005A0CE6">
        <w:t>W</w:t>
      </w:r>
      <w:r>
        <w:t>allis</w:t>
      </w:r>
      <w:r w:rsidRPr="005A0CE6">
        <w:t xml:space="preserve"> test with Bonferroni correction for multiple testing. </w:t>
      </w:r>
      <w:r>
        <w:br/>
        <w:t xml:space="preserve">RWG, rapid weight gain; OWOB, overweight/obese. </w:t>
      </w:r>
    </w:p>
    <w:p w14:paraId="6AE795B9" w14:textId="77777777" w:rsidR="006F3C05" w:rsidRDefault="006F3C05" w:rsidP="006F3C05"/>
    <w:p w14:paraId="5167D863" w14:textId="77777777" w:rsidR="006F3C05" w:rsidRPr="00510725" w:rsidRDefault="006F3C05" w:rsidP="006F3C05"/>
    <w:p w14:paraId="17E52350" w14:textId="77777777" w:rsidR="006F3C05" w:rsidRDefault="006F3C05" w:rsidP="006F3C05">
      <w:pPr>
        <w:keepNext/>
      </w:pPr>
      <w:r w:rsidRPr="00A74F05">
        <w:rPr>
          <w:noProof/>
          <w:lang w:eastAsia="en-GB"/>
        </w:rPr>
        <w:lastRenderedPageBreak/>
        <w:drawing>
          <wp:inline distT="0" distB="0" distL="0" distR="0" wp14:anchorId="787B35BC" wp14:editId="30FBF18D">
            <wp:extent cx="8498704" cy="300445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25423" cy="3013903"/>
                    </a:xfrm>
                    <a:prstGeom prst="rect">
                      <a:avLst/>
                    </a:prstGeom>
                    <a:noFill/>
                    <a:ln>
                      <a:noFill/>
                    </a:ln>
                  </pic:spPr>
                </pic:pic>
              </a:graphicData>
            </a:graphic>
          </wp:inline>
        </w:drawing>
      </w:r>
    </w:p>
    <w:p w14:paraId="4C886344" w14:textId="4D6C1AD7" w:rsidR="006F3C05" w:rsidRPr="005A0CE6" w:rsidRDefault="006F3C05" w:rsidP="006F3C05">
      <w:pPr>
        <w:pStyle w:val="Caption"/>
      </w:pPr>
      <w:bookmarkStart w:id="13" w:name="_Ref35245416"/>
      <w:r w:rsidRPr="001D785A">
        <w:t xml:space="preserve">Figure </w:t>
      </w:r>
      <w:bookmarkEnd w:id="13"/>
      <w:r>
        <w:rPr>
          <w:noProof/>
        </w:rPr>
        <w:t>3</w:t>
      </w:r>
      <w:r w:rsidRPr="001D785A">
        <w:t xml:space="preserve"> Pathways of mean methylation</w:t>
      </w:r>
      <w:r>
        <w:t xml:space="preserve"> (</w:t>
      </w:r>
      <w:r w:rsidRPr="00C07F2E">
        <w:rPr>
          <w:rFonts w:eastAsia="Times New Roman"/>
          <w:sz w:val="18"/>
          <w:lang w:val="en-US" w:eastAsia="en-GB"/>
        </w:rPr>
        <w:t>cg11531579</w:t>
      </w:r>
      <w:r>
        <w:rPr>
          <w:rFonts w:eastAsia="Times New Roman"/>
          <w:sz w:val="18"/>
          <w:lang w:val="en-US" w:eastAsia="en-GB"/>
        </w:rPr>
        <w:t>)</w:t>
      </w:r>
      <w:r w:rsidRPr="001D785A">
        <w:t xml:space="preserve"> at age 7 (%) and body composition (at ages 7 and 17). </w:t>
      </w:r>
      <w:r>
        <w:br/>
      </w:r>
      <w:r w:rsidRPr="001D785A">
        <w:t xml:space="preserve">Dotted outline </w:t>
      </w:r>
      <w:proofErr w:type="gramStart"/>
      <w:r w:rsidRPr="001D785A">
        <w:t>indicate</w:t>
      </w:r>
      <w:proofErr w:type="gramEnd"/>
      <w:r w:rsidRPr="001D785A">
        <w:t xml:space="preserve"> the ‘high-risk’ individuals (i.e. those who had RWG and </w:t>
      </w:r>
      <w:r>
        <w:t>were subsequently overweight/obese (OWOB</w:t>
      </w:r>
      <w:r w:rsidRPr="001D785A">
        <w:t xml:space="preserve">). </w:t>
      </w:r>
      <w:r>
        <w:br/>
      </w:r>
      <w:r w:rsidRPr="001D785A">
        <w:t>Sample sizes are for those with complete data. Group sizes were small for some phenotypes.</w:t>
      </w:r>
      <w:r>
        <w:t xml:space="preserve"> </w:t>
      </w:r>
    </w:p>
    <w:p w14:paraId="2755122E" w14:textId="77777777" w:rsidR="006F3C05" w:rsidRPr="001D785A" w:rsidRDefault="006F3C05" w:rsidP="006F3C05">
      <w:pPr>
        <w:pStyle w:val="Caption"/>
      </w:pPr>
    </w:p>
    <w:p w14:paraId="05A72676" w14:textId="77777777" w:rsidR="006F3C05" w:rsidRDefault="006F3C05" w:rsidP="006F3C05"/>
    <w:p w14:paraId="4B352F9A" w14:textId="77777777" w:rsidR="006F3C05" w:rsidRPr="00804E3F" w:rsidRDefault="006F3C05" w:rsidP="006F3C05">
      <w:pPr>
        <w:keepNext/>
        <w:rPr>
          <w:rFonts w:ascii="Calibri" w:hAnsi="Calibri"/>
        </w:rPr>
      </w:pPr>
      <w:r w:rsidRPr="00804E3F">
        <w:rPr>
          <w:rFonts w:ascii="Calibri" w:hAnsi="Calibri"/>
          <w:noProof/>
        </w:rPr>
        <w:lastRenderedPageBreak/>
        <mc:AlternateContent>
          <mc:Choice Requires="wpg">
            <w:drawing>
              <wp:anchor distT="0" distB="0" distL="114300" distR="114300" simplePos="0" relativeHeight="251667456" behindDoc="0" locked="0" layoutInCell="1" allowOverlap="1" wp14:anchorId="2A9E6361" wp14:editId="19573FEE">
                <wp:simplePos x="0" y="0"/>
                <wp:positionH relativeFrom="column">
                  <wp:posOffset>2836546</wp:posOffset>
                </wp:positionH>
                <wp:positionV relativeFrom="paragraph">
                  <wp:posOffset>-56515</wp:posOffset>
                </wp:positionV>
                <wp:extent cx="1289685" cy="333375"/>
                <wp:effectExtent l="0" t="0" r="24765" b="28575"/>
                <wp:wrapNone/>
                <wp:docPr id="2" name="Group 2"/>
                <wp:cNvGraphicFramePr/>
                <a:graphic xmlns:a="http://schemas.openxmlformats.org/drawingml/2006/main">
                  <a:graphicData uri="http://schemas.microsoft.com/office/word/2010/wordprocessingGroup">
                    <wpg:wgp>
                      <wpg:cNvGrpSpPr/>
                      <wpg:grpSpPr>
                        <a:xfrm>
                          <a:off x="0" y="0"/>
                          <a:ext cx="1289685" cy="333375"/>
                          <a:chOff x="146712" y="-562"/>
                          <a:chExt cx="2176083" cy="450835"/>
                        </a:xfrm>
                      </wpg:grpSpPr>
                      <wps:wsp>
                        <wps:cNvPr id="4" name="Left Bracket 4"/>
                        <wps:cNvSpPr/>
                        <wps:spPr>
                          <a:xfrm rot="5400000">
                            <a:off x="1187453" y="-685070"/>
                            <a:ext cx="94602" cy="2176083"/>
                          </a:xfrm>
                          <a:prstGeom prst="leftBracke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2"/>
                        <wps:cNvSpPr txBox="1">
                          <a:spLocks noChangeArrowheads="1"/>
                        </wps:cNvSpPr>
                        <wps:spPr bwMode="auto">
                          <a:xfrm>
                            <a:off x="619984" y="-562"/>
                            <a:ext cx="1094407" cy="356234"/>
                          </a:xfrm>
                          <a:prstGeom prst="rect">
                            <a:avLst/>
                          </a:prstGeom>
                          <a:noFill/>
                          <a:ln w="9525">
                            <a:noFill/>
                            <a:miter lim="800000"/>
                            <a:headEnd/>
                            <a:tailEnd/>
                          </a:ln>
                        </wps:spPr>
                        <wps:txbx>
                          <w:txbxContent>
                            <w:p w14:paraId="35C3294E" w14:textId="77777777" w:rsidR="006F3C05" w:rsidRPr="00BF5ECB" w:rsidRDefault="006F3C05" w:rsidP="006F3C05">
                              <w:pPr>
                                <w:rPr>
                                  <w:sz w:val="20"/>
                                  <w:szCs w:val="20"/>
                                </w:rPr>
                              </w:pPr>
                              <w:r w:rsidRPr="00BF5ECB">
                                <w:rPr>
                                  <w:sz w:val="20"/>
                                  <w:szCs w:val="20"/>
                                </w:rPr>
                                <w:t>p=0.001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2A9E6361" id="Group 2" o:spid="_x0000_s1028" style="position:absolute;margin-left:223.35pt;margin-top:-4.45pt;width:101.55pt;height:26.25pt;z-index:251667456;mso-width-relative:margin;mso-height-relative:margin" coordorigin="1467,-5" coordsize="21760,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4" o:spid="_x0000_s1029" type="#_x0000_t85" style="position:absolute;left:11874;top:-6851;width:946;height:21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" adj="78" strokecolor="windowText">
                  <v:stroke joinstyle="miter"/>
                </v:shape>
                <v:shape id="_x0000_s1030" type="#_x0000_t202" style="position:absolute;left:6199;top:-5;width:10944;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" filled="f" stroked="f">
                  <v:textbox>
                    <w:txbxContent>
                      <w:p w14:paraId="35C3294E" w14:textId="77777777" w:rsidR="006F3C05" w:rsidRPr="00BF5ECB" w:rsidRDefault="006F3C05" w:rsidP="006F3C05">
                        <w:pPr>
                          <w:rPr>
                            <w:sz w:val="20"/>
                            <w:szCs w:val="20"/>
                          </w:rPr>
                        </w:pPr>
                        <w:r w:rsidRPr="00BF5ECB">
                          <w:rPr>
                            <w:sz w:val="20"/>
                            <w:szCs w:val="20"/>
                          </w:rPr>
                          <w:t>p=0.001</w:t>
                        </w:r>
                      </w:p>
                    </w:txbxContent>
                  </v:textbox>
                </v:shape>
              </v:group>
            </w:pict>
          </mc:Fallback>
        </mc:AlternateContent>
      </w:r>
      <w:r w:rsidRPr="00804E3F">
        <w:rPr>
          <w:rFonts w:ascii="Calibri" w:hAnsi="Calibri"/>
          <w:noProof/>
        </w:rPr>
        <mc:AlternateContent>
          <mc:Choice Requires="wpg">
            <w:drawing>
              <wp:anchor distT="0" distB="0" distL="114300" distR="114300" simplePos="0" relativeHeight="251666432" behindDoc="0" locked="0" layoutInCell="1" allowOverlap="1" wp14:anchorId="433C5013" wp14:editId="7BD8AEBB">
                <wp:simplePos x="0" y="0"/>
                <wp:positionH relativeFrom="column">
                  <wp:posOffset>3388659</wp:posOffset>
                </wp:positionH>
                <wp:positionV relativeFrom="paragraph">
                  <wp:posOffset>422238</wp:posOffset>
                </wp:positionV>
                <wp:extent cx="1440000" cy="333375"/>
                <wp:effectExtent l="0" t="0" r="8255" b="9525"/>
                <wp:wrapNone/>
                <wp:docPr id="7" name="Group 7"/>
                <wp:cNvGraphicFramePr/>
                <a:graphic xmlns:a="http://schemas.openxmlformats.org/drawingml/2006/main">
                  <a:graphicData uri="http://schemas.microsoft.com/office/word/2010/wordprocessingGroup">
                    <wpg:wgp>
                      <wpg:cNvGrpSpPr/>
                      <wpg:grpSpPr>
                        <a:xfrm>
                          <a:off x="0" y="0"/>
                          <a:ext cx="1440000" cy="333375"/>
                          <a:chOff x="-126507" y="0"/>
                          <a:chExt cx="2449306" cy="450275"/>
                        </a:xfrm>
                      </wpg:grpSpPr>
                      <wps:wsp>
                        <wps:cNvPr id="113" name="Left Bracket 113"/>
                        <wps:cNvSpPr/>
                        <wps:spPr>
                          <a:xfrm rot="5400000">
                            <a:off x="1050844" y="-821679"/>
                            <a:ext cx="94603" cy="2449306"/>
                          </a:xfrm>
                          <a:prstGeom prst="leftBracke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Text Box 2"/>
                        <wps:cNvSpPr txBox="1">
                          <a:spLocks noChangeArrowheads="1"/>
                        </wps:cNvSpPr>
                        <wps:spPr bwMode="auto">
                          <a:xfrm>
                            <a:off x="678913" y="0"/>
                            <a:ext cx="947511" cy="356234"/>
                          </a:xfrm>
                          <a:prstGeom prst="rect">
                            <a:avLst/>
                          </a:prstGeom>
                          <a:noFill/>
                          <a:ln w="9525">
                            <a:noFill/>
                            <a:miter lim="800000"/>
                            <a:headEnd/>
                            <a:tailEnd/>
                          </a:ln>
                        </wps:spPr>
                        <wps:txbx>
                          <w:txbxContent>
                            <w:p w14:paraId="1B147672" w14:textId="77777777" w:rsidR="006F3C05" w:rsidRPr="00BF5ECB" w:rsidRDefault="006F3C05" w:rsidP="006F3C05">
                              <w:pPr>
                                <w:rPr>
                                  <w:sz w:val="20"/>
                                  <w:szCs w:val="20"/>
                                </w:rPr>
                              </w:pPr>
                              <w:r w:rsidRPr="00BF5ECB">
                                <w:rPr>
                                  <w:sz w:val="20"/>
                                  <w:szCs w:val="20"/>
                                </w:rPr>
                                <w:t>p=0.1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433C5013" id="Group 7" o:spid="_x0000_s1031" style="position:absolute;margin-left:266.8pt;margin-top:33.25pt;width:113.4pt;height:26.25pt;z-index:251666432;mso-width-relative:margin;mso-height-relative:margin" coordorigin="-1265" coordsize="24493,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">
                <v:shape id="Left Bracket 113" o:spid="_x0000_s1032" type="#_x0000_t85" style="position:absolute;left:10508;top:-8217;width:946;height:244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" adj="70" strokecolor="windowText">
                  <v:stroke joinstyle="miter"/>
                </v:shape>
                <v:shape id="_x0000_s1033" type="#_x0000_t202" style="position:absolute;left:6789;width:947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" filled="f" stroked="f">
                  <v:textbox>
                    <w:txbxContent>
                      <w:p w14:paraId="1B147672" w14:textId="77777777" w:rsidR="006F3C05" w:rsidRPr="00BF5ECB" w:rsidRDefault="006F3C05" w:rsidP="006F3C05">
                        <w:pPr>
                          <w:rPr>
                            <w:sz w:val="20"/>
                            <w:szCs w:val="20"/>
                          </w:rPr>
                        </w:pPr>
                        <w:r w:rsidRPr="00BF5ECB">
                          <w:rPr>
                            <w:sz w:val="20"/>
                            <w:szCs w:val="20"/>
                          </w:rPr>
                          <w:t>p=0.1</w:t>
                        </w:r>
                      </w:p>
                    </w:txbxContent>
                  </v:textbox>
                </v:shape>
              </v:group>
            </w:pict>
          </mc:Fallback>
        </mc:AlternateContent>
      </w:r>
      <w:r w:rsidRPr="00804E3F">
        <w:rPr>
          <w:rFonts w:ascii="Calibri" w:hAnsi="Calibri"/>
          <w:noProof/>
        </w:rPr>
        <w:drawing>
          <wp:inline distT="0" distB="0" distL="0" distR="0" wp14:anchorId="42B4473A" wp14:editId="191D4953">
            <wp:extent cx="5388746" cy="3249228"/>
            <wp:effectExtent l="0" t="0" r="0" b="2540"/>
            <wp:docPr id="9" name="Chart 9">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26FF34C" w14:textId="77777777" w:rsidR="006F3C05" w:rsidRPr="00804E3F" w:rsidRDefault="006F3C05" w:rsidP="006F3C05">
      <w:pPr>
        <w:spacing w:line="240" w:lineRule="auto"/>
        <w:rPr>
          <w:rFonts w:ascii="Calibri" w:hAnsi="Calibri"/>
          <w:b/>
          <w:bCs/>
          <w:color w:val="404040"/>
          <w:sz w:val="20"/>
          <w:szCs w:val="20"/>
        </w:rPr>
      </w:pPr>
      <w:bookmarkStart w:id="14" w:name="_Ref24466597"/>
      <w:r w:rsidRPr="00804E3F">
        <w:rPr>
          <w:rFonts w:ascii="Calibri" w:hAnsi="Calibri"/>
          <w:b/>
          <w:bCs/>
          <w:color w:val="404040"/>
          <w:sz w:val="20"/>
          <w:szCs w:val="20"/>
        </w:rPr>
        <w:t xml:space="preserve">Figure </w:t>
      </w:r>
      <w:bookmarkEnd w:id="14"/>
      <w:r w:rsidRPr="00804E3F">
        <w:rPr>
          <w:rFonts w:ascii="Calibri" w:hAnsi="Calibri"/>
          <w:b/>
          <w:bCs/>
          <w:noProof/>
          <w:color w:val="404040"/>
          <w:sz w:val="20"/>
          <w:szCs w:val="20"/>
        </w:rPr>
        <w:t>4</w:t>
      </w:r>
      <w:r w:rsidRPr="00804E3F">
        <w:rPr>
          <w:rFonts w:ascii="Calibri" w:hAnsi="Calibri"/>
          <w:b/>
          <w:bCs/>
          <w:color w:val="404040"/>
          <w:sz w:val="20"/>
          <w:szCs w:val="20"/>
        </w:rPr>
        <w:t xml:space="preserve"> Change in methylation at the loci within individuals from age 7 to 17 by RWG.</w:t>
      </w:r>
    </w:p>
    <w:p w14:paraId="2BD587F9" w14:textId="77777777" w:rsidR="006F3C05" w:rsidRPr="00804E3F" w:rsidRDefault="006F3C05" w:rsidP="006F3C05">
      <w:pPr>
        <w:spacing w:line="240" w:lineRule="auto"/>
        <w:rPr>
          <w:rFonts w:ascii="Calibri" w:hAnsi="Calibri"/>
          <w:b/>
          <w:bCs/>
          <w:i/>
          <w:color w:val="404040"/>
          <w:sz w:val="20"/>
          <w:szCs w:val="20"/>
        </w:rPr>
      </w:pPr>
      <w:r w:rsidRPr="00804E3F">
        <w:rPr>
          <w:rFonts w:ascii="Calibri" w:hAnsi="Calibri"/>
          <w:b/>
          <w:bCs/>
          <w:color w:val="404040"/>
          <w:sz w:val="20"/>
          <w:szCs w:val="20"/>
        </w:rPr>
        <w:t>Test for differences using the Student’s t-test. Those who did not have RWG (</w:t>
      </w:r>
      <w:r w:rsidRPr="00804E3F">
        <w:rPr>
          <w:rFonts w:ascii="Calibri" w:hAnsi="Calibri"/>
          <w:b/>
          <w:bCs/>
          <w:i/>
          <w:color w:val="404040"/>
          <w:sz w:val="20"/>
          <w:szCs w:val="20"/>
        </w:rPr>
        <w:t>n</w:t>
      </w:r>
      <w:r w:rsidRPr="00804E3F">
        <w:rPr>
          <w:rFonts w:ascii="Calibri" w:hAnsi="Calibri"/>
          <w:b/>
          <w:bCs/>
          <w:color w:val="404040"/>
          <w:sz w:val="20"/>
          <w:szCs w:val="20"/>
        </w:rPr>
        <w:t>=60) demonstrated small mean increases (cg01379158, +0.6%; cg11531579, +1.2%) in methylation, whereas those who had RWG (</w:t>
      </w:r>
      <w:r w:rsidRPr="00804E3F">
        <w:rPr>
          <w:rFonts w:ascii="Calibri" w:hAnsi="Calibri"/>
          <w:b/>
          <w:bCs/>
          <w:i/>
          <w:color w:val="404040"/>
          <w:sz w:val="20"/>
          <w:szCs w:val="20"/>
        </w:rPr>
        <w:t>n</w:t>
      </w:r>
      <w:r w:rsidRPr="00804E3F">
        <w:rPr>
          <w:rFonts w:ascii="Calibri" w:hAnsi="Calibri"/>
          <w:b/>
          <w:bCs/>
          <w:color w:val="404040"/>
          <w:sz w:val="20"/>
          <w:szCs w:val="20"/>
        </w:rPr>
        <w:t>=34) demonstrated small (cg01379158, -0.4%; cg11531579, -0.6%) decreases in methylation between ages 7 and 17.</w:t>
      </w:r>
      <w:r>
        <w:rPr>
          <w:rFonts w:ascii="Calibri" w:hAnsi="Calibri"/>
          <w:b/>
          <w:bCs/>
          <w:color w:val="404040"/>
          <w:sz w:val="20"/>
          <w:szCs w:val="20"/>
        </w:rPr>
        <w:t xml:space="preserve"> Error bars represent standard deviation. </w:t>
      </w:r>
    </w:p>
    <w:p w14:paraId="314A00D0" w14:textId="77777777" w:rsidR="006F3C05" w:rsidRDefault="006F3C05" w:rsidP="006F3C05">
      <w:pPr>
        <w:rPr>
          <w:rFonts w:ascii="Calibri" w:hAnsi="Calibri"/>
        </w:rPr>
        <w:sectPr w:rsidR="006F3C05" w:rsidSect="006F3C05">
          <w:pgSz w:w="16838" w:h="11906" w:orient="landscape"/>
          <w:pgMar w:top="1440" w:right="1440" w:bottom="1440" w:left="1440" w:header="708" w:footer="708" w:gutter="0"/>
          <w:lnNumType w:countBy="1" w:restart="continuous"/>
          <w:cols w:space="708"/>
          <w:docGrid w:linePitch="360"/>
        </w:sectPr>
      </w:pPr>
    </w:p>
    <w:p w14:paraId="541D8538" w14:textId="77777777" w:rsidR="00007CAC" w:rsidRDefault="00007CAC" w:rsidP="00007CAC">
      <w:pPr>
        <w:pStyle w:val="Heading2"/>
      </w:pPr>
      <w:bookmarkStart w:id="15" w:name="_Ref50278365"/>
      <w:r>
        <w:lastRenderedPageBreak/>
        <w:t>Supplementary text</w:t>
      </w:r>
      <w:bookmarkEnd w:id="15"/>
    </w:p>
    <w:p w14:paraId="0B8C8E36" w14:textId="77777777" w:rsidR="00007CAC" w:rsidRDefault="00007CAC" w:rsidP="00007CAC">
      <w:pPr>
        <w:rPr>
          <w:b/>
          <w:bCs/>
        </w:rPr>
      </w:pPr>
    </w:p>
    <w:p w14:paraId="2A38716E" w14:textId="77777777" w:rsidR="00007CAC" w:rsidRPr="002E320D" w:rsidRDefault="00007CAC" w:rsidP="00007CAC">
      <w:pPr>
        <w:rPr>
          <w:b/>
          <w:bCs/>
        </w:rPr>
      </w:pPr>
      <w:r w:rsidRPr="002E320D">
        <w:rPr>
          <w:b/>
          <w:bCs/>
        </w:rPr>
        <w:t>SWS Cohort</w:t>
      </w:r>
    </w:p>
    <w:p w14:paraId="52644B32" w14:textId="77777777" w:rsidR="00007CAC" w:rsidRDefault="00007CAC" w:rsidP="00007CAC">
      <w:r w:rsidRPr="002E320D">
        <w:t>The Southampton Women’s Survey</w:t>
      </w:r>
      <w:r>
        <w:t xml:space="preserve"> (SWS) </w:t>
      </w:r>
      <w:r w:rsidRPr="002E320D">
        <w:t>is an ongoing, prospective cohort study of 12</w:t>
      </w:r>
      <w:r>
        <w:t>,</w:t>
      </w:r>
      <w:r w:rsidRPr="002E320D">
        <w:t>583, initially non-pregnant, women aged 20–34 years, living in the city of Southampton, UK</w:t>
      </w:r>
      <w:r>
        <w:t xml:space="preserve"> </w:t>
      </w:r>
      <w:r>
        <w:rPr>
          <w:noProof/>
        </w:rPr>
        <w:t>(39)</w:t>
      </w:r>
      <w:r w:rsidRPr="002E320D">
        <w:t>. Assessments of lifestyle, diet and anthropometry were performed at study entry (April 1998–December 2002). Women who subsequently became pregnant were followed through pregnancy and their offspring through infancy and childhood.</w:t>
      </w:r>
      <w:r>
        <w:t xml:space="preserve"> </w:t>
      </w:r>
      <w:r w:rsidRPr="000E5D71">
        <w:t xml:space="preserve">Follow-up of the children and sample collection/analysis was carried out under Institutional Review Board approval (Southampton and South West Hampshire Research Ethics Committee, references 276/97, 307/97, 153/99w, and 10/H0504/30) with written informed consent. </w:t>
      </w:r>
      <w:r w:rsidRPr="002E320D">
        <w:t xml:space="preserve">Here we focus on the follow-up of the children aged </w:t>
      </w:r>
      <w:r>
        <w:t>11-13</w:t>
      </w:r>
      <w:r w:rsidRPr="002E320D">
        <w:t xml:space="preserve"> years</w:t>
      </w:r>
      <w:r>
        <w:t xml:space="preserve"> which included epigenetic data</w:t>
      </w:r>
      <w:r w:rsidRPr="002E320D">
        <w:t>.</w:t>
      </w:r>
    </w:p>
    <w:p w14:paraId="6CA5ACE1" w14:textId="77777777" w:rsidR="00007CAC" w:rsidRDefault="00007CAC" w:rsidP="00007CAC">
      <w:pPr>
        <w:rPr>
          <w:b/>
          <w:bCs/>
        </w:rPr>
      </w:pPr>
      <w:r w:rsidRPr="002E320D">
        <w:rPr>
          <w:b/>
          <w:bCs/>
        </w:rPr>
        <w:t>Early life measures</w:t>
      </w:r>
    </w:p>
    <w:p w14:paraId="2AE62D46" w14:textId="77777777" w:rsidR="00007CAC" w:rsidRDefault="00007CAC" w:rsidP="00007CAC">
      <w:r w:rsidRPr="000E5D71">
        <w:t>Birth weights were recorded by midwives attending the birth</w:t>
      </w:r>
      <w:r>
        <w:t xml:space="preserve"> and weight at 12 months</w:t>
      </w:r>
      <w:r w:rsidRPr="000E5D71">
        <w:t xml:space="preserve"> using hospital digital scales (</w:t>
      </w:r>
      <w:proofErr w:type="spellStart"/>
      <w:r w:rsidRPr="000E5D71">
        <w:t>Seca</w:t>
      </w:r>
      <w:proofErr w:type="spellEnd"/>
      <w:r w:rsidRPr="000E5D71">
        <w:t xml:space="preserve"> Ltd, London) that were regularly calibrated</w:t>
      </w:r>
      <w:r>
        <w:t xml:space="preserve">. </w:t>
      </w:r>
      <w:r w:rsidRPr="000E5D71">
        <w:t xml:space="preserve">In order to adjust for sex and gestational age and also to compare with reference values for the population, birth weight measurements were expressed as </w:t>
      </w:r>
      <w:r>
        <w:t>z-s</w:t>
      </w:r>
      <w:r w:rsidRPr="000E5D71">
        <w:t xml:space="preserve">cores compared with the 1990 British Growth </w:t>
      </w:r>
      <w:r>
        <w:t>Foundation (CGF)</w:t>
      </w:r>
      <w:r w:rsidRPr="000E5D71">
        <w:t xml:space="preserve"> data</w:t>
      </w:r>
      <w:r>
        <w:t xml:space="preserve">, and were used to determine the rapid weight gain and rapid thrive variables. </w:t>
      </w:r>
      <w:r w:rsidRPr="009C5AB6">
        <w:t>Rapid thrive was determined as z</w:t>
      </w:r>
      <w:r>
        <w:t>-</w:t>
      </w:r>
      <w:r w:rsidRPr="009C5AB6">
        <w:t>score</w:t>
      </w:r>
      <w:r w:rsidRPr="009C5AB6">
        <w:rPr>
          <w:vertAlign w:val="subscript"/>
        </w:rPr>
        <w:t>12m</w:t>
      </w:r>
      <w:r w:rsidRPr="009C5AB6">
        <w:t xml:space="preserve"> − r × z-</w:t>
      </w:r>
      <w:proofErr w:type="spellStart"/>
      <w:r w:rsidRPr="009C5AB6">
        <w:t>score</w:t>
      </w:r>
      <w:r w:rsidRPr="009C5AB6">
        <w:rPr>
          <w:vertAlign w:val="subscript"/>
        </w:rPr>
        <w:t>birth</w:t>
      </w:r>
      <w:proofErr w:type="spellEnd"/>
      <w:r w:rsidRPr="009C5AB6">
        <w:t xml:space="preserve">, where r </w:t>
      </w:r>
      <w:r>
        <w:t>was</w:t>
      </w:r>
      <w:r w:rsidRPr="009C5AB6">
        <w:t xml:space="preserve"> the cohort regression coefficient (r=0.</w:t>
      </w:r>
      <w:r>
        <w:t>276</w:t>
      </w:r>
      <w:r w:rsidRPr="009C5AB6">
        <w:t xml:space="preserve">) </w:t>
      </w:r>
      <w:r>
        <w:t xml:space="preserve">of the linear model with z-score at 12month as the outcome with birthweight z-score as the exposure. </w:t>
      </w:r>
      <w:r w:rsidRPr="0050703B">
        <w:t xml:space="preserve">RWG and RT were analysed as </w:t>
      </w:r>
      <w:r>
        <w:t>categorical</w:t>
      </w:r>
      <w:r w:rsidRPr="0050703B">
        <w:t xml:space="preserve"> variables of a &gt;+0.67 standard deviation change</w:t>
      </w:r>
      <w:r>
        <w:t>.</w:t>
      </w:r>
    </w:p>
    <w:p w14:paraId="5B63A1E2" w14:textId="77777777" w:rsidR="00007CAC" w:rsidRPr="002E320D" w:rsidRDefault="00007CAC" w:rsidP="00007CAC">
      <w:pPr>
        <w:rPr>
          <w:b/>
          <w:bCs/>
        </w:rPr>
      </w:pPr>
      <w:r w:rsidRPr="002E320D">
        <w:rPr>
          <w:b/>
          <w:bCs/>
        </w:rPr>
        <w:t>DNA extraction</w:t>
      </w:r>
    </w:p>
    <w:p w14:paraId="18463192" w14:textId="77777777" w:rsidR="00007CAC" w:rsidRDefault="00007CAC" w:rsidP="00007CAC">
      <w:r>
        <w:t xml:space="preserve">Genomic DNA (gDNA) was extracted from whole blood samples using the </w:t>
      </w:r>
      <w:proofErr w:type="spellStart"/>
      <w:r>
        <w:t>QIAamp</w:t>
      </w:r>
      <w:proofErr w:type="spellEnd"/>
      <w:r>
        <w:t xml:space="preserve"> Blood DNA mini kit (Qiagen). Quality of the genomic DNA was assessed by agarose gel electrophoresis and quantity of gDNA was checked on the </w:t>
      </w:r>
      <w:proofErr w:type="spellStart"/>
      <w:r>
        <w:t>NanoDrop</w:t>
      </w:r>
      <w:proofErr w:type="spellEnd"/>
      <w:r>
        <w:t xml:space="preserve"> ND-1000 (</w:t>
      </w:r>
      <w:proofErr w:type="spellStart"/>
      <w:r>
        <w:t>NanoDrop</w:t>
      </w:r>
      <w:proofErr w:type="spellEnd"/>
      <w:r>
        <w:t xml:space="preserve"> Technologies).</w:t>
      </w:r>
    </w:p>
    <w:p w14:paraId="57E8790B" w14:textId="77777777" w:rsidR="00007CAC" w:rsidRPr="002E320D" w:rsidRDefault="00007CAC" w:rsidP="00007CAC">
      <w:pPr>
        <w:rPr>
          <w:b/>
          <w:bCs/>
        </w:rPr>
      </w:pPr>
      <w:r w:rsidRPr="002E320D">
        <w:rPr>
          <w:b/>
          <w:bCs/>
        </w:rPr>
        <w:lastRenderedPageBreak/>
        <w:t>Infinium Human</w:t>
      </w:r>
      <w:r>
        <w:rPr>
          <w:b/>
          <w:bCs/>
        </w:rPr>
        <w:t xml:space="preserve"> </w:t>
      </w:r>
      <w:proofErr w:type="spellStart"/>
      <w:r w:rsidRPr="002E320D">
        <w:rPr>
          <w:b/>
          <w:bCs/>
        </w:rPr>
        <w:t>MethylationEPIC</w:t>
      </w:r>
      <w:proofErr w:type="spellEnd"/>
      <w:r w:rsidRPr="002E320D">
        <w:rPr>
          <w:b/>
          <w:bCs/>
        </w:rPr>
        <w:t xml:space="preserve"> </w:t>
      </w:r>
      <w:proofErr w:type="spellStart"/>
      <w:r w:rsidRPr="002E320D">
        <w:rPr>
          <w:b/>
          <w:bCs/>
        </w:rPr>
        <w:t>BeadChip</w:t>
      </w:r>
      <w:proofErr w:type="spellEnd"/>
      <w:r w:rsidRPr="002E320D">
        <w:rPr>
          <w:b/>
          <w:bCs/>
        </w:rPr>
        <w:t xml:space="preserve"> array</w:t>
      </w:r>
      <w:r w:rsidRPr="002E320D">
        <w:rPr>
          <w:b/>
          <w:bCs/>
        </w:rPr>
        <w:tab/>
      </w:r>
    </w:p>
    <w:p w14:paraId="0C786E05" w14:textId="77777777" w:rsidR="00007CAC" w:rsidRDefault="00007CAC" w:rsidP="00007CAC">
      <w:r>
        <w:t xml:space="preserve">DNA methylation using the Infinium Human </w:t>
      </w:r>
      <w:proofErr w:type="spellStart"/>
      <w:r>
        <w:t>MethylationEPIC</w:t>
      </w:r>
      <w:proofErr w:type="spellEnd"/>
      <w:r>
        <w:t xml:space="preserve"> </w:t>
      </w:r>
      <w:proofErr w:type="spellStart"/>
      <w:r>
        <w:t>BeadChip</w:t>
      </w:r>
      <w:proofErr w:type="spellEnd"/>
      <w:r>
        <w:t xml:space="preserve"> array was used to interrogate DNA methylation in 107 whole blood samples. 1µg of the genomic DNA was treated with sodium </w:t>
      </w:r>
      <w:proofErr w:type="spellStart"/>
      <w:r>
        <w:t>bisulfite</w:t>
      </w:r>
      <w:proofErr w:type="spellEnd"/>
      <w:r>
        <w:t xml:space="preserve"> using </w:t>
      </w:r>
      <w:proofErr w:type="spellStart"/>
      <w:r>
        <w:t>Zymo</w:t>
      </w:r>
      <w:proofErr w:type="spellEnd"/>
      <w:r>
        <w:t xml:space="preserve"> EZ DNA Methylation-Gold kit (</w:t>
      </w:r>
      <w:proofErr w:type="spellStart"/>
      <w:r>
        <w:t>ZymoResearch</w:t>
      </w:r>
      <w:proofErr w:type="spellEnd"/>
      <w:r>
        <w:t xml:space="preserve">, Irvine, California, USA, D5007) and processing of the Human </w:t>
      </w:r>
      <w:proofErr w:type="spellStart"/>
      <w:r>
        <w:t>MethylationEPIC</w:t>
      </w:r>
      <w:proofErr w:type="spellEnd"/>
      <w:r>
        <w:t xml:space="preserve"> (Infinium Methylation EPIC; Illumina, Inc. CA, USA) platform was carried out by the Centre for Molecular Medicine and Therapeutics (CMMT) (http://www.cmmt.ubc.ca). The </w:t>
      </w:r>
      <w:proofErr w:type="spellStart"/>
      <w:r>
        <w:t>idat</w:t>
      </w:r>
      <w:proofErr w:type="spellEnd"/>
      <w:r>
        <w:t xml:space="preserve"> files were processed in R v3.5.2. </w:t>
      </w:r>
      <w:r w:rsidRPr="002E320D">
        <w:t xml:space="preserve">Estimation of white blood cell counts was done using the Houseman algorithm. </w:t>
      </w:r>
      <w:proofErr w:type="spellStart"/>
      <w:r>
        <w:t>CpGs</w:t>
      </w:r>
      <w:proofErr w:type="spellEnd"/>
      <w:r>
        <w:t xml:space="preserve"> with a high detection p-value (p&gt;0.01), </w:t>
      </w:r>
      <w:proofErr w:type="spellStart"/>
      <w:r>
        <w:t>beadcount</w:t>
      </w:r>
      <w:proofErr w:type="spellEnd"/>
      <w:r>
        <w:t>&lt;3, c</w:t>
      </w:r>
      <w:r w:rsidRPr="002E320D">
        <w:t xml:space="preserve">ross-reactive and polymorphic probes identified by </w:t>
      </w:r>
      <w:proofErr w:type="spellStart"/>
      <w:r>
        <w:t>Pidsley</w:t>
      </w:r>
      <w:proofErr w:type="spellEnd"/>
      <w:r w:rsidRPr="002E320D">
        <w:t xml:space="preserve"> et al., </w:t>
      </w:r>
      <w:r>
        <w:rPr>
          <w:noProof/>
        </w:rPr>
        <w:t>(59)</w:t>
      </w:r>
      <w:r w:rsidRPr="0063220B">
        <w:t xml:space="preserve"> </w:t>
      </w:r>
      <w:r w:rsidRPr="002E320D">
        <w:t>and probes on sex chromosomes were removed prior to downstream analysis</w:t>
      </w:r>
      <w:r>
        <w:t xml:space="preserve"> (final number of </w:t>
      </w:r>
      <w:proofErr w:type="spellStart"/>
      <w:r>
        <w:t>CpGs</w:t>
      </w:r>
      <w:proofErr w:type="spellEnd"/>
      <w:r>
        <w:t>=</w:t>
      </w:r>
      <w:r w:rsidRPr="00575856">
        <w:t>792</w:t>
      </w:r>
      <w:r>
        <w:t>,</w:t>
      </w:r>
      <w:r w:rsidRPr="00575856">
        <w:t>718</w:t>
      </w:r>
      <w:r>
        <w:t>)</w:t>
      </w:r>
      <w:r w:rsidRPr="002E320D">
        <w:t>.</w:t>
      </w:r>
      <w:r>
        <w:t xml:space="preserve"> However, only CpG sites that were differentially methylated (</w:t>
      </w:r>
      <w:proofErr w:type="spellStart"/>
      <w:r>
        <w:t>p</w:t>
      </w:r>
      <w:r w:rsidRPr="001413FF">
        <w:rPr>
          <w:vertAlign w:val="subscript"/>
        </w:rPr>
        <w:t>FDR</w:t>
      </w:r>
      <w:proofErr w:type="spellEnd"/>
      <w:r>
        <w:t xml:space="preserve">&lt;0.05) in the ALSPAC analysis were examined in the SWS samples. </w:t>
      </w:r>
      <w:r>
        <w:br/>
      </w:r>
    </w:p>
    <w:p w14:paraId="03217330" w14:textId="77777777" w:rsidR="00007CAC" w:rsidRDefault="00007CAC" w:rsidP="00007CAC"/>
    <w:p w14:paraId="367A6104" w14:textId="1C46FE1E" w:rsidR="006F3C05" w:rsidRDefault="006F3C05" w:rsidP="006F3C05"/>
    <w:p w14:paraId="6A8F8842" w14:textId="77777777" w:rsidR="006F3C05" w:rsidRPr="006F3C05" w:rsidRDefault="006F3C05" w:rsidP="006F3C05"/>
    <w:p w14:paraId="32FCE307" w14:textId="428AE6C9" w:rsidR="006F3C05" w:rsidRDefault="006F3C05" w:rsidP="006F3C05"/>
    <w:p w14:paraId="5DD0543B" w14:textId="77777777" w:rsidR="00007CAC" w:rsidRDefault="00007CAC">
      <w:pPr>
        <w:spacing w:line="264" w:lineRule="auto"/>
        <w:rPr>
          <w:rFonts w:asciiTheme="majorHAnsi" w:eastAsiaTheme="majorEastAsia" w:hAnsiTheme="majorHAnsi" w:cstheme="majorBidi"/>
          <w:color w:val="2F5496" w:themeColor="accent1" w:themeShade="BF"/>
          <w:sz w:val="28"/>
          <w:szCs w:val="28"/>
        </w:rPr>
      </w:pPr>
      <w:r>
        <w:br w:type="page"/>
      </w:r>
    </w:p>
    <w:p w14:paraId="03700AFE" w14:textId="77B109C2" w:rsidR="006F3C05" w:rsidRDefault="006F3C05" w:rsidP="006F3C05">
      <w:pPr>
        <w:pStyle w:val="Heading2"/>
      </w:pPr>
      <w:r>
        <w:lastRenderedPageBreak/>
        <w:t xml:space="preserve">Supplementary tables and figures </w:t>
      </w:r>
    </w:p>
    <w:p w14:paraId="7C6251E4" w14:textId="77777777" w:rsidR="006F3C05" w:rsidRDefault="006F3C05" w:rsidP="006F3C05"/>
    <w:p w14:paraId="62EC8AB1" w14:textId="77777777" w:rsidR="006F3C05" w:rsidRPr="00F83017" w:rsidRDefault="006F3C05" w:rsidP="006F3C05">
      <w:pPr>
        <w:pStyle w:val="Caption"/>
        <w:keepNext/>
        <w:rPr>
          <w:sz w:val="22"/>
          <w:szCs w:val="22"/>
        </w:rPr>
      </w:pPr>
      <w:bookmarkStart w:id="16" w:name="_Ref24623458"/>
      <w:bookmarkStart w:id="17" w:name="_Ref33447840"/>
      <w:r w:rsidRPr="00F83017">
        <w:rPr>
          <w:sz w:val="22"/>
          <w:szCs w:val="22"/>
        </w:rPr>
        <w:t xml:space="preserve">Table </w:t>
      </w:r>
      <w:bookmarkEnd w:id="16"/>
      <w:r w:rsidRPr="00F83017">
        <w:rPr>
          <w:noProof/>
          <w:sz w:val="22"/>
          <w:szCs w:val="22"/>
        </w:rPr>
        <w:t>1</w:t>
      </w:r>
      <w:bookmarkEnd w:id="17"/>
      <w:r w:rsidRPr="00F83017">
        <w:rPr>
          <w:sz w:val="22"/>
          <w:szCs w:val="22"/>
        </w:rPr>
        <w:t xml:space="preserve"> Body composition of A</w:t>
      </w:r>
      <w:r>
        <w:rPr>
          <w:sz w:val="22"/>
          <w:szCs w:val="22"/>
        </w:rPr>
        <w:t>RIES</w:t>
      </w:r>
      <w:r w:rsidRPr="00F83017">
        <w:rPr>
          <w:sz w:val="22"/>
          <w:szCs w:val="22"/>
        </w:rPr>
        <w:t xml:space="preserve"> participants age 7 and 17</w:t>
      </w:r>
    </w:p>
    <w:tbl>
      <w:tblPr>
        <w:tblW w:w="7170" w:type="dxa"/>
        <w:tblLook w:val="04A0" w:firstRow="1" w:lastRow="0" w:firstColumn="1" w:lastColumn="0" w:noHBand="0" w:noVBand="1"/>
      </w:tblPr>
      <w:tblGrid>
        <w:gridCol w:w="2414"/>
        <w:gridCol w:w="732"/>
        <w:gridCol w:w="1483"/>
        <w:gridCol w:w="485"/>
        <w:gridCol w:w="732"/>
        <w:gridCol w:w="1324"/>
      </w:tblGrid>
      <w:tr w:rsidR="006F3C05" w:rsidRPr="00F83017" w14:paraId="3F00E695" w14:textId="77777777" w:rsidTr="006F3C05">
        <w:trPr>
          <w:trHeight w:val="316"/>
        </w:trPr>
        <w:tc>
          <w:tcPr>
            <w:tcW w:w="2414" w:type="dxa"/>
            <w:tcBorders>
              <w:top w:val="single" w:sz="4" w:space="0" w:color="auto"/>
              <w:left w:val="nil"/>
              <w:bottom w:val="nil"/>
              <w:right w:val="nil"/>
            </w:tcBorders>
            <w:shd w:val="clear" w:color="auto" w:fill="auto"/>
            <w:noWrap/>
            <w:vAlign w:val="center"/>
            <w:hideMark/>
          </w:tcPr>
          <w:p w14:paraId="279193AD" w14:textId="77777777" w:rsidR="006F3C05" w:rsidRPr="00024B39" w:rsidRDefault="006F3C05" w:rsidP="006F3C05">
            <w:pPr>
              <w:spacing w:after="0" w:line="240" w:lineRule="auto"/>
              <w:rPr>
                <w:rFonts w:ascii="Times New Roman" w:eastAsia="Times New Roman" w:hAnsi="Times New Roman" w:cs="Times New Roman"/>
                <w:sz w:val="20"/>
                <w:szCs w:val="24"/>
                <w:lang w:eastAsia="en-GB"/>
              </w:rPr>
            </w:pPr>
          </w:p>
        </w:tc>
        <w:tc>
          <w:tcPr>
            <w:tcW w:w="2215" w:type="dxa"/>
            <w:gridSpan w:val="2"/>
            <w:tcBorders>
              <w:top w:val="single" w:sz="4" w:space="0" w:color="auto"/>
              <w:left w:val="nil"/>
              <w:bottom w:val="nil"/>
              <w:right w:val="nil"/>
            </w:tcBorders>
            <w:shd w:val="clear" w:color="auto" w:fill="auto"/>
            <w:noWrap/>
            <w:vAlign w:val="center"/>
            <w:hideMark/>
          </w:tcPr>
          <w:p w14:paraId="16DB127E" w14:textId="77777777" w:rsidR="006F3C05" w:rsidRPr="00F83017" w:rsidRDefault="006F3C05" w:rsidP="006F3C05">
            <w:pPr>
              <w:spacing w:after="0" w:line="240" w:lineRule="auto"/>
              <w:jc w:val="center"/>
              <w:rPr>
                <w:rFonts w:ascii="Calibri" w:eastAsia="Times New Roman" w:hAnsi="Calibri" w:cs="Calibri"/>
                <w:color w:val="000000"/>
                <w:sz w:val="20"/>
                <w:szCs w:val="20"/>
                <w:lang w:eastAsia="en-GB"/>
              </w:rPr>
            </w:pPr>
            <w:r w:rsidRPr="00F83017">
              <w:rPr>
                <w:rFonts w:ascii="Calibri" w:eastAsia="Times New Roman" w:hAnsi="Calibri" w:cs="Calibri"/>
                <w:color w:val="000000"/>
                <w:sz w:val="20"/>
                <w:szCs w:val="20"/>
                <w:lang w:eastAsia="en-GB"/>
              </w:rPr>
              <w:t>Age 7</w:t>
            </w:r>
          </w:p>
        </w:tc>
        <w:tc>
          <w:tcPr>
            <w:tcW w:w="485" w:type="dxa"/>
            <w:tcBorders>
              <w:top w:val="single" w:sz="4" w:space="0" w:color="auto"/>
              <w:left w:val="nil"/>
              <w:bottom w:val="nil"/>
              <w:right w:val="nil"/>
            </w:tcBorders>
            <w:shd w:val="clear" w:color="auto" w:fill="auto"/>
            <w:noWrap/>
            <w:vAlign w:val="center"/>
            <w:hideMark/>
          </w:tcPr>
          <w:p w14:paraId="6D61198D" w14:textId="77777777" w:rsidR="006F3C05" w:rsidRPr="00F83017" w:rsidRDefault="006F3C05" w:rsidP="006F3C05">
            <w:pPr>
              <w:spacing w:after="0" w:line="240" w:lineRule="auto"/>
              <w:jc w:val="center"/>
              <w:rPr>
                <w:rFonts w:ascii="Calibri" w:eastAsia="Times New Roman" w:hAnsi="Calibri" w:cs="Calibri"/>
                <w:color w:val="000000"/>
                <w:sz w:val="20"/>
                <w:szCs w:val="20"/>
                <w:lang w:eastAsia="en-GB"/>
              </w:rPr>
            </w:pPr>
          </w:p>
        </w:tc>
        <w:tc>
          <w:tcPr>
            <w:tcW w:w="2056" w:type="dxa"/>
            <w:gridSpan w:val="2"/>
            <w:tcBorders>
              <w:top w:val="single" w:sz="4" w:space="0" w:color="auto"/>
              <w:left w:val="nil"/>
              <w:bottom w:val="nil"/>
              <w:right w:val="nil"/>
            </w:tcBorders>
            <w:shd w:val="clear" w:color="auto" w:fill="auto"/>
            <w:noWrap/>
            <w:vAlign w:val="center"/>
            <w:hideMark/>
          </w:tcPr>
          <w:p w14:paraId="411E35C0" w14:textId="77777777" w:rsidR="006F3C05" w:rsidRPr="00F83017" w:rsidRDefault="006F3C05" w:rsidP="006F3C05">
            <w:pPr>
              <w:spacing w:after="0" w:line="240" w:lineRule="auto"/>
              <w:jc w:val="center"/>
              <w:rPr>
                <w:rFonts w:ascii="Calibri" w:eastAsia="Times New Roman" w:hAnsi="Calibri" w:cs="Calibri"/>
                <w:color w:val="000000"/>
                <w:sz w:val="20"/>
                <w:szCs w:val="20"/>
                <w:lang w:eastAsia="en-GB"/>
              </w:rPr>
            </w:pPr>
            <w:r w:rsidRPr="00F83017">
              <w:rPr>
                <w:rFonts w:ascii="Calibri" w:eastAsia="Times New Roman" w:hAnsi="Calibri" w:cs="Calibri"/>
                <w:color w:val="000000"/>
                <w:sz w:val="20"/>
                <w:szCs w:val="20"/>
                <w:lang w:eastAsia="en-GB"/>
              </w:rPr>
              <w:t>Age 17</w:t>
            </w:r>
          </w:p>
        </w:tc>
      </w:tr>
      <w:tr w:rsidR="006F3C05" w:rsidRPr="00F83017" w14:paraId="27FDBD9C" w14:textId="77777777" w:rsidTr="006F3C05">
        <w:trPr>
          <w:trHeight w:val="316"/>
        </w:trPr>
        <w:tc>
          <w:tcPr>
            <w:tcW w:w="2414" w:type="dxa"/>
            <w:tcBorders>
              <w:top w:val="nil"/>
              <w:left w:val="nil"/>
              <w:bottom w:val="nil"/>
              <w:right w:val="nil"/>
            </w:tcBorders>
            <w:shd w:val="clear" w:color="auto" w:fill="auto"/>
            <w:noWrap/>
            <w:vAlign w:val="bottom"/>
            <w:hideMark/>
          </w:tcPr>
          <w:p w14:paraId="209AC82F" w14:textId="77777777" w:rsidR="006F3C05" w:rsidRPr="00F83017" w:rsidRDefault="006F3C05" w:rsidP="006F3C05">
            <w:pPr>
              <w:spacing w:after="0" w:line="240" w:lineRule="auto"/>
              <w:rPr>
                <w:rFonts w:ascii="Calibri" w:eastAsia="Times New Roman" w:hAnsi="Calibri" w:cs="Calibri"/>
                <w:color w:val="000000"/>
                <w:sz w:val="20"/>
                <w:szCs w:val="20"/>
                <w:lang w:eastAsia="en-GB"/>
              </w:rPr>
            </w:pPr>
          </w:p>
        </w:tc>
        <w:tc>
          <w:tcPr>
            <w:tcW w:w="732" w:type="dxa"/>
            <w:tcBorders>
              <w:top w:val="nil"/>
              <w:left w:val="nil"/>
              <w:bottom w:val="single" w:sz="4" w:space="0" w:color="auto"/>
              <w:right w:val="nil"/>
            </w:tcBorders>
            <w:shd w:val="clear" w:color="auto" w:fill="auto"/>
            <w:noWrap/>
            <w:vAlign w:val="center"/>
            <w:hideMark/>
          </w:tcPr>
          <w:p w14:paraId="6CFE75AF" w14:textId="77777777" w:rsidR="006F3C05" w:rsidRPr="00F83017" w:rsidRDefault="006F3C05" w:rsidP="006F3C05">
            <w:pPr>
              <w:spacing w:after="0" w:line="240" w:lineRule="auto"/>
              <w:jc w:val="center"/>
              <w:rPr>
                <w:rFonts w:ascii="Calibri" w:eastAsia="Times New Roman" w:hAnsi="Calibri" w:cs="Calibri"/>
                <w:color w:val="000000"/>
                <w:sz w:val="20"/>
                <w:szCs w:val="20"/>
                <w:lang w:eastAsia="en-GB"/>
              </w:rPr>
            </w:pPr>
            <w:r w:rsidRPr="00F83017">
              <w:rPr>
                <w:rFonts w:ascii="Calibri" w:eastAsia="Times New Roman" w:hAnsi="Calibri" w:cs="Calibri"/>
                <w:color w:val="000000"/>
                <w:sz w:val="20"/>
                <w:szCs w:val="20"/>
                <w:lang w:eastAsia="en-GB"/>
              </w:rPr>
              <w:t>n</w:t>
            </w:r>
          </w:p>
        </w:tc>
        <w:tc>
          <w:tcPr>
            <w:tcW w:w="1483" w:type="dxa"/>
            <w:tcBorders>
              <w:top w:val="nil"/>
              <w:left w:val="nil"/>
              <w:bottom w:val="single" w:sz="4" w:space="0" w:color="auto"/>
              <w:right w:val="nil"/>
            </w:tcBorders>
            <w:shd w:val="clear" w:color="auto" w:fill="auto"/>
            <w:noWrap/>
            <w:vAlign w:val="center"/>
            <w:hideMark/>
          </w:tcPr>
          <w:p w14:paraId="78F5A6C4" w14:textId="77777777" w:rsidR="006F3C05" w:rsidRPr="00F83017" w:rsidRDefault="006F3C05" w:rsidP="006F3C05">
            <w:pPr>
              <w:spacing w:after="0" w:line="240" w:lineRule="auto"/>
              <w:jc w:val="center"/>
              <w:rPr>
                <w:rFonts w:ascii="Calibri" w:eastAsia="Times New Roman" w:hAnsi="Calibri" w:cs="Calibri"/>
                <w:color w:val="000000"/>
                <w:sz w:val="20"/>
                <w:szCs w:val="20"/>
                <w:lang w:eastAsia="en-GB"/>
              </w:rPr>
            </w:pPr>
            <w:r w:rsidRPr="00F83017">
              <w:rPr>
                <w:rFonts w:ascii="Calibri" w:eastAsia="Times New Roman" w:hAnsi="Calibri" w:cs="Calibri"/>
                <w:color w:val="000000"/>
                <w:sz w:val="20"/>
                <w:szCs w:val="20"/>
                <w:lang w:eastAsia="en-GB"/>
              </w:rPr>
              <w:t>Mean (SD)</w:t>
            </w:r>
          </w:p>
        </w:tc>
        <w:tc>
          <w:tcPr>
            <w:tcW w:w="485" w:type="dxa"/>
            <w:tcBorders>
              <w:top w:val="nil"/>
              <w:left w:val="nil"/>
              <w:bottom w:val="nil"/>
              <w:right w:val="nil"/>
            </w:tcBorders>
            <w:shd w:val="clear" w:color="auto" w:fill="auto"/>
            <w:noWrap/>
            <w:vAlign w:val="bottom"/>
            <w:hideMark/>
          </w:tcPr>
          <w:p w14:paraId="030BB880" w14:textId="77777777" w:rsidR="006F3C05" w:rsidRPr="00F83017" w:rsidRDefault="006F3C05" w:rsidP="006F3C05">
            <w:pPr>
              <w:spacing w:after="0" w:line="240" w:lineRule="auto"/>
              <w:jc w:val="center"/>
              <w:rPr>
                <w:rFonts w:ascii="Calibri" w:eastAsia="Times New Roman" w:hAnsi="Calibri" w:cs="Calibri"/>
                <w:color w:val="000000"/>
                <w:sz w:val="20"/>
                <w:szCs w:val="20"/>
                <w:lang w:eastAsia="en-GB"/>
              </w:rPr>
            </w:pPr>
          </w:p>
        </w:tc>
        <w:tc>
          <w:tcPr>
            <w:tcW w:w="732" w:type="dxa"/>
            <w:tcBorders>
              <w:top w:val="nil"/>
              <w:left w:val="nil"/>
              <w:bottom w:val="single" w:sz="4" w:space="0" w:color="auto"/>
              <w:right w:val="nil"/>
            </w:tcBorders>
            <w:shd w:val="clear" w:color="auto" w:fill="auto"/>
            <w:noWrap/>
            <w:vAlign w:val="center"/>
            <w:hideMark/>
          </w:tcPr>
          <w:p w14:paraId="73B1AD63" w14:textId="77777777" w:rsidR="006F3C05" w:rsidRPr="00F83017" w:rsidRDefault="006F3C05" w:rsidP="006F3C05">
            <w:pPr>
              <w:spacing w:after="0" w:line="240" w:lineRule="auto"/>
              <w:jc w:val="center"/>
              <w:rPr>
                <w:rFonts w:ascii="Calibri" w:eastAsia="Times New Roman" w:hAnsi="Calibri" w:cs="Calibri"/>
                <w:color w:val="000000"/>
                <w:sz w:val="20"/>
                <w:szCs w:val="20"/>
                <w:lang w:eastAsia="en-GB"/>
              </w:rPr>
            </w:pPr>
            <w:r w:rsidRPr="00F83017">
              <w:rPr>
                <w:rFonts w:ascii="Calibri" w:eastAsia="Times New Roman" w:hAnsi="Calibri" w:cs="Calibri"/>
                <w:color w:val="000000"/>
                <w:sz w:val="20"/>
                <w:szCs w:val="20"/>
                <w:lang w:eastAsia="en-GB"/>
              </w:rPr>
              <w:t>n</w:t>
            </w:r>
          </w:p>
        </w:tc>
        <w:tc>
          <w:tcPr>
            <w:tcW w:w="1324" w:type="dxa"/>
            <w:tcBorders>
              <w:top w:val="nil"/>
              <w:left w:val="nil"/>
              <w:bottom w:val="single" w:sz="4" w:space="0" w:color="auto"/>
              <w:right w:val="nil"/>
            </w:tcBorders>
            <w:shd w:val="clear" w:color="auto" w:fill="auto"/>
            <w:noWrap/>
            <w:vAlign w:val="center"/>
            <w:hideMark/>
          </w:tcPr>
          <w:p w14:paraId="0255933A" w14:textId="77777777" w:rsidR="006F3C05" w:rsidRPr="00F83017" w:rsidRDefault="006F3C05" w:rsidP="006F3C05">
            <w:pPr>
              <w:spacing w:after="0" w:line="240" w:lineRule="auto"/>
              <w:jc w:val="center"/>
              <w:rPr>
                <w:rFonts w:ascii="Calibri" w:eastAsia="Times New Roman" w:hAnsi="Calibri" w:cs="Calibri"/>
                <w:color w:val="000000"/>
                <w:sz w:val="20"/>
                <w:szCs w:val="20"/>
                <w:lang w:eastAsia="en-GB"/>
              </w:rPr>
            </w:pPr>
            <w:r w:rsidRPr="00F83017">
              <w:rPr>
                <w:rFonts w:ascii="Calibri" w:eastAsia="Times New Roman" w:hAnsi="Calibri" w:cs="Calibri"/>
                <w:color w:val="000000"/>
                <w:sz w:val="20"/>
                <w:szCs w:val="20"/>
                <w:lang w:eastAsia="en-GB"/>
              </w:rPr>
              <w:t>Mean (SD)</w:t>
            </w:r>
          </w:p>
        </w:tc>
      </w:tr>
      <w:tr w:rsidR="006F3C05" w:rsidRPr="00F83017" w14:paraId="6ED0AC78" w14:textId="77777777" w:rsidTr="006F3C05">
        <w:trPr>
          <w:trHeight w:val="316"/>
        </w:trPr>
        <w:tc>
          <w:tcPr>
            <w:tcW w:w="2414" w:type="dxa"/>
            <w:tcBorders>
              <w:top w:val="nil"/>
              <w:left w:val="nil"/>
              <w:bottom w:val="single" w:sz="4" w:space="0" w:color="auto"/>
              <w:right w:val="nil"/>
            </w:tcBorders>
            <w:shd w:val="clear" w:color="auto" w:fill="auto"/>
            <w:noWrap/>
            <w:vAlign w:val="center"/>
            <w:hideMark/>
          </w:tcPr>
          <w:p w14:paraId="4C5FE396" w14:textId="77777777" w:rsidR="006F3C05" w:rsidRPr="00F83017" w:rsidRDefault="006F3C05" w:rsidP="006F3C05">
            <w:pPr>
              <w:spacing w:after="0" w:line="240" w:lineRule="auto"/>
              <w:rPr>
                <w:rFonts w:ascii="Calibri" w:eastAsia="Times New Roman" w:hAnsi="Calibri" w:cs="Calibri"/>
                <w:color w:val="000000"/>
                <w:sz w:val="20"/>
                <w:szCs w:val="20"/>
                <w:lang w:eastAsia="en-GB"/>
              </w:rPr>
            </w:pPr>
            <w:proofErr w:type="spellStart"/>
            <w:r w:rsidRPr="00F83017">
              <w:rPr>
                <w:rFonts w:ascii="Calibri" w:eastAsia="Times New Roman" w:hAnsi="Calibri" w:cs="Calibri"/>
                <w:color w:val="000000"/>
                <w:sz w:val="20"/>
                <w:szCs w:val="20"/>
                <w:lang w:eastAsia="en-GB"/>
              </w:rPr>
              <w:t>BMIz</w:t>
            </w:r>
            <w:proofErr w:type="spellEnd"/>
          </w:p>
        </w:tc>
        <w:tc>
          <w:tcPr>
            <w:tcW w:w="732" w:type="dxa"/>
            <w:tcBorders>
              <w:top w:val="nil"/>
              <w:left w:val="nil"/>
              <w:bottom w:val="single" w:sz="4" w:space="0" w:color="auto"/>
              <w:right w:val="nil"/>
            </w:tcBorders>
            <w:shd w:val="clear" w:color="auto" w:fill="auto"/>
            <w:noWrap/>
            <w:vAlign w:val="bottom"/>
            <w:hideMark/>
          </w:tcPr>
          <w:p w14:paraId="15AAE123" w14:textId="77777777" w:rsidR="006F3C05" w:rsidRPr="00F83017" w:rsidRDefault="006F3C05" w:rsidP="006F3C05">
            <w:pPr>
              <w:spacing w:after="0" w:line="240" w:lineRule="auto"/>
              <w:jc w:val="center"/>
              <w:rPr>
                <w:rFonts w:ascii="Calibri" w:eastAsia="Times New Roman" w:hAnsi="Calibri" w:cs="Calibri"/>
                <w:color w:val="000000"/>
                <w:sz w:val="20"/>
                <w:szCs w:val="20"/>
                <w:lang w:eastAsia="en-GB"/>
              </w:rPr>
            </w:pPr>
            <w:r w:rsidRPr="00F83017">
              <w:rPr>
                <w:rFonts w:ascii="Calibri" w:eastAsia="Times New Roman" w:hAnsi="Calibri" w:cs="Calibri"/>
                <w:color w:val="000000"/>
                <w:sz w:val="20"/>
                <w:szCs w:val="20"/>
                <w:lang w:eastAsia="en-GB"/>
              </w:rPr>
              <w:t>870</w:t>
            </w:r>
          </w:p>
        </w:tc>
        <w:tc>
          <w:tcPr>
            <w:tcW w:w="1483" w:type="dxa"/>
            <w:tcBorders>
              <w:top w:val="nil"/>
              <w:left w:val="nil"/>
              <w:bottom w:val="single" w:sz="4" w:space="0" w:color="auto"/>
              <w:right w:val="nil"/>
            </w:tcBorders>
            <w:shd w:val="clear" w:color="auto" w:fill="auto"/>
            <w:noWrap/>
            <w:vAlign w:val="center"/>
            <w:hideMark/>
          </w:tcPr>
          <w:p w14:paraId="578BC7EA" w14:textId="77777777" w:rsidR="006F3C05" w:rsidRPr="00F83017" w:rsidRDefault="006F3C05" w:rsidP="006F3C05">
            <w:pPr>
              <w:spacing w:after="0" w:line="240" w:lineRule="auto"/>
              <w:jc w:val="center"/>
              <w:rPr>
                <w:rFonts w:ascii="Calibri" w:eastAsia="Times New Roman" w:hAnsi="Calibri" w:cs="Calibri"/>
                <w:color w:val="000000"/>
                <w:sz w:val="20"/>
                <w:szCs w:val="20"/>
                <w:lang w:eastAsia="en-GB"/>
              </w:rPr>
            </w:pPr>
            <w:r w:rsidRPr="00F83017">
              <w:rPr>
                <w:rFonts w:ascii="Calibri" w:eastAsia="Times New Roman" w:hAnsi="Calibri" w:cs="Calibri"/>
                <w:color w:val="000000"/>
                <w:sz w:val="20"/>
                <w:szCs w:val="20"/>
                <w:lang w:eastAsia="en-GB"/>
              </w:rPr>
              <w:t>0.15(1.03)</w:t>
            </w:r>
          </w:p>
        </w:tc>
        <w:tc>
          <w:tcPr>
            <w:tcW w:w="485" w:type="dxa"/>
            <w:tcBorders>
              <w:top w:val="nil"/>
              <w:left w:val="nil"/>
              <w:bottom w:val="single" w:sz="4" w:space="0" w:color="auto"/>
              <w:right w:val="nil"/>
            </w:tcBorders>
            <w:shd w:val="clear" w:color="auto" w:fill="auto"/>
            <w:noWrap/>
            <w:vAlign w:val="center"/>
            <w:hideMark/>
          </w:tcPr>
          <w:p w14:paraId="288151CC" w14:textId="77777777" w:rsidR="006F3C05" w:rsidRPr="00F83017" w:rsidRDefault="006F3C05" w:rsidP="006F3C05">
            <w:pPr>
              <w:spacing w:after="0" w:line="240" w:lineRule="auto"/>
              <w:jc w:val="center"/>
              <w:rPr>
                <w:rFonts w:ascii="Calibri" w:eastAsia="Times New Roman" w:hAnsi="Calibri" w:cs="Calibri"/>
                <w:color w:val="000000"/>
                <w:sz w:val="20"/>
                <w:szCs w:val="20"/>
                <w:lang w:eastAsia="en-GB"/>
              </w:rPr>
            </w:pPr>
          </w:p>
        </w:tc>
        <w:tc>
          <w:tcPr>
            <w:tcW w:w="732" w:type="dxa"/>
            <w:tcBorders>
              <w:top w:val="nil"/>
              <w:left w:val="nil"/>
              <w:bottom w:val="single" w:sz="4" w:space="0" w:color="auto"/>
              <w:right w:val="nil"/>
            </w:tcBorders>
            <w:shd w:val="clear" w:color="auto" w:fill="auto"/>
            <w:noWrap/>
            <w:vAlign w:val="bottom"/>
            <w:hideMark/>
          </w:tcPr>
          <w:p w14:paraId="042BC745" w14:textId="77777777" w:rsidR="006F3C05" w:rsidRPr="00F83017" w:rsidRDefault="006F3C05" w:rsidP="006F3C05">
            <w:pPr>
              <w:spacing w:after="0" w:line="240" w:lineRule="auto"/>
              <w:jc w:val="center"/>
              <w:rPr>
                <w:rFonts w:ascii="Calibri" w:eastAsia="Times New Roman" w:hAnsi="Calibri" w:cs="Calibri"/>
                <w:color w:val="000000"/>
                <w:sz w:val="20"/>
                <w:szCs w:val="20"/>
                <w:lang w:eastAsia="en-GB"/>
              </w:rPr>
            </w:pPr>
            <w:r w:rsidRPr="00F83017">
              <w:rPr>
                <w:rFonts w:ascii="Calibri" w:eastAsia="Times New Roman" w:hAnsi="Calibri" w:cs="Calibri"/>
                <w:color w:val="000000"/>
                <w:sz w:val="20"/>
                <w:szCs w:val="20"/>
                <w:lang w:eastAsia="en-GB"/>
              </w:rPr>
              <w:t>749</w:t>
            </w:r>
          </w:p>
        </w:tc>
        <w:tc>
          <w:tcPr>
            <w:tcW w:w="1324" w:type="dxa"/>
            <w:tcBorders>
              <w:top w:val="nil"/>
              <w:left w:val="nil"/>
              <w:bottom w:val="single" w:sz="4" w:space="0" w:color="auto"/>
              <w:right w:val="nil"/>
            </w:tcBorders>
            <w:shd w:val="clear" w:color="auto" w:fill="auto"/>
            <w:noWrap/>
            <w:vAlign w:val="center"/>
            <w:hideMark/>
          </w:tcPr>
          <w:p w14:paraId="1E885279" w14:textId="77777777" w:rsidR="006F3C05" w:rsidRPr="00F83017" w:rsidRDefault="006F3C05" w:rsidP="006F3C05">
            <w:pPr>
              <w:spacing w:after="0" w:line="240" w:lineRule="auto"/>
              <w:jc w:val="center"/>
              <w:rPr>
                <w:rFonts w:ascii="Calibri" w:eastAsia="Times New Roman" w:hAnsi="Calibri" w:cs="Calibri"/>
                <w:color w:val="000000"/>
                <w:sz w:val="20"/>
                <w:szCs w:val="20"/>
                <w:lang w:eastAsia="en-GB"/>
              </w:rPr>
            </w:pPr>
            <w:r w:rsidRPr="00F83017">
              <w:rPr>
                <w:rFonts w:ascii="Calibri" w:eastAsia="Times New Roman" w:hAnsi="Calibri" w:cs="Calibri"/>
                <w:color w:val="000000"/>
                <w:sz w:val="20"/>
                <w:szCs w:val="20"/>
                <w:lang w:eastAsia="en-GB"/>
              </w:rPr>
              <w:t>0.36(1.12)</w:t>
            </w:r>
          </w:p>
        </w:tc>
      </w:tr>
      <w:tr w:rsidR="006F3C05" w:rsidRPr="00F83017" w14:paraId="5C00AB9C" w14:textId="77777777" w:rsidTr="006F3C05">
        <w:trPr>
          <w:trHeight w:val="316"/>
        </w:trPr>
        <w:tc>
          <w:tcPr>
            <w:tcW w:w="2414" w:type="dxa"/>
            <w:tcBorders>
              <w:top w:val="nil"/>
              <w:left w:val="nil"/>
              <w:bottom w:val="nil"/>
              <w:right w:val="nil"/>
            </w:tcBorders>
            <w:shd w:val="clear" w:color="auto" w:fill="auto"/>
            <w:noWrap/>
            <w:vAlign w:val="center"/>
            <w:hideMark/>
          </w:tcPr>
          <w:p w14:paraId="5675607E" w14:textId="77777777" w:rsidR="006F3C05" w:rsidRPr="00F83017" w:rsidRDefault="006F3C05" w:rsidP="006F3C05">
            <w:pPr>
              <w:spacing w:after="0" w:line="240" w:lineRule="auto"/>
              <w:rPr>
                <w:rFonts w:ascii="Calibri" w:eastAsia="Times New Roman" w:hAnsi="Calibri" w:cs="Calibri"/>
                <w:color w:val="000000"/>
                <w:sz w:val="20"/>
                <w:szCs w:val="20"/>
                <w:lang w:eastAsia="en-GB"/>
              </w:rPr>
            </w:pPr>
          </w:p>
        </w:tc>
        <w:tc>
          <w:tcPr>
            <w:tcW w:w="732" w:type="dxa"/>
            <w:tcBorders>
              <w:top w:val="nil"/>
              <w:left w:val="nil"/>
              <w:bottom w:val="single" w:sz="4" w:space="0" w:color="auto"/>
              <w:right w:val="nil"/>
            </w:tcBorders>
            <w:shd w:val="clear" w:color="auto" w:fill="auto"/>
            <w:noWrap/>
            <w:vAlign w:val="center"/>
            <w:hideMark/>
          </w:tcPr>
          <w:p w14:paraId="7003A700" w14:textId="77777777" w:rsidR="006F3C05" w:rsidRPr="00F83017" w:rsidRDefault="006F3C05" w:rsidP="006F3C05">
            <w:pPr>
              <w:spacing w:after="0" w:line="240" w:lineRule="auto"/>
              <w:jc w:val="center"/>
              <w:rPr>
                <w:rFonts w:ascii="Calibri" w:eastAsia="Times New Roman" w:hAnsi="Calibri" w:cs="Calibri"/>
                <w:color w:val="000000"/>
                <w:sz w:val="20"/>
                <w:szCs w:val="20"/>
                <w:lang w:eastAsia="en-GB"/>
              </w:rPr>
            </w:pPr>
            <w:r w:rsidRPr="00F83017">
              <w:rPr>
                <w:rFonts w:ascii="Calibri" w:eastAsia="Times New Roman" w:hAnsi="Calibri" w:cs="Calibri"/>
                <w:color w:val="000000"/>
                <w:sz w:val="20"/>
                <w:szCs w:val="20"/>
                <w:lang w:eastAsia="en-GB"/>
              </w:rPr>
              <w:t>n</w:t>
            </w:r>
          </w:p>
        </w:tc>
        <w:tc>
          <w:tcPr>
            <w:tcW w:w="1483" w:type="dxa"/>
            <w:tcBorders>
              <w:top w:val="nil"/>
              <w:left w:val="nil"/>
              <w:bottom w:val="single" w:sz="4" w:space="0" w:color="auto"/>
              <w:right w:val="nil"/>
            </w:tcBorders>
            <w:shd w:val="clear" w:color="auto" w:fill="auto"/>
            <w:noWrap/>
            <w:vAlign w:val="center"/>
            <w:hideMark/>
          </w:tcPr>
          <w:p w14:paraId="572A940C" w14:textId="77777777" w:rsidR="006F3C05" w:rsidRPr="00F83017" w:rsidRDefault="006F3C05" w:rsidP="006F3C05">
            <w:pPr>
              <w:spacing w:after="0" w:line="240" w:lineRule="auto"/>
              <w:jc w:val="center"/>
              <w:rPr>
                <w:rFonts w:ascii="Calibri" w:eastAsia="Times New Roman" w:hAnsi="Calibri" w:cs="Calibri"/>
                <w:color w:val="000000"/>
                <w:sz w:val="20"/>
                <w:szCs w:val="20"/>
                <w:lang w:eastAsia="en-GB"/>
              </w:rPr>
            </w:pPr>
            <w:r w:rsidRPr="00F83017">
              <w:rPr>
                <w:rFonts w:ascii="Calibri" w:eastAsia="Times New Roman" w:hAnsi="Calibri" w:cs="Calibri"/>
                <w:color w:val="000000"/>
                <w:sz w:val="20"/>
                <w:szCs w:val="20"/>
                <w:lang w:eastAsia="en-GB"/>
              </w:rPr>
              <w:t>%</w:t>
            </w:r>
          </w:p>
        </w:tc>
        <w:tc>
          <w:tcPr>
            <w:tcW w:w="485" w:type="dxa"/>
            <w:tcBorders>
              <w:top w:val="nil"/>
              <w:left w:val="nil"/>
              <w:bottom w:val="nil"/>
              <w:right w:val="nil"/>
            </w:tcBorders>
            <w:shd w:val="clear" w:color="auto" w:fill="auto"/>
            <w:noWrap/>
            <w:vAlign w:val="center"/>
            <w:hideMark/>
          </w:tcPr>
          <w:p w14:paraId="177E83AD" w14:textId="77777777" w:rsidR="006F3C05" w:rsidRPr="00F83017" w:rsidRDefault="006F3C05" w:rsidP="006F3C05">
            <w:pPr>
              <w:spacing w:after="0" w:line="240" w:lineRule="auto"/>
              <w:jc w:val="center"/>
              <w:rPr>
                <w:rFonts w:ascii="Calibri" w:eastAsia="Times New Roman" w:hAnsi="Calibri" w:cs="Calibri"/>
                <w:color w:val="000000"/>
                <w:sz w:val="20"/>
                <w:szCs w:val="20"/>
                <w:lang w:eastAsia="en-GB"/>
              </w:rPr>
            </w:pPr>
          </w:p>
        </w:tc>
        <w:tc>
          <w:tcPr>
            <w:tcW w:w="732" w:type="dxa"/>
            <w:tcBorders>
              <w:top w:val="nil"/>
              <w:left w:val="nil"/>
              <w:bottom w:val="single" w:sz="4" w:space="0" w:color="auto"/>
              <w:right w:val="nil"/>
            </w:tcBorders>
            <w:shd w:val="clear" w:color="auto" w:fill="auto"/>
            <w:noWrap/>
            <w:vAlign w:val="center"/>
            <w:hideMark/>
          </w:tcPr>
          <w:p w14:paraId="6B8E4C3A" w14:textId="77777777" w:rsidR="006F3C05" w:rsidRPr="00F83017" w:rsidRDefault="006F3C05" w:rsidP="006F3C05">
            <w:pPr>
              <w:spacing w:after="0" w:line="240" w:lineRule="auto"/>
              <w:jc w:val="center"/>
              <w:rPr>
                <w:rFonts w:ascii="Calibri" w:eastAsia="Times New Roman" w:hAnsi="Calibri" w:cs="Calibri"/>
                <w:color w:val="000000"/>
                <w:sz w:val="20"/>
                <w:szCs w:val="20"/>
                <w:lang w:eastAsia="en-GB"/>
              </w:rPr>
            </w:pPr>
            <w:r w:rsidRPr="00F83017">
              <w:rPr>
                <w:rFonts w:ascii="Calibri" w:eastAsia="Times New Roman" w:hAnsi="Calibri" w:cs="Calibri"/>
                <w:color w:val="000000"/>
                <w:sz w:val="20"/>
                <w:szCs w:val="20"/>
                <w:lang w:eastAsia="en-GB"/>
              </w:rPr>
              <w:t>n</w:t>
            </w:r>
          </w:p>
        </w:tc>
        <w:tc>
          <w:tcPr>
            <w:tcW w:w="1324" w:type="dxa"/>
            <w:tcBorders>
              <w:top w:val="nil"/>
              <w:left w:val="nil"/>
              <w:bottom w:val="single" w:sz="4" w:space="0" w:color="auto"/>
              <w:right w:val="nil"/>
            </w:tcBorders>
            <w:shd w:val="clear" w:color="auto" w:fill="auto"/>
            <w:noWrap/>
            <w:vAlign w:val="center"/>
            <w:hideMark/>
          </w:tcPr>
          <w:p w14:paraId="4D0F38BE" w14:textId="77777777" w:rsidR="006F3C05" w:rsidRPr="00F83017" w:rsidRDefault="006F3C05" w:rsidP="006F3C05">
            <w:pPr>
              <w:spacing w:after="0" w:line="240" w:lineRule="auto"/>
              <w:jc w:val="center"/>
              <w:rPr>
                <w:rFonts w:ascii="Calibri" w:eastAsia="Times New Roman" w:hAnsi="Calibri" w:cs="Calibri"/>
                <w:color w:val="000000"/>
                <w:sz w:val="20"/>
                <w:szCs w:val="20"/>
                <w:lang w:eastAsia="en-GB"/>
              </w:rPr>
            </w:pPr>
            <w:r w:rsidRPr="00F83017">
              <w:rPr>
                <w:rFonts w:ascii="Calibri" w:eastAsia="Times New Roman" w:hAnsi="Calibri" w:cs="Calibri"/>
                <w:color w:val="000000"/>
                <w:sz w:val="20"/>
                <w:szCs w:val="20"/>
                <w:lang w:eastAsia="en-GB"/>
              </w:rPr>
              <w:t>%</w:t>
            </w:r>
          </w:p>
        </w:tc>
      </w:tr>
      <w:tr w:rsidR="006F3C05" w:rsidRPr="00F83017" w14:paraId="4B1B8FA8" w14:textId="77777777" w:rsidTr="006F3C05">
        <w:trPr>
          <w:trHeight w:val="316"/>
        </w:trPr>
        <w:tc>
          <w:tcPr>
            <w:tcW w:w="2414" w:type="dxa"/>
            <w:tcBorders>
              <w:top w:val="nil"/>
              <w:left w:val="nil"/>
              <w:bottom w:val="nil"/>
              <w:right w:val="nil"/>
            </w:tcBorders>
            <w:shd w:val="clear" w:color="auto" w:fill="auto"/>
            <w:noWrap/>
            <w:vAlign w:val="center"/>
            <w:hideMark/>
          </w:tcPr>
          <w:p w14:paraId="20C470AA" w14:textId="77777777" w:rsidR="006F3C05" w:rsidRPr="00F83017" w:rsidRDefault="006F3C05" w:rsidP="006F3C05">
            <w:pPr>
              <w:spacing w:after="0" w:line="240" w:lineRule="auto"/>
              <w:rPr>
                <w:rFonts w:ascii="Calibri" w:eastAsia="Times New Roman" w:hAnsi="Calibri" w:cs="Calibri"/>
                <w:color w:val="000000"/>
                <w:sz w:val="20"/>
                <w:szCs w:val="20"/>
                <w:lang w:eastAsia="en-GB"/>
              </w:rPr>
            </w:pPr>
            <w:r w:rsidRPr="00F83017">
              <w:rPr>
                <w:rFonts w:ascii="Calibri" w:eastAsia="Times New Roman" w:hAnsi="Calibri" w:cs="Calibri"/>
                <w:color w:val="000000"/>
                <w:sz w:val="20"/>
                <w:szCs w:val="20"/>
                <w:lang w:eastAsia="en-GB"/>
              </w:rPr>
              <w:t>Healthy weight</w:t>
            </w:r>
          </w:p>
        </w:tc>
        <w:tc>
          <w:tcPr>
            <w:tcW w:w="732" w:type="dxa"/>
            <w:tcBorders>
              <w:top w:val="nil"/>
              <w:left w:val="nil"/>
              <w:bottom w:val="nil"/>
              <w:right w:val="nil"/>
            </w:tcBorders>
            <w:shd w:val="clear" w:color="auto" w:fill="auto"/>
            <w:noWrap/>
            <w:vAlign w:val="center"/>
            <w:hideMark/>
          </w:tcPr>
          <w:p w14:paraId="2B23004D" w14:textId="77777777" w:rsidR="006F3C05" w:rsidRPr="00F83017" w:rsidRDefault="006F3C05" w:rsidP="006F3C05">
            <w:pPr>
              <w:spacing w:after="0" w:line="240" w:lineRule="auto"/>
              <w:jc w:val="center"/>
              <w:rPr>
                <w:rFonts w:ascii="Calibri" w:eastAsia="Times New Roman" w:hAnsi="Calibri" w:cs="Calibri"/>
                <w:color w:val="000000"/>
                <w:sz w:val="20"/>
                <w:szCs w:val="20"/>
                <w:lang w:eastAsia="en-GB"/>
              </w:rPr>
            </w:pPr>
            <w:r w:rsidRPr="00F83017">
              <w:rPr>
                <w:rFonts w:ascii="Calibri" w:hAnsi="Calibri" w:cs="Calibri"/>
                <w:color w:val="000000"/>
                <w:sz w:val="20"/>
                <w:szCs w:val="20"/>
              </w:rPr>
              <w:t>753</w:t>
            </w:r>
          </w:p>
        </w:tc>
        <w:tc>
          <w:tcPr>
            <w:tcW w:w="1483" w:type="dxa"/>
            <w:tcBorders>
              <w:top w:val="nil"/>
              <w:left w:val="nil"/>
              <w:bottom w:val="nil"/>
              <w:right w:val="nil"/>
            </w:tcBorders>
            <w:shd w:val="clear" w:color="auto" w:fill="auto"/>
            <w:noWrap/>
            <w:vAlign w:val="center"/>
            <w:hideMark/>
          </w:tcPr>
          <w:p w14:paraId="78CF5BF1" w14:textId="77777777" w:rsidR="006F3C05" w:rsidRPr="00F83017" w:rsidRDefault="006F3C05" w:rsidP="006F3C05">
            <w:pPr>
              <w:spacing w:after="0" w:line="240" w:lineRule="auto"/>
              <w:jc w:val="center"/>
              <w:rPr>
                <w:rFonts w:ascii="Calibri" w:eastAsia="Times New Roman" w:hAnsi="Calibri" w:cs="Calibri"/>
                <w:color w:val="000000"/>
                <w:sz w:val="20"/>
                <w:szCs w:val="20"/>
                <w:lang w:eastAsia="en-GB"/>
              </w:rPr>
            </w:pPr>
            <w:r w:rsidRPr="00F83017">
              <w:rPr>
                <w:rFonts w:ascii="Calibri" w:hAnsi="Calibri" w:cs="Calibri"/>
                <w:color w:val="000000"/>
                <w:sz w:val="20"/>
                <w:szCs w:val="20"/>
              </w:rPr>
              <w:t>87.25</w:t>
            </w:r>
          </w:p>
        </w:tc>
        <w:tc>
          <w:tcPr>
            <w:tcW w:w="485" w:type="dxa"/>
            <w:tcBorders>
              <w:top w:val="nil"/>
              <w:left w:val="nil"/>
              <w:bottom w:val="nil"/>
              <w:right w:val="nil"/>
            </w:tcBorders>
            <w:shd w:val="clear" w:color="auto" w:fill="auto"/>
            <w:noWrap/>
            <w:vAlign w:val="bottom"/>
            <w:hideMark/>
          </w:tcPr>
          <w:p w14:paraId="460721D0" w14:textId="77777777" w:rsidR="006F3C05" w:rsidRPr="00F83017" w:rsidRDefault="006F3C05" w:rsidP="006F3C05">
            <w:pPr>
              <w:spacing w:after="0" w:line="240" w:lineRule="auto"/>
              <w:jc w:val="center"/>
              <w:rPr>
                <w:rFonts w:ascii="Calibri" w:eastAsia="Times New Roman" w:hAnsi="Calibri" w:cs="Calibri"/>
                <w:color w:val="000000"/>
                <w:sz w:val="20"/>
                <w:szCs w:val="20"/>
                <w:lang w:eastAsia="en-GB"/>
              </w:rPr>
            </w:pPr>
          </w:p>
        </w:tc>
        <w:tc>
          <w:tcPr>
            <w:tcW w:w="732" w:type="dxa"/>
            <w:tcBorders>
              <w:top w:val="nil"/>
              <w:left w:val="nil"/>
              <w:bottom w:val="nil"/>
              <w:right w:val="nil"/>
            </w:tcBorders>
            <w:shd w:val="clear" w:color="auto" w:fill="auto"/>
            <w:noWrap/>
            <w:vAlign w:val="center"/>
            <w:hideMark/>
          </w:tcPr>
          <w:p w14:paraId="1AA90CBF" w14:textId="77777777" w:rsidR="006F3C05" w:rsidRPr="00F83017" w:rsidRDefault="006F3C05" w:rsidP="006F3C05">
            <w:pPr>
              <w:spacing w:after="0" w:line="240" w:lineRule="auto"/>
              <w:jc w:val="center"/>
              <w:rPr>
                <w:rFonts w:ascii="Calibri" w:eastAsia="Times New Roman" w:hAnsi="Calibri" w:cs="Calibri"/>
                <w:color w:val="000000"/>
                <w:sz w:val="20"/>
                <w:szCs w:val="20"/>
                <w:lang w:eastAsia="en-GB"/>
              </w:rPr>
            </w:pPr>
            <w:r w:rsidRPr="00F83017">
              <w:rPr>
                <w:rFonts w:ascii="Calibri" w:hAnsi="Calibri" w:cs="Calibri"/>
                <w:color w:val="000000"/>
                <w:sz w:val="20"/>
                <w:szCs w:val="20"/>
              </w:rPr>
              <w:t>597</w:t>
            </w:r>
          </w:p>
        </w:tc>
        <w:tc>
          <w:tcPr>
            <w:tcW w:w="1324" w:type="dxa"/>
            <w:tcBorders>
              <w:top w:val="nil"/>
              <w:left w:val="nil"/>
              <w:bottom w:val="nil"/>
              <w:right w:val="nil"/>
            </w:tcBorders>
            <w:shd w:val="clear" w:color="auto" w:fill="auto"/>
            <w:noWrap/>
            <w:vAlign w:val="center"/>
            <w:hideMark/>
          </w:tcPr>
          <w:p w14:paraId="625AA93E" w14:textId="77777777" w:rsidR="006F3C05" w:rsidRPr="00F83017" w:rsidRDefault="006F3C05" w:rsidP="006F3C05">
            <w:pPr>
              <w:spacing w:after="0" w:line="240" w:lineRule="auto"/>
              <w:jc w:val="center"/>
              <w:rPr>
                <w:rFonts w:ascii="Calibri" w:eastAsia="Times New Roman" w:hAnsi="Calibri" w:cs="Calibri"/>
                <w:color w:val="000000"/>
                <w:sz w:val="20"/>
                <w:szCs w:val="20"/>
                <w:lang w:eastAsia="en-GB"/>
              </w:rPr>
            </w:pPr>
            <w:r w:rsidRPr="00F83017">
              <w:rPr>
                <w:rFonts w:ascii="Calibri" w:hAnsi="Calibri" w:cs="Calibri"/>
                <w:color w:val="000000"/>
                <w:sz w:val="20"/>
                <w:szCs w:val="20"/>
              </w:rPr>
              <w:t>80.68</w:t>
            </w:r>
          </w:p>
        </w:tc>
      </w:tr>
      <w:tr w:rsidR="006F3C05" w:rsidRPr="00F83017" w14:paraId="3DDBB9F2" w14:textId="77777777" w:rsidTr="006F3C05">
        <w:trPr>
          <w:trHeight w:val="316"/>
        </w:trPr>
        <w:tc>
          <w:tcPr>
            <w:tcW w:w="2414" w:type="dxa"/>
            <w:tcBorders>
              <w:top w:val="nil"/>
              <w:left w:val="nil"/>
              <w:bottom w:val="nil"/>
              <w:right w:val="nil"/>
            </w:tcBorders>
            <w:shd w:val="clear" w:color="auto" w:fill="auto"/>
            <w:noWrap/>
            <w:vAlign w:val="center"/>
            <w:hideMark/>
          </w:tcPr>
          <w:p w14:paraId="7B62FB97" w14:textId="77777777" w:rsidR="006F3C05" w:rsidRPr="00F83017" w:rsidRDefault="006F3C05" w:rsidP="006F3C05">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Overweight/obese</w:t>
            </w:r>
          </w:p>
        </w:tc>
        <w:tc>
          <w:tcPr>
            <w:tcW w:w="732" w:type="dxa"/>
            <w:tcBorders>
              <w:top w:val="nil"/>
              <w:left w:val="nil"/>
              <w:bottom w:val="nil"/>
              <w:right w:val="nil"/>
            </w:tcBorders>
            <w:shd w:val="clear" w:color="auto" w:fill="auto"/>
            <w:noWrap/>
            <w:vAlign w:val="bottom"/>
            <w:hideMark/>
          </w:tcPr>
          <w:p w14:paraId="1F5ACEB6" w14:textId="77777777" w:rsidR="006F3C05" w:rsidRPr="00F83017" w:rsidRDefault="006F3C05" w:rsidP="006F3C05">
            <w:pPr>
              <w:spacing w:after="0" w:line="240" w:lineRule="auto"/>
              <w:jc w:val="center"/>
              <w:rPr>
                <w:rFonts w:ascii="Calibri" w:eastAsia="Times New Roman" w:hAnsi="Calibri" w:cs="Calibri"/>
                <w:color w:val="000000"/>
                <w:sz w:val="20"/>
                <w:szCs w:val="20"/>
                <w:lang w:eastAsia="en-GB"/>
              </w:rPr>
            </w:pPr>
            <w:r w:rsidRPr="00F83017">
              <w:rPr>
                <w:rFonts w:ascii="Calibri" w:hAnsi="Calibri" w:cs="Calibri"/>
                <w:color w:val="000000"/>
                <w:sz w:val="20"/>
                <w:szCs w:val="20"/>
              </w:rPr>
              <w:t>110</w:t>
            </w:r>
          </w:p>
        </w:tc>
        <w:tc>
          <w:tcPr>
            <w:tcW w:w="1483" w:type="dxa"/>
            <w:tcBorders>
              <w:top w:val="nil"/>
              <w:left w:val="nil"/>
              <w:bottom w:val="nil"/>
              <w:right w:val="nil"/>
            </w:tcBorders>
            <w:shd w:val="clear" w:color="auto" w:fill="auto"/>
            <w:noWrap/>
            <w:vAlign w:val="center"/>
            <w:hideMark/>
          </w:tcPr>
          <w:p w14:paraId="79B8E385" w14:textId="77777777" w:rsidR="006F3C05" w:rsidRPr="00F83017" w:rsidRDefault="006F3C05" w:rsidP="006F3C05">
            <w:pPr>
              <w:spacing w:after="0" w:line="240" w:lineRule="auto"/>
              <w:jc w:val="center"/>
              <w:rPr>
                <w:rFonts w:ascii="Calibri" w:eastAsia="Times New Roman" w:hAnsi="Calibri" w:cs="Calibri"/>
                <w:color w:val="000000"/>
                <w:sz w:val="20"/>
                <w:szCs w:val="20"/>
                <w:lang w:eastAsia="en-GB"/>
              </w:rPr>
            </w:pPr>
            <w:r w:rsidRPr="00F83017">
              <w:rPr>
                <w:rFonts w:ascii="Calibri" w:hAnsi="Calibri" w:cs="Calibri"/>
                <w:color w:val="000000"/>
                <w:sz w:val="20"/>
                <w:szCs w:val="20"/>
              </w:rPr>
              <w:t>12.75</w:t>
            </w:r>
          </w:p>
        </w:tc>
        <w:tc>
          <w:tcPr>
            <w:tcW w:w="485" w:type="dxa"/>
            <w:tcBorders>
              <w:top w:val="nil"/>
              <w:left w:val="nil"/>
              <w:bottom w:val="nil"/>
              <w:right w:val="nil"/>
            </w:tcBorders>
            <w:shd w:val="clear" w:color="auto" w:fill="auto"/>
            <w:noWrap/>
            <w:vAlign w:val="bottom"/>
            <w:hideMark/>
          </w:tcPr>
          <w:p w14:paraId="44FD697D" w14:textId="77777777" w:rsidR="006F3C05" w:rsidRPr="00F83017" w:rsidRDefault="006F3C05" w:rsidP="006F3C05">
            <w:pPr>
              <w:spacing w:after="0" w:line="240" w:lineRule="auto"/>
              <w:jc w:val="center"/>
              <w:rPr>
                <w:rFonts w:ascii="Calibri" w:eastAsia="Times New Roman" w:hAnsi="Calibri" w:cs="Calibri"/>
                <w:color w:val="000000"/>
                <w:sz w:val="20"/>
                <w:szCs w:val="20"/>
                <w:lang w:eastAsia="en-GB"/>
              </w:rPr>
            </w:pPr>
          </w:p>
        </w:tc>
        <w:tc>
          <w:tcPr>
            <w:tcW w:w="732" w:type="dxa"/>
            <w:tcBorders>
              <w:top w:val="nil"/>
              <w:left w:val="nil"/>
              <w:bottom w:val="nil"/>
              <w:right w:val="nil"/>
            </w:tcBorders>
            <w:shd w:val="clear" w:color="auto" w:fill="auto"/>
            <w:noWrap/>
            <w:vAlign w:val="center"/>
            <w:hideMark/>
          </w:tcPr>
          <w:p w14:paraId="48C4CA22" w14:textId="77777777" w:rsidR="006F3C05" w:rsidRPr="00F83017" w:rsidRDefault="006F3C05" w:rsidP="006F3C05">
            <w:pPr>
              <w:spacing w:after="0" w:line="240" w:lineRule="auto"/>
              <w:jc w:val="center"/>
              <w:rPr>
                <w:rFonts w:ascii="Calibri" w:eastAsia="Times New Roman" w:hAnsi="Calibri" w:cs="Calibri"/>
                <w:color w:val="000000"/>
                <w:sz w:val="20"/>
                <w:szCs w:val="20"/>
                <w:lang w:eastAsia="en-GB"/>
              </w:rPr>
            </w:pPr>
            <w:r w:rsidRPr="00F83017">
              <w:rPr>
                <w:rFonts w:ascii="Calibri" w:hAnsi="Calibri" w:cs="Calibri"/>
                <w:color w:val="000000"/>
                <w:sz w:val="20"/>
                <w:szCs w:val="20"/>
              </w:rPr>
              <w:t>143</w:t>
            </w:r>
          </w:p>
        </w:tc>
        <w:tc>
          <w:tcPr>
            <w:tcW w:w="1324" w:type="dxa"/>
            <w:tcBorders>
              <w:top w:val="nil"/>
              <w:left w:val="nil"/>
              <w:bottom w:val="nil"/>
              <w:right w:val="nil"/>
            </w:tcBorders>
            <w:shd w:val="clear" w:color="auto" w:fill="auto"/>
            <w:noWrap/>
            <w:vAlign w:val="center"/>
            <w:hideMark/>
          </w:tcPr>
          <w:p w14:paraId="408B5F81" w14:textId="77777777" w:rsidR="006F3C05" w:rsidRPr="00F83017" w:rsidRDefault="006F3C05" w:rsidP="006F3C05">
            <w:pPr>
              <w:spacing w:after="0" w:line="240" w:lineRule="auto"/>
              <w:jc w:val="center"/>
              <w:rPr>
                <w:rFonts w:ascii="Calibri" w:eastAsia="Times New Roman" w:hAnsi="Calibri" w:cs="Calibri"/>
                <w:color w:val="000000"/>
                <w:sz w:val="20"/>
                <w:szCs w:val="20"/>
                <w:lang w:eastAsia="en-GB"/>
              </w:rPr>
            </w:pPr>
            <w:r w:rsidRPr="00F83017">
              <w:rPr>
                <w:rFonts w:ascii="Calibri" w:hAnsi="Calibri" w:cs="Calibri"/>
                <w:color w:val="000000"/>
                <w:sz w:val="20"/>
                <w:szCs w:val="20"/>
              </w:rPr>
              <w:t>19.32</w:t>
            </w:r>
          </w:p>
        </w:tc>
      </w:tr>
      <w:tr w:rsidR="006F3C05" w:rsidRPr="00F83017" w14:paraId="294066ED" w14:textId="77777777" w:rsidTr="006F3C05">
        <w:trPr>
          <w:trHeight w:val="316"/>
        </w:trPr>
        <w:tc>
          <w:tcPr>
            <w:tcW w:w="2414" w:type="dxa"/>
            <w:tcBorders>
              <w:top w:val="nil"/>
              <w:left w:val="nil"/>
              <w:bottom w:val="single" w:sz="4" w:space="0" w:color="auto"/>
              <w:right w:val="nil"/>
            </w:tcBorders>
            <w:shd w:val="clear" w:color="auto" w:fill="auto"/>
            <w:noWrap/>
            <w:vAlign w:val="center"/>
            <w:hideMark/>
          </w:tcPr>
          <w:p w14:paraId="317949D6" w14:textId="77777777" w:rsidR="006F3C05" w:rsidRPr="00F83017" w:rsidRDefault="006F3C05" w:rsidP="006F3C05">
            <w:pPr>
              <w:spacing w:after="0" w:line="240" w:lineRule="auto"/>
              <w:rPr>
                <w:rFonts w:ascii="Calibri" w:eastAsia="Times New Roman" w:hAnsi="Calibri" w:cs="Calibri"/>
                <w:color w:val="000000"/>
                <w:sz w:val="20"/>
                <w:szCs w:val="20"/>
                <w:lang w:eastAsia="en-GB"/>
              </w:rPr>
            </w:pPr>
            <w:r w:rsidRPr="00F83017">
              <w:rPr>
                <w:rFonts w:ascii="Calibri" w:eastAsia="Times New Roman" w:hAnsi="Calibri" w:cs="Calibri"/>
                <w:color w:val="000000"/>
                <w:sz w:val="20"/>
                <w:szCs w:val="20"/>
                <w:lang w:eastAsia="en-GB"/>
              </w:rPr>
              <w:t>Total</w:t>
            </w:r>
          </w:p>
        </w:tc>
        <w:tc>
          <w:tcPr>
            <w:tcW w:w="732" w:type="dxa"/>
            <w:tcBorders>
              <w:top w:val="nil"/>
              <w:left w:val="nil"/>
              <w:bottom w:val="single" w:sz="4" w:space="0" w:color="auto"/>
              <w:right w:val="nil"/>
            </w:tcBorders>
            <w:shd w:val="clear" w:color="auto" w:fill="auto"/>
            <w:noWrap/>
            <w:vAlign w:val="center"/>
            <w:hideMark/>
          </w:tcPr>
          <w:p w14:paraId="1512772E" w14:textId="77777777" w:rsidR="006F3C05" w:rsidRPr="00F83017" w:rsidRDefault="006F3C05" w:rsidP="006F3C05">
            <w:pPr>
              <w:spacing w:after="0" w:line="240" w:lineRule="auto"/>
              <w:jc w:val="center"/>
              <w:rPr>
                <w:rFonts w:ascii="Calibri" w:eastAsia="Times New Roman" w:hAnsi="Calibri" w:cs="Calibri"/>
                <w:color w:val="000000"/>
                <w:sz w:val="20"/>
                <w:szCs w:val="20"/>
                <w:lang w:eastAsia="en-GB"/>
              </w:rPr>
            </w:pPr>
            <w:r w:rsidRPr="00F83017">
              <w:rPr>
                <w:rFonts w:ascii="Calibri" w:hAnsi="Calibri" w:cs="Calibri"/>
                <w:color w:val="000000"/>
                <w:sz w:val="20"/>
                <w:szCs w:val="20"/>
              </w:rPr>
              <w:t>863</w:t>
            </w:r>
          </w:p>
        </w:tc>
        <w:tc>
          <w:tcPr>
            <w:tcW w:w="1483" w:type="dxa"/>
            <w:tcBorders>
              <w:top w:val="nil"/>
              <w:left w:val="nil"/>
              <w:bottom w:val="single" w:sz="4" w:space="0" w:color="auto"/>
              <w:right w:val="nil"/>
            </w:tcBorders>
            <w:shd w:val="clear" w:color="auto" w:fill="auto"/>
            <w:noWrap/>
            <w:vAlign w:val="center"/>
            <w:hideMark/>
          </w:tcPr>
          <w:p w14:paraId="0072CA6D" w14:textId="77777777" w:rsidR="006F3C05" w:rsidRPr="00F83017" w:rsidRDefault="006F3C05" w:rsidP="006F3C05">
            <w:pPr>
              <w:spacing w:after="0" w:line="240" w:lineRule="auto"/>
              <w:jc w:val="center"/>
              <w:rPr>
                <w:rFonts w:ascii="Calibri" w:eastAsia="Times New Roman" w:hAnsi="Calibri" w:cs="Calibri"/>
                <w:color w:val="000000"/>
                <w:sz w:val="20"/>
                <w:szCs w:val="20"/>
                <w:lang w:eastAsia="en-GB"/>
              </w:rPr>
            </w:pPr>
            <w:r w:rsidRPr="00F83017">
              <w:rPr>
                <w:rFonts w:ascii="Calibri" w:hAnsi="Calibri" w:cs="Calibri"/>
                <w:color w:val="000000"/>
                <w:sz w:val="20"/>
                <w:szCs w:val="20"/>
              </w:rPr>
              <w:t> </w:t>
            </w:r>
          </w:p>
        </w:tc>
        <w:tc>
          <w:tcPr>
            <w:tcW w:w="485" w:type="dxa"/>
            <w:tcBorders>
              <w:top w:val="nil"/>
              <w:left w:val="nil"/>
              <w:bottom w:val="single" w:sz="4" w:space="0" w:color="auto"/>
              <w:right w:val="nil"/>
            </w:tcBorders>
            <w:shd w:val="clear" w:color="auto" w:fill="auto"/>
            <w:noWrap/>
            <w:vAlign w:val="center"/>
            <w:hideMark/>
          </w:tcPr>
          <w:p w14:paraId="4ECC593D" w14:textId="77777777" w:rsidR="006F3C05" w:rsidRPr="00F83017" w:rsidRDefault="006F3C05" w:rsidP="006F3C05">
            <w:pPr>
              <w:spacing w:after="0" w:line="240" w:lineRule="auto"/>
              <w:jc w:val="center"/>
              <w:rPr>
                <w:rFonts w:ascii="Calibri" w:eastAsia="Times New Roman" w:hAnsi="Calibri" w:cs="Calibri"/>
                <w:color w:val="000000"/>
                <w:sz w:val="20"/>
                <w:szCs w:val="20"/>
                <w:lang w:eastAsia="en-GB"/>
              </w:rPr>
            </w:pPr>
            <w:r w:rsidRPr="00F83017">
              <w:rPr>
                <w:rFonts w:ascii="Calibri" w:hAnsi="Calibri" w:cs="Calibri"/>
                <w:color w:val="000000"/>
                <w:sz w:val="20"/>
                <w:szCs w:val="20"/>
              </w:rPr>
              <w:t> </w:t>
            </w:r>
          </w:p>
        </w:tc>
        <w:tc>
          <w:tcPr>
            <w:tcW w:w="732" w:type="dxa"/>
            <w:tcBorders>
              <w:top w:val="nil"/>
              <w:left w:val="nil"/>
              <w:bottom w:val="single" w:sz="4" w:space="0" w:color="auto"/>
              <w:right w:val="nil"/>
            </w:tcBorders>
            <w:shd w:val="clear" w:color="auto" w:fill="auto"/>
            <w:noWrap/>
            <w:vAlign w:val="center"/>
            <w:hideMark/>
          </w:tcPr>
          <w:p w14:paraId="1088685C" w14:textId="77777777" w:rsidR="006F3C05" w:rsidRPr="00F83017" w:rsidRDefault="006F3C05" w:rsidP="006F3C05">
            <w:pPr>
              <w:spacing w:after="0" w:line="240" w:lineRule="auto"/>
              <w:jc w:val="center"/>
              <w:rPr>
                <w:rFonts w:ascii="Calibri" w:eastAsia="Times New Roman" w:hAnsi="Calibri" w:cs="Calibri"/>
                <w:color w:val="000000"/>
                <w:sz w:val="20"/>
                <w:szCs w:val="20"/>
                <w:lang w:eastAsia="en-GB"/>
              </w:rPr>
            </w:pPr>
            <w:r w:rsidRPr="00F83017">
              <w:rPr>
                <w:rFonts w:ascii="Calibri" w:hAnsi="Calibri" w:cs="Calibri"/>
                <w:color w:val="000000"/>
                <w:sz w:val="20"/>
                <w:szCs w:val="20"/>
              </w:rPr>
              <w:t>740</w:t>
            </w:r>
          </w:p>
        </w:tc>
        <w:tc>
          <w:tcPr>
            <w:tcW w:w="1324" w:type="dxa"/>
            <w:tcBorders>
              <w:top w:val="nil"/>
              <w:left w:val="nil"/>
              <w:bottom w:val="single" w:sz="4" w:space="0" w:color="auto"/>
              <w:right w:val="nil"/>
            </w:tcBorders>
            <w:shd w:val="clear" w:color="auto" w:fill="auto"/>
            <w:noWrap/>
            <w:vAlign w:val="center"/>
            <w:hideMark/>
          </w:tcPr>
          <w:p w14:paraId="5C183F47" w14:textId="77777777" w:rsidR="006F3C05" w:rsidRPr="00F83017" w:rsidRDefault="006F3C05" w:rsidP="006F3C05">
            <w:pPr>
              <w:spacing w:after="0" w:line="240" w:lineRule="auto"/>
              <w:jc w:val="center"/>
              <w:rPr>
                <w:rFonts w:ascii="Calibri" w:eastAsia="Times New Roman" w:hAnsi="Calibri" w:cs="Calibri"/>
                <w:color w:val="000000"/>
                <w:sz w:val="20"/>
                <w:szCs w:val="20"/>
                <w:lang w:eastAsia="en-GB"/>
              </w:rPr>
            </w:pPr>
            <w:r w:rsidRPr="00F83017">
              <w:rPr>
                <w:rFonts w:ascii="Calibri" w:hAnsi="Calibri" w:cs="Calibri"/>
                <w:color w:val="000000"/>
                <w:sz w:val="20"/>
                <w:szCs w:val="20"/>
              </w:rPr>
              <w:t> </w:t>
            </w:r>
          </w:p>
        </w:tc>
      </w:tr>
    </w:tbl>
    <w:p w14:paraId="26B96DA9" w14:textId="77777777" w:rsidR="006F3C05" w:rsidRPr="00186838" w:rsidRDefault="006F3C05" w:rsidP="006F3C05">
      <w:pPr>
        <w:pStyle w:val="Caption"/>
        <w:rPr>
          <w:b w:val="0"/>
          <w:i/>
        </w:rPr>
      </w:pPr>
      <w:r w:rsidRPr="00186838">
        <w:rPr>
          <w:b w:val="0"/>
          <w:sz w:val="22"/>
          <w:szCs w:val="22"/>
        </w:rPr>
        <w:t xml:space="preserve">Proportion (%) of study members in healthy weight or overweight/obese and mean </w:t>
      </w:r>
      <w:proofErr w:type="spellStart"/>
      <w:r w:rsidRPr="00186838">
        <w:rPr>
          <w:b w:val="0"/>
          <w:sz w:val="22"/>
          <w:szCs w:val="22"/>
        </w:rPr>
        <w:t>BMIz</w:t>
      </w:r>
      <w:proofErr w:type="spellEnd"/>
      <w:r w:rsidRPr="00186838">
        <w:rPr>
          <w:b w:val="0"/>
          <w:sz w:val="22"/>
          <w:szCs w:val="22"/>
        </w:rPr>
        <w:t xml:space="preserve"> and standard deviation (SD). n, sample size; %, column percentage.</w:t>
      </w:r>
      <w:r w:rsidRPr="00186838">
        <w:rPr>
          <w:b w:val="0"/>
        </w:rPr>
        <w:br/>
      </w:r>
    </w:p>
    <w:p w14:paraId="32B0C4E3" w14:textId="77777777" w:rsidR="006F3C05" w:rsidRDefault="006F3C05" w:rsidP="006F3C05"/>
    <w:p w14:paraId="427DFFCC" w14:textId="77777777" w:rsidR="006F3C05" w:rsidRPr="000D50CA" w:rsidRDefault="006F3C05" w:rsidP="006F3C05">
      <w:pPr>
        <w:pStyle w:val="Caption"/>
        <w:keepNext/>
        <w:rPr>
          <w:sz w:val="22"/>
        </w:rPr>
      </w:pPr>
      <w:bookmarkStart w:id="18" w:name="_Ref24625681"/>
      <w:r w:rsidRPr="000D50CA">
        <w:rPr>
          <w:sz w:val="22"/>
        </w:rPr>
        <w:t xml:space="preserve">Table </w:t>
      </w:r>
      <w:bookmarkEnd w:id="18"/>
      <w:r>
        <w:rPr>
          <w:noProof/>
          <w:sz w:val="22"/>
        </w:rPr>
        <w:t>2</w:t>
      </w:r>
      <w:r w:rsidRPr="000D50CA">
        <w:rPr>
          <w:sz w:val="22"/>
        </w:rPr>
        <w:t xml:space="preserve"> Linear associations between CpG sites </w:t>
      </w:r>
      <w:r>
        <w:rPr>
          <w:sz w:val="22"/>
        </w:rPr>
        <w:t xml:space="preserve">(age 7) </w:t>
      </w:r>
      <w:r w:rsidRPr="000D50CA">
        <w:rPr>
          <w:sz w:val="22"/>
        </w:rPr>
        <w:t>and RT.</w:t>
      </w:r>
    </w:p>
    <w:tbl>
      <w:tblPr>
        <w:tblW w:w="8668" w:type="dxa"/>
        <w:tblLook w:val="04A0" w:firstRow="1" w:lastRow="0" w:firstColumn="1" w:lastColumn="0" w:noHBand="0" w:noVBand="1"/>
      </w:tblPr>
      <w:tblGrid>
        <w:gridCol w:w="980"/>
        <w:gridCol w:w="955"/>
        <w:gridCol w:w="1206"/>
        <w:gridCol w:w="712"/>
        <w:gridCol w:w="869"/>
        <w:gridCol w:w="756"/>
        <w:gridCol w:w="1116"/>
        <w:gridCol w:w="1085"/>
        <w:gridCol w:w="989"/>
      </w:tblGrid>
      <w:tr w:rsidR="006F3C05" w:rsidRPr="00510725" w14:paraId="38410779" w14:textId="77777777" w:rsidTr="006F3C05">
        <w:trPr>
          <w:trHeight w:val="544"/>
        </w:trPr>
        <w:tc>
          <w:tcPr>
            <w:tcW w:w="980" w:type="dxa"/>
            <w:tcBorders>
              <w:top w:val="single" w:sz="4" w:space="0" w:color="auto"/>
              <w:left w:val="nil"/>
              <w:bottom w:val="single" w:sz="4" w:space="0" w:color="auto"/>
              <w:right w:val="nil"/>
            </w:tcBorders>
            <w:shd w:val="clear" w:color="000000" w:fill="F2F2F2"/>
            <w:vAlign w:val="center"/>
            <w:hideMark/>
          </w:tcPr>
          <w:p w14:paraId="76CB0BF3" w14:textId="77777777" w:rsidR="006F3C05" w:rsidRPr="00510725" w:rsidRDefault="006F3C05" w:rsidP="006F3C05">
            <w:pPr>
              <w:spacing w:after="0" w:line="240" w:lineRule="auto"/>
              <w:jc w:val="center"/>
              <w:rPr>
                <w:rFonts w:ascii="Calibri" w:eastAsia="Times New Roman" w:hAnsi="Calibri" w:cs="Calibri"/>
                <w:b/>
                <w:bCs/>
                <w:color w:val="000000"/>
                <w:sz w:val="20"/>
                <w:szCs w:val="20"/>
                <w:lang w:eastAsia="en-GB"/>
              </w:rPr>
            </w:pPr>
            <w:r w:rsidRPr="00510725">
              <w:rPr>
                <w:rFonts w:ascii="Calibri" w:eastAsia="Times New Roman" w:hAnsi="Calibri" w:cs="Calibri"/>
                <w:b/>
                <w:bCs/>
                <w:color w:val="000000"/>
                <w:sz w:val="20"/>
                <w:szCs w:val="20"/>
                <w:lang w:eastAsia="en-GB"/>
              </w:rPr>
              <w:t>Exposure</w:t>
            </w:r>
          </w:p>
        </w:tc>
        <w:tc>
          <w:tcPr>
            <w:tcW w:w="955" w:type="dxa"/>
            <w:tcBorders>
              <w:top w:val="single" w:sz="4" w:space="0" w:color="auto"/>
              <w:left w:val="nil"/>
              <w:bottom w:val="single" w:sz="4" w:space="0" w:color="auto"/>
              <w:right w:val="nil"/>
            </w:tcBorders>
            <w:shd w:val="clear" w:color="000000" w:fill="F2F2F2"/>
            <w:vAlign w:val="center"/>
            <w:hideMark/>
          </w:tcPr>
          <w:p w14:paraId="6696571F" w14:textId="77777777" w:rsidR="006F3C05" w:rsidRPr="00510725" w:rsidRDefault="006F3C05" w:rsidP="006F3C05">
            <w:pPr>
              <w:spacing w:after="0" w:line="240" w:lineRule="auto"/>
              <w:jc w:val="center"/>
              <w:rPr>
                <w:rFonts w:ascii="Calibri" w:eastAsia="Times New Roman" w:hAnsi="Calibri" w:cs="Calibri"/>
                <w:b/>
                <w:bCs/>
                <w:color w:val="000000"/>
                <w:sz w:val="20"/>
                <w:szCs w:val="20"/>
                <w:lang w:eastAsia="en-GB"/>
              </w:rPr>
            </w:pPr>
            <w:r w:rsidRPr="00510725">
              <w:rPr>
                <w:rFonts w:ascii="Calibri" w:eastAsia="Times New Roman" w:hAnsi="Calibri" w:cs="Calibri"/>
                <w:b/>
                <w:bCs/>
                <w:color w:val="000000"/>
                <w:sz w:val="20"/>
                <w:szCs w:val="20"/>
                <w:lang w:eastAsia="en-GB"/>
              </w:rPr>
              <w:t>n</w:t>
            </w:r>
          </w:p>
        </w:tc>
        <w:tc>
          <w:tcPr>
            <w:tcW w:w="1206" w:type="dxa"/>
            <w:tcBorders>
              <w:top w:val="single" w:sz="4" w:space="0" w:color="auto"/>
              <w:left w:val="nil"/>
              <w:bottom w:val="single" w:sz="4" w:space="0" w:color="auto"/>
              <w:right w:val="nil"/>
            </w:tcBorders>
            <w:shd w:val="clear" w:color="000000" w:fill="F2F2F2"/>
          </w:tcPr>
          <w:p w14:paraId="30992531" w14:textId="77777777" w:rsidR="006F3C05" w:rsidRPr="00510725" w:rsidRDefault="006F3C05" w:rsidP="006F3C05">
            <w:pPr>
              <w:spacing w:after="0" w:line="240" w:lineRule="auto"/>
              <w:jc w:val="center"/>
              <w:rPr>
                <w:rFonts w:ascii="Calibri" w:eastAsia="Times New Roman" w:hAnsi="Calibri" w:cs="Calibri"/>
                <w:b/>
                <w:bCs/>
                <w:color w:val="000000"/>
                <w:sz w:val="20"/>
                <w:szCs w:val="20"/>
                <w:lang w:eastAsia="en-GB"/>
              </w:rPr>
            </w:pPr>
            <w:r w:rsidRPr="00510725">
              <w:rPr>
                <w:rFonts w:ascii="Calibri" w:eastAsia="Times New Roman" w:hAnsi="Calibri" w:cs="Calibri"/>
                <w:b/>
                <w:bCs/>
                <w:color w:val="000000"/>
                <w:sz w:val="20"/>
                <w:szCs w:val="20"/>
                <w:lang w:eastAsia="en-GB"/>
              </w:rPr>
              <w:t>CpG name</w:t>
            </w:r>
          </w:p>
        </w:tc>
        <w:tc>
          <w:tcPr>
            <w:tcW w:w="712" w:type="dxa"/>
            <w:tcBorders>
              <w:top w:val="single" w:sz="4" w:space="0" w:color="auto"/>
              <w:left w:val="nil"/>
              <w:bottom w:val="single" w:sz="4" w:space="0" w:color="auto"/>
              <w:right w:val="nil"/>
            </w:tcBorders>
            <w:shd w:val="clear" w:color="000000" w:fill="F2F2F2"/>
          </w:tcPr>
          <w:p w14:paraId="7E3495F9" w14:textId="77777777" w:rsidR="006F3C05" w:rsidRPr="00510725" w:rsidRDefault="006F3C05" w:rsidP="006F3C05">
            <w:pPr>
              <w:spacing w:after="0" w:line="240" w:lineRule="auto"/>
              <w:jc w:val="center"/>
              <w:rPr>
                <w:rFonts w:ascii="Calibri" w:eastAsia="Times New Roman" w:hAnsi="Calibri" w:cs="Calibri"/>
                <w:b/>
                <w:bCs/>
                <w:color w:val="000000"/>
                <w:sz w:val="20"/>
                <w:szCs w:val="20"/>
                <w:lang w:eastAsia="en-GB"/>
              </w:rPr>
            </w:pPr>
            <w:proofErr w:type="spellStart"/>
            <w:r>
              <w:rPr>
                <w:rFonts w:ascii="Calibri" w:eastAsia="Times New Roman" w:hAnsi="Calibri" w:cs="Calibri"/>
                <w:b/>
                <w:bCs/>
                <w:color w:val="000000"/>
                <w:sz w:val="20"/>
                <w:szCs w:val="20"/>
                <w:lang w:eastAsia="en-GB"/>
              </w:rPr>
              <w:t>Chr</w:t>
            </w:r>
            <w:proofErr w:type="spellEnd"/>
          </w:p>
        </w:tc>
        <w:tc>
          <w:tcPr>
            <w:tcW w:w="869" w:type="dxa"/>
            <w:tcBorders>
              <w:top w:val="single" w:sz="4" w:space="0" w:color="auto"/>
              <w:left w:val="nil"/>
              <w:bottom w:val="single" w:sz="4" w:space="0" w:color="auto"/>
              <w:right w:val="nil"/>
            </w:tcBorders>
            <w:shd w:val="clear" w:color="000000" w:fill="F2F2F2"/>
          </w:tcPr>
          <w:p w14:paraId="426A751B" w14:textId="77777777" w:rsidR="006F3C05" w:rsidRPr="00510725" w:rsidRDefault="006F3C05" w:rsidP="006F3C05">
            <w:pPr>
              <w:spacing w:after="0" w:line="240" w:lineRule="auto"/>
              <w:jc w:val="center"/>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Nearest gene</w:t>
            </w:r>
          </w:p>
        </w:tc>
        <w:tc>
          <w:tcPr>
            <w:tcW w:w="756" w:type="dxa"/>
            <w:tcBorders>
              <w:top w:val="single" w:sz="4" w:space="0" w:color="auto"/>
              <w:left w:val="nil"/>
              <w:bottom w:val="single" w:sz="4" w:space="0" w:color="auto"/>
              <w:right w:val="nil"/>
            </w:tcBorders>
            <w:shd w:val="clear" w:color="000000" w:fill="F2F2F2"/>
            <w:vAlign w:val="center"/>
            <w:hideMark/>
          </w:tcPr>
          <w:p w14:paraId="091B6C32" w14:textId="77777777" w:rsidR="006F3C05" w:rsidRPr="00510725" w:rsidRDefault="006F3C05" w:rsidP="006F3C05">
            <w:pPr>
              <w:spacing w:after="0" w:line="240" w:lineRule="auto"/>
              <w:jc w:val="center"/>
              <w:rPr>
                <w:rFonts w:ascii="Calibri" w:eastAsia="Times New Roman" w:hAnsi="Calibri" w:cs="Calibri"/>
                <w:b/>
                <w:bCs/>
                <w:color w:val="000000"/>
                <w:sz w:val="20"/>
                <w:szCs w:val="20"/>
                <w:lang w:eastAsia="en-GB"/>
              </w:rPr>
            </w:pPr>
            <w:r w:rsidRPr="00510725">
              <w:rPr>
                <w:rFonts w:ascii="Calibri" w:eastAsia="Times New Roman" w:hAnsi="Calibri" w:cs="Calibri"/>
                <w:b/>
                <w:bCs/>
                <w:color w:val="000000"/>
                <w:sz w:val="20"/>
                <w:szCs w:val="20"/>
                <w:lang w:eastAsia="en-GB"/>
              </w:rPr>
              <w:t>Model</w:t>
            </w:r>
          </w:p>
        </w:tc>
        <w:tc>
          <w:tcPr>
            <w:tcW w:w="1116" w:type="dxa"/>
            <w:tcBorders>
              <w:top w:val="single" w:sz="4" w:space="0" w:color="auto"/>
              <w:left w:val="nil"/>
              <w:bottom w:val="single" w:sz="4" w:space="0" w:color="auto"/>
              <w:right w:val="nil"/>
            </w:tcBorders>
            <w:shd w:val="clear" w:color="000000" w:fill="F2F2F2"/>
            <w:vAlign w:val="center"/>
            <w:hideMark/>
          </w:tcPr>
          <w:p w14:paraId="7C127667" w14:textId="77777777" w:rsidR="006F3C05" w:rsidRPr="00510725" w:rsidRDefault="006F3C05" w:rsidP="006F3C05">
            <w:pPr>
              <w:spacing w:after="0" w:line="240" w:lineRule="auto"/>
              <w:jc w:val="center"/>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Coefficient</w:t>
            </w:r>
          </w:p>
        </w:tc>
        <w:tc>
          <w:tcPr>
            <w:tcW w:w="1085" w:type="dxa"/>
            <w:tcBorders>
              <w:top w:val="single" w:sz="4" w:space="0" w:color="auto"/>
              <w:left w:val="nil"/>
              <w:bottom w:val="single" w:sz="4" w:space="0" w:color="auto"/>
              <w:right w:val="nil"/>
            </w:tcBorders>
            <w:shd w:val="clear" w:color="000000" w:fill="F2F2F2"/>
            <w:vAlign w:val="center"/>
            <w:hideMark/>
          </w:tcPr>
          <w:p w14:paraId="6B554F1E" w14:textId="77777777" w:rsidR="006F3C05" w:rsidRPr="00510725" w:rsidRDefault="006F3C05" w:rsidP="006F3C05">
            <w:pPr>
              <w:spacing w:after="0" w:line="240" w:lineRule="auto"/>
              <w:jc w:val="center"/>
              <w:rPr>
                <w:rFonts w:ascii="Calibri" w:eastAsia="Times New Roman" w:hAnsi="Calibri" w:cs="Calibri"/>
                <w:b/>
                <w:bCs/>
                <w:color w:val="000000"/>
                <w:sz w:val="20"/>
                <w:szCs w:val="20"/>
                <w:lang w:eastAsia="en-GB"/>
              </w:rPr>
            </w:pPr>
            <w:r w:rsidRPr="00510725">
              <w:rPr>
                <w:rFonts w:ascii="Calibri" w:eastAsia="Times New Roman" w:hAnsi="Calibri" w:cs="Calibri"/>
                <w:b/>
                <w:bCs/>
                <w:color w:val="000000"/>
                <w:sz w:val="20"/>
                <w:szCs w:val="20"/>
                <w:lang w:eastAsia="en-GB"/>
              </w:rPr>
              <w:t>SE</w:t>
            </w:r>
          </w:p>
        </w:tc>
        <w:tc>
          <w:tcPr>
            <w:tcW w:w="989" w:type="dxa"/>
            <w:tcBorders>
              <w:top w:val="single" w:sz="4" w:space="0" w:color="auto"/>
              <w:left w:val="nil"/>
              <w:bottom w:val="single" w:sz="4" w:space="0" w:color="auto"/>
              <w:right w:val="nil"/>
            </w:tcBorders>
            <w:shd w:val="clear" w:color="000000" w:fill="F2F2F2"/>
            <w:vAlign w:val="center"/>
            <w:hideMark/>
          </w:tcPr>
          <w:p w14:paraId="42C91BEC" w14:textId="77777777" w:rsidR="006F3C05" w:rsidRPr="00510725" w:rsidRDefault="006F3C05" w:rsidP="006F3C05">
            <w:pPr>
              <w:spacing w:after="0" w:line="240" w:lineRule="auto"/>
              <w:jc w:val="center"/>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p</w:t>
            </w:r>
            <w:r w:rsidRPr="00510725">
              <w:rPr>
                <w:rFonts w:ascii="Calibri" w:eastAsia="Times New Roman" w:hAnsi="Calibri" w:cs="Calibri"/>
                <w:b/>
                <w:bCs/>
                <w:color w:val="000000"/>
                <w:sz w:val="20"/>
                <w:szCs w:val="20"/>
                <w:lang w:eastAsia="en-GB"/>
              </w:rPr>
              <w:t xml:space="preserve"> value</w:t>
            </w:r>
          </w:p>
        </w:tc>
      </w:tr>
      <w:tr w:rsidR="006F3C05" w:rsidRPr="00510725" w14:paraId="61A46828" w14:textId="77777777" w:rsidTr="006F3C05">
        <w:trPr>
          <w:trHeight w:val="213"/>
        </w:trPr>
        <w:tc>
          <w:tcPr>
            <w:tcW w:w="1935" w:type="dxa"/>
            <w:gridSpan w:val="2"/>
            <w:tcBorders>
              <w:top w:val="nil"/>
              <w:left w:val="nil"/>
              <w:bottom w:val="nil"/>
              <w:right w:val="nil"/>
            </w:tcBorders>
            <w:shd w:val="clear" w:color="000000" w:fill="D9D9D9"/>
            <w:vAlign w:val="center"/>
            <w:hideMark/>
          </w:tcPr>
          <w:p w14:paraId="31C88586" w14:textId="77777777" w:rsidR="006F3C05" w:rsidRPr="00510725" w:rsidRDefault="006F3C05" w:rsidP="006F3C05">
            <w:pPr>
              <w:spacing w:after="0" w:line="240" w:lineRule="auto"/>
              <w:jc w:val="center"/>
              <w:rPr>
                <w:rFonts w:ascii="Calibri" w:eastAsia="Times New Roman" w:hAnsi="Calibri" w:cs="Calibri"/>
                <w:b/>
                <w:bCs/>
                <w:color w:val="000000"/>
                <w:sz w:val="20"/>
                <w:szCs w:val="20"/>
                <w:lang w:eastAsia="en-GB"/>
              </w:rPr>
            </w:pPr>
            <w:r w:rsidRPr="00510725">
              <w:rPr>
                <w:rFonts w:ascii="Calibri" w:eastAsia="Times New Roman" w:hAnsi="Calibri" w:cs="Calibri"/>
                <w:b/>
                <w:bCs/>
                <w:color w:val="000000"/>
                <w:sz w:val="20"/>
                <w:szCs w:val="20"/>
                <w:lang w:eastAsia="en-GB"/>
              </w:rPr>
              <w:t>With cell counts</w:t>
            </w:r>
          </w:p>
        </w:tc>
        <w:tc>
          <w:tcPr>
            <w:tcW w:w="1206" w:type="dxa"/>
            <w:tcBorders>
              <w:top w:val="nil"/>
              <w:left w:val="nil"/>
              <w:bottom w:val="nil"/>
              <w:right w:val="nil"/>
            </w:tcBorders>
            <w:shd w:val="clear" w:color="000000" w:fill="D9D9D9"/>
          </w:tcPr>
          <w:p w14:paraId="74B733FA" w14:textId="77777777" w:rsidR="006F3C05" w:rsidRPr="00510725" w:rsidRDefault="006F3C05" w:rsidP="006F3C05">
            <w:pPr>
              <w:spacing w:after="0" w:line="240" w:lineRule="auto"/>
              <w:rPr>
                <w:rFonts w:ascii="Calibri" w:eastAsia="Times New Roman" w:hAnsi="Calibri" w:cs="Calibri"/>
                <w:color w:val="000000"/>
                <w:sz w:val="20"/>
                <w:szCs w:val="20"/>
                <w:lang w:eastAsia="en-GB"/>
              </w:rPr>
            </w:pPr>
          </w:p>
        </w:tc>
        <w:tc>
          <w:tcPr>
            <w:tcW w:w="712" w:type="dxa"/>
            <w:tcBorders>
              <w:top w:val="nil"/>
              <w:left w:val="nil"/>
              <w:bottom w:val="nil"/>
              <w:right w:val="nil"/>
            </w:tcBorders>
            <w:shd w:val="clear" w:color="000000" w:fill="D9D9D9"/>
          </w:tcPr>
          <w:p w14:paraId="3351F6E8" w14:textId="77777777" w:rsidR="006F3C05" w:rsidRPr="00510725" w:rsidRDefault="006F3C05" w:rsidP="006F3C05">
            <w:pPr>
              <w:spacing w:after="0" w:line="240" w:lineRule="auto"/>
              <w:jc w:val="center"/>
              <w:rPr>
                <w:rFonts w:ascii="Calibri" w:eastAsia="Times New Roman" w:hAnsi="Calibri" w:cs="Calibri"/>
                <w:b/>
                <w:bCs/>
                <w:color w:val="000000"/>
                <w:sz w:val="20"/>
                <w:szCs w:val="20"/>
                <w:lang w:eastAsia="en-GB"/>
              </w:rPr>
            </w:pPr>
          </w:p>
        </w:tc>
        <w:tc>
          <w:tcPr>
            <w:tcW w:w="869" w:type="dxa"/>
            <w:tcBorders>
              <w:top w:val="nil"/>
              <w:left w:val="nil"/>
              <w:bottom w:val="nil"/>
              <w:right w:val="nil"/>
            </w:tcBorders>
            <w:shd w:val="clear" w:color="000000" w:fill="D9D9D9"/>
          </w:tcPr>
          <w:p w14:paraId="6A79EA23" w14:textId="77777777" w:rsidR="006F3C05" w:rsidRPr="00510725" w:rsidRDefault="006F3C05" w:rsidP="006F3C05">
            <w:pPr>
              <w:spacing w:after="0" w:line="240" w:lineRule="auto"/>
              <w:jc w:val="center"/>
              <w:rPr>
                <w:rFonts w:ascii="Calibri" w:eastAsia="Times New Roman" w:hAnsi="Calibri" w:cs="Calibri"/>
                <w:b/>
                <w:bCs/>
                <w:color w:val="000000"/>
                <w:sz w:val="20"/>
                <w:szCs w:val="20"/>
                <w:lang w:eastAsia="en-GB"/>
              </w:rPr>
            </w:pPr>
          </w:p>
        </w:tc>
        <w:tc>
          <w:tcPr>
            <w:tcW w:w="756" w:type="dxa"/>
            <w:tcBorders>
              <w:top w:val="nil"/>
              <w:left w:val="nil"/>
              <w:bottom w:val="nil"/>
              <w:right w:val="nil"/>
            </w:tcBorders>
            <w:shd w:val="clear" w:color="000000" w:fill="D9D9D9"/>
            <w:vAlign w:val="center"/>
            <w:hideMark/>
          </w:tcPr>
          <w:p w14:paraId="621821F8" w14:textId="77777777" w:rsidR="006F3C05" w:rsidRPr="00510725" w:rsidRDefault="006F3C05" w:rsidP="006F3C05">
            <w:pPr>
              <w:spacing w:after="0" w:line="240" w:lineRule="auto"/>
              <w:jc w:val="center"/>
              <w:rPr>
                <w:rFonts w:ascii="Calibri" w:eastAsia="Times New Roman" w:hAnsi="Calibri" w:cs="Calibri"/>
                <w:b/>
                <w:bCs/>
                <w:color w:val="000000"/>
                <w:sz w:val="20"/>
                <w:szCs w:val="20"/>
                <w:lang w:eastAsia="en-GB"/>
              </w:rPr>
            </w:pPr>
            <w:r w:rsidRPr="00510725">
              <w:rPr>
                <w:rFonts w:ascii="Calibri" w:eastAsia="Times New Roman" w:hAnsi="Calibri" w:cs="Calibri"/>
                <w:b/>
                <w:bCs/>
                <w:color w:val="000000"/>
                <w:sz w:val="20"/>
                <w:szCs w:val="20"/>
                <w:lang w:eastAsia="en-GB"/>
              </w:rPr>
              <w:t> </w:t>
            </w:r>
          </w:p>
        </w:tc>
        <w:tc>
          <w:tcPr>
            <w:tcW w:w="1116" w:type="dxa"/>
            <w:tcBorders>
              <w:top w:val="nil"/>
              <w:left w:val="nil"/>
              <w:bottom w:val="nil"/>
              <w:right w:val="nil"/>
            </w:tcBorders>
            <w:shd w:val="clear" w:color="000000" w:fill="D9D9D9"/>
            <w:noWrap/>
            <w:vAlign w:val="bottom"/>
            <w:hideMark/>
          </w:tcPr>
          <w:p w14:paraId="52DC1E74" w14:textId="77777777" w:rsidR="006F3C05" w:rsidRPr="00510725" w:rsidRDefault="006F3C05" w:rsidP="006F3C05">
            <w:pPr>
              <w:spacing w:after="0" w:line="240" w:lineRule="auto"/>
              <w:rPr>
                <w:rFonts w:ascii="Calibri" w:eastAsia="Times New Roman" w:hAnsi="Calibri" w:cs="Calibri"/>
                <w:color w:val="000000"/>
                <w:sz w:val="20"/>
                <w:szCs w:val="20"/>
                <w:lang w:eastAsia="en-GB"/>
              </w:rPr>
            </w:pPr>
            <w:r w:rsidRPr="00510725">
              <w:rPr>
                <w:rFonts w:ascii="Calibri" w:eastAsia="Times New Roman" w:hAnsi="Calibri" w:cs="Calibri"/>
                <w:color w:val="000000"/>
                <w:sz w:val="20"/>
                <w:szCs w:val="20"/>
                <w:lang w:eastAsia="en-GB"/>
              </w:rPr>
              <w:t> </w:t>
            </w:r>
          </w:p>
        </w:tc>
        <w:tc>
          <w:tcPr>
            <w:tcW w:w="1085" w:type="dxa"/>
            <w:tcBorders>
              <w:top w:val="nil"/>
              <w:left w:val="nil"/>
              <w:bottom w:val="nil"/>
              <w:right w:val="nil"/>
            </w:tcBorders>
            <w:shd w:val="clear" w:color="000000" w:fill="D9D9D9"/>
            <w:noWrap/>
            <w:vAlign w:val="bottom"/>
            <w:hideMark/>
          </w:tcPr>
          <w:p w14:paraId="61892F8A" w14:textId="77777777" w:rsidR="006F3C05" w:rsidRPr="00510725" w:rsidRDefault="006F3C05" w:rsidP="006F3C05">
            <w:pPr>
              <w:spacing w:after="0" w:line="240" w:lineRule="auto"/>
              <w:rPr>
                <w:rFonts w:ascii="Calibri" w:eastAsia="Times New Roman" w:hAnsi="Calibri" w:cs="Calibri"/>
                <w:color w:val="000000"/>
                <w:sz w:val="20"/>
                <w:szCs w:val="20"/>
                <w:lang w:eastAsia="en-GB"/>
              </w:rPr>
            </w:pPr>
            <w:r w:rsidRPr="00510725">
              <w:rPr>
                <w:rFonts w:ascii="Calibri" w:eastAsia="Times New Roman" w:hAnsi="Calibri" w:cs="Calibri"/>
                <w:color w:val="000000"/>
                <w:sz w:val="20"/>
                <w:szCs w:val="20"/>
                <w:lang w:eastAsia="en-GB"/>
              </w:rPr>
              <w:t> </w:t>
            </w:r>
          </w:p>
        </w:tc>
        <w:tc>
          <w:tcPr>
            <w:tcW w:w="989" w:type="dxa"/>
            <w:tcBorders>
              <w:top w:val="nil"/>
              <w:left w:val="nil"/>
              <w:bottom w:val="nil"/>
              <w:right w:val="nil"/>
            </w:tcBorders>
            <w:shd w:val="clear" w:color="000000" w:fill="D9D9D9"/>
            <w:noWrap/>
            <w:vAlign w:val="bottom"/>
            <w:hideMark/>
          </w:tcPr>
          <w:p w14:paraId="66F1B472" w14:textId="77777777" w:rsidR="006F3C05" w:rsidRPr="00510725" w:rsidRDefault="006F3C05" w:rsidP="006F3C05">
            <w:pPr>
              <w:spacing w:after="0" w:line="240" w:lineRule="auto"/>
              <w:rPr>
                <w:rFonts w:ascii="Calibri" w:eastAsia="Times New Roman" w:hAnsi="Calibri" w:cs="Calibri"/>
                <w:color w:val="000000"/>
                <w:sz w:val="20"/>
                <w:szCs w:val="20"/>
                <w:lang w:eastAsia="en-GB"/>
              </w:rPr>
            </w:pPr>
            <w:r w:rsidRPr="00510725">
              <w:rPr>
                <w:rFonts w:ascii="Calibri" w:eastAsia="Times New Roman" w:hAnsi="Calibri" w:cs="Calibri"/>
                <w:color w:val="000000"/>
                <w:sz w:val="20"/>
                <w:szCs w:val="20"/>
                <w:lang w:eastAsia="en-GB"/>
              </w:rPr>
              <w:t> </w:t>
            </w:r>
          </w:p>
        </w:tc>
      </w:tr>
      <w:tr w:rsidR="006F3C05" w:rsidRPr="00510725" w14:paraId="029E2437" w14:textId="77777777" w:rsidTr="006F3C05">
        <w:trPr>
          <w:trHeight w:val="213"/>
        </w:trPr>
        <w:tc>
          <w:tcPr>
            <w:tcW w:w="980" w:type="dxa"/>
            <w:tcBorders>
              <w:top w:val="nil"/>
              <w:left w:val="nil"/>
              <w:bottom w:val="nil"/>
              <w:right w:val="nil"/>
            </w:tcBorders>
            <w:shd w:val="clear" w:color="000000" w:fill="D9D9D9"/>
            <w:vAlign w:val="center"/>
            <w:hideMark/>
          </w:tcPr>
          <w:p w14:paraId="7B3CB233" w14:textId="77777777" w:rsidR="006F3C05" w:rsidRPr="00510725" w:rsidRDefault="006F3C05" w:rsidP="006F3C05">
            <w:pPr>
              <w:spacing w:after="0" w:line="240" w:lineRule="auto"/>
              <w:jc w:val="center"/>
              <w:rPr>
                <w:rFonts w:ascii="Calibri" w:eastAsia="Times New Roman" w:hAnsi="Calibri" w:cs="Calibri"/>
                <w:color w:val="000000"/>
                <w:sz w:val="20"/>
                <w:szCs w:val="20"/>
                <w:lang w:eastAsia="en-GB"/>
              </w:rPr>
            </w:pPr>
            <w:r w:rsidRPr="00510725">
              <w:rPr>
                <w:rFonts w:ascii="Calibri" w:eastAsia="Times New Roman" w:hAnsi="Calibri" w:cs="Calibri"/>
                <w:bCs/>
                <w:color w:val="000000"/>
                <w:sz w:val="20"/>
                <w:szCs w:val="20"/>
                <w:lang w:eastAsia="en-GB"/>
              </w:rPr>
              <w:t>RT</w:t>
            </w:r>
          </w:p>
        </w:tc>
        <w:tc>
          <w:tcPr>
            <w:tcW w:w="955" w:type="dxa"/>
            <w:tcBorders>
              <w:top w:val="nil"/>
              <w:left w:val="nil"/>
              <w:bottom w:val="nil"/>
              <w:right w:val="nil"/>
            </w:tcBorders>
            <w:shd w:val="clear" w:color="000000" w:fill="D9D9D9"/>
            <w:vAlign w:val="center"/>
            <w:hideMark/>
          </w:tcPr>
          <w:p w14:paraId="628D4F67" w14:textId="77777777" w:rsidR="006F3C05" w:rsidRPr="00510725" w:rsidRDefault="006F3C05" w:rsidP="006F3C05">
            <w:pPr>
              <w:spacing w:after="0" w:line="240" w:lineRule="auto"/>
              <w:jc w:val="center"/>
              <w:rPr>
                <w:rFonts w:ascii="Calibri" w:eastAsia="Times New Roman" w:hAnsi="Calibri" w:cs="Calibri"/>
                <w:color w:val="000000"/>
                <w:sz w:val="20"/>
                <w:szCs w:val="20"/>
                <w:lang w:eastAsia="en-GB"/>
              </w:rPr>
            </w:pPr>
            <w:r w:rsidRPr="00510725">
              <w:rPr>
                <w:rFonts w:ascii="Calibri" w:eastAsia="Times New Roman" w:hAnsi="Calibri" w:cs="Calibri"/>
                <w:color w:val="000000"/>
                <w:sz w:val="20"/>
                <w:szCs w:val="20"/>
                <w:lang w:eastAsia="en-GB"/>
              </w:rPr>
              <w:t>116</w:t>
            </w:r>
          </w:p>
        </w:tc>
        <w:tc>
          <w:tcPr>
            <w:tcW w:w="1206" w:type="dxa"/>
            <w:tcBorders>
              <w:top w:val="nil"/>
              <w:left w:val="nil"/>
              <w:bottom w:val="nil"/>
              <w:right w:val="nil"/>
            </w:tcBorders>
            <w:shd w:val="clear" w:color="000000" w:fill="D9D9D9"/>
          </w:tcPr>
          <w:p w14:paraId="622C0C71" w14:textId="77777777" w:rsidR="006F3C05" w:rsidRPr="00510725" w:rsidRDefault="006F3C05" w:rsidP="006F3C05">
            <w:pPr>
              <w:spacing w:after="0" w:line="240" w:lineRule="auto"/>
              <w:jc w:val="center"/>
              <w:rPr>
                <w:rFonts w:ascii="Calibri" w:eastAsia="Times New Roman" w:hAnsi="Calibri" w:cs="Calibri"/>
                <w:color w:val="000000"/>
                <w:sz w:val="20"/>
                <w:szCs w:val="20"/>
                <w:lang w:eastAsia="en-GB"/>
              </w:rPr>
            </w:pPr>
            <w:r w:rsidRPr="00510725">
              <w:rPr>
                <w:rFonts w:ascii="Calibri" w:eastAsia="Times New Roman" w:hAnsi="Calibri" w:cs="Calibri"/>
                <w:bCs/>
                <w:color w:val="000000"/>
                <w:sz w:val="20"/>
                <w:szCs w:val="20"/>
                <w:lang w:eastAsia="en-GB"/>
              </w:rPr>
              <w:t>cg01379158</w:t>
            </w:r>
          </w:p>
        </w:tc>
        <w:tc>
          <w:tcPr>
            <w:tcW w:w="712" w:type="dxa"/>
            <w:tcBorders>
              <w:top w:val="nil"/>
              <w:left w:val="nil"/>
              <w:bottom w:val="nil"/>
              <w:right w:val="nil"/>
            </w:tcBorders>
            <w:shd w:val="clear" w:color="000000" w:fill="D9D9D9"/>
          </w:tcPr>
          <w:p w14:paraId="4EE625B7" w14:textId="77777777" w:rsidR="006F3C05" w:rsidRPr="00510725" w:rsidRDefault="006F3C05" w:rsidP="006F3C05">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17</w:t>
            </w:r>
          </w:p>
        </w:tc>
        <w:tc>
          <w:tcPr>
            <w:tcW w:w="869" w:type="dxa"/>
            <w:tcBorders>
              <w:top w:val="nil"/>
              <w:left w:val="nil"/>
              <w:bottom w:val="nil"/>
              <w:right w:val="nil"/>
            </w:tcBorders>
            <w:shd w:val="clear" w:color="000000" w:fill="D9D9D9"/>
          </w:tcPr>
          <w:p w14:paraId="6E41AF13" w14:textId="77777777" w:rsidR="006F3C05" w:rsidRPr="00510725" w:rsidRDefault="006F3C05" w:rsidP="006F3C05">
            <w:pPr>
              <w:spacing w:after="0" w:line="240" w:lineRule="auto"/>
              <w:jc w:val="center"/>
              <w:rPr>
                <w:rFonts w:ascii="Calibri" w:eastAsia="Times New Roman" w:hAnsi="Calibri" w:cs="Calibri"/>
                <w:color w:val="000000"/>
                <w:sz w:val="20"/>
                <w:szCs w:val="20"/>
                <w:lang w:eastAsia="en-GB"/>
              </w:rPr>
            </w:pPr>
            <w:r w:rsidRPr="00B57B39">
              <w:rPr>
                <w:i/>
                <w:sz w:val="20"/>
                <w:szCs w:val="20"/>
              </w:rPr>
              <w:t>NT5M</w:t>
            </w:r>
          </w:p>
        </w:tc>
        <w:tc>
          <w:tcPr>
            <w:tcW w:w="756" w:type="dxa"/>
            <w:tcBorders>
              <w:top w:val="nil"/>
              <w:left w:val="nil"/>
              <w:bottom w:val="nil"/>
              <w:right w:val="nil"/>
            </w:tcBorders>
            <w:shd w:val="clear" w:color="000000" w:fill="D9D9D9"/>
            <w:vAlign w:val="center"/>
            <w:hideMark/>
          </w:tcPr>
          <w:p w14:paraId="68E664AF" w14:textId="77777777" w:rsidR="006F3C05" w:rsidRPr="00510725" w:rsidRDefault="006F3C05" w:rsidP="006F3C05">
            <w:pPr>
              <w:spacing w:after="0" w:line="240" w:lineRule="auto"/>
              <w:jc w:val="center"/>
              <w:rPr>
                <w:rFonts w:ascii="Calibri" w:eastAsia="Times New Roman" w:hAnsi="Calibri" w:cs="Calibri"/>
                <w:color w:val="000000"/>
                <w:sz w:val="20"/>
                <w:szCs w:val="20"/>
                <w:lang w:eastAsia="en-GB"/>
              </w:rPr>
            </w:pPr>
            <w:r w:rsidRPr="00510725">
              <w:rPr>
                <w:rFonts w:ascii="Calibri" w:eastAsia="Times New Roman" w:hAnsi="Calibri" w:cs="Calibri"/>
                <w:color w:val="000000"/>
                <w:sz w:val="20"/>
                <w:szCs w:val="20"/>
                <w:lang w:eastAsia="en-GB"/>
              </w:rPr>
              <w:t>SVA</w:t>
            </w:r>
          </w:p>
        </w:tc>
        <w:tc>
          <w:tcPr>
            <w:tcW w:w="1116" w:type="dxa"/>
            <w:tcBorders>
              <w:top w:val="nil"/>
              <w:left w:val="nil"/>
              <w:bottom w:val="nil"/>
              <w:right w:val="nil"/>
            </w:tcBorders>
            <w:shd w:val="clear" w:color="000000" w:fill="D9D9D9"/>
            <w:noWrap/>
            <w:vAlign w:val="bottom"/>
            <w:hideMark/>
          </w:tcPr>
          <w:p w14:paraId="69B18648" w14:textId="77777777" w:rsidR="006F3C05" w:rsidRPr="00510725" w:rsidRDefault="006F3C05" w:rsidP="006F3C05">
            <w:pPr>
              <w:spacing w:after="0" w:line="240" w:lineRule="auto"/>
              <w:jc w:val="center"/>
              <w:rPr>
                <w:rFonts w:ascii="Calibri" w:eastAsia="Times New Roman" w:hAnsi="Calibri" w:cs="Calibri"/>
                <w:color w:val="000000"/>
                <w:sz w:val="20"/>
                <w:szCs w:val="20"/>
                <w:lang w:eastAsia="en-GB"/>
              </w:rPr>
            </w:pPr>
            <w:r w:rsidRPr="00510725">
              <w:rPr>
                <w:rFonts w:ascii="Calibri" w:eastAsia="Times New Roman" w:hAnsi="Calibri" w:cs="Calibri"/>
                <w:color w:val="000000"/>
                <w:sz w:val="20"/>
                <w:szCs w:val="20"/>
                <w:lang w:eastAsia="en-GB"/>
              </w:rPr>
              <w:t>0.0078</w:t>
            </w:r>
          </w:p>
        </w:tc>
        <w:tc>
          <w:tcPr>
            <w:tcW w:w="1085" w:type="dxa"/>
            <w:tcBorders>
              <w:top w:val="nil"/>
              <w:left w:val="nil"/>
              <w:bottom w:val="nil"/>
              <w:right w:val="nil"/>
            </w:tcBorders>
            <w:shd w:val="clear" w:color="000000" w:fill="D9D9D9"/>
            <w:noWrap/>
            <w:vAlign w:val="bottom"/>
            <w:hideMark/>
          </w:tcPr>
          <w:p w14:paraId="5A7969E5" w14:textId="77777777" w:rsidR="006F3C05" w:rsidRPr="00510725" w:rsidRDefault="006F3C05" w:rsidP="006F3C05">
            <w:pPr>
              <w:spacing w:after="0" w:line="240" w:lineRule="auto"/>
              <w:jc w:val="center"/>
              <w:rPr>
                <w:rFonts w:ascii="Calibri" w:eastAsia="Times New Roman" w:hAnsi="Calibri" w:cs="Calibri"/>
                <w:color w:val="000000"/>
                <w:sz w:val="20"/>
                <w:szCs w:val="20"/>
                <w:lang w:eastAsia="en-GB"/>
              </w:rPr>
            </w:pPr>
            <w:r w:rsidRPr="00510725">
              <w:rPr>
                <w:rFonts w:ascii="Calibri" w:eastAsia="Times New Roman" w:hAnsi="Calibri" w:cs="Calibri"/>
                <w:color w:val="000000"/>
                <w:sz w:val="20"/>
                <w:szCs w:val="20"/>
                <w:lang w:eastAsia="en-GB"/>
              </w:rPr>
              <w:t>0.0025</w:t>
            </w:r>
          </w:p>
        </w:tc>
        <w:tc>
          <w:tcPr>
            <w:tcW w:w="989" w:type="dxa"/>
            <w:tcBorders>
              <w:top w:val="nil"/>
              <w:left w:val="nil"/>
              <w:bottom w:val="nil"/>
              <w:right w:val="nil"/>
            </w:tcBorders>
            <w:shd w:val="clear" w:color="000000" w:fill="D9D9D9"/>
            <w:noWrap/>
            <w:vAlign w:val="bottom"/>
            <w:hideMark/>
          </w:tcPr>
          <w:p w14:paraId="7EE06C0D" w14:textId="77777777" w:rsidR="006F3C05" w:rsidRPr="00510725" w:rsidRDefault="006F3C05" w:rsidP="006F3C05">
            <w:pPr>
              <w:spacing w:after="0" w:line="240" w:lineRule="auto"/>
              <w:jc w:val="center"/>
              <w:rPr>
                <w:rFonts w:ascii="Calibri" w:eastAsia="Times New Roman" w:hAnsi="Calibri" w:cs="Calibri"/>
                <w:b/>
                <w:color w:val="000000"/>
                <w:sz w:val="20"/>
                <w:szCs w:val="20"/>
                <w:lang w:eastAsia="en-GB"/>
              </w:rPr>
            </w:pPr>
            <w:r w:rsidRPr="00510725">
              <w:rPr>
                <w:rFonts w:ascii="Calibri" w:eastAsia="Times New Roman" w:hAnsi="Calibri" w:cs="Calibri"/>
                <w:b/>
                <w:color w:val="000000"/>
                <w:sz w:val="20"/>
                <w:szCs w:val="20"/>
                <w:lang w:eastAsia="en-GB"/>
              </w:rPr>
              <w:t>0.0022</w:t>
            </w:r>
          </w:p>
        </w:tc>
      </w:tr>
      <w:tr w:rsidR="006F3C05" w:rsidRPr="00510725" w14:paraId="23B93CCD" w14:textId="77777777" w:rsidTr="006F3C05">
        <w:trPr>
          <w:trHeight w:val="213"/>
        </w:trPr>
        <w:tc>
          <w:tcPr>
            <w:tcW w:w="1935" w:type="dxa"/>
            <w:gridSpan w:val="2"/>
            <w:tcBorders>
              <w:top w:val="nil"/>
              <w:left w:val="nil"/>
              <w:bottom w:val="nil"/>
              <w:right w:val="nil"/>
            </w:tcBorders>
            <w:shd w:val="clear" w:color="000000" w:fill="FFFFFF"/>
            <w:vAlign w:val="center"/>
            <w:hideMark/>
          </w:tcPr>
          <w:p w14:paraId="07DFFE44" w14:textId="77777777" w:rsidR="006F3C05" w:rsidRPr="00510725" w:rsidRDefault="006F3C05" w:rsidP="006F3C05">
            <w:pPr>
              <w:spacing w:after="0" w:line="240" w:lineRule="auto"/>
              <w:jc w:val="center"/>
              <w:rPr>
                <w:rFonts w:ascii="Calibri" w:eastAsia="Times New Roman" w:hAnsi="Calibri" w:cs="Calibri"/>
                <w:b/>
                <w:bCs/>
                <w:color w:val="000000"/>
                <w:sz w:val="20"/>
                <w:szCs w:val="20"/>
                <w:lang w:eastAsia="en-GB"/>
              </w:rPr>
            </w:pPr>
            <w:r w:rsidRPr="00510725">
              <w:rPr>
                <w:rFonts w:ascii="Calibri" w:eastAsia="Times New Roman" w:hAnsi="Calibri" w:cs="Calibri"/>
                <w:b/>
                <w:bCs/>
                <w:color w:val="000000"/>
                <w:sz w:val="20"/>
                <w:szCs w:val="20"/>
                <w:lang w:eastAsia="en-GB"/>
              </w:rPr>
              <w:t>Without cell counts</w:t>
            </w:r>
          </w:p>
        </w:tc>
        <w:tc>
          <w:tcPr>
            <w:tcW w:w="1206" w:type="dxa"/>
            <w:tcBorders>
              <w:top w:val="nil"/>
              <w:left w:val="nil"/>
              <w:bottom w:val="nil"/>
              <w:right w:val="nil"/>
            </w:tcBorders>
            <w:shd w:val="clear" w:color="000000" w:fill="FFFFFF"/>
          </w:tcPr>
          <w:p w14:paraId="372A3798" w14:textId="77777777" w:rsidR="006F3C05" w:rsidRPr="00510725" w:rsidRDefault="006F3C05" w:rsidP="006F3C05">
            <w:pPr>
              <w:spacing w:after="0" w:line="240" w:lineRule="auto"/>
              <w:jc w:val="center"/>
              <w:rPr>
                <w:rFonts w:ascii="Calibri" w:eastAsia="Times New Roman" w:hAnsi="Calibri" w:cs="Calibri"/>
                <w:color w:val="000000"/>
                <w:sz w:val="20"/>
                <w:szCs w:val="20"/>
                <w:lang w:eastAsia="en-GB"/>
              </w:rPr>
            </w:pPr>
          </w:p>
        </w:tc>
        <w:tc>
          <w:tcPr>
            <w:tcW w:w="712" w:type="dxa"/>
            <w:tcBorders>
              <w:top w:val="nil"/>
              <w:left w:val="nil"/>
              <w:bottom w:val="nil"/>
              <w:right w:val="nil"/>
            </w:tcBorders>
            <w:shd w:val="clear" w:color="000000" w:fill="FFFFFF"/>
          </w:tcPr>
          <w:p w14:paraId="69A3983A" w14:textId="77777777" w:rsidR="006F3C05" w:rsidRPr="00510725" w:rsidRDefault="006F3C05" w:rsidP="006F3C05">
            <w:pPr>
              <w:spacing w:after="0" w:line="240" w:lineRule="auto"/>
              <w:jc w:val="center"/>
              <w:rPr>
                <w:rFonts w:ascii="Calibri" w:eastAsia="Times New Roman" w:hAnsi="Calibri" w:cs="Calibri"/>
                <w:b/>
                <w:bCs/>
                <w:color w:val="000000"/>
                <w:sz w:val="20"/>
                <w:szCs w:val="20"/>
                <w:lang w:eastAsia="en-GB"/>
              </w:rPr>
            </w:pPr>
          </w:p>
        </w:tc>
        <w:tc>
          <w:tcPr>
            <w:tcW w:w="869" w:type="dxa"/>
            <w:tcBorders>
              <w:top w:val="nil"/>
              <w:left w:val="nil"/>
              <w:bottom w:val="nil"/>
              <w:right w:val="nil"/>
            </w:tcBorders>
            <w:shd w:val="clear" w:color="000000" w:fill="FFFFFF"/>
          </w:tcPr>
          <w:p w14:paraId="4413C7B4" w14:textId="77777777" w:rsidR="006F3C05" w:rsidRPr="00510725" w:rsidRDefault="006F3C05" w:rsidP="006F3C05">
            <w:pPr>
              <w:spacing w:after="0" w:line="240" w:lineRule="auto"/>
              <w:jc w:val="center"/>
              <w:rPr>
                <w:rFonts w:ascii="Calibri" w:eastAsia="Times New Roman" w:hAnsi="Calibri" w:cs="Calibri"/>
                <w:b/>
                <w:bCs/>
                <w:color w:val="000000"/>
                <w:sz w:val="20"/>
                <w:szCs w:val="20"/>
                <w:lang w:eastAsia="en-GB"/>
              </w:rPr>
            </w:pPr>
          </w:p>
        </w:tc>
        <w:tc>
          <w:tcPr>
            <w:tcW w:w="756" w:type="dxa"/>
            <w:tcBorders>
              <w:top w:val="nil"/>
              <w:left w:val="nil"/>
              <w:bottom w:val="nil"/>
              <w:right w:val="nil"/>
            </w:tcBorders>
            <w:shd w:val="clear" w:color="000000" w:fill="FFFFFF"/>
            <w:vAlign w:val="center"/>
            <w:hideMark/>
          </w:tcPr>
          <w:p w14:paraId="45E12E0A" w14:textId="77777777" w:rsidR="006F3C05" w:rsidRPr="00510725" w:rsidRDefault="006F3C05" w:rsidP="006F3C05">
            <w:pPr>
              <w:spacing w:after="0" w:line="240" w:lineRule="auto"/>
              <w:jc w:val="center"/>
              <w:rPr>
                <w:rFonts w:ascii="Calibri" w:eastAsia="Times New Roman" w:hAnsi="Calibri" w:cs="Calibri"/>
                <w:b/>
                <w:bCs/>
                <w:color w:val="000000"/>
                <w:sz w:val="20"/>
                <w:szCs w:val="20"/>
                <w:lang w:eastAsia="en-GB"/>
              </w:rPr>
            </w:pPr>
          </w:p>
        </w:tc>
        <w:tc>
          <w:tcPr>
            <w:tcW w:w="1116" w:type="dxa"/>
            <w:tcBorders>
              <w:top w:val="nil"/>
              <w:left w:val="nil"/>
              <w:bottom w:val="nil"/>
              <w:right w:val="nil"/>
            </w:tcBorders>
            <w:shd w:val="clear" w:color="000000" w:fill="FFFFFF"/>
            <w:vAlign w:val="center"/>
            <w:hideMark/>
          </w:tcPr>
          <w:p w14:paraId="6AB013D1" w14:textId="77777777" w:rsidR="006F3C05" w:rsidRPr="00510725" w:rsidRDefault="006F3C05" w:rsidP="006F3C05">
            <w:pPr>
              <w:spacing w:after="0" w:line="240" w:lineRule="auto"/>
              <w:jc w:val="center"/>
              <w:rPr>
                <w:rFonts w:ascii="Calibri" w:eastAsia="Times New Roman" w:hAnsi="Calibri" w:cs="Calibri"/>
                <w:b/>
                <w:bCs/>
                <w:color w:val="000000"/>
                <w:sz w:val="20"/>
                <w:szCs w:val="20"/>
                <w:lang w:eastAsia="en-GB"/>
              </w:rPr>
            </w:pPr>
          </w:p>
        </w:tc>
        <w:tc>
          <w:tcPr>
            <w:tcW w:w="1085" w:type="dxa"/>
            <w:tcBorders>
              <w:top w:val="nil"/>
              <w:left w:val="nil"/>
              <w:bottom w:val="nil"/>
              <w:right w:val="nil"/>
            </w:tcBorders>
            <w:shd w:val="clear" w:color="000000" w:fill="FFFFFF"/>
            <w:vAlign w:val="center"/>
            <w:hideMark/>
          </w:tcPr>
          <w:p w14:paraId="7FF51F20" w14:textId="77777777" w:rsidR="006F3C05" w:rsidRPr="00510725" w:rsidRDefault="006F3C05" w:rsidP="006F3C05">
            <w:pPr>
              <w:spacing w:after="0" w:line="240" w:lineRule="auto"/>
              <w:jc w:val="center"/>
              <w:rPr>
                <w:rFonts w:ascii="Calibri" w:eastAsia="Times New Roman" w:hAnsi="Calibri" w:cs="Calibri"/>
                <w:b/>
                <w:bCs/>
                <w:color w:val="000000"/>
                <w:sz w:val="20"/>
                <w:szCs w:val="20"/>
                <w:lang w:eastAsia="en-GB"/>
              </w:rPr>
            </w:pPr>
          </w:p>
        </w:tc>
        <w:tc>
          <w:tcPr>
            <w:tcW w:w="989" w:type="dxa"/>
            <w:tcBorders>
              <w:top w:val="nil"/>
              <w:left w:val="nil"/>
              <w:bottom w:val="nil"/>
              <w:right w:val="nil"/>
            </w:tcBorders>
            <w:shd w:val="clear" w:color="000000" w:fill="FFFFFF"/>
            <w:vAlign w:val="center"/>
            <w:hideMark/>
          </w:tcPr>
          <w:p w14:paraId="79B80588" w14:textId="77777777" w:rsidR="006F3C05" w:rsidRPr="00510725" w:rsidRDefault="006F3C05" w:rsidP="006F3C05">
            <w:pPr>
              <w:spacing w:after="0" w:line="240" w:lineRule="auto"/>
              <w:jc w:val="center"/>
              <w:rPr>
                <w:rFonts w:ascii="Calibri" w:eastAsia="Times New Roman" w:hAnsi="Calibri" w:cs="Calibri"/>
                <w:b/>
                <w:bCs/>
                <w:color w:val="000000"/>
                <w:sz w:val="20"/>
                <w:szCs w:val="20"/>
                <w:lang w:eastAsia="en-GB"/>
              </w:rPr>
            </w:pPr>
          </w:p>
        </w:tc>
      </w:tr>
      <w:tr w:rsidR="006F3C05" w:rsidRPr="00510725" w14:paraId="29B10493" w14:textId="77777777" w:rsidTr="006F3C05">
        <w:trPr>
          <w:trHeight w:val="213"/>
        </w:trPr>
        <w:tc>
          <w:tcPr>
            <w:tcW w:w="980" w:type="dxa"/>
            <w:tcBorders>
              <w:top w:val="nil"/>
              <w:left w:val="nil"/>
              <w:bottom w:val="nil"/>
              <w:right w:val="nil"/>
            </w:tcBorders>
            <w:shd w:val="clear" w:color="000000" w:fill="FFFFFF"/>
            <w:vAlign w:val="center"/>
            <w:hideMark/>
          </w:tcPr>
          <w:p w14:paraId="145E4AD5" w14:textId="77777777" w:rsidR="006F3C05" w:rsidRPr="00510725" w:rsidRDefault="006F3C05" w:rsidP="006F3C05">
            <w:pPr>
              <w:spacing w:after="0" w:line="240" w:lineRule="auto"/>
              <w:jc w:val="center"/>
              <w:rPr>
                <w:rFonts w:ascii="Calibri" w:eastAsia="Times New Roman" w:hAnsi="Calibri" w:cs="Calibri"/>
                <w:color w:val="000000"/>
                <w:sz w:val="20"/>
                <w:szCs w:val="20"/>
                <w:lang w:eastAsia="en-GB"/>
              </w:rPr>
            </w:pPr>
            <w:r w:rsidRPr="00510725">
              <w:rPr>
                <w:rFonts w:ascii="Calibri" w:eastAsia="Times New Roman" w:hAnsi="Calibri" w:cs="Calibri"/>
                <w:bCs/>
                <w:color w:val="000000"/>
                <w:sz w:val="20"/>
                <w:szCs w:val="20"/>
                <w:lang w:eastAsia="en-GB"/>
              </w:rPr>
              <w:t>RT</w:t>
            </w:r>
          </w:p>
        </w:tc>
        <w:tc>
          <w:tcPr>
            <w:tcW w:w="955" w:type="dxa"/>
            <w:tcBorders>
              <w:top w:val="nil"/>
              <w:left w:val="nil"/>
              <w:bottom w:val="nil"/>
              <w:right w:val="nil"/>
            </w:tcBorders>
            <w:shd w:val="clear" w:color="000000" w:fill="FFFFFF"/>
            <w:vAlign w:val="center"/>
          </w:tcPr>
          <w:p w14:paraId="0069965D" w14:textId="77777777" w:rsidR="006F3C05" w:rsidRPr="00510725" w:rsidRDefault="006F3C05" w:rsidP="006F3C05">
            <w:pPr>
              <w:spacing w:after="0" w:line="240" w:lineRule="auto"/>
              <w:jc w:val="center"/>
              <w:rPr>
                <w:rFonts w:ascii="Calibri" w:eastAsia="Times New Roman" w:hAnsi="Calibri" w:cs="Calibri"/>
                <w:color w:val="000000"/>
                <w:sz w:val="20"/>
                <w:szCs w:val="20"/>
                <w:lang w:eastAsia="en-GB"/>
              </w:rPr>
            </w:pPr>
            <w:r w:rsidRPr="00510725">
              <w:rPr>
                <w:rFonts w:ascii="Calibri" w:eastAsia="Times New Roman" w:hAnsi="Calibri" w:cs="Calibri"/>
                <w:color w:val="000000"/>
                <w:sz w:val="20"/>
                <w:szCs w:val="20"/>
                <w:lang w:eastAsia="en-GB"/>
              </w:rPr>
              <w:t>125</w:t>
            </w:r>
          </w:p>
        </w:tc>
        <w:tc>
          <w:tcPr>
            <w:tcW w:w="1206" w:type="dxa"/>
            <w:tcBorders>
              <w:top w:val="nil"/>
              <w:left w:val="nil"/>
              <w:bottom w:val="nil"/>
              <w:right w:val="nil"/>
            </w:tcBorders>
            <w:shd w:val="clear" w:color="000000" w:fill="FFFFFF"/>
            <w:vAlign w:val="center"/>
          </w:tcPr>
          <w:p w14:paraId="6DBA1E1D" w14:textId="77777777" w:rsidR="006F3C05" w:rsidRPr="00510725" w:rsidRDefault="006F3C05" w:rsidP="006F3C05">
            <w:pPr>
              <w:spacing w:after="0" w:line="240" w:lineRule="auto"/>
              <w:jc w:val="center"/>
              <w:rPr>
                <w:rFonts w:ascii="Calibri" w:eastAsia="Times New Roman" w:hAnsi="Calibri" w:cs="Calibri"/>
                <w:color w:val="000000"/>
                <w:sz w:val="20"/>
                <w:szCs w:val="20"/>
                <w:lang w:eastAsia="en-GB"/>
              </w:rPr>
            </w:pPr>
            <w:r w:rsidRPr="00510725">
              <w:rPr>
                <w:rFonts w:ascii="Calibri" w:eastAsia="Times New Roman" w:hAnsi="Calibri" w:cs="Calibri"/>
                <w:bCs/>
                <w:color w:val="000000"/>
                <w:sz w:val="20"/>
                <w:szCs w:val="20"/>
                <w:lang w:eastAsia="en-GB"/>
              </w:rPr>
              <w:t>cg01379158</w:t>
            </w:r>
          </w:p>
        </w:tc>
        <w:tc>
          <w:tcPr>
            <w:tcW w:w="712" w:type="dxa"/>
            <w:tcBorders>
              <w:top w:val="nil"/>
              <w:left w:val="nil"/>
              <w:bottom w:val="nil"/>
              <w:right w:val="nil"/>
            </w:tcBorders>
            <w:shd w:val="clear" w:color="000000" w:fill="FFFFFF"/>
          </w:tcPr>
          <w:p w14:paraId="18221E73" w14:textId="77777777" w:rsidR="006F3C05" w:rsidRPr="00510725" w:rsidRDefault="006F3C05" w:rsidP="006F3C05">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12</w:t>
            </w:r>
          </w:p>
        </w:tc>
        <w:tc>
          <w:tcPr>
            <w:tcW w:w="869" w:type="dxa"/>
            <w:tcBorders>
              <w:top w:val="nil"/>
              <w:left w:val="nil"/>
              <w:bottom w:val="nil"/>
              <w:right w:val="nil"/>
            </w:tcBorders>
            <w:shd w:val="clear" w:color="000000" w:fill="FFFFFF"/>
            <w:vAlign w:val="center"/>
          </w:tcPr>
          <w:p w14:paraId="6FF6D074" w14:textId="77777777" w:rsidR="006F3C05" w:rsidRPr="00510725" w:rsidRDefault="006F3C05" w:rsidP="006F3C05">
            <w:pPr>
              <w:spacing w:after="0" w:line="240" w:lineRule="auto"/>
              <w:jc w:val="center"/>
              <w:rPr>
                <w:rFonts w:ascii="Calibri" w:eastAsia="Times New Roman" w:hAnsi="Calibri" w:cs="Calibri"/>
                <w:color w:val="000000"/>
                <w:sz w:val="20"/>
                <w:szCs w:val="20"/>
                <w:lang w:eastAsia="en-GB"/>
              </w:rPr>
            </w:pPr>
            <w:r w:rsidRPr="00B57B39">
              <w:rPr>
                <w:i/>
                <w:sz w:val="20"/>
                <w:szCs w:val="20"/>
              </w:rPr>
              <w:t>NT5M</w:t>
            </w:r>
          </w:p>
        </w:tc>
        <w:tc>
          <w:tcPr>
            <w:tcW w:w="756" w:type="dxa"/>
            <w:tcBorders>
              <w:top w:val="nil"/>
              <w:left w:val="nil"/>
              <w:bottom w:val="nil"/>
              <w:right w:val="nil"/>
            </w:tcBorders>
            <w:shd w:val="clear" w:color="000000" w:fill="FFFFFF"/>
            <w:vAlign w:val="center"/>
            <w:hideMark/>
          </w:tcPr>
          <w:p w14:paraId="6AA7F88F" w14:textId="77777777" w:rsidR="006F3C05" w:rsidRPr="00510725" w:rsidRDefault="006F3C05" w:rsidP="006F3C05">
            <w:pPr>
              <w:spacing w:after="0" w:line="240" w:lineRule="auto"/>
              <w:jc w:val="center"/>
              <w:rPr>
                <w:rFonts w:ascii="Calibri" w:eastAsia="Times New Roman" w:hAnsi="Calibri" w:cs="Calibri"/>
                <w:color w:val="000000"/>
                <w:sz w:val="20"/>
                <w:szCs w:val="20"/>
                <w:lang w:eastAsia="en-GB"/>
              </w:rPr>
            </w:pPr>
            <w:r w:rsidRPr="00510725">
              <w:rPr>
                <w:rFonts w:ascii="Calibri" w:eastAsia="Times New Roman" w:hAnsi="Calibri" w:cs="Calibri"/>
                <w:color w:val="000000"/>
                <w:sz w:val="20"/>
                <w:szCs w:val="20"/>
                <w:lang w:eastAsia="en-GB"/>
              </w:rPr>
              <w:t>SVA</w:t>
            </w:r>
          </w:p>
        </w:tc>
        <w:tc>
          <w:tcPr>
            <w:tcW w:w="1116" w:type="dxa"/>
            <w:tcBorders>
              <w:top w:val="nil"/>
              <w:left w:val="nil"/>
              <w:bottom w:val="nil"/>
              <w:right w:val="nil"/>
            </w:tcBorders>
            <w:shd w:val="clear" w:color="auto" w:fill="auto"/>
            <w:noWrap/>
            <w:vAlign w:val="bottom"/>
            <w:hideMark/>
          </w:tcPr>
          <w:p w14:paraId="48F7810E" w14:textId="77777777" w:rsidR="006F3C05" w:rsidRPr="00510725" w:rsidRDefault="006F3C05" w:rsidP="006F3C05">
            <w:pPr>
              <w:spacing w:after="0" w:line="240" w:lineRule="auto"/>
              <w:jc w:val="center"/>
              <w:rPr>
                <w:rFonts w:ascii="Calibri" w:eastAsia="Times New Roman" w:hAnsi="Calibri" w:cs="Calibri"/>
                <w:color w:val="000000"/>
                <w:sz w:val="20"/>
                <w:szCs w:val="20"/>
                <w:lang w:eastAsia="en-GB"/>
              </w:rPr>
            </w:pPr>
            <w:r w:rsidRPr="00510725">
              <w:rPr>
                <w:rFonts w:ascii="Calibri" w:eastAsia="Times New Roman" w:hAnsi="Calibri" w:cs="Calibri"/>
                <w:color w:val="000000"/>
                <w:sz w:val="20"/>
                <w:szCs w:val="20"/>
                <w:lang w:eastAsia="en-GB"/>
              </w:rPr>
              <w:t>0.0065</w:t>
            </w:r>
          </w:p>
        </w:tc>
        <w:tc>
          <w:tcPr>
            <w:tcW w:w="1085" w:type="dxa"/>
            <w:tcBorders>
              <w:top w:val="nil"/>
              <w:left w:val="nil"/>
              <w:bottom w:val="nil"/>
              <w:right w:val="nil"/>
            </w:tcBorders>
            <w:shd w:val="clear" w:color="auto" w:fill="auto"/>
            <w:noWrap/>
            <w:vAlign w:val="bottom"/>
            <w:hideMark/>
          </w:tcPr>
          <w:p w14:paraId="5A1EE0A2" w14:textId="77777777" w:rsidR="006F3C05" w:rsidRPr="00510725" w:rsidRDefault="006F3C05" w:rsidP="006F3C05">
            <w:pPr>
              <w:spacing w:after="0" w:line="240" w:lineRule="auto"/>
              <w:jc w:val="center"/>
              <w:rPr>
                <w:rFonts w:ascii="Calibri" w:eastAsia="Times New Roman" w:hAnsi="Calibri" w:cs="Calibri"/>
                <w:color w:val="000000"/>
                <w:sz w:val="20"/>
                <w:szCs w:val="20"/>
                <w:lang w:eastAsia="en-GB"/>
              </w:rPr>
            </w:pPr>
            <w:r w:rsidRPr="00510725">
              <w:rPr>
                <w:rFonts w:ascii="Calibri" w:eastAsia="Times New Roman" w:hAnsi="Calibri" w:cs="Calibri"/>
                <w:color w:val="000000"/>
                <w:sz w:val="20"/>
                <w:szCs w:val="20"/>
                <w:lang w:eastAsia="en-GB"/>
              </w:rPr>
              <w:t>0.0025</w:t>
            </w:r>
          </w:p>
        </w:tc>
        <w:tc>
          <w:tcPr>
            <w:tcW w:w="989" w:type="dxa"/>
            <w:tcBorders>
              <w:top w:val="nil"/>
              <w:left w:val="nil"/>
              <w:bottom w:val="nil"/>
              <w:right w:val="nil"/>
            </w:tcBorders>
            <w:shd w:val="clear" w:color="auto" w:fill="auto"/>
            <w:noWrap/>
            <w:vAlign w:val="bottom"/>
            <w:hideMark/>
          </w:tcPr>
          <w:p w14:paraId="6D9C8BED" w14:textId="77777777" w:rsidR="006F3C05" w:rsidRPr="00510725" w:rsidRDefault="006F3C05" w:rsidP="006F3C05">
            <w:pPr>
              <w:spacing w:after="0" w:line="240" w:lineRule="auto"/>
              <w:jc w:val="center"/>
              <w:rPr>
                <w:rFonts w:ascii="Calibri" w:eastAsia="Times New Roman" w:hAnsi="Calibri" w:cs="Calibri"/>
                <w:b/>
                <w:color w:val="000000"/>
                <w:sz w:val="20"/>
                <w:szCs w:val="20"/>
                <w:lang w:eastAsia="en-GB"/>
              </w:rPr>
            </w:pPr>
            <w:r w:rsidRPr="00510725">
              <w:rPr>
                <w:rFonts w:ascii="Calibri" w:eastAsia="Times New Roman" w:hAnsi="Calibri" w:cs="Calibri"/>
                <w:b/>
                <w:color w:val="000000"/>
                <w:sz w:val="20"/>
                <w:szCs w:val="20"/>
                <w:lang w:eastAsia="en-GB"/>
              </w:rPr>
              <w:t>0.0107</w:t>
            </w:r>
          </w:p>
        </w:tc>
      </w:tr>
      <w:tr w:rsidR="006F3C05" w:rsidRPr="00510725" w14:paraId="1780A587" w14:textId="77777777" w:rsidTr="006F3C05">
        <w:trPr>
          <w:trHeight w:val="213"/>
        </w:trPr>
        <w:tc>
          <w:tcPr>
            <w:tcW w:w="980" w:type="dxa"/>
            <w:tcBorders>
              <w:top w:val="nil"/>
              <w:left w:val="nil"/>
              <w:bottom w:val="single" w:sz="4" w:space="0" w:color="auto"/>
              <w:right w:val="nil"/>
            </w:tcBorders>
            <w:shd w:val="clear" w:color="000000" w:fill="FFFFFF"/>
            <w:vAlign w:val="center"/>
            <w:hideMark/>
          </w:tcPr>
          <w:p w14:paraId="07095073" w14:textId="77777777" w:rsidR="006F3C05" w:rsidRPr="00510725" w:rsidRDefault="006F3C05" w:rsidP="006F3C05">
            <w:pPr>
              <w:spacing w:after="0" w:line="240" w:lineRule="auto"/>
              <w:jc w:val="center"/>
              <w:rPr>
                <w:rFonts w:ascii="Calibri" w:eastAsia="Times New Roman" w:hAnsi="Calibri" w:cs="Calibri"/>
                <w:color w:val="000000"/>
                <w:sz w:val="20"/>
                <w:szCs w:val="20"/>
                <w:lang w:eastAsia="en-GB"/>
              </w:rPr>
            </w:pPr>
            <w:r w:rsidRPr="00510725">
              <w:rPr>
                <w:rFonts w:ascii="Calibri" w:eastAsia="Times New Roman" w:hAnsi="Calibri" w:cs="Calibri"/>
                <w:bCs/>
                <w:color w:val="000000"/>
                <w:sz w:val="20"/>
                <w:szCs w:val="20"/>
                <w:lang w:eastAsia="en-GB"/>
              </w:rPr>
              <w:t>RT</w:t>
            </w:r>
          </w:p>
        </w:tc>
        <w:tc>
          <w:tcPr>
            <w:tcW w:w="955" w:type="dxa"/>
            <w:tcBorders>
              <w:top w:val="nil"/>
              <w:left w:val="nil"/>
              <w:bottom w:val="single" w:sz="4" w:space="0" w:color="auto"/>
              <w:right w:val="nil"/>
            </w:tcBorders>
            <w:shd w:val="clear" w:color="000000" w:fill="FFFFFF"/>
            <w:vAlign w:val="center"/>
          </w:tcPr>
          <w:p w14:paraId="0B60057A" w14:textId="77777777" w:rsidR="006F3C05" w:rsidRPr="00510725" w:rsidRDefault="006F3C05" w:rsidP="006F3C05">
            <w:pPr>
              <w:spacing w:after="0" w:line="240" w:lineRule="auto"/>
              <w:jc w:val="center"/>
              <w:rPr>
                <w:rFonts w:ascii="Calibri" w:eastAsia="Times New Roman" w:hAnsi="Calibri" w:cs="Calibri"/>
                <w:color w:val="000000"/>
                <w:sz w:val="20"/>
                <w:szCs w:val="20"/>
                <w:lang w:eastAsia="en-GB"/>
              </w:rPr>
            </w:pPr>
            <w:r w:rsidRPr="00510725">
              <w:rPr>
                <w:rFonts w:ascii="Calibri" w:eastAsia="Times New Roman" w:hAnsi="Calibri" w:cs="Calibri"/>
                <w:color w:val="000000"/>
                <w:sz w:val="20"/>
                <w:szCs w:val="20"/>
                <w:lang w:eastAsia="en-GB"/>
              </w:rPr>
              <w:t>125</w:t>
            </w:r>
          </w:p>
        </w:tc>
        <w:tc>
          <w:tcPr>
            <w:tcW w:w="1206" w:type="dxa"/>
            <w:tcBorders>
              <w:top w:val="nil"/>
              <w:left w:val="nil"/>
              <w:bottom w:val="single" w:sz="4" w:space="0" w:color="auto"/>
              <w:right w:val="nil"/>
            </w:tcBorders>
            <w:shd w:val="clear" w:color="000000" w:fill="FFFFFF"/>
            <w:vAlign w:val="center"/>
          </w:tcPr>
          <w:p w14:paraId="7DBEC78C" w14:textId="77777777" w:rsidR="006F3C05" w:rsidRPr="00510725" w:rsidRDefault="006F3C05" w:rsidP="006F3C05">
            <w:pPr>
              <w:spacing w:after="0" w:line="240" w:lineRule="auto"/>
              <w:jc w:val="center"/>
              <w:rPr>
                <w:rFonts w:ascii="Calibri" w:eastAsia="Times New Roman" w:hAnsi="Calibri" w:cs="Calibri"/>
                <w:color w:val="000000"/>
                <w:sz w:val="20"/>
                <w:szCs w:val="20"/>
                <w:lang w:eastAsia="en-GB"/>
              </w:rPr>
            </w:pPr>
            <w:r w:rsidRPr="00510725">
              <w:rPr>
                <w:rFonts w:ascii="Calibri" w:eastAsia="Times New Roman" w:hAnsi="Calibri" w:cs="Calibri"/>
                <w:bCs/>
                <w:color w:val="000000"/>
                <w:sz w:val="20"/>
                <w:szCs w:val="20"/>
                <w:lang w:eastAsia="en-GB"/>
              </w:rPr>
              <w:t>cg11531579</w:t>
            </w:r>
          </w:p>
        </w:tc>
        <w:tc>
          <w:tcPr>
            <w:tcW w:w="712" w:type="dxa"/>
            <w:tcBorders>
              <w:top w:val="nil"/>
              <w:left w:val="nil"/>
              <w:bottom w:val="single" w:sz="4" w:space="0" w:color="auto"/>
              <w:right w:val="nil"/>
            </w:tcBorders>
            <w:shd w:val="clear" w:color="000000" w:fill="FFFFFF"/>
          </w:tcPr>
          <w:p w14:paraId="1AFA48D6" w14:textId="77777777" w:rsidR="006F3C05" w:rsidRPr="00510725" w:rsidRDefault="006F3C05" w:rsidP="006F3C05">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12</w:t>
            </w:r>
          </w:p>
        </w:tc>
        <w:tc>
          <w:tcPr>
            <w:tcW w:w="869" w:type="dxa"/>
            <w:tcBorders>
              <w:top w:val="nil"/>
              <w:left w:val="nil"/>
              <w:bottom w:val="single" w:sz="4" w:space="0" w:color="auto"/>
              <w:right w:val="nil"/>
            </w:tcBorders>
            <w:shd w:val="clear" w:color="000000" w:fill="FFFFFF"/>
            <w:vAlign w:val="center"/>
          </w:tcPr>
          <w:p w14:paraId="0EC900B4" w14:textId="77777777" w:rsidR="006F3C05" w:rsidRPr="00510725" w:rsidRDefault="006F3C05" w:rsidP="006F3C05">
            <w:pPr>
              <w:spacing w:after="0" w:line="240" w:lineRule="auto"/>
              <w:jc w:val="center"/>
              <w:rPr>
                <w:rFonts w:ascii="Calibri" w:eastAsia="Times New Roman" w:hAnsi="Calibri" w:cs="Calibri"/>
                <w:color w:val="000000"/>
                <w:sz w:val="20"/>
                <w:szCs w:val="20"/>
                <w:lang w:eastAsia="en-GB"/>
              </w:rPr>
            </w:pPr>
            <w:r w:rsidRPr="00B57B39">
              <w:rPr>
                <w:i/>
                <w:sz w:val="20"/>
                <w:szCs w:val="20"/>
              </w:rPr>
              <w:t>CHFR</w:t>
            </w:r>
          </w:p>
        </w:tc>
        <w:tc>
          <w:tcPr>
            <w:tcW w:w="756" w:type="dxa"/>
            <w:tcBorders>
              <w:top w:val="nil"/>
              <w:left w:val="nil"/>
              <w:bottom w:val="single" w:sz="4" w:space="0" w:color="auto"/>
              <w:right w:val="nil"/>
            </w:tcBorders>
            <w:shd w:val="clear" w:color="000000" w:fill="FFFFFF"/>
            <w:vAlign w:val="center"/>
            <w:hideMark/>
          </w:tcPr>
          <w:p w14:paraId="502CAD64" w14:textId="77777777" w:rsidR="006F3C05" w:rsidRPr="00510725" w:rsidRDefault="006F3C05" w:rsidP="006F3C05">
            <w:pPr>
              <w:spacing w:after="0" w:line="240" w:lineRule="auto"/>
              <w:jc w:val="center"/>
              <w:rPr>
                <w:rFonts w:ascii="Calibri" w:eastAsia="Times New Roman" w:hAnsi="Calibri" w:cs="Calibri"/>
                <w:color w:val="000000"/>
                <w:sz w:val="20"/>
                <w:szCs w:val="20"/>
                <w:lang w:eastAsia="en-GB"/>
              </w:rPr>
            </w:pPr>
            <w:r w:rsidRPr="00510725">
              <w:rPr>
                <w:rFonts w:ascii="Calibri" w:eastAsia="Times New Roman" w:hAnsi="Calibri" w:cs="Calibri"/>
                <w:color w:val="000000"/>
                <w:sz w:val="20"/>
                <w:szCs w:val="20"/>
                <w:lang w:eastAsia="en-GB"/>
              </w:rPr>
              <w:t>SVA</w:t>
            </w:r>
          </w:p>
        </w:tc>
        <w:tc>
          <w:tcPr>
            <w:tcW w:w="1116" w:type="dxa"/>
            <w:tcBorders>
              <w:top w:val="nil"/>
              <w:left w:val="nil"/>
              <w:bottom w:val="single" w:sz="4" w:space="0" w:color="auto"/>
              <w:right w:val="nil"/>
            </w:tcBorders>
            <w:shd w:val="clear" w:color="auto" w:fill="auto"/>
            <w:noWrap/>
            <w:vAlign w:val="bottom"/>
            <w:hideMark/>
          </w:tcPr>
          <w:p w14:paraId="5D04B16A" w14:textId="77777777" w:rsidR="006F3C05" w:rsidRPr="00510725" w:rsidRDefault="006F3C05" w:rsidP="006F3C05">
            <w:pPr>
              <w:spacing w:after="0" w:line="240" w:lineRule="auto"/>
              <w:jc w:val="center"/>
              <w:rPr>
                <w:rFonts w:ascii="Calibri" w:eastAsia="Times New Roman" w:hAnsi="Calibri" w:cs="Calibri"/>
                <w:color w:val="000000"/>
                <w:sz w:val="20"/>
                <w:szCs w:val="20"/>
                <w:lang w:eastAsia="en-GB"/>
              </w:rPr>
            </w:pPr>
            <w:r w:rsidRPr="00510725">
              <w:rPr>
                <w:rFonts w:ascii="Calibri" w:eastAsia="Times New Roman" w:hAnsi="Calibri" w:cs="Calibri"/>
                <w:color w:val="000000"/>
                <w:sz w:val="20"/>
                <w:szCs w:val="20"/>
                <w:lang w:eastAsia="en-GB"/>
              </w:rPr>
              <w:t>0.0056</w:t>
            </w:r>
          </w:p>
        </w:tc>
        <w:tc>
          <w:tcPr>
            <w:tcW w:w="1085" w:type="dxa"/>
            <w:tcBorders>
              <w:top w:val="nil"/>
              <w:left w:val="nil"/>
              <w:bottom w:val="single" w:sz="4" w:space="0" w:color="auto"/>
              <w:right w:val="nil"/>
            </w:tcBorders>
            <w:shd w:val="clear" w:color="auto" w:fill="auto"/>
            <w:noWrap/>
            <w:vAlign w:val="bottom"/>
            <w:hideMark/>
          </w:tcPr>
          <w:p w14:paraId="1817126A" w14:textId="77777777" w:rsidR="006F3C05" w:rsidRPr="00510725" w:rsidRDefault="006F3C05" w:rsidP="006F3C05">
            <w:pPr>
              <w:spacing w:after="0" w:line="240" w:lineRule="auto"/>
              <w:jc w:val="center"/>
              <w:rPr>
                <w:rFonts w:ascii="Calibri" w:eastAsia="Times New Roman" w:hAnsi="Calibri" w:cs="Calibri"/>
                <w:color w:val="000000"/>
                <w:sz w:val="20"/>
                <w:szCs w:val="20"/>
                <w:lang w:eastAsia="en-GB"/>
              </w:rPr>
            </w:pPr>
            <w:r w:rsidRPr="00510725">
              <w:rPr>
                <w:rFonts w:ascii="Calibri" w:eastAsia="Times New Roman" w:hAnsi="Calibri" w:cs="Calibri"/>
                <w:color w:val="000000"/>
                <w:sz w:val="20"/>
                <w:szCs w:val="20"/>
                <w:lang w:eastAsia="en-GB"/>
              </w:rPr>
              <w:t>0.0028</w:t>
            </w:r>
          </w:p>
        </w:tc>
        <w:tc>
          <w:tcPr>
            <w:tcW w:w="989" w:type="dxa"/>
            <w:tcBorders>
              <w:top w:val="nil"/>
              <w:left w:val="nil"/>
              <w:bottom w:val="single" w:sz="4" w:space="0" w:color="auto"/>
              <w:right w:val="nil"/>
            </w:tcBorders>
            <w:shd w:val="clear" w:color="auto" w:fill="auto"/>
            <w:noWrap/>
            <w:vAlign w:val="bottom"/>
            <w:hideMark/>
          </w:tcPr>
          <w:p w14:paraId="482A3D5B" w14:textId="77777777" w:rsidR="006F3C05" w:rsidRPr="00510725" w:rsidRDefault="006F3C05" w:rsidP="006F3C05">
            <w:pPr>
              <w:spacing w:after="0" w:line="240" w:lineRule="auto"/>
              <w:jc w:val="center"/>
              <w:rPr>
                <w:rFonts w:ascii="Calibri" w:eastAsia="Times New Roman" w:hAnsi="Calibri" w:cs="Calibri"/>
                <w:b/>
                <w:color w:val="000000"/>
                <w:sz w:val="20"/>
                <w:szCs w:val="20"/>
                <w:lang w:eastAsia="en-GB"/>
              </w:rPr>
            </w:pPr>
            <w:r w:rsidRPr="00510725">
              <w:rPr>
                <w:rFonts w:ascii="Calibri" w:eastAsia="Times New Roman" w:hAnsi="Calibri" w:cs="Calibri"/>
                <w:b/>
                <w:color w:val="000000"/>
                <w:sz w:val="20"/>
                <w:szCs w:val="20"/>
                <w:lang w:eastAsia="en-GB"/>
              </w:rPr>
              <w:t>0.0493</w:t>
            </w:r>
          </w:p>
        </w:tc>
      </w:tr>
    </w:tbl>
    <w:p w14:paraId="3D5ADAE0" w14:textId="77777777" w:rsidR="006F3C05" w:rsidRPr="00186838" w:rsidRDefault="006F3C05" w:rsidP="006F3C05">
      <w:pPr>
        <w:pStyle w:val="Caption"/>
        <w:rPr>
          <w:b w:val="0"/>
          <w:sz w:val="22"/>
        </w:rPr>
      </w:pPr>
      <w:r w:rsidRPr="00186838">
        <w:rPr>
          <w:b w:val="0"/>
          <w:sz w:val="22"/>
        </w:rPr>
        <w:t xml:space="preserve">Models are adjusted for age, sex, and surrogate variables, both with </w:t>
      </w:r>
      <w:proofErr w:type="gramStart"/>
      <w:r w:rsidRPr="00186838">
        <w:rPr>
          <w:b w:val="0"/>
          <w:sz w:val="22"/>
        </w:rPr>
        <w:t>or</w:t>
      </w:r>
      <w:proofErr w:type="gramEnd"/>
      <w:r w:rsidRPr="00186838">
        <w:rPr>
          <w:b w:val="0"/>
          <w:sz w:val="22"/>
        </w:rPr>
        <w:t xml:space="preserve"> without adjustment for cell counts. Estimates represent beta coefficients. n, sample size; SE, standard error; SVA, surrogate variable analysis.</w:t>
      </w:r>
    </w:p>
    <w:p w14:paraId="618B8B01" w14:textId="77777777" w:rsidR="006F3C05" w:rsidRDefault="006F3C05" w:rsidP="006F3C05"/>
    <w:p w14:paraId="41609814" w14:textId="77777777" w:rsidR="006F3C05" w:rsidRDefault="006F3C05" w:rsidP="006F3C05">
      <w:pPr>
        <w:spacing w:after="160" w:line="259" w:lineRule="auto"/>
        <w:rPr>
          <w:b/>
          <w:bCs/>
        </w:rPr>
      </w:pPr>
      <w:bookmarkStart w:id="19" w:name="_Ref534966"/>
      <w:bookmarkStart w:id="20" w:name="_Ref27489378"/>
      <w:bookmarkStart w:id="21" w:name="_Toc19795503"/>
      <w:bookmarkStart w:id="22" w:name="_Toc20411958"/>
      <w:r>
        <w:rPr>
          <w:b/>
          <w:bCs/>
        </w:rPr>
        <w:br w:type="page"/>
      </w:r>
    </w:p>
    <w:p w14:paraId="31B714A1" w14:textId="77777777" w:rsidR="006F3C05" w:rsidRPr="00E04BFB" w:rsidRDefault="006F3C05" w:rsidP="006F3C05">
      <w:pPr>
        <w:pStyle w:val="Caption"/>
        <w:rPr>
          <w:i/>
        </w:rPr>
      </w:pPr>
      <w:r w:rsidRPr="00E04BFB">
        <w:lastRenderedPageBreak/>
        <w:t xml:space="preserve">Table </w:t>
      </w:r>
      <w:bookmarkEnd w:id="19"/>
      <w:bookmarkEnd w:id="20"/>
      <w:r>
        <w:rPr>
          <w:noProof/>
        </w:rPr>
        <w:t>3</w:t>
      </w:r>
      <w:r w:rsidRPr="00E04BFB">
        <w:t xml:space="preserve"> </w:t>
      </w:r>
      <w:r>
        <w:t xml:space="preserve">Summary statistics of </w:t>
      </w:r>
      <w:r w:rsidRPr="00E04BFB">
        <w:t>CpG methylation</w:t>
      </w:r>
      <w:r>
        <w:t xml:space="preserve"> (age 7) at the identified differentially methylated loci</w:t>
      </w:r>
      <w:r w:rsidRPr="00E04BFB">
        <w:t xml:space="preserve"> (age 7) by phenotype</w:t>
      </w:r>
      <w:r>
        <w:t xml:space="preserve"> (healthy weight not healthy weight) </w:t>
      </w:r>
      <w:r w:rsidRPr="00E04BFB">
        <w:t>at ages 7 and 17</w:t>
      </w:r>
      <w:bookmarkEnd w:id="21"/>
      <w:bookmarkEnd w:id="22"/>
    </w:p>
    <w:tbl>
      <w:tblPr>
        <w:tblW w:w="5835" w:type="pct"/>
        <w:tblInd w:w="-426" w:type="dxa"/>
        <w:tblLook w:val="04A0" w:firstRow="1" w:lastRow="0" w:firstColumn="1" w:lastColumn="0" w:noHBand="0" w:noVBand="1"/>
      </w:tblPr>
      <w:tblGrid>
        <w:gridCol w:w="699"/>
        <w:gridCol w:w="846"/>
        <w:gridCol w:w="768"/>
        <w:gridCol w:w="783"/>
        <w:gridCol w:w="667"/>
        <w:gridCol w:w="834"/>
        <w:gridCol w:w="668"/>
        <w:gridCol w:w="676"/>
        <w:gridCol w:w="259"/>
        <w:gridCol w:w="845"/>
        <w:gridCol w:w="641"/>
        <w:gridCol w:w="668"/>
        <w:gridCol w:w="837"/>
        <w:gridCol w:w="668"/>
        <w:gridCol w:w="674"/>
      </w:tblGrid>
      <w:tr w:rsidR="006F3C05" w:rsidRPr="00C07F2E" w14:paraId="03C62EC9" w14:textId="77777777" w:rsidTr="006F3C05">
        <w:trPr>
          <w:trHeight w:val="160"/>
        </w:trPr>
        <w:tc>
          <w:tcPr>
            <w:tcW w:w="334" w:type="pct"/>
            <w:tcBorders>
              <w:top w:val="single" w:sz="4" w:space="0" w:color="auto"/>
              <w:left w:val="nil"/>
              <w:bottom w:val="nil"/>
              <w:right w:val="nil"/>
            </w:tcBorders>
            <w:shd w:val="clear" w:color="auto" w:fill="auto"/>
            <w:noWrap/>
            <w:vAlign w:val="bottom"/>
            <w:hideMark/>
          </w:tcPr>
          <w:p w14:paraId="579F2467" w14:textId="77777777" w:rsidR="006F3C05" w:rsidRPr="00C07F2E" w:rsidRDefault="006F3C05" w:rsidP="006F3C05">
            <w:pPr>
              <w:pStyle w:val="NoSpacing"/>
              <w:rPr>
                <w:rFonts w:eastAsia="Times New Roman"/>
                <w:sz w:val="18"/>
                <w:lang w:eastAsia="en-GB"/>
              </w:rPr>
            </w:pPr>
            <w:r w:rsidRPr="00C07F2E">
              <w:rPr>
                <w:rFonts w:eastAsia="Times New Roman"/>
                <w:sz w:val="18"/>
                <w:lang w:eastAsia="en-GB"/>
              </w:rPr>
              <w:t> </w:t>
            </w:r>
          </w:p>
        </w:tc>
        <w:tc>
          <w:tcPr>
            <w:tcW w:w="404" w:type="pct"/>
            <w:tcBorders>
              <w:top w:val="single" w:sz="4" w:space="0" w:color="auto"/>
              <w:left w:val="nil"/>
              <w:bottom w:val="nil"/>
              <w:right w:val="nil"/>
            </w:tcBorders>
            <w:shd w:val="clear" w:color="auto" w:fill="auto"/>
            <w:vAlign w:val="center"/>
            <w:hideMark/>
          </w:tcPr>
          <w:p w14:paraId="0F445AF0"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 </w:t>
            </w:r>
          </w:p>
        </w:tc>
        <w:tc>
          <w:tcPr>
            <w:tcW w:w="367" w:type="pct"/>
            <w:tcBorders>
              <w:top w:val="single" w:sz="4" w:space="0" w:color="auto"/>
              <w:left w:val="nil"/>
              <w:bottom w:val="nil"/>
              <w:right w:val="nil"/>
            </w:tcBorders>
            <w:shd w:val="clear" w:color="auto" w:fill="auto"/>
            <w:vAlign w:val="center"/>
            <w:hideMark/>
          </w:tcPr>
          <w:p w14:paraId="4C6162A8"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N</w:t>
            </w:r>
          </w:p>
        </w:tc>
        <w:tc>
          <w:tcPr>
            <w:tcW w:w="374" w:type="pct"/>
            <w:tcBorders>
              <w:top w:val="single" w:sz="4" w:space="0" w:color="auto"/>
              <w:left w:val="nil"/>
              <w:bottom w:val="nil"/>
              <w:right w:val="nil"/>
            </w:tcBorders>
            <w:shd w:val="clear" w:color="auto" w:fill="auto"/>
            <w:vAlign w:val="center"/>
            <w:hideMark/>
          </w:tcPr>
          <w:p w14:paraId="4F12AD15"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Mean</w:t>
            </w:r>
          </w:p>
        </w:tc>
        <w:tc>
          <w:tcPr>
            <w:tcW w:w="319" w:type="pct"/>
            <w:tcBorders>
              <w:top w:val="single" w:sz="4" w:space="0" w:color="auto"/>
              <w:left w:val="nil"/>
              <w:bottom w:val="nil"/>
              <w:right w:val="nil"/>
            </w:tcBorders>
            <w:shd w:val="clear" w:color="auto" w:fill="auto"/>
            <w:vAlign w:val="center"/>
            <w:hideMark/>
          </w:tcPr>
          <w:p w14:paraId="1A86E79B"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SD</w:t>
            </w:r>
          </w:p>
        </w:tc>
        <w:tc>
          <w:tcPr>
            <w:tcW w:w="398" w:type="pct"/>
            <w:tcBorders>
              <w:top w:val="single" w:sz="4" w:space="0" w:color="auto"/>
              <w:left w:val="nil"/>
              <w:bottom w:val="nil"/>
              <w:right w:val="nil"/>
            </w:tcBorders>
            <w:shd w:val="clear" w:color="auto" w:fill="auto"/>
            <w:vAlign w:val="center"/>
            <w:hideMark/>
          </w:tcPr>
          <w:p w14:paraId="446FEB24"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Median</w:t>
            </w:r>
          </w:p>
        </w:tc>
        <w:tc>
          <w:tcPr>
            <w:tcW w:w="319" w:type="pct"/>
            <w:tcBorders>
              <w:top w:val="single" w:sz="4" w:space="0" w:color="auto"/>
              <w:left w:val="nil"/>
              <w:bottom w:val="nil"/>
              <w:right w:val="nil"/>
            </w:tcBorders>
            <w:shd w:val="clear" w:color="auto" w:fill="auto"/>
            <w:vAlign w:val="center"/>
            <w:hideMark/>
          </w:tcPr>
          <w:p w14:paraId="149CA902"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Min</w:t>
            </w:r>
          </w:p>
        </w:tc>
        <w:tc>
          <w:tcPr>
            <w:tcW w:w="322" w:type="pct"/>
            <w:tcBorders>
              <w:top w:val="single" w:sz="4" w:space="0" w:color="auto"/>
              <w:left w:val="nil"/>
              <w:bottom w:val="nil"/>
              <w:right w:val="nil"/>
            </w:tcBorders>
            <w:shd w:val="clear" w:color="auto" w:fill="auto"/>
            <w:vAlign w:val="center"/>
            <w:hideMark/>
          </w:tcPr>
          <w:p w14:paraId="590C7EE7"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Max</w:t>
            </w:r>
          </w:p>
        </w:tc>
        <w:tc>
          <w:tcPr>
            <w:tcW w:w="125" w:type="pct"/>
            <w:tcBorders>
              <w:top w:val="single" w:sz="4" w:space="0" w:color="auto"/>
              <w:left w:val="nil"/>
              <w:bottom w:val="single" w:sz="4" w:space="0" w:color="auto"/>
              <w:right w:val="nil"/>
            </w:tcBorders>
            <w:shd w:val="clear" w:color="auto" w:fill="auto"/>
            <w:noWrap/>
            <w:vAlign w:val="bottom"/>
            <w:hideMark/>
          </w:tcPr>
          <w:p w14:paraId="4F6D4134" w14:textId="77777777" w:rsidR="006F3C05" w:rsidRPr="00C07F2E" w:rsidRDefault="006F3C05" w:rsidP="006F3C05">
            <w:pPr>
              <w:pStyle w:val="NoSpacing"/>
              <w:rPr>
                <w:rFonts w:eastAsia="Times New Roman"/>
                <w:sz w:val="18"/>
                <w:lang w:eastAsia="en-GB"/>
              </w:rPr>
            </w:pPr>
            <w:r w:rsidRPr="00C07F2E">
              <w:rPr>
                <w:rFonts w:eastAsia="Times New Roman"/>
                <w:sz w:val="18"/>
                <w:lang w:eastAsia="en-GB"/>
              </w:rPr>
              <w:t> </w:t>
            </w:r>
          </w:p>
        </w:tc>
        <w:tc>
          <w:tcPr>
            <w:tcW w:w="403" w:type="pct"/>
            <w:tcBorders>
              <w:top w:val="single" w:sz="4" w:space="0" w:color="auto"/>
              <w:left w:val="nil"/>
              <w:bottom w:val="nil"/>
              <w:right w:val="nil"/>
            </w:tcBorders>
            <w:shd w:val="clear" w:color="auto" w:fill="auto"/>
            <w:vAlign w:val="center"/>
            <w:hideMark/>
          </w:tcPr>
          <w:p w14:paraId="2D6B4733"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N</w:t>
            </w:r>
          </w:p>
        </w:tc>
        <w:tc>
          <w:tcPr>
            <w:tcW w:w="275" w:type="pct"/>
            <w:tcBorders>
              <w:top w:val="single" w:sz="4" w:space="0" w:color="auto"/>
              <w:left w:val="nil"/>
              <w:bottom w:val="nil"/>
              <w:right w:val="nil"/>
            </w:tcBorders>
            <w:shd w:val="clear" w:color="auto" w:fill="auto"/>
            <w:vAlign w:val="center"/>
            <w:hideMark/>
          </w:tcPr>
          <w:p w14:paraId="07974B2B"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Mean</w:t>
            </w:r>
          </w:p>
        </w:tc>
        <w:tc>
          <w:tcPr>
            <w:tcW w:w="319" w:type="pct"/>
            <w:tcBorders>
              <w:top w:val="single" w:sz="4" w:space="0" w:color="auto"/>
              <w:left w:val="nil"/>
              <w:bottom w:val="nil"/>
              <w:right w:val="nil"/>
            </w:tcBorders>
            <w:shd w:val="clear" w:color="auto" w:fill="auto"/>
            <w:vAlign w:val="center"/>
            <w:hideMark/>
          </w:tcPr>
          <w:p w14:paraId="522B69B7"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SD</w:t>
            </w:r>
          </w:p>
        </w:tc>
        <w:tc>
          <w:tcPr>
            <w:tcW w:w="399" w:type="pct"/>
            <w:tcBorders>
              <w:top w:val="single" w:sz="4" w:space="0" w:color="auto"/>
              <w:left w:val="nil"/>
              <w:bottom w:val="nil"/>
              <w:right w:val="nil"/>
            </w:tcBorders>
            <w:shd w:val="clear" w:color="auto" w:fill="auto"/>
            <w:vAlign w:val="center"/>
            <w:hideMark/>
          </w:tcPr>
          <w:p w14:paraId="66837B0D"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Median</w:t>
            </w:r>
          </w:p>
        </w:tc>
        <w:tc>
          <w:tcPr>
            <w:tcW w:w="319" w:type="pct"/>
            <w:tcBorders>
              <w:top w:val="single" w:sz="4" w:space="0" w:color="auto"/>
              <w:left w:val="nil"/>
              <w:bottom w:val="nil"/>
              <w:right w:val="nil"/>
            </w:tcBorders>
            <w:shd w:val="clear" w:color="auto" w:fill="auto"/>
            <w:vAlign w:val="center"/>
            <w:hideMark/>
          </w:tcPr>
          <w:p w14:paraId="5D149F4D"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Min</w:t>
            </w:r>
          </w:p>
        </w:tc>
        <w:tc>
          <w:tcPr>
            <w:tcW w:w="323" w:type="pct"/>
            <w:tcBorders>
              <w:top w:val="single" w:sz="4" w:space="0" w:color="auto"/>
              <w:left w:val="nil"/>
              <w:bottom w:val="nil"/>
              <w:right w:val="nil"/>
            </w:tcBorders>
            <w:shd w:val="clear" w:color="auto" w:fill="auto"/>
            <w:vAlign w:val="center"/>
            <w:hideMark/>
          </w:tcPr>
          <w:p w14:paraId="7B30374B"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Max</w:t>
            </w:r>
          </w:p>
        </w:tc>
      </w:tr>
      <w:tr w:rsidR="006F3C05" w:rsidRPr="00C07F2E" w14:paraId="1FADF946" w14:textId="77777777" w:rsidTr="006F3C05">
        <w:trPr>
          <w:trHeight w:val="160"/>
        </w:trPr>
        <w:tc>
          <w:tcPr>
            <w:tcW w:w="334" w:type="pct"/>
            <w:tcBorders>
              <w:top w:val="single" w:sz="4" w:space="0" w:color="auto"/>
              <w:left w:val="nil"/>
              <w:bottom w:val="nil"/>
              <w:right w:val="nil"/>
            </w:tcBorders>
            <w:shd w:val="clear" w:color="000000" w:fill="F2F2F2"/>
            <w:vAlign w:val="center"/>
            <w:hideMark/>
          </w:tcPr>
          <w:p w14:paraId="64FD9648" w14:textId="77777777" w:rsidR="006F3C05" w:rsidRPr="00C07F2E" w:rsidRDefault="006F3C05" w:rsidP="006F3C05">
            <w:pPr>
              <w:pStyle w:val="NoSpacing"/>
              <w:rPr>
                <w:rFonts w:eastAsia="Times New Roman"/>
                <w:sz w:val="18"/>
                <w:lang w:eastAsia="en-GB"/>
              </w:rPr>
            </w:pPr>
            <w:r w:rsidRPr="00C07F2E">
              <w:rPr>
                <w:rFonts w:eastAsia="Times New Roman"/>
                <w:sz w:val="18"/>
                <w:lang w:eastAsia="en-GB"/>
              </w:rPr>
              <w:t> </w:t>
            </w:r>
          </w:p>
        </w:tc>
        <w:tc>
          <w:tcPr>
            <w:tcW w:w="404" w:type="pct"/>
            <w:tcBorders>
              <w:top w:val="single" w:sz="4" w:space="0" w:color="auto"/>
              <w:left w:val="nil"/>
              <w:bottom w:val="nil"/>
              <w:right w:val="nil"/>
            </w:tcBorders>
            <w:shd w:val="clear" w:color="000000" w:fill="F2F2F2"/>
            <w:vAlign w:val="center"/>
            <w:hideMark/>
          </w:tcPr>
          <w:p w14:paraId="6F7B2A03" w14:textId="77777777" w:rsidR="006F3C05" w:rsidRPr="00C07F2E" w:rsidRDefault="006F3C05" w:rsidP="006F3C05">
            <w:pPr>
              <w:pStyle w:val="NoSpacing"/>
              <w:rPr>
                <w:rFonts w:eastAsia="Times New Roman"/>
                <w:sz w:val="18"/>
                <w:lang w:eastAsia="en-GB"/>
              </w:rPr>
            </w:pPr>
            <w:r w:rsidRPr="00C07F2E">
              <w:rPr>
                <w:rFonts w:eastAsia="Times New Roman"/>
                <w:sz w:val="18"/>
                <w:lang w:eastAsia="en-GB"/>
              </w:rPr>
              <w:t>Age 7</w:t>
            </w:r>
          </w:p>
        </w:tc>
        <w:tc>
          <w:tcPr>
            <w:tcW w:w="2100" w:type="pct"/>
            <w:gridSpan w:val="6"/>
            <w:tcBorders>
              <w:top w:val="single" w:sz="4" w:space="0" w:color="auto"/>
              <w:left w:val="nil"/>
              <w:bottom w:val="nil"/>
              <w:right w:val="nil"/>
            </w:tcBorders>
            <w:shd w:val="clear" w:color="000000" w:fill="F2F2F2"/>
            <w:vAlign w:val="center"/>
            <w:hideMark/>
          </w:tcPr>
          <w:p w14:paraId="63079778"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cg01379158</w:t>
            </w:r>
          </w:p>
        </w:tc>
        <w:tc>
          <w:tcPr>
            <w:tcW w:w="125" w:type="pct"/>
            <w:tcBorders>
              <w:top w:val="nil"/>
              <w:left w:val="nil"/>
              <w:bottom w:val="nil"/>
              <w:right w:val="nil"/>
            </w:tcBorders>
            <w:shd w:val="clear" w:color="000000" w:fill="F2F2F2"/>
            <w:noWrap/>
            <w:vAlign w:val="bottom"/>
            <w:hideMark/>
          </w:tcPr>
          <w:p w14:paraId="354AC377" w14:textId="77777777" w:rsidR="006F3C05" w:rsidRPr="00C07F2E" w:rsidRDefault="006F3C05" w:rsidP="006F3C05">
            <w:pPr>
              <w:pStyle w:val="NoSpacing"/>
              <w:rPr>
                <w:rFonts w:eastAsia="Times New Roman"/>
                <w:sz w:val="18"/>
                <w:lang w:eastAsia="en-GB"/>
              </w:rPr>
            </w:pPr>
            <w:r w:rsidRPr="00C07F2E">
              <w:rPr>
                <w:rFonts w:eastAsia="Times New Roman"/>
                <w:sz w:val="18"/>
                <w:lang w:eastAsia="en-GB"/>
              </w:rPr>
              <w:t> </w:t>
            </w:r>
          </w:p>
        </w:tc>
        <w:tc>
          <w:tcPr>
            <w:tcW w:w="403" w:type="pct"/>
            <w:tcBorders>
              <w:top w:val="single" w:sz="4" w:space="0" w:color="auto"/>
              <w:left w:val="nil"/>
              <w:bottom w:val="nil"/>
              <w:right w:val="nil"/>
            </w:tcBorders>
            <w:shd w:val="clear" w:color="000000" w:fill="F2F2F2"/>
            <w:vAlign w:val="center"/>
            <w:hideMark/>
          </w:tcPr>
          <w:p w14:paraId="10398327" w14:textId="77777777" w:rsidR="006F3C05" w:rsidRPr="00C07F2E" w:rsidRDefault="006F3C05" w:rsidP="006F3C05">
            <w:pPr>
              <w:pStyle w:val="NoSpacing"/>
              <w:rPr>
                <w:rFonts w:eastAsia="Times New Roman"/>
                <w:sz w:val="18"/>
                <w:lang w:eastAsia="en-GB"/>
              </w:rPr>
            </w:pPr>
            <w:r w:rsidRPr="00C07F2E">
              <w:rPr>
                <w:rFonts w:eastAsia="Times New Roman"/>
                <w:sz w:val="18"/>
                <w:lang w:eastAsia="en-GB"/>
              </w:rPr>
              <w:t>Age 7</w:t>
            </w:r>
          </w:p>
        </w:tc>
        <w:tc>
          <w:tcPr>
            <w:tcW w:w="1635" w:type="pct"/>
            <w:gridSpan w:val="5"/>
            <w:tcBorders>
              <w:top w:val="single" w:sz="4" w:space="0" w:color="auto"/>
              <w:left w:val="nil"/>
              <w:bottom w:val="nil"/>
              <w:right w:val="nil"/>
            </w:tcBorders>
            <w:shd w:val="clear" w:color="000000" w:fill="F2F2F2"/>
            <w:vAlign w:val="center"/>
            <w:hideMark/>
          </w:tcPr>
          <w:p w14:paraId="09691742"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cg11531579</w:t>
            </w:r>
          </w:p>
        </w:tc>
      </w:tr>
      <w:tr w:rsidR="006F3C05" w:rsidRPr="00C07F2E" w14:paraId="35271A68" w14:textId="77777777" w:rsidTr="006F3C05">
        <w:trPr>
          <w:trHeight w:val="321"/>
        </w:trPr>
        <w:tc>
          <w:tcPr>
            <w:tcW w:w="334" w:type="pct"/>
            <w:vMerge w:val="restart"/>
            <w:tcBorders>
              <w:top w:val="single" w:sz="4" w:space="0" w:color="auto"/>
              <w:left w:val="nil"/>
              <w:bottom w:val="nil"/>
              <w:right w:val="nil"/>
            </w:tcBorders>
            <w:shd w:val="clear" w:color="auto" w:fill="auto"/>
            <w:vAlign w:val="center"/>
            <w:hideMark/>
          </w:tcPr>
          <w:p w14:paraId="7040B20B" w14:textId="77777777" w:rsidR="006F3C05" w:rsidRPr="00C07F2E" w:rsidRDefault="006F3C05" w:rsidP="006F3C05">
            <w:pPr>
              <w:pStyle w:val="NoSpacing"/>
              <w:rPr>
                <w:rFonts w:eastAsia="Times New Roman"/>
                <w:sz w:val="18"/>
                <w:lang w:eastAsia="en-GB"/>
              </w:rPr>
            </w:pPr>
            <w:r w:rsidRPr="00C07F2E">
              <w:rPr>
                <w:rFonts w:eastAsia="Times New Roman"/>
                <w:sz w:val="18"/>
                <w:lang w:eastAsia="en-GB"/>
              </w:rPr>
              <w:t>No RWG</w:t>
            </w:r>
          </w:p>
        </w:tc>
        <w:tc>
          <w:tcPr>
            <w:tcW w:w="404" w:type="pct"/>
            <w:tcBorders>
              <w:top w:val="single" w:sz="4" w:space="0" w:color="auto"/>
              <w:left w:val="nil"/>
              <w:bottom w:val="nil"/>
              <w:right w:val="nil"/>
            </w:tcBorders>
            <w:shd w:val="clear" w:color="auto" w:fill="auto"/>
            <w:vAlign w:val="center"/>
            <w:hideMark/>
          </w:tcPr>
          <w:p w14:paraId="7CFB3200"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Healthy weight</w:t>
            </w:r>
          </w:p>
        </w:tc>
        <w:tc>
          <w:tcPr>
            <w:tcW w:w="367" w:type="pct"/>
            <w:tcBorders>
              <w:top w:val="single" w:sz="4" w:space="0" w:color="auto"/>
              <w:left w:val="nil"/>
              <w:bottom w:val="nil"/>
              <w:right w:val="nil"/>
            </w:tcBorders>
            <w:shd w:val="clear" w:color="auto" w:fill="auto"/>
            <w:vAlign w:val="center"/>
            <w:hideMark/>
          </w:tcPr>
          <w:p w14:paraId="4BBA1A51"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74</w:t>
            </w:r>
          </w:p>
        </w:tc>
        <w:tc>
          <w:tcPr>
            <w:tcW w:w="374" w:type="pct"/>
            <w:tcBorders>
              <w:top w:val="single" w:sz="4" w:space="0" w:color="auto"/>
              <w:left w:val="nil"/>
              <w:bottom w:val="nil"/>
              <w:right w:val="nil"/>
            </w:tcBorders>
            <w:shd w:val="clear" w:color="auto" w:fill="auto"/>
            <w:vAlign w:val="center"/>
            <w:hideMark/>
          </w:tcPr>
          <w:p w14:paraId="3D907A0E"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0.069</w:t>
            </w:r>
          </w:p>
        </w:tc>
        <w:tc>
          <w:tcPr>
            <w:tcW w:w="319" w:type="pct"/>
            <w:tcBorders>
              <w:top w:val="single" w:sz="4" w:space="0" w:color="auto"/>
              <w:left w:val="nil"/>
              <w:bottom w:val="nil"/>
              <w:right w:val="nil"/>
            </w:tcBorders>
            <w:shd w:val="clear" w:color="auto" w:fill="auto"/>
            <w:vAlign w:val="center"/>
            <w:hideMark/>
          </w:tcPr>
          <w:p w14:paraId="6AA742C0"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0.017</w:t>
            </w:r>
          </w:p>
        </w:tc>
        <w:tc>
          <w:tcPr>
            <w:tcW w:w="398" w:type="pct"/>
            <w:tcBorders>
              <w:top w:val="single" w:sz="4" w:space="0" w:color="auto"/>
              <w:left w:val="nil"/>
              <w:bottom w:val="nil"/>
              <w:right w:val="nil"/>
            </w:tcBorders>
            <w:shd w:val="clear" w:color="auto" w:fill="auto"/>
            <w:vAlign w:val="center"/>
            <w:hideMark/>
          </w:tcPr>
          <w:p w14:paraId="2DB8AD85"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0.068</w:t>
            </w:r>
          </w:p>
        </w:tc>
        <w:tc>
          <w:tcPr>
            <w:tcW w:w="319" w:type="pct"/>
            <w:tcBorders>
              <w:top w:val="single" w:sz="4" w:space="0" w:color="auto"/>
              <w:left w:val="nil"/>
              <w:bottom w:val="nil"/>
              <w:right w:val="nil"/>
            </w:tcBorders>
            <w:shd w:val="clear" w:color="auto" w:fill="auto"/>
            <w:vAlign w:val="center"/>
            <w:hideMark/>
          </w:tcPr>
          <w:p w14:paraId="20E5A521"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0.033</w:t>
            </w:r>
          </w:p>
        </w:tc>
        <w:tc>
          <w:tcPr>
            <w:tcW w:w="322" w:type="pct"/>
            <w:tcBorders>
              <w:top w:val="single" w:sz="4" w:space="0" w:color="auto"/>
              <w:left w:val="nil"/>
              <w:bottom w:val="nil"/>
              <w:right w:val="nil"/>
            </w:tcBorders>
            <w:shd w:val="clear" w:color="auto" w:fill="auto"/>
            <w:vAlign w:val="center"/>
            <w:hideMark/>
          </w:tcPr>
          <w:p w14:paraId="24FCA65A"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0.125</w:t>
            </w:r>
          </w:p>
        </w:tc>
        <w:tc>
          <w:tcPr>
            <w:tcW w:w="125" w:type="pct"/>
            <w:tcBorders>
              <w:top w:val="single" w:sz="4" w:space="0" w:color="auto"/>
              <w:left w:val="nil"/>
              <w:bottom w:val="nil"/>
              <w:right w:val="nil"/>
            </w:tcBorders>
            <w:shd w:val="clear" w:color="auto" w:fill="auto"/>
            <w:vAlign w:val="center"/>
            <w:hideMark/>
          </w:tcPr>
          <w:p w14:paraId="0B86897D"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 </w:t>
            </w:r>
          </w:p>
        </w:tc>
        <w:tc>
          <w:tcPr>
            <w:tcW w:w="403" w:type="pct"/>
            <w:tcBorders>
              <w:top w:val="single" w:sz="4" w:space="0" w:color="auto"/>
              <w:left w:val="nil"/>
              <w:bottom w:val="nil"/>
              <w:right w:val="nil"/>
            </w:tcBorders>
            <w:shd w:val="clear" w:color="auto" w:fill="auto"/>
            <w:vAlign w:val="center"/>
            <w:hideMark/>
          </w:tcPr>
          <w:p w14:paraId="43553C21"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74</w:t>
            </w:r>
          </w:p>
        </w:tc>
        <w:tc>
          <w:tcPr>
            <w:tcW w:w="275" w:type="pct"/>
            <w:tcBorders>
              <w:top w:val="single" w:sz="4" w:space="0" w:color="auto"/>
              <w:left w:val="nil"/>
              <w:bottom w:val="nil"/>
              <w:right w:val="nil"/>
            </w:tcBorders>
            <w:shd w:val="clear" w:color="auto" w:fill="auto"/>
            <w:vAlign w:val="center"/>
            <w:hideMark/>
          </w:tcPr>
          <w:p w14:paraId="37F08EE9"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0.035</w:t>
            </w:r>
          </w:p>
        </w:tc>
        <w:tc>
          <w:tcPr>
            <w:tcW w:w="319" w:type="pct"/>
            <w:tcBorders>
              <w:top w:val="single" w:sz="4" w:space="0" w:color="auto"/>
              <w:left w:val="nil"/>
              <w:bottom w:val="nil"/>
              <w:right w:val="nil"/>
            </w:tcBorders>
            <w:shd w:val="clear" w:color="auto" w:fill="auto"/>
            <w:vAlign w:val="center"/>
            <w:hideMark/>
          </w:tcPr>
          <w:p w14:paraId="22A76114"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0.011</w:t>
            </w:r>
          </w:p>
        </w:tc>
        <w:tc>
          <w:tcPr>
            <w:tcW w:w="399" w:type="pct"/>
            <w:tcBorders>
              <w:top w:val="single" w:sz="4" w:space="0" w:color="auto"/>
              <w:left w:val="nil"/>
              <w:bottom w:val="nil"/>
              <w:right w:val="nil"/>
            </w:tcBorders>
            <w:shd w:val="clear" w:color="auto" w:fill="auto"/>
            <w:vAlign w:val="center"/>
            <w:hideMark/>
          </w:tcPr>
          <w:p w14:paraId="0A440D57"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0.033</w:t>
            </w:r>
          </w:p>
        </w:tc>
        <w:tc>
          <w:tcPr>
            <w:tcW w:w="319" w:type="pct"/>
            <w:tcBorders>
              <w:top w:val="single" w:sz="4" w:space="0" w:color="auto"/>
              <w:left w:val="nil"/>
              <w:bottom w:val="nil"/>
              <w:right w:val="nil"/>
            </w:tcBorders>
            <w:shd w:val="clear" w:color="auto" w:fill="auto"/>
            <w:vAlign w:val="center"/>
            <w:hideMark/>
          </w:tcPr>
          <w:p w14:paraId="6FC08A9C"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0.016</w:t>
            </w:r>
          </w:p>
        </w:tc>
        <w:tc>
          <w:tcPr>
            <w:tcW w:w="323" w:type="pct"/>
            <w:tcBorders>
              <w:top w:val="single" w:sz="4" w:space="0" w:color="auto"/>
              <w:left w:val="nil"/>
              <w:bottom w:val="nil"/>
              <w:right w:val="nil"/>
            </w:tcBorders>
            <w:shd w:val="clear" w:color="auto" w:fill="auto"/>
            <w:vAlign w:val="center"/>
            <w:hideMark/>
          </w:tcPr>
          <w:p w14:paraId="489271DE"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0.084</w:t>
            </w:r>
          </w:p>
        </w:tc>
      </w:tr>
      <w:tr w:rsidR="006F3C05" w:rsidRPr="00C07F2E" w14:paraId="7B1E83DB" w14:textId="77777777" w:rsidTr="006F3C05">
        <w:trPr>
          <w:trHeight w:val="160"/>
        </w:trPr>
        <w:tc>
          <w:tcPr>
            <w:tcW w:w="334" w:type="pct"/>
            <w:vMerge/>
            <w:tcBorders>
              <w:top w:val="single" w:sz="4" w:space="0" w:color="auto"/>
              <w:left w:val="nil"/>
              <w:bottom w:val="nil"/>
              <w:right w:val="nil"/>
            </w:tcBorders>
            <w:vAlign w:val="center"/>
            <w:hideMark/>
          </w:tcPr>
          <w:p w14:paraId="382CC992" w14:textId="77777777" w:rsidR="006F3C05" w:rsidRPr="00C07F2E" w:rsidRDefault="006F3C05" w:rsidP="006F3C05">
            <w:pPr>
              <w:pStyle w:val="NoSpacing"/>
              <w:rPr>
                <w:rFonts w:eastAsia="Times New Roman"/>
                <w:sz w:val="18"/>
                <w:lang w:eastAsia="en-GB"/>
              </w:rPr>
            </w:pPr>
          </w:p>
        </w:tc>
        <w:tc>
          <w:tcPr>
            <w:tcW w:w="404" w:type="pct"/>
            <w:tcBorders>
              <w:top w:val="nil"/>
              <w:left w:val="nil"/>
              <w:bottom w:val="nil"/>
              <w:right w:val="nil"/>
            </w:tcBorders>
            <w:shd w:val="clear" w:color="auto" w:fill="auto"/>
            <w:vAlign w:val="center"/>
            <w:hideMark/>
          </w:tcPr>
          <w:p w14:paraId="293DABF3"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OWOB</w:t>
            </w:r>
          </w:p>
        </w:tc>
        <w:tc>
          <w:tcPr>
            <w:tcW w:w="367" w:type="pct"/>
            <w:tcBorders>
              <w:top w:val="nil"/>
              <w:left w:val="nil"/>
              <w:bottom w:val="nil"/>
              <w:right w:val="nil"/>
            </w:tcBorders>
            <w:shd w:val="clear" w:color="auto" w:fill="auto"/>
            <w:vAlign w:val="center"/>
            <w:hideMark/>
          </w:tcPr>
          <w:p w14:paraId="3DFA4ED0"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10</w:t>
            </w:r>
          </w:p>
        </w:tc>
        <w:tc>
          <w:tcPr>
            <w:tcW w:w="374" w:type="pct"/>
            <w:tcBorders>
              <w:top w:val="nil"/>
              <w:left w:val="nil"/>
              <w:bottom w:val="nil"/>
              <w:right w:val="nil"/>
            </w:tcBorders>
            <w:shd w:val="clear" w:color="auto" w:fill="auto"/>
            <w:vAlign w:val="center"/>
            <w:hideMark/>
          </w:tcPr>
          <w:p w14:paraId="46AE4A9E"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0.075</w:t>
            </w:r>
          </w:p>
        </w:tc>
        <w:tc>
          <w:tcPr>
            <w:tcW w:w="319" w:type="pct"/>
            <w:tcBorders>
              <w:top w:val="nil"/>
              <w:left w:val="nil"/>
              <w:bottom w:val="nil"/>
              <w:right w:val="nil"/>
            </w:tcBorders>
            <w:shd w:val="clear" w:color="auto" w:fill="auto"/>
            <w:vAlign w:val="center"/>
            <w:hideMark/>
          </w:tcPr>
          <w:p w14:paraId="27716D10"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0.021</w:t>
            </w:r>
          </w:p>
        </w:tc>
        <w:tc>
          <w:tcPr>
            <w:tcW w:w="398" w:type="pct"/>
            <w:tcBorders>
              <w:top w:val="nil"/>
              <w:left w:val="nil"/>
              <w:bottom w:val="nil"/>
              <w:right w:val="nil"/>
            </w:tcBorders>
            <w:shd w:val="clear" w:color="auto" w:fill="auto"/>
            <w:vAlign w:val="center"/>
            <w:hideMark/>
          </w:tcPr>
          <w:p w14:paraId="4571B43D"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0.071</w:t>
            </w:r>
          </w:p>
        </w:tc>
        <w:tc>
          <w:tcPr>
            <w:tcW w:w="319" w:type="pct"/>
            <w:tcBorders>
              <w:top w:val="nil"/>
              <w:left w:val="nil"/>
              <w:bottom w:val="nil"/>
              <w:right w:val="nil"/>
            </w:tcBorders>
            <w:shd w:val="clear" w:color="auto" w:fill="auto"/>
            <w:vAlign w:val="center"/>
            <w:hideMark/>
          </w:tcPr>
          <w:p w14:paraId="361C4F31"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0.042</w:t>
            </w:r>
          </w:p>
        </w:tc>
        <w:tc>
          <w:tcPr>
            <w:tcW w:w="322" w:type="pct"/>
            <w:tcBorders>
              <w:top w:val="nil"/>
              <w:left w:val="nil"/>
              <w:bottom w:val="nil"/>
              <w:right w:val="nil"/>
            </w:tcBorders>
            <w:shd w:val="clear" w:color="auto" w:fill="auto"/>
            <w:vAlign w:val="center"/>
            <w:hideMark/>
          </w:tcPr>
          <w:p w14:paraId="7716EC21"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0.106</w:t>
            </w:r>
          </w:p>
        </w:tc>
        <w:tc>
          <w:tcPr>
            <w:tcW w:w="125" w:type="pct"/>
            <w:tcBorders>
              <w:top w:val="nil"/>
              <w:left w:val="nil"/>
              <w:bottom w:val="nil"/>
              <w:right w:val="nil"/>
            </w:tcBorders>
            <w:shd w:val="clear" w:color="auto" w:fill="auto"/>
            <w:vAlign w:val="center"/>
            <w:hideMark/>
          </w:tcPr>
          <w:p w14:paraId="456DAC51" w14:textId="77777777" w:rsidR="006F3C05" w:rsidRPr="00C07F2E" w:rsidRDefault="006F3C05" w:rsidP="006F3C05">
            <w:pPr>
              <w:pStyle w:val="NoSpacing"/>
              <w:rPr>
                <w:rFonts w:eastAsia="Times New Roman"/>
                <w:sz w:val="18"/>
                <w:lang w:eastAsia="en-GB"/>
              </w:rPr>
            </w:pPr>
          </w:p>
        </w:tc>
        <w:tc>
          <w:tcPr>
            <w:tcW w:w="403" w:type="pct"/>
            <w:tcBorders>
              <w:top w:val="nil"/>
              <w:left w:val="nil"/>
              <w:bottom w:val="nil"/>
              <w:right w:val="nil"/>
            </w:tcBorders>
            <w:shd w:val="clear" w:color="auto" w:fill="auto"/>
            <w:vAlign w:val="center"/>
            <w:hideMark/>
          </w:tcPr>
          <w:p w14:paraId="1B7882DC"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10</w:t>
            </w:r>
          </w:p>
        </w:tc>
        <w:tc>
          <w:tcPr>
            <w:tcW w:w="275" w:type="pct"/>
            <w:tcBorders>
              <w:top w:val="nil"/>
              <w:left w:val="nil"/>
              <w:bottom w:val="nil"/>
              <w:right w:val="nil"/>
            </w:tcBorders>
            <w:shd w:val="clear" w:color="auto" w:fill="auto"/>
            <w:vAlign w:val="center"/>
            <w:hideMark/>
          </w:tcPr>
          <w:p w14:paraId="7940E6D1"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0.039</w:t>
            </w:r>
          </w:p>
        </w:tc>
        <w:tc>
          <w:tcPr>
            <w:tcW w:w="319" w:type="pct"/>
            <w:tcBorders>
              <w:top w:val="nil"/>
              <w:left w:val="nil"/>
              <w:bottom w:val="nil"/>
              <w:right w:val="nil"/>
            </w:tcBorders>
            <w:shd w:val="clear" w:color="auto" w:fill="auto"/>
            <w:vAlign w:val="center"/>
            <w:hideMark/>
          </w:tcPr>
          <w:p w14:paraId="49E3E945"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0.011</w:t>
            </w:r>
          </w:p>
        </w:tc>
        <w:tc>
          <w:tcPr>
            <w:tcW w:w="399" w:type="pct"/>
            <w:tcBorders>
              <w:top w:val="nil"/>
              <w:left w:val="nil"/>
              <w:bottom w:val="nil"/>
              <w:right w:val="nil"/>
            </w:tcBorders>
            <w:shd w:val="clear" w:color="auto" w:fill="auto"/>
            <w:vAlign w:val="center"/>
            <w:hideMark/>
          </w:tcPr>
          <w:p w14:paraId="4778D3F5"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0.041</w:t>
            </w:r>
          </w:p>
        </w:tc>
        <w:tc>
          <w:tcPr>
            <w:tcW w:w="319" w:type="pct"/>
            <w:tcBorders>
              <w:top w:val="nil"/>
              <w:left w:val="nil"/>
              <w:bottom w:val="nil"/>
              <w:right w:val="nil"/>
            </w:tcBorders>
            <w:shd w:val="clear" w:color="auto" w:fill="auto"/>
            <w:vAlign w:val="center"/>
            <w:hideMark/>
          </w:tcPr>
          <w:p w14:paraId="01683A52"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0.024</w:t>
            </w:r>
          </w:p>
        </w:tc>
        <w:tc>
          <w:tcPr>
            <w:tcW w:w="323" w:type="pct"/>
            <w:tcBorders>
              <w:top w:val="nil"/>
              <w:left w:val="nil"/>
              <w:bottom w:val="nil"/>
              <w:right w:val="nil"/>
            </w:tcBorders>
            <w:shd w:val="clear" w:color="auto" w:fill="auto"/>
            <w:vAlign w:val="center"/>
            <w:hideMark/>
          </w:tcPr>
          <w:p w14:paraId="169206E0"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0.054</w:t>
            </w:r>
          </w:p>
        </w:tc>
      </w:tr>
      <w:tr w:rsidR="006F3C05" w:rsidRPr="00C07F2E" w14:paraId="7B756239" w14:textId="77777777" w:rsidTr="006F3C05">
        <w:trPr>
          <w:trHeight w:val="321"/>
        </w:trPr>
        <w:tc>
          <w:tcPr>
            <w:tcW w:w="334" w:type="pct"/>
            <w:vMerge w:val="restart"/>
            <w:tcBorders>
              <w:top w:val="nil"/>
              <w:left w:val="nil"/>
              <w:bottom w:val="nil"/>
              <w:right w:val="nil"/>
            </w:tcBorders>
            <w:shd w:val="clear" w:color="auto" w:fill="auto"/>
            <w:noWrap/>
            <w:vAlign w:val="bottom"/>
            <w:hideMark/>
          </w:tcPr>
          <w:p w14:paraId="5CB57503" w14:textId="77777777" w:rsidR="006F3C05" w:rsidRPr="00C07F2E" w:rsidRDefault="006F3C05" w:rsidP="006F3C05">
            <w:pPr>
              <w:pStyle w:val="NoSpacing"/>
              <w:rPr>
                <w:rFonts w:eastAsia="Times New Roman"/>
                <w:sz w:val="18"/>
                <w:lang w:eastAsia="en-GB"/>
              </w:rPr>
            </w:pPr>
            <w:r w:rsidRPr="00C07F2E">
              <w:rPr>
                <w:rFonts w:eastAsia="Times New Roman"/>
                <w:sz w:val="18"/>
                <w:lang w:eastAsia="en-GB"/>
              </w:rPr>
              <w:t>RWG</w:t>
            </w:r>
          </w:p>
        </w:tc>
        <w:tc>
          <w:tcPr>
            <w:tcW w:w="404" w:type="pct"/>
            <w:tcBorders>
              <w:top w:val="nil"/>
              <w:left w:val="nil"/>
              <w:bottom w:val="nil"/>
              <w:right w:val="nil"/>
            </w:tcBorders>
            <w:shd w:val="clear" w:color="auto" w:fill="auto"/>
            <w:vAlign w:val="center"/>
            <w:hideMark/>
          </w:tcPr>
          <w:p w14:paraId="3856CD7B"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Healthy weight</w:t>
            </w:r>
          </w:p>
        </w:tc>
        <w:tc>
          <w:tcPr>
            <w:tcW w:w="367" w:type="pct"/>
            <w:tcBorders>
              <w:top w:val="nil"/>
              <w:left w:val="nil"/>
              <w:bottom w:val="nil"/>
              <w:right w:val="nil"/>
            </w:tcBorders>
            <w:shd w:val="clear" w:color="auto" w:fill="auto"/>
            <w:vAlign w:val="center"/>
            <w:hideMark/>
          </w:tcPr>
          <w:p w14:paraId="7515B5E8"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35</w:t>
            </w:r>
          </w:p>
        </w:tc>
        <w:tc>
          <w:tcPr>
            <w:tcW w:w="374" w:type="pct"/>
            <w:tcBorders>
              <w:top w:val="nil"/>
              <w:left w:val="nil"/>
              <w:bottom w:val="nil"/>
              <w:right w:val="nil"/>
            </w:tcBorders>
            <w:shd w:val="clear" w:color="auto" w:fill="auto"/>
            <w:vAlign w:val="center"/>
            <w:hideMark/>
          </w:tcPr>
          <w:p w14:paraId="5CF07765"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0.078</w:t>
            </w:r>
          </w:p>
        </w:tc>
        <w:tc>
          <w:tcPr>
            <w:tcW w:w="319" w:type="pct"/>
            <w:tcBorders>
              <w:top w:val="nil"/>
              <w:left w:val="nil"/>
              <w:bottom w:val="nil"/>
              <w:right w:val="nil"/>
            </w:tcBorders>
            <w:shd w:val="clear" w:color="auto" w:fill="auto"/>
            <w:vAlign w:val="center"/>
            <w:hideMark/>
          </w:tcPr>
          <w:p w14:paraId="1021501C"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0.025</w:t>
            </w:r>
          </w:p>
        </w:tc>
        <w:tc>
          <w:tcPr>
            <w:tcW w:w="398" w:type="pct"/>
            <w:tcBorders>
              <w:top w:val="nil"/>
              <w:left w:val="nil"/>
              <w:bottom w:val="nil"/>
              <w:right w:val="nil"/>
            </w:tcBorders>
            <w:shd w:val="clear" w:color="auto" w:fill="auto"/>
            <w:vAlign w:val="center"/>
            <w:hideMark/>
          </w:tcPr>
          <w:p w14:paraId="690B03A8"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0.076</w:t>
            </w:r>
          </w:p>
        </w:tc>
        <w:tc>
          <w:tcPr>
            <w:tcW w:w="319" w:type="pct"/>
            <w:tcBorders>
              <w:top w:val="nil"/>
              <w:left w:val="nil"/>
              <w:bottom w:val="nil"/>
              <w:right w:val="nil"/>
            </w:tcBorders>
            <w:shd w:val="clear" w:color="auto" w:fill="auto"/>
            <w:vAlign w:val="center"/>
            <w:hideMark/>
          </w:tcPr>
          <w:p w14:paraId="66983ACA"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0.033</w:t>
            </w:r>
          </w:p>
        </w:tc>
        <w:tc>
          <w:tcPr>
            <w:tcW w:w="322" w:type="pct"/>
            <w:tcBorders>
              <w:top w:val="nil"/>
              <w:left w:val="nil"/>
              <w:bottom w:val="nil"/>
              <w:right w:val="nil"/>
            </w:tcBorders>
            <w:shd w:val="clear" w:color="auto" w:fill="auto"/>
            <w:vAlign w:val="center"/>
            <w:hideMark/>
          </w:tcPr>
          <w:p w14:paraId="791453C3"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0.149</w:t>
            </w:r>
          </w:p>
        </w:tc>
        <w:tc>
          <w:tcPr>
            <w:tcW w:w="125" w:type="pct"/>
            <w:tcBorders>
              <w:top w:val="nil"/>
              <w:left w:val="nil"/>
              <w:bottom w:val="nil"/>
              <w:right w:val="nil"/>
            </w:tcBorders>
            <w:shd w:val="clear" w:color="auto" w:fill="auto"/>
            <w:vAlign w:val="center"/>
            <w:hideMark/>
          </w:tcPr>
          <w:p w14:paraId="1BDE4DC3" w14:textId="77777777" w:rsidR="006F3C05" w:rsidRPr="00C07F2E" w:rsidRDefault="006F3C05" w:rsidP="006F3C05">
            <w:pPr>
              <w:pStyle w:val="NoSpacing"/>
              <w:rPr>
                <w:rFonts w:eastAsia="Times New Roman"/>
                <w:sz w:val="18"/>
                <w:lang w:eastAsia="en-GB"/>
              </w:rPr>
            </w:pPr>
          </w:p>
        </w:tc>
        <w:tc>
          <w:tcPr>
            <w:tcW w:w="403" w:type="pct"/>
            <w:tcBorders>
              <w:top w:val="nil"/>
              <w:left w:val="nil"/>
              <w:bottom w:val="nil"/>
              <w:right w:val="nil"/>
            </w:tcBorders>
            <w:shd w:val="clear" w:color="auto" w:fill="auto"/>
            <w:vAlign w:val="center"/>
            <w:hideMark/>
          </w:tcPr>
          <w:p w14:paraId="3A59F74D"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35</w:t>
            </w:r>
          </w:p>
        </w:tc>
        <w:tc>
          <w:tcPr>
            <w:tcW w:w="275" w:type="pct"/>
            <w:tcBorders>
              <w:top w:val="nil"/>
              <w:left w:val="nil"/>
              <w:bottom w:val="nil"/>
              <w:right w:val="nil"/>
            </w:tcBorders>
            <w:shd w:val="clear" w:color="auto" w:fill="auto"/>
            <w:vAlign w:val="center"/>
            <w:hideMark/>
          </w:tcPr>
          <w:p w14:paraId="28710710"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0.045</w:t>
            </w:r>
          </w:p>
        </w:tc>
        <w:tc>
          <w:tcPr>
            <w:tcW w:w="319" w:type="pct"/>
            <w:tcBorders>
              <w:top w:val="nil"/>
              <w:left w:val="nil"/>
              <w:bottom w:val="nil"/>
              <w:right w:val="nil"/>
            </w:tcBorders>
            <w:shd w:val="clear" w:color="auto" w:fill="auto"/>
            <w:vAlign w:val="center"/>
            <w:hideMark/>
          </w:tcPr>
          <w:p w14:paraId="1328AC3C"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0.02</w:t>
            </w:r>
          </w:p>
        </w:tc>
        <w:tc>
          <w:tcPr>
            <w:tcW w:w="399" w:type="pct"/>
            <w:tcBorders>
              <w:top w:val="nil"/>
              <w:left w:val="nil"/>
              <w:bottom w:val="nil"/>
              <w:right w:val="nil"/>
            </w:tcBorders>
            <w:shd w:val="clear" w:color="auto" w:fill="auto"/>
            <w:vAlign w:val="center"/>
            <w:hideMark/>
          </w:tcPr>
          <w:p w14:paraId="1A642ED9"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0.039</w:t>
            </w:r>
          </w:p>
        </w:tc>
        <w:tc>
          <w:tcPr>
            <w:tcW w:w="319" w:type="pct"/>
            <w:tcBorders>
              <w:top w:val="nil"/>
              <w:left w:val="nil"/>
              <w:bottom w:val="nil"/>
              <w:right w:val="nil"/>
            </w:tcBorders>
            <w:shd w:val="clear" w:color="auto" w:fill="auto"/>
            <w:vAlign w:val="center"/>
            <w:hideMark/>
          </w:tcPr>
          <w:p w14:paraId="10660564"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0.02</w:t>
            </w:r>
          </w:p>
        </w:tc>
        <w:tc>
          <w:tcPr>
            <w:tcW w:w="323" w:type="pct"/>
            <w:tcBorders>
              <w:top w:val="nil"/>
              <w:left w:val="nil"/>
              <w:bottom w:val="nil"/>
              <w:right w:val="nil"/>
            </w:tcBorders>
            <w:shd w:val="clear" w:color="auto" w:fill="auto"/>
            <w:vAlign w:val="center"/>
            <w:hideMark/>
          </w:tcPr>
          <w:p w14:paraId="34E9768A"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0.118</w:t>
            </w:r>
          </w:p>
        </w:tc>
      </w:tr>
      <w:tr w:rsidR="006F3C05" w:rsidRPr="00C07F2E" w14:paraId="5829A989" w14:textId="77777777" w:rsidTr="006F3C05">
        <w:trPr>
          <w:trHeight w:val="160"/>
        </w:trPr>
        <w:tc>
          <w:tcPr>
            <w:tcW w:w="334" w:type="pct"/>
            <w:vMerge/>
            <w:tcBorders>
              <w:top w:val="nil"/>
              <w:left w:val="nil"/>
              <w:bottom w:val="nil"/>
              <w:right w:val="nil"/>
            </w:tcBorders>
            <w:vAlign w:val="center"/>
            <w:hideMark/>
          </w:tcPr>
          <w:p w14:paraId="61461998" w14:textId="77777777" w:rsidR="006F3C05" w:rsidRPr="00C07F2E" w:rsidRDefault="006F3C05" w:rsidP="006F3C05">
            <w:pPr>
              <w:pStyle w:val="NoSpacing"/>
              <w:rPr>
                <w:rFonts w:eastAsia="Times New Roman"/>
                <w:sz w:val="18"/>
                <w:lang w:eastAsia="en-GB"/>
              </w:rPr>
            </w:pPr>
          </w:p>
        </w:tc>
        <w:tc>
          <w:tcPr>
            <w:tcW w:w="404" w:type="pct"/>
            <w:tcBorders>
              <w:top w:val="nil"/>
              <w:left w:val="nil"/>
              <w:bottom w:val="nil"/>
              <w:right w:val="nil"/>
            </w:tcBorders>
            <w:shd w:val="clear" w:color="auto" w:fill="auto"/>
            <w:vAlign w:val="center"/>
            <w:hideMark/>
          </w:tcPr>
          <w:p w14:paraId="5950C3D8" w14:textId="77777777" w:rsidR="006F3C05" w:rsidRPr="00E53C4F" w:rsidRDefault="006F3C05" w:rsidP="006F3C05">
            <w:pPr>
              <w:pStyle w:val="NoSpacing"/>
              <w:rPr>
                <w:rFonts w:eastAsia="Times New Roman"/>
                <w:b/>
                <w:sz w:val="18"/>
                <w:lang w:eastAsia="en-GB"/>
              </w:rPr>
            </w:pPr>
            <w:r w:rsidRPr="00E53C4F">
              <w:rPr>
                <w:rFonts w:eastAsia="Times New Roman"/>
                <w:b/>
                <w:sz w:val="18"/>
                <w:lang w:val="en-US" w:eastAsia="en-GB"/>
              </w:rPr>
              <w:t>OWOB</w:t>
            </w:r>
          </w:p>
        </w:tc>
        <w:tc>
          <w:tcPr>
            <w:tcW w:w="367" w:type="pct"/>
            <w:tcBorders>
              <w:top w:val="nil"/>
              <w:left w:val="nil"/>
              <w:bottom w:val="nil"/>
              <w:right w:val="nil"/>
            </w:tcBorders>
            <w:shd w:val="clear" w:color="auto" w:fill="auto"/>
            <w:vAlign w:val="center"/>
            <w:hideMark/>
          </w:tcPr>
          <w:p w14:paraId="0A761754" w14:textId="77777777" w:rsidR="006F3C05" w:rsidRPr="00E53C4F" w:rsidRDefault="006F3C05" w:rsidP="006F3C05">
            <w:pPr>
              <w:pStyle w:val="NoSpacing"/>
              <w:rPr>
                <w:rFonts w:eastAsia="Times New Roman"/>
                <w:b/>
                <w:sz w:val="18"/>
                <w:lang w:eastAsia="en-GB"/>
              </w:rPr>
            </w:pPr>
            <w:r w:rsidRPr="00E53C4F">
              <w:rPr>
                <w:rFonts w:eastAsia="Times New Roman"/>
                <w:b/>
                <w:sz w:val="18"/>
                <w:lang w:val="en-US" w:eastAsia="en-GB"/>
              </w:rPr>
              <w:t>6</w:t>
            </w:r>
          </w:p>
        </w:tc>
        <w:tc>
          <w:tcPr>
            <w:tcW w:w="374" w:type="pct"/>
            <w:tcBorders>
              <w:top w:val="nil"/>
              <w:left w:val="nil"/>
              <w:bottom w:val="nil"/>
              <w:right w:val="nil"/>
            </w:tcBorders>
            <w:shd w:val="clear" w:color="auto" w:fill="auto"/>
            <w:vAlign w:val="center"/>
            <w:hideMark/>
          </w:tcPr>
          <w:p w14:paraId="6F69AD88" w14:textId="77777777" w:rsidR="006F3C05" w:rsidRPr="00E53C4F" w:rsidRDefault="006F3C05" w:rsidP="006F3C05">
            <w:pPr>
              <w:pStyle w:val="NoSpacing"/>
              <w:rPr>
                <w:rFonts w:eastAsia="Times New Roman"/>
                <w:b/>
                <w:sz w:val="18"/>
                <w:lang w:eastAsia="en-GB"/>
              </w:rPr>
            </w:pPr>
            <w:r w:rsidRPr="00E53C4F">
              <w:rPr>
                <w:rFonts w:eastAsia="Times New Roman"/>
                <w:b/>
                <w:sz w:val="18"/>
                <w:lang w:val="en-US" w:eastAsia="en-GB"/>
              </w:rPr>
              <w:t>0.091</w:t>
            </w:r>
          </w:p>
        </w:tc>
        <w:tc>
          <w:tcPr>
            <w:tcW w:w="319" w:type="pct"/>
            <w:tcBorders>
              <w:top w:val="nil"/>
              <w:left w:val="nil"/>
              <w:bottom w:val="nil"/>
              <w:right w:val="nil"/>
            </w:tcBorders>
            <w:shd w:val="clear" w:color="auto" w:fill="auto"/>
            <w:vAlign w:val="center"/>
            <w:hideMark/>
          </w:tcPr>
          <w:p w14:paraId="44332734" w14:textId="77777777" w:rsidR="006F3C05" w:rsidRPr="00E53C4F" w:rsidRDefault="006F3C05" w:rsidP="006F3C05">
            <w:pPr>
              <w:pStyle w:val="NoSpacing"/>
              <w:rPr>
                <w:rFonts w:eastAsia="Times New Roman"/>
                <w:b/>
                <w:sz w:val="18"/>
                <w:lang w:eastAsia="en-GB"/>
              </w:rPr>
            </w:pPr>
            <w:r w:rsidRPr="00E53C4F">
              <w:rPr>
                <w:rFonts w:eastAsia="Times New Roman"/>
                <w:b/>
                <w:sz w:val="18"/>
                <w:lang w:val="en-US" w:eastAsia="en-GB"/>
              </w:rPr>
              <w:t>0.019</w:t>
            </w:r>
          </w:p>
        </w:tc>
        <w:tc>
          <w:tcPr>
            <w:tcW w:w="398" w:type="pct"/>
            <w:tcBorders>
              <w:top w:val="nil"/>
              <w:left w:val="nil"/>
              <w:bottom w:val="nil"/>
              <w:right w:val="nil"/>
            </w:tcBorders>
            <w:shd w:val="clear" w:color="auto" w:fill="auto"/>
            <w:vAlign w:val="center"/>
            <w:hideMark/>
          </w:tcPr>
          <w:p w14:paraId="7973C5D6" w14:textId="77777777" w:rsidR="006F3C05" w:rsidRPr="00E53C4F" w:rsidRDefault="006F3C05" w:rsidP="006F3C05">
            <w:pPr>
              <w:pStyle w:val="NoSpacing"/>
              <w:rPr>
                <w:rFonts w:eastAsia="Times New Roman"/>
                <w:b/>
                <w:sz w:val="18"/>
                <w:lang w:eastAsia="en-GB"/>
              </w:rPr>
            </w:pPr>
            <w:r w:rsidRPr="00E53C4F">
              <w:rPr>
                <w:rFonts w:eastAsia="Times New Roman"/>
                <w:b/>
                <w:sz w:val="18"/>
                <w:lang w:val="en-US" w:eastAsia="en-GB"/>
              </w:rPr>
              <w:t>0.09</w:t>
            </w:r>
          </w:p>
        </w:tc>
        <w:tc>
          <w:tcPr>
            <w:tcW w:w="319" w:type="pct"/>
            <w:tcBorders>
              <w:top w:val="nil"/>
              <w:left w:val="nil"/>
              <w:bottom w:val="nil"/>
              <w:right w:val="nil"/>
            </w:tcBorders>
            <w:shd w:val="clear" w:color="auto" w:fill="auto"/>
            <w:vAlign w:val="center"/>
            <w:hideMark/>
          </w:tcPr>
          <w:p w14:paraId="69799BAD" w14:textId="77777777" w:rsidR="006F3C05" w:rsidRPr="00E53C4F" w:rsidRDefault="006F3C05" w:rsidP="006F3C05">
            <w:pPr>
              <w:pStyle w:val="NoSpacing"/>
              <w:rPr>
                <w:rFonts w:eastAsia="Times New Roman"/>
                <w:b/>
                <w:sz w:val="18"/>
                <w:lang w:eastAsia="en-GB"/>
              </w:rPr>
            </w:pPr>
            <w:r w:rsidRPr="00E53C4F">
              <w:rPr>
                <w:rFonts w:eastAsia="Times New Roman"/>
                <w:b/>
                <w:sz w:val="18"/>
                <w:lang w:val="en-US" w:eastAsia="en-GB"/>
              </w:rPr>
              <w:t>0.064</w:t>
            </w:r>
          </w:p>
        </w:tc>
        <w:tc>
          <w:tcPr>
            <w:tcW w:w="322" w:type="pct"/>
            <w:tcBorders>
              <w:top w:val="nil"/>
              <w:left w:val="nil"/>
              <w:bottom w:val="nil"/>
              <w:right w:val="nil"/>
            </w:tcBorders>
            <w:shd w:val="clear" w:color="auto" w:fill="auto"/>
            <w:vAlign w:val="center"/>
            <w:hideMark/>
          </w:tcPr>
          <w:p w14:paraId="79561C47" w14:textId="77777777" w:rsidR="006F3C05" w:rsidRPr="00E53C4F" w:rsidRDefault="006F3C05" w:rsidP="006F3C05">
            <w:pPr>
              <w:pStyle w:val="NoSpacing"/>
              <w:rPr>
                <w:rFonts w:eastAsia="Times New Roman"/>
                <w:b/>
                <w:sz w:val="18"/>
                <w:lang w:eastAsia="en-GB"/>
              </w:rPr>
            </w:pPr>
            <w:r w:rsidRPr="00E53C4F">
              <w:rPr>
                <w:rFonts w:eastAsia="Times New Roman"/>
                <w:b/>
                <w:sz w:val="18"/>
                <w:lang w:val="en-US" w:eastAsia="en-GB"/>
              </w:rPr>
              <w:t>0.114</w:t>
            </w:r>
          </w:p>
        </w:tc>
        <w:tc>
          <w:tcPr>
            <w:tcW w:w="125" w:type="pct"/>
            <w:tcBorders>
              <w:top w:val="nil"/>
              <w:left w:val="nil"/>
              <w:bottom w:val="nil"/>
              <w:right w:val="nil"/>
            </w:tcBorders>
            <w:shd w:val="clear" w:color="auto" w:fill="auto"/>
            <w:vAlign w:val="center"/>
            <w:hideMark/>
          </w:tcPr>
          <w:p w14:paraId="7787C73A" w14:textId="77777777" w:rsidR="006F3C05" w:rsidRPr="00E53C4F" w:rsidRDefault="006F3C05" w:rsidP="006F3C05">
            <w:pPr>
              <w:pStyle w:val="NoSpacing"/>
              <w:rPr>
                <w:rFonts w:eastAsia="Times New Roman"/>
                <w:b/>
                <w:sz w:val="18"/>
                <w:lang w:eastAsia="en-GB"/>
              </w:rPr>
            </w:pPr>
          </w:p>
        </w:tc>
        <w:tc>
          <w:tcPr>
            <w:tcW w:w="403" w:type="pct"/>
            <w:tcBorders>
              <w:top w:val="nil"/>
              <w:left w:val="nil"/>
              <w:bottom w:val="nil"/>
              <w:right w:val="nil"/>
            </w:tcBorders>
            <w:shd w:val="clear" w:color="auto" w:fill="auto"/>
            <w:vAlign w:val="center"/>
            <w:hideMark/>
          </w:tcPr>
          <w:p w14:paraId="2EF2EA97" w14:textId="77777777" w:rsidR="006F3C05" w:rsidRPr="00E53C4F" w:rsidRDefault="006F3C05" w:rsidP="006F3C05">
            <w:pPr>
              <w:pStyle w:val="NoSpacing"/>
              <w:rPr>
                <w:rFonts w:eastAsia="Times New Roman"/>
                <w:b/>
                <w:sz w:val="18"/>
                <w:lang w:eastAsia="en-GB"/>
              </w:rPr>
            </w:pPr>
            <w:r w:rsidRPr="00E53C4F">
              <w:rPr>
                <w:rFonts w:eastAsia="Times New Roman"/>
                <w:b/>
                <w:sz w:val="18"/>
                <w:lang w:val="en-US" w:eastAsia="en-GB"/>
              </w:rPr>
              <w:t>6</w:t>
            </w:r>
          </w:p>
        </w:tc>
        <w:tc>
          <w:tcPr>
            <w:tcW w:w="275" w:type="pct"/>
            <w:tcBorders>
              <w:top w:val="nil"/>
              <w:left w:val="nil"/>
              <w:bottom w:val="nil"/>
              <w:right w:val="nil"/>
            </w:tcBorders>
            <w:shd w:val="clear" w:color="auto" w:fill="auto"/>
            <w:vAlign w:val="center"/>
            <w:hideMark/>
          </w:tcPr>
          <w:p w14:paraId="381E79B3" w14:textId="77777777" w:rsidR="006F3C05" w:rsidRPr="00E53C4F" w:rsidRDefault="006F3C05" w:rsidP="006F3C05">
            <w:pPr>
              <w:pStyle w:val="NoSpacing"/>
              <w:rPr>
                <w:rFonts w:eastAsia="Times New Roman"/>
                <w:b/>
                <w:sz w:val="18"/>
                <w:lang w:eastAsia="en-GB"/>
              </w:rPr>
            </w:pPr>
            <w:r w:rsidRPr="00E53C4F">
              <w:rPr>
                <w:rFonts w:eastAsia="Times New Roman"/>
                <w:b/>
                <w:sz w:val="18"/>
                <w:lang w:val="en-US" w:eastAsia="en-GB"/>
              </w:rPr>
              <w:t>0.057</w:t>
            </w:r>
          </w:p>
        </w:tc>
        <w:tc>
          <w:tcPr>
            <w:tcW w:w="319" w:type="pct"/>
            <w:tcBorders>
              <w:top w:val="nil"/>
              <w:left w:val="nil"/>
              <w:bottom w:val="nil"/>
              <w:right w:val="nil"/>
            </w:tcBorders>
            <w:shd w:val="clear" w:color="auto" w:fill="auto"/>
            <w:vAlign w:val="center"/>
            <w:hideMark/>
          </w:tcPr>
          <w:p w14:paraId="042F8F83" w14:textId="77777777" w:rsidR="006F3C05" w:rsidRPr="00E53C4F" w:rsidRDefault="006F3C05" w:rsidP="006F3C05">
            <w:pPr>
              <w:pStyle w:val="NoSpacing"/>
              <w:rPr>
                <w:rFonts w:eastAsia="Times New Roman"/>
                <w:b/>
                <w:sz w:val="18"/>
                <w:lang w:eastAsia="en-GB"/>
              </w:rPr>
            </w:pPr>
            <w:r w:rsidRPr="00E53C4F">
              <w:rPr>
                <w:rFonts w:eastAsia="Times New Roman"/>
                <w:b/>
                <w:sz w:val="18"/>
                <w:lang w:val="en-US" w:eastAsia="en-GB"/>
              </w:rPr>
              <w:t>0.013</w:t>
            </w:r>
          </w:p>
        </w:tc>
        <w:tc>
          <w:tcPr>
            <w:tcW w:w="399" w:type="pct"/>
            <w:tcBorders>
              <w:top w:val="nil"/>
              <w:left w:val="nil"/>
              <w:bottom w:val="nil"/>
              <w:right w:val="nil"/>
            </w:tcBorders>
            <w:shd w:val="clear" w:color="auto" w:fill="auto"/>
            <w:vAlign w:val="center"/>
            <w:hideMark/>
          </w:tcPr>
          <w:p w14:paraId="2FA15302" w14:textId="77777777" w:rsidR="006F3C05" w:rsidRPr="00E53C4F" w:rsidRDefault="006F3C05" w:rsidP="006F3C05">
            <w:pPr>
              <w:pStyle w:val="NoSpacing"/>
              <w:rPr>
                <w:rFonts w:eastAsia="Times New Roman"/>
                <w:b/>
                <w:sz w:val="18"/>
                <w:lang w:eastAsia="en-GB"/>
              </w:rPr>
            </w:pPr>
            <w:r w:rsidRPr="00E53C4F">
              <w:rPr>
                <w:rFonts w:eastAsia="Times New Roman"/>
                <w:b/>
                <w:sz w:val="18"/>
                <w:lang w:val="en-US" w:eastAsia="en-GB"/>
              </w:rPr>
              <w:t>0.059</w:t>
            </w:r>
          </w:p>
        </w:tc>
        <w:tc>
          <w:tcPr>
            <w:tcW w:w="319" w:type="pct"/>
            <w:tcBorders>
              <w:top w:val="nil"/>
              <w:left w:val="nil"/>
              <w:bottom w:val="nil"/>
              <w:right w:val="nil"/>
            </w:tcBorders>
            <w:shd w:val="clear" w:color="auto" w:fill="auto"/>
            <w:vAlign w:val="center"/>
            <w:hideMark/>
          </w:tcPr>
          <w:p w14:paraId="5AFA32F7" w14:textId="77777777" w:rsidR="006F3C05" w:rsidRPr="00E53C4F" w:rsidRDefault="006F3C05" w:rsidP="006F3C05">
            <w:pPr>
              <w:pStyle w:val="NoSpacing"/>
              <w:rPr>
                <w:rFonts w:eastAsia="Times New Roman"/>
                <w:b/>
                <w:sz w:val="18"/>
                <w:lang w:eastAsia="en-GB"/>
              </w:rPr>
            </w:pPr>
            <w:r w:rsidRPr="00E53C4F">
              <w:rPr>
                <w:rFonts w:eastAsia="Times New Roman"/>
                <w:b/>
                <w:sz w:val="18"/>
                <w:lang w:val="en-US" w:eastAsia="en-GB"/>
              </w:rPr>
              <w:t>0.042</w:t>
            </w:r>
          </w:p>
        </w:tc>
        <w:tc>
          <w:tcPr>
            <w:tcW w:w="323" w:type="pct"/>
            <w:tcBorders>
              <w:top w:val="nil"/>
              <w:left w:val="nil"/>
              <w:bottom w:val="nil"/>
              <w:right w:val="nil"/>
            </w:tcBorders>
            <w:shd w:val="clear" w:color="auto" w:fill="auto"/>
            <w:vAlign w:val="center"/>
            <w:hideMark/>
          </w:tcPr>
          <w:p w14:paraId="4B821342" w14:textId="77777777" w:rsidR="006F3C05" w:rsidRPr="00E53C4F" w:rsidRDefault="006F3C05" w:rsidP="006F3C05">
            <w:pPr>
              <w:pStyle w:val="NoSpacing"/>
              <w:rPr>
                <w:rFonts w:eastAsia="Times New Roman"/>
                <w:b/>
                <w:sz w:val="18"/>
                <w:lang w:eastAsia="en-GB"/>
              </w:rPr>
            </w:pPr>
            <w:r w:rsidRPr="00E53C4F">
              <w:rPr>
                <w:rFonts w:eastAsia="Times New Roman"/>
                <w:b/>
                <w:sz w:val="18"/>
                <w:lang w:val="en-US" w:eastAsia="en-GB"/>
              </w:rPr>
              <w:t>0.075</w:t>
            </w:r>
          </w:p>
        </w:tc>
      </w:tr>
      <w:tr w:rsidR="006F3C05" w:rsidRPr="00C07F2E" w14:paraId="25E0EDB7" w14:textId="77777777" w:rsidTr="006F3C05">
        <w:trPr>
          <w:trHeight w:val="160"/>
        </w:trPr>
        <w:tc>
          <w:tcPr>
            <w:tcW w:w="334" w:type="pct"/>
            <w:tcBorders>
              <w:top w:val="nil"/>
              <w:left w:val="nil"/>
              <w:bottom w:val="nil"/>
              <w:right w:val="nil"/>
            </w:tcBorders>
            <w:shd w:val="clear" w:color="auto" w:fill="auto"/>
            <w:noWrap/>
            <w:vAlign w:val="bottom"/>
            <w:hideMark/>
          </w:tcPr>
          <w:p w14:paraId="5159CF73" w14:textId="77777777" w:rsidR="006F3C05" w:rsidRPr="00C07F2E" w:rsidRDefault="006F3C05" w:rsidP="006F3C05">
            <w:pPr>
              <w:pStyle w:val="NoSpacing"/>
              <w:rPr>
                <w:rFonts w:eastAsia="Times New Roman"/>
                <w:sz w:val="18"/>
                <w:lang w:eastAsia="en-GB"/>
              </w:rPr>
            </w:pPr>
          </w:p>
        </w:tc>
        <w:tc>
          <w:tcPr>
            <w:tcW w:w="404" w:type="pct"/>
            <w:tcBorders>
              <w:top w:val="nil"/>
              <w:left w:val="nil"/>
              <w:bottom w:val="nil"/>
              <w:right w:val="nil"/>
            </w:tcBorders>
            <w:shd w:val="clear" w:color="auto" w:fill="auto"/>
            <w:vAlign w:val="center"/>
            <w:hideMark/>
          </w:tcPr>
          <w:p w14:paraId="7D785114"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Total</w:t>
            </w:r>
          </w:p>
        </w:tc>
        <w:tc>
          <w:tcPr>
            <w:tcW w:w="367" w:type="pct"/>
            <w:tcBorders>
              <w:top w:val="nil"/>
              <w:left w:val="nil"/>
              <w:bottom w:val="nil"/>
              <w:right w:val="nil"/>
            </w:tcBorders>
            <w:shd w:val="clear" w:color="auto" w:fill="auto"/>
            <w:vAlign w:val="center"/>
            <w:hideMark/>
          </w:tcPr>
          <w:p w14:paraId="0BCB7876"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125</w:t>
            </w:r>
          </w:p>
        </w:tc>
        <w:tc>
          <w:tcPr>
            <w:tcW w:w="374" w:type="pct"/>
            <w:tcBorders>
              <w:top w:val="nil"/>
              <w:left w:val="nil"/>
              <w:bottom w:val="nil"/>
              <w:right w:val="nil"/>
            </w:tcBorders>
            <w:shd w:val="clear" w:color="auto" w:fill="auto"/>
            <w:vAlign w:val="center"/>
            <w:hideMark/>
          </w:tcPr>
          <w:p w14:paraId="17D8F4A7"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0.073</w:t>
            </w:r>
          </w:p>
        </w:tc>
        <w:tc>
          <w:tcPr>
            <w:tcW w:w="319" w:type="pct"/>
            <w:tcBorders>
              <w:top w:val="nil"/>
              <w:left w:val="nil"/>
              <w:bottom w:val="nil"/>
              <w:right w:val="nil"/>
            </w:tcBorders>
            <w:shd w:val="clear" w:color="auto" w:fill="auto"/>
            <w:vAlign w:val="center"/>
            <w:hideMark/>
          </w:tcPr>
          <w:p w14:paraId="792E5D77"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0.021</w:t>
            </w:r>
          </w:p>
        </w:tc>
        <w:tc>
          <w:tcPr>
            <w:tcW w:w="398" w:type="pct"/>
            <w:tcBorders>
              <w:top w:val="nil"/>
              <w:left w:val="nil"/>
              <w:bottom w:val="nil"/>
              <w:right w:val="nil"/>
            </w:tcBorders>
            <w:shd w:val="clear" w:color="auto" w:fill="auto"/>
            <w:vAlign w:val="center"/>
            <w:hideMark/>
          </w:tcPr>
          <w:p w14:paraId="02C4A448"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0.073</w:t>
            </w:r>
          </w:p>
        </w:tc>
        <w:tc>
          <w:tcPr>
            <w:tcW w:w="319" w:type="pct"/>
            <w:tcBorders>
              <w:top w:val="nil"/>
              <w:left w:val="nil"/>
              <w:bottom w:val="nil"/>
              <w:right w:val="nil"/>
            </w:tcBorders>
            <w:shd w:val="clear" w:color="auto" w:fill="auto"/>
            <w:vAlign w:val="center"/>
            <w:hideMark/>
          </w:tcPr>
          <w:p w14:paraId="4CDF0FFC"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0.033</w:t>
            </w:r>
          </w:p>
        </w:tc>
        <w:tc>
          <w:tcPr>
            <w:tcW w:w="322" w:type="pct"/>
            <w:tcBorders>
              <w:top w:val="nil"/>
              <w:left w:val="nil"/>
              <w:bottom w:val="nil"/>
              <w:right w:val="nil"/>
            </w:tcBorders>
            <w:shd w:val="clear" w:color="auto" w:fill="auto"/>
            <w:vAlign w:val="center"/>
            <w:hideMark/>
          </w:tcPr>
          <w:p w14:paraId="2475085F"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0.149</w:t>
            </w:r>
          </w:p>
        </w:tc>
        <w:tc>
          <w:tcPr>
            <w:tcW w:w="125" w:type="pct"/>
            <w:tcBorders>
              <w:top w:val="nil"/>
              <w:left w:val="nil"/>
              <w:bottom w:val="nil"/>
              <w:right w:val="nil"/>
            </w:tcBorders>
            <w:shd w:val="clear" w:color="auto" w:fill="auto"/>
            <w:vAlign w:val="center"/>
            <w:hideMark/>
          </w:tcPr>
          <w:p w14:paraId="38CEFC7A" w14:textId="77777777" w:rsidR="006F3C05" w:rsidRPr="00C07F2E" w:rsidRDefault="006F3C05" w:rsidP="006F3C05">
            <w:pPr>
              <w:pStyle w:val="NoSpacing"/>
              <w:rPr>
                <w:rFonts w:eastAsia="Times New Roman"/>
                <w:sz w:val="18"/>
                <w:lang w:eastAsia="en-GB"/>
              </w:rPr>
            </w:pPr>
          </w:p>
        </w:tc>
        <w:tc>
          <w:tcPr>
            <w:tcW w:w="403" w:type="pct"/>
            <w:tcBorders>
              <w:top w:val="nil"/>
              <w:left w:val="nil"/>
              <w:bottom w:val="nil"/>
              <w:right w:val="nil"/>
            </w:tcBorders>
            <w:shd w:val="clear" w:color="auto" w:fill="auto"/>
            <w:vAlign w:val="center"/>
            <w:hideMark/>
          </w:tcPr>
          <w:p w14:paraId="77B8B799"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125</w:t>
            </w:r>
          </w:p>
        </w:tc>
        <w:tc>
          <w:tcPr>
            <w:tcW w:w="275" w:type="pct"/>
            <w:tcBorders>
              <w:top w:val="nil"/>
              <w:left w:val="nil"/>
              <w:bottom w:val="nil"/>
              <w:right w:val="nil"/>
            </w:tcBorders>
            <w:shd w:val="clear" w:color="auto" w:fill="auto"/>
            <w:vAlign w:val="center"/>
            <w:hideMark/>
          </w:tcPr>
          <w:p w14:paraId="04685C46"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0.04</w:t>
            </w:r>
          </w:p>
        </w:tc>
        <w:tc>
          <w:tcPr>
            <w:tcW w:w="319" w:type="pct"/>
            <w:tcBorders>
              <w:top w:val="nil"/>
              <w:left w:val="nil"/>
              <w:bottom w:val="nil"/>
              <w:right w:val="nil"/>
            </w:tcBorders>
            <w:shd w:val="clear" w:color="auto" w:fill="auto"/>
            <w:vAlign w:val="center"/>
            <w:hideMark/>
          </w:tcPr>
          <w:p w14:paraId="32A8AE4A"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0.015</w:t>
            </w:r>
          </w:p>
        </w:tc>
        <w:tc>
          <w:tcPr>
            <w:tcW w:w="399" w:type="pct"/>
            <w:tcBorders>
              <w:top w:val="nil"/>
              <w:left w:val="nil"/>
              <w:bottom w:val="nil"/>
              <w:right w:val="nil"/>
            </w:tcBorders>
            <w:shd w:val="clear" w:color="auto" w:fill="auto"/>
            <w:vAlign w:val="center"/>
            <w:hideMark/>
          </w:tcPr>
          <w:p w14:paraId="0C3323F4"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0.035</w:t>
            </w:r>
          </w:p>
        </w:tc>
        <w:tc>
          <w:tcPr>
            <w:tcW w:w="319" w:type="pct"/>
            <w:tcBorders>
              <w:top w:val="nil"/>
              <w:left w:val="nil"/>
              <w:bottom w:val="nil"/>
              <w:right w:val="nil"/>
            </w:tcBorders>
            <w:shd w:val="clear" w:color="auto" w:fill="auto"/>
            <w:vAlign w:val="center"/>
            <w:hideMark/>
          </w:tcPr>
          <w:p w14:paraId="20F6FDAB"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0.016</w:t>
            </w:r>
          </w:p>
        </w:tc>
        <w:tc>
          <w:tcPr>
            <w:tcW w:w="323" w:type="pct"/>
            <w:tcBorders>
              <w:top w:val="nil"/>
              <w:left w:val="nil"/>
              <w:bottom w:val="nil"/>
              <w:right w:val="nil"/>
            </w:tcBorders>
            <w:shd w:val="clear" w:color="auto" w:fill="auto"/>
            <w:vAlign w:val="center"/>
            <w:hideMark/>
          </w:tcPr>
          <w:p w14:paraId="3E6E3B2C"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0.118</w:t>
            </w:r>
          </w:p>
        </w:tc>
      </w:tr>
      <w:tr w:rsidR="006F3C05" w:rsidRPr="00C07F2E" w14:paraId="7A4BCB05" w14:textId="77777777" w:rsidTr="006F3C05">
        <w:trPr>
          <w:trHeight w:val="160"/>
        </w:trPr>
        <w:tc>
          <w:tcPr>
            <w:tcW w:w="334" w:type="pct"/>
            <w:tcBorders>
              <w:top w:val="nil"/>
              <w:left w:val="nil"/>
              <w:bottom w:val="single" w:sz="4" w:space="0" w:color="auto"/>
              <w:right w:val="nil"/>
            </w:tcBorders>
            <w:shd w:val="clear" w:color="auto" w:fill="auto"/>
            <w:noWrap/>
            <w:vAlign w:val="bottom"/>
            <w:hideMark/>
          </w:tcPr>
          <w:p w14:paraId="410C3A15" w14:textId="77777777" w:rsidR="006F3C05" w:rsidRPr="00C07F2E" w:rsidRDefault="006F3C05" w:rsidP="006F3C05">
            <w:pPr>
              <w:pStyle w:val="NoSpacing"/>
              <w:rPr>
                <w:rFonts w:eastAsia="Times New Roman"/>
                <w:sz w:val="18"/>
                <w:lang w:eastAsia="en-GB"/>
              </w:rPr>
            </w:pPr>
            <w:r w:rsidRPr="00C07F2E">
              <w:rPr>
                <w:rFonts w:eastAsia="Times New Roman"/>
                <w:sz w:val="18"/>
                <w:lang w:eastAsia="en-GB"/>
              </w:rPr>
              <w:t> </w:t>
            </w:r>
          </w:p>
        </w:tc>
        <w:tc>
          <w:tcPr>
            <w:tcW w:w="404" w:type="pct"/>
            <w:tcBorders>
              <w:top w:val="nil"/>
              <w:left w:val="nil"/>
              <w:bottom w:val="single" w:sz="4" w:space="0" w:color="auto"/>
              <w:right w:val="nil"/>
            </w:tcBorders>
            <w:shd w:val="clear" w:color="auto" w:fill="auto"/>
            <w:vAlign w:val="center"/>
            <w:hideMark/>
          </w:tcPr>
          <w:p w14:paraId="0D1CFEBD"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p value</w:t>
            </w:r>
          </w:p>
        </w:tc>
        <w:tc>
          <w:tcPr>
            <w:tcW w:w="367" w:type="pct"/>
            <w:tcBorders>
              <w:top w:val="nil"/>
              <w:left w:val="nil"/>
              <w:bottom w:val="single" w:sz="4" w:space="0" w:color="auto"/>
              <w:right w:val="nil"/>
            </w:tcBorders>
            <w:shd w:val="clear" w:color="auto" w:fill="auto"/>
            <w:vAlign w:val="center"/>
            <w:hideMark/>
          </w:tcPr>
          <w:p w14:paraId="2C655A99"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0.017</w:t>
            </w:r>
          </w:p>
        </w:tc>
        <w:tc>
          <w:tcPr>
            <w:tcW w:w="374" w:type="pct"/>
            <w:tcBorders>
              <w:top w:val="nil"/>
              <w:left w:val="nil"/>
              <w:bottom w:val="single" w:sz="4" w:space="0" w:color="auto"/>
              <w:right w:val="nil"/>
            </w:tcBorders>
            <w:shd w:val="clear" w:color="auto" w:fill="auto"/>
            <w:vAlign w:val="center"/>
            <w:hideMark/>
          </w:tcPr>
          <w:p w14:paraId="4751736D"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 </w:t>
            </w:r>
          </w:p>
        </w:tc>
        <w:tc>
          <w:tcPr>
            <w:tcW w:w="319" w:type="pct"/>
            <w:tcBorders>
              <w:top w:val="nil"/>
              <w:left w:val="nil"/>
              <w:bottom w:val="single" w:sz="4" w:space="0" w:color="auto"/>
              <w:right w:val="nil"/>
            </w:tcBorders>
            <w:shd w:val="clear" w:color="auto" w:fill="auto"/>
            <w:vAlign w:val="center"/>
            <w:hideMark/>
          </w:tcPr>
          <w:p w14:paraId="1AC60041"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 </w:t>
            </w:r>
          </w:p>
        </w:tc>
        <w:tc>
          <w:tcPr>
            <w:tcW w:w="398" w:type="pct"/>
            <w:tcBorders>
              <w:top w:val="nil"/>
              <w:left w:val="nil"/>
              <w:bottom w:val="single" w:sz="4" w:space="0" w:color="auto"/>
              <w:right w:val="nil"/>
            </w:tcBorders>
            <w:shd w:val="clear" w:color="auto" w:fill="auto"/>
            <w:vAlign w:val="center"/>
            <w:hideMark/>
          </w:tcPr>
          <w:p w14:paraId="3904876B"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 </w:t>
            </w:r>
          </w:p>
        </w:tc>
        <w:tc>
          <w:tcPr>
            <w:tcW w:w="319" w:type="pct"/>
            <w:tcBorders>
              <w:top w:val="nil"/>
              <w:left w:val="nil"/>
              <w:bottom w:val="single" w:sz="4" w:space="0" w:color="auto"/>
              <w:right w:val="nil"/>
            </w:tcBorders>
            <w:shd w:val="clear" w:color="auto" w:fill="auto"/>
            <w:vAlign w:val="center"/>
            <w:hideMark/>
          </w:tcPr>
          <w:p w14:paraId="7DCBEA7C"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 </w:t>
            </w:r>
          </w:p>
        </w:tc>
        <w:tc>
          <w:tcPr>
            <w:tcW w:w="322" w:type="pct"/>
            <w:tcBorders>
              <w:top w:val="nil"/>
              <w:left w:val="nil"/>
              <w:bottom w:val="single" w:sz="4" w:space="0" w:color="auto"/>
              <w:right w:val="nil"/>
            </w:tcBorders>
            <w:shd w:val="clear" w:color="auto" w:fill="auto"/>
            <w:vAlign w:val="center"/>
            <w:hideMark/>
          </w:tcPr>
          <w:p w14:paraId="12EF965A"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 </w:t>
            </w:r>
          </w:p>
        </w:tc>
        <w:tc>
          <w:tcPr>
            <w:tcW w:w="125" w:type="pct"/>
            <w:tcBorders>
              <w:top w:val="nil"/>
              <w:left w:val="nil"/>
              <w:bottom w:val="single" w:sz="4" w:space="0" w:color="auto"/>
              <w:right w:val="nil"/>
            </w:tcBorders>
            <w:shd w:val="clear" w:color="auto" w:fill="auto"/>
            <w:noWrap/>
            <w:vAlign w:val="bottom"/>
            <w:hideMark/>
          </w:tcPr>
          <w:p w14:paraId="0C67C58D" w14:textId="77777777" w:rsidR="006F3C05" w:rsidRPr="00C07F2E" w:rsidRDefault="006F3C05" w:rsidP="006F3C05">
            <w:pPr>
              <w:pStyle w:val="NoSpacing"/>
              <w:rPr>
                <w:rFonts w:eastAsia="Times New Roman"/>
                <w:sz w:val="18"/>
                <w:lang w:eastAsia="en-GB"/>
              </w:rPr>
            </w:pPr>
            <w:r w:rsidRPr="00C07F2E">
              <w:rPr>
                <w:rFonts w:eastAsia="Times New Roman"/>
                <w:sz w:val="18"/>
                <w:lang w:eastAsia="en-GB"/>
              </w:rPr>
              <w:t> </w:t>
            </w:r>
          </w:p>
        </w:tc>
        <w:tc>
          <w:tcPr>
            <w:tcW w:w="403" w:type="pct"/>
            <w:tcBorders>
              <w:top w:val="nil"/>
              <w:left w:val="nil"/>
              <w:bottom w:val="single" w:sz="4" w:space="0" w:color="auto"/>
              <w:right w:val="nil"/>
            </w:tcBorders>
            <w:shd w:val="clear" w:color="auto" w:fill="auto"/>
            <w:vAlign w:val="center"/>
            <w:hideMark/>
          </w:tcPr>
          <w:p w14:paraId="0412774F"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&lt; 0.001</w:t>
            </w:r>
          </w:p>
        </w:tc>
        <w:tc>
          <w:tcPr>
            <w:tcW w:w="275" w:type="pct"/>
            <w:tcBorders>
              <w:top w:val="nil"/>
              <w:left w:val="nil"/>
              <w:bottom w:val="single" w:sz="4" w:space="0" w:color="auto"/>
              <w:right w:val="nil"/>
            </w:tcBorders>
            <w:shd w:val="clear" w:color="auto" w:fill="auto"/>
            <w:vAlign w:val="center"/>
            <w:hideMark/>
          </w:tcPr>
          <w:p w14:paraId="5377D74F"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 </w:t>
            </w:r>
          </w:p>
        </w:tc>
        <w:tc>
          <w:tcPr>
            <w:tcW w:w="319" w:type="pct"/>
            <w:tcBorders>
              <w:top w:val="nil"/>
              <w:left w:val="nil"/>
              <w:bottom w:val="single" w:sz="4" w:space="0" w:color="auto"/>
              <w:right w:val="nil"/>
            </w:tcBorders>
            <w:shd w:val="clear" w:color="auto" w:fill="auto"/>
            <w:vAlign w:val="center"/>
            <w:hideMark/>
          </w:tcPr>
          <w:p w14:paraId="378BC1B9"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 </w:t>
            </w:r>
          </w:p>
        </w:tc>
        <w:tc>
          <w:tcPr>
            <w:tcW w:w="399" w:type="pct"/>
            <w:tcBorders>
              <w:top w:val="nil"/>
              <w:left w:val="nil"/>
              <w:bottom w:val="single" w:sz="4" w:space="0" w:color="auto"/>
              <w:right w:val="nil"/>
            </w:tcBorders>
            <w:shd w:val="clear" w:color="auto" w:fill="auto"/>
            <w:vAlign w:val="center"/>
            <w:hideMark/>
          </w:tcPr>
          <w:p w14:paraId="0793AFC0"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 </w:t>
            </w:r>
          </w:p>
        </w:tc>
        <w:tc>
          <w:tcPr>
            <w:tcW w:w="319" w:type="pct"/>
            <w:tcBorders>
              <w:top w:val="nil"/>
              <w:left w:val="nil"/>
              <w:bottom w:val="single" w:sz="4" w:space="0" w:color="auto"/>
              <w:right w:val="nil"/>
            </w:tcBorders>
            <w:shd w:val="clear" w:color="auto" w:fill="auto"/>
            <w:vAlign w:val="center"/>
            <w:hideMark/>
          </w:tcPr>
          <w:p w14:paraId="47CA0E8C"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 </w:t>
            </w:r>
          </w:p>
        </w:tc>
        <w:tc>
          <w:tcPr>
            <w:tcW w:w="323" w:type="pct"/>
            <w:tcBorders>
              <w:top w:val="nil"/>
              <w:left w:val="nil"/>
              <w:bottom w:val="single" w:sz="4" w:space="0" w:color="auto"/>
              <w:right w:val="nil"/>
            </w:tcBorders>
            <w:shd w:val="clear" w:color="auto" w:fill="auto"/>
            <w:vAlign w:val="center"/>
            <w:hideMark/>
          </w:tcPr>
          <w:p w14:paraId="2D9CFABC"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 </w:t>
            </w:r>
          </w:p>
        </w:tc>
      </w:tr>
      <w:tr w:rsidR="006F3C05" w:rsidRPr="00C07F2E" w14:paraId="727D3AEF" w14:textId="77777777" w:rsidTr="006F3C05">
        <w:trPr>
          <w:trHeight w:val="279"/>
        </w:trPr>
        <w:tc>
          <w:tcPr>
            <w:tcW w:w="334" w:type="pct"/>
            <w:tcBorders>
              <w:top w:val="nil"/>
              <w:left w:val="nil"/>
              <w:bottom w:val="single" w:sz="4" w:space="0" w:color="auto"/>
              <w:right w:val="nil"/>
            </w:tcBorders>
            <w:shd w:val="clear" w:color="000000" w:fill="F2F2F2"/>
            <w:noWrap/>
            <w:vAlign w:val="bottom"/>
            <w:hideMark/>
          </w:tcPr>
          <w:p w14:paraId="48B87F05" w14:textId="77777777" w:rsidR="006F3C05" w:rsidRPr="00C07F2E" w:rsidRDefault="006F3C05" w:rsidP="006F3C05">
            <w:pPr>
              <w:pStyle w:val="NoSpacing"/>
              <w:rPr>
                <w:rFonts w:eastAsia="Times New Roman"/>
                <w:sz w:val="18"/>
                <w:lang w:eastAsia="en-GB"/>
              </w:rPr>
            </w:pPr>
            <w:r w:rsidRPr="00C07F2E">
              <w:rPr>
                <w:rFonts w:eastAsia="Times New Roman"/>
                <w:sz w:val="18"/>
                <w:lang w:eastAsia="en-GB"/>
              </w:rPr>
              <w:t> </w:t>
            </w:r>
          </w:p>
        </w:tc>
        <w:tc>
          <w:tcPr>
            <w:tcW w:w="404" w:type="pct"/>
            <w:tcBorders>
              <w:top w:val="nil"/>
              <w:left w:val="nil"/>
              <w:bottom w:val="single" w:sz="4" w:space="0" w:color="auto"/>
              <w:right w:val="nil"/>
            </w:tcBorders>
            <w:shd w:val="clear" w:color="000000" w:fill="F2F2F2"/>
            <w:vAlign w:val="center"/>
            <w:hideMark/>
          </w:tcPr>
          <w:p w14:paraId="68EDB490"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Age 17</w:t>
            </w:r>
          </w:p>
        </w:tc>
        <w:tc>
          <w:tcPr>
            <w:tcW w:w="2100" w:type="pct"/>
            <w:gridSpan w:val="6"/>
            <w:tcBorders>
              <w:top w:val="single" w:sz="4" w:space="0" w:color="auto"/>
              <w:left w:val="nil"/>
              <w:bottom w:val="single" w:sz="4" w:space="0" w:color="auto"/>
              <w:right w:val="nil"/>
            </w:tcBorders>
            <w:shd w:val="clear" w:color="000000" w:fill="F2F2F2"/>
            <w:vAlign w:val="center"/>
            <w:hideMark/>
          </w:tcPr>
          <w:p w14:paraId="0234D8AD"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cg01379158</w:t>
            </w:r>
          </w:p>
        </w:tc>
        <w:tc>
          <w:tcPr>
            <w:tcW w:w="125" w:type="pct"/>
            <w:tcBorders>
              <w:top w:val="nil"/>
              <w:left w:val="nil"/>
              <w:bottom w:val="single" w:sz="4" w:space="0" w:color="auto"/>
              <w:right w:val="nil"/>
            </w:tcBorders>
            <w:shd w:val="clear" w:color="000000" w:fill="F2F2F2"/>
            <w:noWrap/>
            <w:vAlign w:val="bottom"/>
            <w:hideMark/>
          </w:tcPr>
          <w:p w14:paraId="40690897" w14:textId="77777777" w:rsidR="006F3C05" w:rsidRPr="00C07F2E" w:rsidRDefault="006F3C05" w:rsidP="006F3C05">
            <w:pPr>
              <w:pStyle w:val="NoSpacing"/>
              <w:rPr>
                <w:rFonts w:eastAsia="Times New Roman"/>
                <w:sz w:val="18"/>
                <w:lang w:eastAsia="en-GB"/>
              </w:rPr>
            </w:pPr>
            <w:r w:rsidRPr="00C07F2E">
              <w:rPr>
                <w:rFonts w:eastAsia="Times New Roman"/>
                <w:sz w:val="18"/>
                <w:lang w:eastAsia="en-GB"/>
              </w:rPr>
              <w:t> </w:t>
            </w:r>
          </w:p>
        </w:tc>
        <w:tc>
          <w:tcPr>
            <w:tcW w:w="403" w:type="pct"/>
            <w:tcBorders>
              <w:top w:val="nil"/>
              <w:left w:val="nil"/>
              <w:bottom w:val="single" w:sz="4" w:space="0" w:color="auto"/>
              <w:right w:val="nil"/>
            </w:tcBorders>
            <w:shd w:val="clear" w:color="000000" w:fill="F2F2F2"/>
            <w:vAlign w:val="center"/>
            <w:hideMark/>
          </w:tcPr>
          <w:p w14:paraId="187B54FD" w14:textId="77777777" w:rsidR="006F3C05" w:rsidRPr="00C07F2E" w:rsidRDefault="006F3C05" w:rsidP="006F3C05">
            <w:pPr>
              <w:pStyle w:val="NoSpacing"/>
              <w:rPr>
                <w:rFonts w:eastAsia="Times New Roman"/>
                <w:sz w:val="18"/>
                <w:lang w:eastAsia="en-GB"/>
              </w:rPr>
            </w:pPr>
            <w:r w:rsidRPr="00C07F2E">
              <w:rPr>
                <w:rFonts w:eastAsia="Times New Roman"/>
                <w:sz w:val="18"/>
                <w:lang w:eastAsia="en-GB"/>
              </w:rPr>
              <w:t>Age 17</w:t>
            </w:r>
          </w:p>
        </w:tc>
        <w:tc>
          <w:tcPr>
            <w:tcW w:w="1635" w:type="pct"/>
            <w:gridSpan w:val="5"/>
            <w:tcBorders>
              <w:top w:val="single" w:sz="4" w:space="0" w:color="auto"/>
              <w:left w:val="nil"/>
              <w:bottom w:val="single" w:sz="4" w:space="0" w:color="auto"/>
              <w:right w:val="nil"/>
            </w:tcBorders>
            <w:shd w:val="clear" w:color="000000" w:fill="F2F2F2"/>
            <w:vAlign w:val="center"/>
            <w:hideMark/>
          </w:tcPr>
          <w:p w14:paraId="4E782701"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cg11531579</w:t>
            </w:r>
          </w:p>
        </w:tc>
      </w:tr>
      <w:tr w:rsidR="006F3C05" w:rsidRPr="00C07F2E" w14:paraId="682E57F4" w14:textId="77777777" w:rsidTr="006F3C05">
        <w:trPr>
          <w:trHeight w:val="321"/>
        </w:trPr>
        <w:tc>
          <w:tcPr>
            <w:tcW w:w="334" w:type="pct"/>
            <w:vMerge w:val="restart"/>
            <w:tcBorders>
              <w:top w:val="nil"/>
              <w:left w:val="nil"/>
              <w:bottom w:val="nil"/>
              <w:right w:val="nil"/>
            </w:tcBorders>
            <w:shd w:val="clear" w:color="auto" w:fill="auto"/>
            <w:vAlign w:val="center"/>
            <w:hideMark/>
          </w:tcPr>
          <w:p w14:paraId="494AE067" w14:textId="77777777" w:rsidR="006F3C05" w:rsidRPr="00C07F2E" w:rsidRDefault="006F3C05" w:rsidP="006F3C05">
            <w:pPr>
              <w:pStyle w:val="NoSpacing"/>
              <w:rPr>
                <w:rFonts w:eastAsia="Times New Roman"/>
                <w:sz w:val="18"/>
                <w:lang w:eastAsia="en-GB"/>
              </w:rPr>
            </w:pPr>
            <w:r w:rsidRPr="00C07F2E">
              <w:rPr>
                <w:rFonts w:eastAsia="Times New Roman"/>
                <w:sz w:val="18"/>
                <w:lang w:eastAsia="en-GB"/>
              </w:rPr>
              <w:t>No RWG</w:t>
            </w:r>
          </w:p>
        </w:tc>
        <w:tc>
          <w:tcPr>
            <w:tcW w:w="404" w:type="pct"/>
            <w:tcBorders>
              <w:top w:val="nil"/>
              <w:left w:val="nil"/>
              <w:bottom w:val="nil"/>
              <w:right w:val="nil"/>
            </w:tcBorders>
            <w:shd w:val="clear" w:color="auto" w:fill="auto"/>
            <w:vAlign w:val="center"/>
            <w:hideMark/>
          </w:tcPr>
          <w:p w14:paraId="588FB9BD"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Healthy weight</w:t>
            </w:r>
          </w:p>
        </w:tc>
        <w:tc>
          <w:tcPr>
            <w:tcW w:w="367" w:type="pct"/>
            <w:tcBorders>
              <w:top w:val="nil"/>
              <w:left w:val="nil"/>
              <w:bottom w:val="nil"/>
              <w:right w:val="nil"/>
            </w:tcBorders>
            <w:shd w:val="clear" w:color="auto" w:fill="auto"/>
            <w:vAlign w:val="center"/>
            <w:hideMark/>
          </w:tcPr>
          <w:p w14:paraId="1CD57E33"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54</w:t>
            </w:r>
          </w:p>
        </w:tc>
        <w:tc>
          <w:tcPr>
            <w:tcW w:w="374" w:type="pct"/>
            <w:tcBorders>
              <w:top w:val="nil"/>
              <w:left w:val="nil"/>
              <w:bottom w:val="nil"/>
              <w:right w:val="nil"/>
            </w:tcBorders>
            <w:shd w:val="clear" w:color="auto" w:fill="auto"/>
            <w:vAlign w:val="center"/>
            <w:hideMark/>
          </w:tcPr>
          <w:p w14:paraId="45572BA4"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0.069</w:t>
            </w:r>
          </w:p>
        </w:tc>
        <w:tc>
          <w:tcPr>
            <w:tcW w:w="319" w:type="pct"/>
            <w:tcBorders>
              <w:top w:val="nil"/>
              <w:left w:val="nil"/>
              <w:bottom w:val="nil"/>
              <w:right w:val="nil"/>
            </w:tcBorders>
            <w:shd w:val="clear" w:color="auto" w:fill="auto"/>
            <w:vAlign w:val="center"/>
            <w:hideMark/>
          </w:tcPr>
          <w:p w14:paraId="3C320680"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0.017</w:t>
            </w:r>
          </w:p>
        </w:tc>
        <w:tc>
          <w:tcPr>
            <w:tcW w:w="398" w:type="pct"/>
            <w:tcBorders>
              <w:top w:val="nil"/>
              <w:left w:val="nil"/>
              <w:bottom w:val="nil"/>
              <w:right w:val="nil"/>
            </w:tcBorders>
            <w:shd w:val="clear" w:color="auto" w:fill="auto"/>
            <w:vAlign w:val="center"/>
            <w:hideMark/>
          </w:tcPr>
          <w:p w14:paraId="663020C2"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0.069</w:t>
            </w:r>
          </w:p>
        </w:tc>
        <w:tc>
          <w:tcPr>
            <w:tcW w:w="319" w:type="pct"/>
            <w:tcBorders>
              <w:top w:val="nil"/>
              <w:left w:val="nil"/>
              <w:bottom w:val="nil"/>
              <w:right w:val="nil"/>
            </w:tcBorders>
            <w:shd w:val="clear" w:color="auto" w:fill="auto"/>
            <w:vAlign w:val="center"/>
            <w:hideMark/>
          </w:tcPr>
          <w:p w14:paraId="5F659E86"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0.039</w:t>
            </w:r>
          </w:p>
        </w:tc>
        <w:tc>
          <w:tcPr>
            <w:tcW w:w="322" w:type="pct"/>
            <w:tcBorders>
              <w:top w:val="nil"/>
              <w:left w:val="nil"/>
              <w:bottom w:val="nil"/>
              <w:right w:val="nil"/>
            </w:tcBorders>
            <w:shd w:val="clear" w:color="auto" w:fill="auto"/>
            <w:vAlign w:val="center"/>
            <w:hideMark/>
          </w:tcPr>
          <w:p w14:paraId="587F51AC"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0.103</w:t>
            </w:r>
          </w:p>
        </w:tc>
        <w:tc>
          <w:tcPr>
            <w:tcW w:w="125" w:type="pct"/>
            <w:tcBorders>
              <w:top w:val="nil"/>
              <w:left w:val="nil"/>
              <w:bottom w:val="nil"/>
              <w:right w:val="nil"/>
            </w:tcBorders>
            <w:shd w:val="clear" w:color="auto" w:fill="auto"/>
            <w:vAlign w:val="center"/>
            <w:hideMark/>
          </w:tcPr>
          <w:p w14:paraId="276D08E8" w14:textId="77777777" w:rsidR="006F3C05" w:rsidRPr="00C07F2E" w:rsidRDefault="006F3C05" w:rsidP="006F3C05">
            <w:pPr>
              <w:pStyle w:val="NoSpacing"/>
              <w:rPr>
                <w:rFonts w:eastAsia="Times New Roman"/>
                <w:sz w:val="18"/>
                <w:lang w:eastAsia="en-GB"/>
              </w:rPr>
            </w:pPr>
          </w:p>
        </w:tc>
        <w:tc>
          <w:tcPr>
            <w:tcW w:w="403" w:type="pct"/>
            <w:tcBorders>
              <w:top w:val="nil"/>
              <w:left w:val="nil"/>
              <w:bottom w:val="nil"/>
              <w:right w:val="nil"/>
            </w:tcBorders>
            <w:shd w:val="clear" w:color="auto" w:fill="auto"/>
            <w:vAlign w:val="center"/>
            <w:hideMark/>
          </w:tcPr>
          <w:p w14:paraId="1CFB6275"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54</w:t>
            </w:r>
          </w:p>
        </w:tc>
        <w:tc>
          <w:tcPr>
            <w:tcW w:w="275" w:type="pct"/>
            <w:tcBorders>
              <w:top w:val="nil"/>
              <w:left w:val="nil"/>
              <w:bottom w:val="nil"/>
              <w:right w:val="nil"/>
            </w:tcBorders>
            <w:shd w:val="clear" w:color="auto" w:fill="auto"/>
            <w:vAlign w:val="center"/>
            <w:hideMark/>
          </w:tcPr>
          <w:p w14:paraId="72FCE27D"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0.036</w:t>
            </w:r>
          </w:p>
        </w:tc>
        <w:tc>
          <w:tcPr>
            <w:tcW w:w="319" w:type="pct"/>
            <w:tcBorders>
              <w:top w:val="nil"/>
              <w:left w:val="nil"/>
              <w:bottom w:val="nil"/>
              <w:right w:val="nil"/>
            </w:tcBorders>
            <w:shd w:val="clear" w:color="auto" w:fill="auto"/>
            <w:vAlign w:val="center"/>
            <w:hideMark/>
          </w:tcPr>
          <w:p w14:paraId="6A89DA41"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0.012</w:t>
            </w:r>
          </w:p>
        </w:tc>
        <w:tc>
          <w:tcPr>
            <w:tcW w:w="399" w:type="pct"/>
            <w:tcBorders>
              <w:top w:val="nil"/>
              <w:left w:val="nil"/>
              <w:bottom w:val="nil"/>
              <w:right w:val="nil"/>
            </w:tcBorders>
            <w:shd w:val="clear" w:color="auto" w:fill="auto"/>
            <w:vAlign w:val="center"/>
            <w:hideMark/>
          </w:tcPr>
          <w:p w14:paraId="4586F1C4"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0.033</w:t>
            </w:r>
          </w:p>
        </w:tc>
        <w:tc>
          <w:tcPr>
            <w:tcW w:w="319" w:type="pct"/>
            <w:tcBorders>
              <w:top w:val="nil"/>
              <w:left w:val="nil"/>
              <w:bottom w:val="nil"/>
              <w:right w:val="nil"/>
            </w:tcBorders>
            <w:shd w:val="clear" w:color="auto" w:fill="auto"/>
            <w:vAlign w:val="center"/>
            <w:hideMark/>
          </w:tcPr>
          <w:p w14:paraId="64F5B33C"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0.023</w:t>
            </w:r>
          </w:p>
        </w:tc>
        <w:tc>
          <w:tcPr>
            <w:tcW w:w="323" w:type="pct"/>
            <w:tcBorders>
              <w:top w:val="nil"/>
              <w:left w:val="nil"/>
              <w:bottom w:val="nil"/>
              <w:right w:val="nil"/>
            </w:tcBorders>
            <w:shd w:val="clear" w:color="auto" w:fill="auto"/>
            <w:vAlign w:val="center"/>
            <w:hideMark/>
          </w:tcPr>
          <w:p w14:paraId="40E9E621"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0.084</w:t>
            </w:r>
          </w:p>
        </w:tc>
      </w:tr>
      <w:tr w:rsidR="006F3C05" w:rsidRPr="00C07F2E" w14:paraId="38AA4CB1" w14:textId="77777777" w:rsidTr="006F3C05">
        <w:trPr>
          <w:trHeight w:val="160"/>
        </w:trPr>
        <w:tc>
          <w:tcPr>
            <w:tcW w:w="334" w:type="pct"/>
            <w:vMerge/>
            <w:tcBorders>
              <w:top w:val="nil"/>
              <w:left w:val="nil"/>
              <w:bottom w:val="nil"/>
              <w:right w:val="nil"/>
            </w:tcBorders>
            <w:vAlign w:val="center"/>
            <w:hideMark/>
          </w:tcPr>
          <w:p w14:paraId="54F10EEB" w14:textId="77777777" w:rsidR="006F3C05" w:rsidRPr="00C07F2E" w:rsidRDefault="006F3C05" w:rsidP="006F3C05">
            <w:pPr>
              <w:pStyle w:val="NoSpacing"/>
              <w:rPr>
                <w:rFonts w:eastAsia="Times New Roman"/>
                <w:sz w:val="18"/>
                <w:lang w:eastAsia="en-GB"/>
              </w:rPr>
            </w:pPr>
          </w:p>
        </w:tc>
        <w:tc>
          <w:tcPr>
            <w:tcW w:w="404" w:type="pct"/>
            <w:tcBorders>
              <w:top w:val="nil"/>
              <w:left w:val="nil"/>
              <w:bottom w:val="nil"/>
              <w:right w:val="nil"/>
            </w:tcBorders>
            <w:shd w:val="clear" w:color="auto" w:fill="auto"/>
            <w:vAlign w:val="center"/>
            <w:hideMark/>
          </w:tcPr>
          <w:p w14:paraId="3ED64110"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OWOB</w:t>
            </w:r>
          </w:p>
        </w:tc>
        <w:tc>
          <w:tcPr>
            <w:tcW w:w="367" w:type="pct"/>
            <w:tcBorders>
              <w:top w:val="nil"/>
              <w:left w:val="nil"/>
              <w:bottom w:val="nil"/>
              <w:right w:val="nil"/>
            </w:tcBorders>
            <w:shd w:val="clear" w:color="auto" w:fill="auto"/>
            <w:vAlign w:val="center"/>
            <w:hideMark/>
          </w:tcPr>
          <w:p w14:paraId="3C8AC7AC"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19</w:t>
            </w:r>
          </w:p>
        </w:tc>
        <w:tc>
          <w:tcPr>
            <w:tcW w:w="374" w:type="pct"/>
            <w:tcBorders>
              <w:top w:val="nil"/>
              <w:left w:val="nil"/>
              <w:bottom w:val="nil"/>
              <w:right w:val="nil"/>
            </w:tcBorders>
            <w:shd w:val="clear" w:color="auto" w:fill="auto"/>
            <w:vAlign w:val="center"/>
            <w:hideMark/>
          </w:tcPr>
          <w:p w14:paraId="331AE88D"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0.068</w:t>
            </w:r>
          </w:p>
        </w:tc>
        <w:tc>
          <w:tcPr>
            <w:tcW w:w="319" w:type="pct"/>
            <w:tcBorders>
              <w:top w:val="nil"/>
              <w:left w:val="nil"/>
              <w:bottom w:val="nil"/>
              <w:right w:val="nil"/>
            </w:tcBorders>
            <w:shd w:val="clear" w:color="auto" w:fill="auto"/>
            <w:vAlign w:val="center"/>
            <w:hideMark/>
          </w:tcPr>
          <w:p w14:paraId="2A58459C"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0.018</w:t>
            </w:r>
          </w:p>
        </w:tc>
        <w:tc>
          <w:tcPr>
            <w:tcW w:w="398" w:type="pct"/>
            <w:tcBorders>
              <w:top w:val="nil"/>
              <w:left w:val="nil"/>
              <w:bottom w:val="nil"/>
              <w:right w:val="nil"/>
            </w:tcBorders>
            <w:shd w:val="clear" w:color="auto" w:fill="auto"/>
            <w:vAlign w:val="center"/>
            <w:hideMark/>
          </w:tcPr>
          <w:p w14:paraId="17734A17"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0.067</w:t>
            </w:r>
          </w:p>
        </w:tc>
        <w:tc>
          <w:tcPr>
            <w:tcW w:w="319" w:type="pct"/>
            <w:tcBorders>
              <w:top w:val="nil"/>
              <w:left w:val="nil"/>
              <w:bottom w:val="nil"/>
              <w:right w:val="nil"/>
            </w:tcBorders>
            <w:shd w:val="clear" w:color="auto" w:fill="auto"/>
            <w:vAlign w:val="center"/>
            <w:hideMark/>
          </w:tcPr>
          <w:p w14:paraId="3CEE14B8"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0.033</w:t>
            </w:r>
          </w:p>
        </w:tc>
        <w:tc>
          <w:tcPr>
            <w:tcW w:w="322" w:type="pct"/>
            <w:tcBorders>
              <w:top w:val="nil"/>
              <w:left w:val="nil"/>
              <w:bottom w:val="nil"/>
              <w:right w:val="nil"/>
            </w:tcBorders>
            <w:shd w:val="clear" w:color="auto" w:fill="auto"/>
            <w:vAlign w:val="center"/>
            <w:hideMark/>
          </w:tcPr>
          <w:p w14:paraId="149DB1CF"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0.106</w:t>
            </w:r>
          </w:p>
        </w:tc>
        <w:tc>
          <w:tcPr>
            <w:tcW w:w="125" w:type="pct"/>
            <w:tcBorders>
              <w:top w:val="nil"/>
              <w:left w:val="nil"/>
              <w:bottom w:val="nil"/>
              <w:right w:val="nil"/>
            </w:tcBorders>
            <w:shd w:val="clear" w:color="auto" w:fill="auto"/>
            <w:vAlign w:val="center"/>
            <w:hideMark/>
          </w:tcPr>
          <w:p w14:paraId="00BB194F" w14:textId="77777777" w:rsidR="006F3C05" w:rsidRPr="00C07F2E" w:rsidRDefault="006F3C05" w:rsidP="006F3C05">
            <w:pPr>
              <w:pStyle w:val="NoSpacing"/>
              <w:rPr>
                <w:rFonts w:eastAsia="Times New Roman"/>
                <w:sz w:val="18"/>
                <w:lang w:eastAsia="en-GB"/>
              </w:rPr>
            </w:pPr>
          </w:p>
        </w:tc>
        <w:tc>
          <w:tcPr>
            <w:tcW w:w="403" w:type="pct"/>
            <w:tcBorders>
              <w:top w:val="nil"/>
              <w:left w:val="nil"/>
              <w:bottom w:val="nil"/>
              <w:right w:val="nil"/>
            </w:tcBorders>
            <w:shd w:val="clear" w:color="auto" w:fill="auto"/>
            <w:vAlign w:val="center"/>
            <w:hideMark/>
          </w:tcPr>
          <w:p w14:paraId="24C6ADA3"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19</w:t>
            </w:r>
          </w:p>
        </w:tc>
        <w:tc>
          <w:tcPr>
            <w:tcW w:w="275" w:type="pct"/>
            <w:tcBorders>
              <w:top w:val="nil"/>
              <w:left w:val="nil"/>
              <w:bottom w:val="nil"/>
              <w:right w:val="nil"/>
            </w:tcBorders>
            <w:shd w:val="clear" w:color="auto" w:fill="auto"/>
            <w:vAlign w:val="center"/>
            <w:hideMark/>
          </w:tcPr>
          <w:p w14:paraId="75001A0F"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0.036</w:t>
            </w:r>
          </w:p>
        </w:tc>
        <w:tc>
          <w:tcPr>
            <w:tcW w:w="319" w:type="pct"/>
            <w:tcBorders>
              <w:top w:val="nil"/>
              <w:left w:val="nil"/>
              <w:bottom w:val="nil"/>
              <w:right w:val="nil"/>
            </w:tcBorders>
            <w:shd w:val="clear" w:color="auto" w:fill="auto"/>
            <w:vAlign w:val="center"/>
            <w:hideMark/>
          </w:tcPr>
          <w:p w14:paraId="1FF4A09C"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0.01</w:t>
            </w:r>
          </w:p>
        </w:tc>
        <w:tc>
          <w:tcPr>
            <w:tcW w:w="399" w:type="pct"/>
            <w:tcBorders>
              <w:top w:val="nil"/>
              <w:left w:val="nil"/>
              <w:bottom w:val="nil"/>
              <w:right w:val="nil"/>
            </w:tcBorders>
            <w:shd w:val="clear" w:color="auto" w:fill="auto"/>
            <w:vAlign w:val="center"/>
            <w:hideMark/>
          </w:tcPr>
          <w:p w14:paraId="06C232CD"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0.035</w:t>
            </w:r>
          </w:p>
        </w:tc>
        <w:tc>
          <w:tcPr>
            <w:tcW w:w="319" w:type="pct"/>
            <w:tcBorders>
              <w:top w:val="nil"/>
              <w:left w:val="nil"/>
              <w:bottom w:val="nil"/>
              <w:right w:val="nil"/>
            </w:tcBorders>
            <w:shd w:val="clear" w:color="auto" w:fill="auto"/>
            <w:vAlign w:val="center"/>
            <w:hideMark/>
          </w:tcPr>
          <w:p w14:paraId="6323A9CD"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0.016</w:t>
            </w:r>
          </w:p>
        </w:tc>
        <w:tc>
          <w:tcPr>
            <w:tcW w:w="323" w:type="pct"/>
            <w:tcBorders>
              <w:top w:val="nil"/>
              <w:left w:val="nil"/>
              <w:bottom w:val="nil"/>
              <w:right w:val="nil"/>
            </w:tcBorders>
            <w:shd w:val="clear" w:color="auto" w:fill="auto"/>
            <w:vAlign w:val="center"/>
            <w:hideMark/>
          </w:tcPr>
          <w:p w14:paraId="6A361AAD"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0.054</w:t>
            </w:r>
          </w:p>
        </w:tc>
      </w:tr>
      <w:tr w:rsidR="006F3C05" w:rsidRPr="00C07F2E" w14:paraId="232E3B45" w14:textId="77777777" w:rsidTr="006F3C05">
        <w:trPr>
          <w:trHeight w:val="321"/>
        </w:trPr>
        <w:tc>
          <w:tcPr>
            <w:tcW w:w="334" w:type="pct"/>
            <w:vMerge w:val="restart"/>
            <w:tcBorders>
              <w:top w:val="nil"/>
              <w:left w:val="nil"/>
              <w:bottom w:val="nil"/>
              <w:right w:val="nil"/>
            </w:tcBorders>
            <w:shd w:val="clear" w:color="auto" w:fill="auto"/>
            <w:noWrap/>
            <w:vAlign w:val="bottom"/>
            <w:hideMark/>
          </w:tcPr>
          <w:p w14:paraId="784D0714" w14:textId="77777777" w:rsidR="006F3C05" w:rsidRPr="00C07F2E" w:rsidRDefault="006F3C05" w:rsidP="006F3C05">
            <w:pPr>
              <w:pStyle w:val="NoSpacing"/>
              <w:rPr>
                <w:rFonts w:eastAsia="Times New Roman"/>
                <w:sz w:val="18"/>
                <w:lang w:eastAsia="en-GB"/>
              </w:rPr>
            </w:pPr>
            <w:r w:rsidRPr="00C07F2E">
              <w:rPr>
                <w:rFonts w:eastAsia="Times New Roman"/>
                <w:sz w:val="18"/>
                <w:lang w:eastAsia="en-GB"/>
              </w:rPr>
              <w:t>RWG</w:t>
            </w:r>
          </w:p>
        </w:tc>
        <w:tc>
          <w:tcPr>
            <w:tcW w:w="404" w:type="pct"/>
            <w:tcBorders>
              <w:top w:val="nil"/>
              <w:left w:val="nil"/>
              <w:bottom w:val="nil"/>
              <w:right w:val="nil"/>
            </w:tcBorders>
            <w:shd w:val="clear" w:color="auto" w:fill="auto"/>
            <w:vAlign w:val="center"/>
            <w:hideMark/>
          </w:tcPr>
          <w:p w14:paraId="3E156FDE"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Healthy weight</w:t>
            </w:r>
          </w:p>
        </w:tc>
        <w:tc>
          <w:tcPr>
            <w:tcW w:w="367" w:type="pct"/>
            <w:tcBorders>
              <w:top w:val="nil"/>
              <w:left w:val="nil"/>
              <w:bottom w:val="nil"/>
              <w:right w:val="nil"/>
            </w:tcBorders>
            <w:shd w:val="clear" w:color="auto" w:fill="auto"/>
            <w:vAlign w:val="center"/>
            <w:hideMark/>
          </w:tcPr>
          <w:p w14:paraId="57717D2D"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28</w:t>
            </w:r>
          </w:p>
        </w:tc>
        <w:tc>
          <w:tcPr>
            <w:tcW w:w="374" w:type="pct"/>
            <w:tcBorders>
              <w:top w:val="nil"/>
              <w:left w:val="nil"/>
              <w:bottom w:val="nil"/>
              <w:right w:val="nil"/>
            </w:tcBorders>
            <w:shd w:val="clear" w:color="auto" w:fill="auto"/>
            <w:vAlign w:val="center"/>
            <w:hideMark/>
          </w:tcPr>
          <w:p w14:paraId="37DC05E8"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0.076</w:t>
            </w:r>
          </w:p>
        </w:tc>
        <w:tc>
          <w:tcPr>
            <w:tcW w:w="319" w:type="pct"/>
            <w:tcBorders>
              <w:top w:val="nil"/>
              <w:left w:val="nil"/>
              <w:bottom w:val="nil"/>
              <w:right w:val="nil"/>
            </w:tcBorders>
            <w:shd w:val="clear" w:color="auto" w:fill="auto"/>
            <w:vAlign w:val="center"/>
            <w:hideMark/>
          </w:tcPr>
          <w:p w14:paraId="0EDB77F7"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0.026</w:t>
            </w:r>
          </w:p>
        </w:tc>
        <w:tc>
          <w:tcPr>
            <w:tcW w:w="398" w:type="pct"/>
            <w:tcBorders>
              <w:top w:val="nil"/>
              <w:left w:val="nil"/>
              <w:bottom w:val="nil"/>
              <w:right w:val="nil"/>
            </w:tcBorders>
            <w:shd w:val="clear" w:color="auto" w:fill="auto"/>
            <w:vAlign w:val="center"/>
            <w:hideMark/>
          </w:tcPr>
          <w:p w14:paraId="1495FAAD"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0.074</w:t>
            </w:r>
          </w:p>
        </w:tc>
        <w:tc>
          <w:tcPr>
            <w:tcW w:w="319" w:type="pct"/>
            <w:tcBorders>
              <w:top w:val="nil"/>
              <w:left w:val="nil"/>
              <w:bottom w:val="nil"/>
              <w:right w:val="nil"/>
            </w:tcBorders>
            <w:shd w:val="clear" w:color="auto" w:fill="auto"/>
            <w:vAlign w:val="center"/>
            <w:hideMark/>
          </w:tcPr>
          <w:p w14:paraId="58BE7E50"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0.033</w:t>
            </w:r>
          </w:p>
        </w:tc>
        <w:tc>
          <w:tcPr>
            <w:tcW w:w="322" w:type="pct"/>
            <w:tcBorders>
              <w:top w:val="nil"/>
              <w:left w:val="nil"/>
              <w:bottom w:val="nil"/>
              <w:right w:val="nil"/>
            </w:tcBorders>
            <w:shd w:val="clear" w:color="auto" w:fill="auto"/>
            <w:vAlign w:val="center"/>
            <w:hideMark/>
          </w:tcPr>
          <w:p w14:paraId="1F009722"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0.149</w:t>
            </w:r>
          </w:p>
        </w:tc>
        <w:tc>
          <w:tcPr>
            <w:tcW w:w="125" w:type="pct"/>
            <w:tcBorders>
              <w:top w:val="nil"/>
              <w:left w:val="nil"/>
              <w:bottom w:val="nil"/>
              <w:right w:val="nil"/>
            </w:tcBorders>
            <w:shd w:val="clear" w:color="auto" w:fill="auto"/>
            <w:vAlign w:val="center"/>
            <w:hideMark/>
          </w:tcPr>
          <w:p w14:paraId="74B2C58C" w14:textId="77777777" w:rsidR="006F3C05" w:rsidRPr="00C07F2E" w:rsidRDefault="006F3C05" w:rsidP="006F3C05">
            <w:pPr>
              <w:pStyle w:val="NoSpacing"/>
              <w:rPr>
                <w:rFonts w:eastAsia="Times New Roman"/>
                <w:sz w:val="18"/>
                <w:lang w:eastAsia="en-GB"/>
              </w:rPr>
            </w:pPr>
          </w:p>
        </w:tc>
        <w:tc>
          <w:tcPr>
            <w:tcW w:w="403" w:type="pct"/>
            <w:tcBorders>
              <w:top w:val="nil"/>
              <w:left w:val="nil"/>
              <w:bottom w:val="nil"/>
              <w:right w:val="nil"/>
            </w:tcBorders>
            <w:shd w:val="clear" w:color="auto" w:fill="auto"/>
            <w:vAlign w:val="center"/>
            <w:hideMark/>
          </w:tcPr>
          <w:p w14:paraId="09516FAB"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28</w:t>
            </w:r>
          </w:p>
        </w:tc>
        <w:tc>
          <w:tcPr>
            <w:tcW w:w="275" w:type="pct"/>
            <w:tcBorders>
              <w:top w:val="nil"/>
              <w:left w:val="nil"/>
              <w:bottom w:val="nil"/>
              <w:right w:val="nil"/>
            </w:tcBorders>
            <w:shd w:val="clear" w:color="auto" w:fill="auto"/>
            <w:vAlign w:val="center"/>
            <w:hideMark/>
          </w:tcPr>
          <w:p w14:paraId="1435A480"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0.041</w:t>
            </w:r>
          </w:p>
        </w:tc>
        <w:tc>
          <w:tcPr>
            <w:tcW w:w="319" w:type="pct"/>
            <w:tcBorders>
              <w:top w:val="nil"/>
              <w:left w:val="nil"/>
              <w:bottom w:val="nil"/>
              <w:right w:val="nil"/>
            </w:tcBorders>
            <w:shd w:val="clear" w:color="auto" w:fill="auto"/>
            <w:vAlign w:val="center"/>
            <w:hideMark/>
          </w:tcPr>
          <w:p w14:paraId="68F490DF"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0.014</w:t>
            </w:r>
          </w:p>
        </w:tc>
        <w:tc>
          <w:tcPr>
            <w:tcW w:w="399" w:type="pct"/>
            <w:tcBorders>
              <w:top w:val="nil"/>
              <w:left w:val="nil"/>
              <w:bottom w:val="nil"/>
              <w:right w:val="nil"/>
            </w:tcBorders>
            <w:shd w:val="clear" w:color="auto" w:fill="auto"/>
            <w:vAlign w:val="center"/>
            <w:hideMark/>
          </w:tcPr>
          <w:p w14:paraId="0966BB11"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0.037</w:t>
            </w:r>
          </w:p>
        </w:tc>
        <w:tc>
          <w:tcPr>
            <w:tcW w:w="319" w:type="pct"/>
            <w:tcBorders>
              <w:top w:val="nil"/>
              <w:left w:val="nil"/>
              <w:bottom w:val="nil"/>
              <w:right w:val="nil"/>
            </w:tcBorders>
            <w:shd w:val="clear" w:color="auto" w:fill="auto"/>
            <w:vAlign w:val="center"/>
            <w:hideMark/>
          </w:tcPr>
          <w:p w14:paraId="45233EE9"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0.02</w:t>
            </w:r>
          </w:p>
        </w:tc>
        <w:tc>
          <w:tcPr>
            <w:tcW w:w="323" w:type="pct"/>
            <w:tcBorders>
              <w:top w:val="nil"/>
              <w:left w:val="nil"/>
              <w:bottom w:val="nil"/>
              <w:right w:val="nil"/>
            </w:tcBorders>
            <w:shd w:val="clear" w:color="auto" w:fill="auto"/>
            <w:vAlign w:val="center"/>
            <w:hideMark/>
          </w:tcPr>
          <w:p w14:paraId="74315246"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0.086</w:t>
            </w:r>
          </w:p>
        </w:tc>
      </w:tr>
      <w:tr w:rsidR="006F3C05" w:rsidRPr="00C07F2E" w14:paraId="58B4C772" w14:textId="77777777" w:rsidTr="006F3C05">
        <w:trPr>
          <w:trHeight w:val="160"/>
        </w:trPr>
        <w:tc>
          <w:tcPr>
            <w:tcW w:w="334" w:type="pct"/>
            <w:vMerge/>
            <w:tcBorders>
              <w:top w:val="nil"/>
              <w:left w:val="nil"/>
              <w:bottom w:val="nil"/>
              <w:right w:val="nil"/>
            </w:tcBorders>
            <w:vAlign w:val="center"/>
            <w:hideMark/>
          </w:tcPr>
          <w:p w14:paraId="3FA49903" w14:textId="77777777" w:rsidR="006F3C05" w:rsidRPr="00C07F2E" w:rsidRDefault="006F3C05" w:rsidP="006F3C05">
            <w:pPr>
              <w:pStyle w:val="NoSpacing"/>
              <w:rPr>
                <w:rFonts w:eastAsia="Times New Roman"/>
                <w:sz w:val="18"/>
                <w:lang w:eastAsia="en-GB"/>
              </w:rPr>
            </w:pPr>
          </w:p>
        </w:tc>
        <w:tc>
          <w:tcPr>
            <w:tcW w:w="404" w:type="pct"/>
            <w:tcBorders>
              <w:top w:val="nil"/>
              <w:left w:val="nil"/>
              <w:bottom w:val="nil"/>
              <w:right w:val="nil"/>
            </w:tcBorders>
            <w:shd w:val="clear" w:color="auto" w:fill="auto"/>
            <w:vAlign w:val="center"/>
            <w:hideMark/>
          </w:tcPr>
          <w:p w14:paraId="288EE4DA" w14:textId="77777777" w:rsidR="006F3C05" w:rsidRPr="00E53C4F" w:rsidRDefault="006F3C05" w:rsidP="006F3C05">
            <w:pPr>
              <w:pStyle w:val="NoSpacing"/>
              <w:rPr>
                <w:rFonts w:eastAsia="Times New Roman"/>
                <w:b/>
                <w:sz w:val="18"/>
                <w:lang w:eastAsia="en-GB"/>
              </w:rPr>
            </w:pPr>
            <w:r w:rsidRPr="00E53C4F">
              <w:rPr>
                <w:rFonts w:eastAsia="Times New Roman"/>
                <w:b/>
                <w:sz w:val="18"/>
                <w:lang w:val="en-US" w:eastAsia="en-GB"/>
              </w:rPr>
              <w:t>OWOB</w:t>
            </w:r>
          </w:p>
        </w:tc>
        <w:tc>
          <w:tcPr>
            <w:tcW w:w="367" w:type="pct"/>
            <w:tcBorders>
              <w:top w:val="nil"/>
              <w:left w:val="nil"/>
              <w:bottom w:val="nil"/>
              <w:right w:val="nil"/>
            </w:tcBorders>
            <w:shd w:val="clear" w:color="auto" w:fill="auto"/>
            <w:vAlign w:val="center"/>
            <w:hideMark/>
          </w:tcPr>
          <w:p w14:paraId="0CEE5418" w14:textId="77777777" w:rsidR="006F3C05" w:rsidRPr="00E53C4F" w:rsidRDefault="006F3C05" w:rsidP="006F3C05">
            <w:pPr>
              <w:pStyle w:val="NoSpacing"/>
              <w:rPr>
                <w:rFonts w:eastAsia="Times New Roman"/>
                <w:b/>
                <w:sz w:val="18"/>
                <w:lang w:eastAsia="en-GB"/>
              </w:rPr>
            </w:pPr>
            <w:r w:rsidRPr="00E53C4F">
              <w:rPr>
                <w:rFonts w:eastAsia="Times New Roman"/>
                <w:b/>
                <w:sz w:val="18"/>
                <w:lang w:val="en-US" w:eastAsia="en-GB"/>
              </w:rPr>
              <w:t>9</w:t>
            </w:r>
          </w:p>
        </w:tc>
        <w:tc>
          <w:tcPr>
            <w:tcW w:w="374" w:type="pct"/>
            <w:tcBorders>
              <w:top w:val="nil"/>
              <w:left w:val="nil"/>
              <w:bottom w:val="nil"/>
              <w:right w:val="nil"/>
            </w:tcBorders>
            <w:shd w:val="clear" w:color="auto" w:fill="auto"/>
            <w:vAlign w:val="center"/>
            <w:hideMark/>
          </w:tcPr>
          <w:p w14:paraId="2E1CC87A" w14:textId="77777777" w:rsidR="006F3C05" w:rsidRPr="00E53C4F" w:rsidRDefault="006F3C05" w:rsidP="006F3C05">
            <w:pPr>
              <w:pStyle w:val="NoSpacing"/>
              <w:rPr>
                <w:rFonts w:eastAsia="Times New Roman"/>
                <w:b/>
                <w:sz w:val="18"/>
                <w:lang w:eastAsia="en-GB"/>
              </w:rPr>
            </w:pPr>
            <w:r w:rsidRPr="00E53C4F">
              <w:rPr>
                <w:rFonts w:eastAsia="Times New Roman"/>
                <w:b/>
                <w:sz w:val="18"/>
                <w:lang w:val="en-US" w:eastAsia="en-GB"/>
              </w:rPr>
              <w:t>0.085</w:t>
            </w:r>
          </w:p>
        </w:tc>
        <w:tc>
          <w:tcPr>
            <w:tcW w:w="319" w:type="pct"/>
            <w:tcBorders>
              <w:top w:val="nil"/>
              <w:left w:val="nil"/>
              <w:bottom w:val="nil"/>
              <w:right w:val="nil"/>
            </w:tcBorders>
            <w:shd w:val="clear" w:color="auto" w:fill="auto"/>
            <w:vAlign w:val="center"/>
            <w:hideMark/>
          </w:tcPr>
          <w:p w14:paraId="2143CD29" w14:textId="77777777" w:rsidR="006F3C05" w:rsidRPr="00E53C4F" w:rsidRDefault="006F3C05" w:rsidP="006F3C05">
            <w:pPr>
              <w:pStyle w:val="NoSpacing"/>
              <w:rPr>
                <w:rFonts w:eastAsia="Times New Roman"/>
                <w:b/>
                <w:sz w:val="18"/>
                <w:lang w:eastAsia="en-GB"/>
              </w:rPr>
            </w:pPr>
            <w:r w:rsidRPr="00E53C4F">
              <w:rPr>
                <w:rFonts w:eastAsia="Times New Roman"/>
                <w:b/>
                <w:sz w:val="18"/>
                <w:lang w:val="en-US" w:eastAsia="en-GB"/>
              </w:rPr>
              <w:t>0.021</w:t>
            </w:r>
          </w:p>
        </w:tc>
        <w:tc>
          <w:tcPr>
            <w:tcW w:w="398" w:type="pct"/>
            <w:tcBorders>
              <w:top w:val="nil"/>
              <w:left w:val="nil"/>
              <w:bottom w:val="nil"/>
              <w:right w:val="nil"/>
            </w:tcBorders>
            <w:shd w:val="clear" w:color="auto" w:fill="auto"/>
            <w:vAlign w:val="center"/>
            <w:hideMark/>
          </w:tcPr>
          <w:p w14:paraId="41225365" w14:textId="77777777" w:rsidR="006F3C05" w:rsidRPr="00E53C4F" w:rsidRDefault="006F3C05" w:rsidP="006F3C05">
            <w:pPr>
              <w:pStyle w:val="NoSpacing"/>
              <w:rPr>
                <w:rFonts w:eastAsia="Times New Roman"/>
                <w:b/>
                <w:sz w:val="18"/>
                <w:lang w:eastAsia="en-GB"/>
              </w:rPr>
            </w:pPr>
            <w:r w:rsidRPr="00E53C4F">
              <w:rPr>
                <w:rFonts w:eastAsia="Times New Roman"/>
                <w:b/>
                <w:sz w:val="18"/>
                <w:lang w:val="en-US" w:eastAsia="en-GB"/>
              </w:rPr>
              <w:t>0.08</w:t>
            </w:r>
          </w:p>
        </w:tc>
        <w:tc>
          <w:tcPr>
            <w:tcW w:w="319" w:type="pct"/>
            <w:tcBorders>
              <w:top w:val="nil"/>
              <w:left w:val="nil"/>
              <w:bottom w:val="nil"/>
              <w:right w:val="nil"/>
            </w:tcBorders>
            <w:shd w:val="clear" w:color="auto" w:fill="auto"/>
            <w:vAlign w:val="center"/>
            <w:hideMark/>
          </w:tcPr>
          <w:p w14:paraId="5CE617B1" w14:textId="77777777" w:rsidR="006F3C05" w:rsidRPr="00E53C4F" w:rsidRDefault="006F3C05" w:rsidP="006F3C05">
            <w:pPr>
              <w:pStyle w:val="NoSpacing"/>
              <w:rPr>
                <w:rFonts w:eastAsia="Times New Roman"/>
                <w:b/>
                <w:sz w:val="18"/>
                <w:lang w:eastAsia="en-GB"/>
              </w:rPr>
            </w:pPr>
            <w:r w:rsidRPr="00E53C4F">
              <w:rPr>
                <w:rFonts w:eastAsia="Times New Roman"/>
                <w:b/>
                <w:sz w:val="18"/>
                <w:lang w:val="en-US" w:eastAsia="en-GB"/>
              </w:rPr>
              <w:t>0.056</w:t>
            </w:r>
          </w:p>
        </w:tc>
        <w:tc>
          <w:tcPr>
            <w:tcW w:w="322" w:type="pct"/>
            <w:tcBorders>
              <w:top w:val="nil"/>
              <w:left w:val="nil"/>
              <w:bottom w:val="nil"/>
              <w:right w:val="nil"/>
            </w:tcBorders>
            <w:shd w:val="clear" w:color="auto" w:fill="auto"/>
            <w:vAlign w:val="center"/>
            <w:hideMark/>
          </w:tcPr>
          <w:p w14:paraId="0227BE84" w14:textId="77777777" w:rsidR="006F3C05" w:rsidRPr="00E53C4F" w:rsidRDefault="006F3C05" w:rsidP="006F3C05">
            <w:pPr>
              <w:pStyle w:val="NoSpacing"/>
              <w:rPr>
                <w:rFonts w:eastAsia="Times New Roman"/>
                <w:b/>
                <w:sz w:val="18"/>
                <w:lang w:eastAsia="en-GB"/>
              </w:rPr>
            </w:pPr>
            <w:r w:rsidRPr="00E53C4F">
              <w:rPr>
                <w:rFonts w:eastAsia="Times New Roman"/>
                <w:b/>
                <w:sz w:val="18"/>
                <w:lang w:val="en-US" w:eastAsia="en-GB"/>
              </w:rPr>
              <w:t>0.118</w:t>
            </w:r>
          </w:p>
        </w:tc>
        <w:tc>
          <w:tcPr>
            <w:tcW w:w="125" w:type="pct"/>
            <w:tcBorders>
              <w:top w:val="nil"/>
              <w:left w:val="nil"/>
              <w:bottom w:val="nil"/>
              <w:right w:val="nil"/>
            </w:tcBorders>
            <w:shd w:val="clear" w:color="auto" w:fill="auto"/>
            <w:vAlign w:val="center"/>
            <w:hideMark/>
          </w:tcPr>
          <w:p w14:paraId="49C47FEE" w14:textId="77777777" w:rsidR="006F3C05" w:rsidRPr="00E53C4F" w:rsidRDefault="006F3C05" w:rsidP="006F3C05">
            <w:pPr>
              <w:pStyle w:val="NoSpacing"/>
              <w:rPr>
                <w:rFonts w:eastAsia="Times New Roman"/>
                <w:b/>
                <w:sz w:val="18"/>
                <w:lang w:eastAsia="en-GB"/>
              </w:rPr>
            </w:pPr>
          </w:p>
        </w:tc>
        <w:tc>
          <w:tcPr>
            <w:tcW w:w="403" w:type="pct"/>
            <w:tcBorders>
              <w:top w:val="nil"/>
              <w:left w:val="nil"/>
              <w:bottom w:val="nil"/>
              <w:right w:val="nil"/>
            </w:tcBorders>
            <w:shd w:val="clear" w:color="auto" w:fill="auto"/>
            <w:vAlign w:val="center"/>
            <w:hideMark/>
          </w:tcPr>
          <w:p w14:paraId="126CAD3A" w14:textId="77777777" w:rsidR="006F3C05" w:rsidRPr="00E53C4F" w:rsidRDefault="006F3C05" w:rsidP="006F3C05">
            <w:pPr>
              <w:pStyle w:val="NoSpacing"/>
              <w:rPr>
                <w:rFonts w:eastAsia="Times New Roman"/>
                <w:b/>
                <w:sz w:val="18"/>
                <w:lang w:eastAsia="en-GB"/>
              </w:rPr>
            </w:pPr>
            <w:r w:rsidRPr="00E53C4F">
              <w:rPr>
                <w:rFonts w:eastAsia="Times New Roman"/>
                <w:b/>
                <w:sz w:val="18"/>
                <w:lang w:val="en-US" w:eastAsia="en-GB"/>
              </w:rPr>
              <w:t>9</w:t>
            </w:r>
          </w:p>
        </w:tc>
        <w:tc>
          <w:tcPr>
            <w:tcW w:w="275" w:type="pct"/>
            <w:tcBorders>
              <w:top w:val="nil"/>
              <w:left w:val="nil"/>
              <w:bottom w:val="nil"/>
              <w:right w:val="nil"/>
            </w:tcBorders>
            <w:shd w:val="clear" w:color="auto" w:fill="auto"/>
            <w:vAlign w:val="center"/>
            <w:hideMark/>
          </w:tcPr>
          <w:p w14:paraId="6E3E336E" w14:textId="77777777" w:rsidR="006F3C05" w:rsidRPr="00E53C4F" w:rsidRDefault="006F3C05" w:rsidP="006F3C05">
            <w:pPr>
              <w:pStyle w:val="NoSpacing"/>
              <w:rPr>
                <w:rFonts w:eastAsia="Times New Roman"/>
                <w:b/>
                <w:sz w:val="18"/>
                <w:lang w:eastAsia="en-GB"/>
              </w:rPr>
            </w:pPr>
            <w:r w:rsidRPr="00E53C4F">
              <w:rPr>
                <w:rFonts w:eastAsia="Times New Roman"/>
                <w:b/>
                <w:sz w:val="18"/>
                <w:lang w:val="en-US" w:eastAsia="en-GB"/>
              </w:rPr>
              <w:t>0.059</w:t>
            </w:r>
          </w:p>
        </w:tc>
        <w:tc>
          <w:tcPr>
            <w:tcW w:w="319" w:type="pct"/>
            <w:tcBorders>
              <w:top w:val="nil"/>
              <w:left w:val="nil"/>
              <w:bottom w:val="nil"/>
              <w:right w:val="nil"/>
            </w:tcBorders>
            <w:shd w:val="clear" w:color="auto" w:fill="auto"/>
            <w:vAlign w:val="center"/>
            <w:hideMark/>
          </w:tcPr>
          <w:p w14:paraId="6347E6FD" w14:textId="77777777" w:rsidR="006F3C05" w:rsidRPr="00E53C4F" w:rsidRDefault="006F3C05" w:rsidP="006F3C05">
            <w:pPr>
              <w:pStyle w:val="NoSpacing"/>
              <w:rPr>
                <w:rFonts w:eastAsia="Times New Roman"/>
                <w:b/>
                <w:sz w:val="18"/>
                <w:lang w:eastAsia="en-GB"/>
              </w:rPr>
            </w:pPr>
            <w:r w:rsidRPr="00E53C4F">
              <w:rPr>
                <w:rFonts w:eastAsia="Times New Roman"/>
                <w:b/>
                <w:sz w:val="18"/>
                <w:lang w:val="en-US" w:eastAsia="en-GB"/>
              </w:rPr>
              <w:t>0.027</w:t>
            </w:r>
          </w:p>
        </w:tc>
        <w:tc>
          <w:tcPr>
            <w:tcW w:w="399" w:type="pct"/>
            <w:tcBorders>
              <w:top w:val="nil"/>
              <w:left w:val="nil"/>
              <w:bottom w:val="nil"/>
              <w:right w:val="nil"/>
            </w:tcBorders>
            <w:shd w:val="clear" w:color="auto" w:fill="auto"/>
            <w:vAlign w:val="center"/>
            <w:hideMark/>
          </w:tcPr>
          <w:p w14:paraId="587564A1" w14:textId="77777777" w:rsidR="006F3C05" w:rsidRPr="00E53C4F" w:rsidRDefault="006F3C05" w:rsidP="006F3C05">
            <w:pPr>
              <w:pStyle w:val="NoSpacing"/>
              <w:rPr>
                <w:rFonts w:eastAsia="Times New Roman"/>
                <w:b/>
                <w:sz w:val="18"/>
                <w:lang w:eastAsia="en-GB"/>
              </w:rPr>
            </w:pPr>
            <w:r w:rsidRPr="00E53C4F">
              <w:rPr>
                <w:rFonts w:eastAsia="Times New Roman"/>
                <w:b/>
                <w:sz w:val="18"/>
                <w:lang w:val="en-US" w:eastAsia="en-GB"/>
              </w:rPr>
              <w:t>0.057</w:t>
            </w:r>
          </w:p>
        </w:tc>
        <w:tc>
          <w:tcPr>
            <w:tcW w:w="319" w:type="pct"/>
            <w:tcBorders>
              <w:top w:val="nil"/>
              <w:left w:val="nil"/>
              <w:bottom w:val="nil"/>
              <w:right w:val="nil"/>
            </w:tcBorders>
            <w:shd w:val="clear" w:color="auto" w:fill="auto"/>
            <w:vAlign w:val="center"/>
            <w:hideMark/>
          </w:tcPr>
          <w:p w14:paraId="2AA263D5" w14:textId="77777777" w:rsidR="006F3C05" w:rsidRPr="00E53C4F" w:rsidRDefault="006F3C05" w:rsidP="006F3C05">
            <w:pPr>
              <w:pStyle w:val="NoSpacing"/>
              <w:rPr>
                <w:rFonts w:eastAsia="Times New Roman"/>
                <w:b/>
                <w:sz w:val="18"/>
                <w:lang w:eastAsia="en-GB"/>
              </w:rPr>
            </w:pPr>
            <w:r w:rsidRPr="00E53C4F">
              <w:rPr>
                <w:rFonts w:eastAsia="Times New Roman"/>
                <w:b/>
                <w:sz w:val="18"/>
                <w:lang w:val="en-US" w:eastAsia="en-GB"/>
              </w:rPr>
              <w:t>0.025</w:t>
            </w:r>
          </w:p>
        </w:tc>
        <w:tc>
          <w:tcPr>
            <w:tcW w:w="323" w:type="pct"/>
            <w:tcBorders>
              <w:top w:val="nil"/>
              <w:left w:val="nil"/>
              <w:bottom w:val="nil"/>
              <w:right w:val="nil"/>
            </w:tcBorders>
            <w:shd w:val="clear" w:color="auto" w:fill="auto"/>
            <w:vAlign w:val="center"/>
            <w:hideMark/>
          </w:tcPr>
          <w:p w14:paraId="32DCB912" w14:textId="77777777" w:rsidR="006F3C05" w:rsidRPr="00E53C4F" w:rsidRDefault="006F3C05" w:rsidP="006F3C05">
            <w:pPr>
              <w:pStyle w:val="NoSpacing"/>
              <w:rPr>
                <w:rFonts w:eastAsia="Times New Roman"/>
                <w:b/>
                <w:sz w:val="18"/>
                <w:lang w:eastAsia="en-GB"/>
              </w:rPr>
            </w:pPr>
            <w:r w:rsidRPr="00E53C4F">
              <w:rPr>
                <w:rFonts w:eastAsia="Times New Roman"/>
                <w:b/>
                <w:sz w:val="18"/>
                <w:lang w:val="en-US" w:eastAsia="en-GB"/>
              </w:rPr>
              <w:t>0.118</w:t>
            </w:r>
          </w:p>
        </w:tc>
      </w:tr>
      <w:tr w:rsidR="006F3C05" w:rsidRPr="00C07F2E" w14:paraId="4C0C46BB" w14:textId="77777777" w:rsidTr="006F3C05">
        <w:trPr>
          <w:trHeight w:val="160"/>
        </w:trPr>
        <w:tc>
          <w:tcPr>
            <w:tcW w:w="334" w:type="pct"/>
            <w:tcBorders>
              <w:top w:val="nil"/>
              <w:left w:val="nil"/>
              <w:bottom w:val="nil"/>
              <w:right w:val="nil"/>
            </w:tcBorders>
            <w:shd w:val="clear" w:color="auto" w:fill="auto"/>
            <w:vAlign w:val="center"/>
            <w:hideMark/>
          </w:tcPr>
          <w:p w14:paraId="2A544D70" w14:textId="77777777" w:rsidR="006F3C05" w:rsidRPr="00C07F2E" w:rsidRDefault="006F3C05" w:rsidP="006F3C05">
            <w:pPr>
              <w:pStyle w:val="NoSpacing"/>
              <w:rPr>
                <w:rFonts w:eastAsia="Times New Roman"/>
                <w:sz w:val="18"/>
                <w:lang w:eastAsia="en-GB"/>
              </w:rPr>
            </w:pPr>
          </w:p>
        </w:tc>
        <w:tc>
          <w:tcPr>
            <w:tcW w:w="404" w:type="pct"/>
            <w:tcBorders>
              <w:top w:val="nil"/>
              <w:left w:val="nil"/>
              <w:bottom w:val="nil"/>
              <w:right w:val="nil"/>
            </w:tcBorders>
            <w:shd w:val="clear" w:color="auto" w:fill="auto"/>
            <w:vAlign w:val="center"/>
            <w:hideMark/>
          </w:tcPr>
          <w:p w14:paraId="7F2B802D"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Total</w:t>
            </w:r>
          </w:p>
        </w:tc>
        <w:tc>
          <w:tcPr>
            <w:tcW w:w="367" w:type="pct"/>
            <w:tcBorders>
              <w:top w:val="nil"/>
              <w:left w:val="nil"/>
              <w:bottom w:val="nil"/>
              <w:right w:val="nil"/>
            </w:tcBorders>
            <w:shd w:val="clear" w:color="auto" w:fill="auto"/>
            <w:vAlign w:val="center"/>
            <w:hideMark/>
          </w:tcPr>
          <w:p w14:paraId="42E12AEB"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110</w:t>
            </w:r>
          </w:p>
        </w:tc>
        <w:tc>
          <w:tcPr>
            <w:tcW w:w="374" w:type="pct"/>
            <w:tcBorders>
              <w:top w:val="nil"/>
              <w:left w:val="nil"/>
              <w:bottom w:val="nil"/>
              <w:right w:val="nil"/>
            </w:tcBorders>
            <w:shd w:val="clear" w:color="auto" w:fill="auto"/>
            <w:vAlign w:val="center"/>
            <w:hideMark/>
          </w:tcPr>
          <w:p w14:paraId="53385ADA"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0.072</w:t>
            </w:r>
          </w:p>
        </w:tc>
        <w:tc>
          <w:tcPr>
            <w:tcW w:w="319" w:type="pct"/>
            <w:tcBorders>
              <w:top w:val="nil"/>
              <w:left w:val="nil"/>
              <w:bottom w:val="nil"/>
              <w:right w:val="nil"/>
            </w:tcBorders>
            <w:shd w:val="clear" w:color="auto" w:fill="auto"/>
            <w:vAlign w:val="center"/>
            <w:hideMark/>
          </w:tcPr>
          <w:p w14:paraId="34024319"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0.02</w:t>
            </w:r>
          </w:p>
        </w:tc>
        <w:tc>
          <w:tcPr>
            <w:tcW w:w="398" w:type="pct"/>
            <w:tcBorders>
              <w:top w:val="nil"/>
              <w:left w:val="nil"/>
              <w:bottom w:val="nil"/>
              <w:right w:val="nil"/>
            </w:tcBorders>
            <w:shd w:val="clear" w:color="auto" w:fill="auto"/>
            <w:vAlign w:val="center"/>
            <w:hideMark/>
          </w:tcPr>
          <w:p w14:paraId="55D4F11E"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0.071</w:t>
            </w:r>
          </w:p>
        </w:tc>
        <w:tc>
          <w:tcPr>
            <w:tcW w:w="319" w:type="pct"/>
            <w:tcBorders>
              <w:top w:val="nil"/>
              <w:left w:val="nil"/>
              <w:bottom w:val="nil"/>
              <w:right w:val="nil"/>
            </w:tcBorders>
            <w:shd w:val="clear" w:color="auto" w:fill="auto"/>
            <w:vAlign w:val="center"/>
            <w:hideMark/>
          </w:tcPr>
          <w:p w14:paraId="65330056"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0.033</w:t>
            </w:r>
          </w:p>
        </w:tc>
        <w:tc>
          <w:tcPr>
            <w:tcW w:w="322" w:type="pct"/>
            <w:tcBorders>
              <w:top w:val="nil"/>
              <w:left w:val="nil"/>
              <w:bottom w:val="nil"/>
              <w:right w:val="nil"/>
            </w:tcBorders>
            <w:shd w:val="clear" w:color="auto" w:fill="auto"/>
            <w:vAlign w:val="center"/>
            <w:hideMark/>
          </w:tcPr>
          <w:p w14:paraId="70A0C76B"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0.149</w:t>
            </w:r>
          </w:p>
        </w:tc>
        <w:tc>
          <w:tcPr>
            <w:tcW w:w="125" w:type="pct"/>
            <w:tcBorders>
              <w:top w:val="nil"/>
              <w:left w:val="nil"/>
              <w:bottom w:val="nil"/>
              <w:right w:val="nil"/>
            </w:tcBorders>
            <w:shd w:val="clear" w:color="auto" w:fill="auto"/>
            <w:vAlign w:val="center"/>
            <w:hideMark/>
          </w:tcPr>
          <w:p w14:paraId="630F4E74" w14:textId="77777777" w:rsidR="006F3C05" w:rsidRPr="00C07F2E" w:rsidRDefault="006F3C05" w:rsidP="006F3C05">
            <w:pPr>
              <w:pStyle w:val="NoSpacing"/>
              <w:rPr>
                <w:rFonts w:eastAsia="Times New Roman"/>
                <w:sz w:val="18"/>
                <w:lang w:eastAsia="en-GB"/>
              </w:rPr>
            </w:pPr>
          </w:p>
        </w:tc>
        <w:tc>
          <w:tcPr>
            <w:tcW w:w="403" w:type="pct"/>
            <w:tcBorders>
              <w:top w:val="nil"/>
              <w:left w:val="nil"/>
              <w:bottom w:val="nil"/>
              <w:right w:val="nil"/>
            </w:tcBorders>
            <w:shd w:val="clear" w:color="auto" w:fill="auto"/>
            <w:vAlign w:val="center"/>
            <w:hideMark/>
          </w:tcPr>
          <w:p w14:paraId="5D419846"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110</w:t>
            </w:r>
          </w:p>
        </w:tc>
        <w:tc>
          <w:tcPr>
            <w:tcW w:w="275" w:type="pct"/>
            <w:tcBorders>
              <w:top w:val="nil"/>
              <w:left w:val="nil"/>
              <w:bottom w:val="nil"/>
              <w:right w:val="nil"/>
            </w:tcBorders>
            <w:shd w:val="clear" w:color="auto" w:fill="auto"/>
            <w:vAlign w:val="center"/>
            <w:hideMark/>
          </w:tcPr>
          <w:p w14:paraId="387B90FE"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0.039</w:t>
            </w:r>
          </w:p>
        </w:tc>
        <w:tc>
          <w:tcPr>
            <w:tcW w:w="319" w:type="pct"/>
            <w:tcBorders>
              <w:top w:val="nil"/>
              <w:left w:val="nil"/>
              <w:bottom w:val="nil"/>
              <w:right w:val="nil"/>
            </w:tcBorders>
            <w:shd w:val="clear" w:color="auto" w:fill="auto"/>
            <w:vAlign w:val="center"/>
            <w:hideMark/>
          </w:tcPr>
          <w:p w14:paraId="777638C3"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0.015</w:t>
            </w:r>
          </w:p>
        </w:tc>
        <w:tc>
          <w:tcPr>
            <w:tcW w:w="399" w:type="pct"/>
            <w:tcBorders>
              <w:top w:val="nil"/>
              <w:left w:val="nil"/>
              <w:bottom w:val="nil"/>
              <w:right w:val="nil"/>
            </w:tcBorders>
            <w:shd w:val="clear" w:color="auto" w:fill="auto"/>
            <w:vAlign w:val="center"/>
            <w:hideMark/>
          </w:tcPr>
          <w:p w14:paraId="0D6C7E8A"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0.035</w:t>
            </w:r>
          </w:p>
        </w:tc>
        <w:tc>
          <w:tcPr>
            <w:tcW w:w="319" w:type="pct"/>
            <w:tcBorders>
              <w:top w:val="nil"/>
              <w:left w:val="nil"/>
              <w:bottom w:val="nil"/>
              <w:right w:val="nil"/>
            </w:tcBorders>
            <w:shd w:val="clear" w:color="auto" w:fill="auto"/>
            <w:vAlign w:val="center"/>
            <w:hideMark/>
          </w:tcPr>
          <w:p w14:paraId="163F249D"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0.016</w:t>
            </w:r>
          </w:p>
        </w:tc>
        <w:tc>
          <w:tcPr>
            <w:tcW w:w="323" w:type="pct"/>
            <w:tcBorders>
              <w:top w:val="nil"/>
              <w:left w:val="nil"/>
              <w:bottom w:val="nil"/>
              <w:right w:val="nil"/>
            </w:tcBorders>
            <w:shd w:val="clear" w:color="auto" w:fill="auto"/>
            <w:vAlign w:val="center"/>
            <w:hideMark/>
          </w:tcPr>
          <w:p w14:paraId="0F6C6285"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0.118</w:t>
            </w:r>
          </w:p>
        </w:tc>
      </w:tr>
      <w:tr w:rsidR="006F3C05" w:rsidRPr="00C07F2E" w14:paraId="0F7A7545" w14:textId="77777777" w:rsidTr="006F3C05">
        <w:trPr>
          <w:trHeight w:val="182"/>
        </w:trPr>
        <w:tc>
          <w:tcPr>
            <w:tcW w:w="334" w:type="pct"/>
            <w:tcBorders>
              <w:top w:val="nil"/>
              <w:left w:val="nil"/>
              <w:bottom w:val="single" w:sz="4" w:space="0" w:color="auto"/>
              <w:right w:val="nil"/>
            </w:tcBorders>
            <w:shd w:val="clear" w:color="auto" w:fill="auto"/>
            <w:vAlign w:val="center"/>
            <w:hideMark/>
          </w:tcPr>
          <w:p w14:paraId="0E02598A" w14:textId="77777777" w:rsidR="006F3C05" w:rsidRPr="00C07F2E" w:rsidRDefault="006F3C05" w:rsidP="006F3C05">
            <w:pPr>
              <w:pStyle w:val="NoSpacing"/>
              <w:rPr>
                <w:rFonts w:eastAsia="Times New Roman"/>
                <w:sz w:val="18"/>
                <w:lang w:eastAsia="en-GB"/>
              </w:rPr>
            </w:pPr>
            <w:r w:rsidRPr="00C07F2E">
              <w:rPr>
                <w:rFonts w:eastAsia="Times New Roman"/>
                <w:sz w:val="18"/>
                <w:lang w:eastAsia="en-GB"/>
              </w:rPr>
              <w:t> </w:t>
            </w:r>
          </w:p>
        </w:tc>
        <w:tc>
          <w:tcPr>
            <w:tcW w:w="404" w:type="pct"/>
            <w:tcBorders>
              <w:top w:val="nil"/>
              <w:left w:val="nil"/>
              <w:bottom w:val="single" w:sz="4" w:space="0" w:color="auto"/>
              <w:right w:val="nil"/>
            </w:tcBorders>
            <w:shd w:val="clear" w:color="auto" w:fill="auto"/>
            <w:vAlign w:val="center"/>
            <w:hideMark/>
          </w:tcPr>
          <w:p w14:paraId="0B31C24D"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p value</w:t>
            </w:r>
          </w:p>
        </w:tc>
        <w:tc>
          <w:tcPr>
            <w:tcW w:w="367" w:type="pct"/>
            <w:tcBorders>
              <w:top w:val="nil"/>
              <w:left w:val="nil"/>
              <w:bottom w:val="single" w:sz="4" w:space="0" w:color="auto"/>
              <w:right w:val="nil"/>
            </w:tcBorders>
            <w:shd w:val="clear" w:color="auto" w:fill="auto"/>
            <w:noWrap/>
            <w:vAlign w:val="bottom"/>
            <w:hideMark/>
          </w:tcPr>
          <w:p w14:paraId="0EF7BC2C"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0.0801</w:t>
            </w:r>
          </w:p>
        </w:tc>
        <w:tc>
          <w:tcPr>
            <w:tcW w:w="374" w:type="pct"/>
            <w:tcBorders>
              <w:top w:val="nil"/>
              <w:left w:val="nil"/>
              <w:bottom w:val="single" w:sz="4" w:space="0" w:color="auto"/>
              <w:right w:val="nil"/>
            </w:tcBorders>
            <w:shd w:val="clear" w:color="auto" w:fill="auto"/>
            <w:vAlign w:val="center"/>
            <w:hideMark/>
          </w:tcPr>
          <w:p w14:paraId="50FAA04D"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 </w:t>
            </w:r>
          </w:p>
        </w:tc>
        <w:tc>
          <w:tcPr>
            <w:tcW w:w="319" w:type="pct"/>
            <w:tcBorders>
              <w:top w:val="nil"/>
              <w:left w:val="nil"/>
              <w:bottom w:val="single" w:sz="4" w:space="0" w:color="auto"/>
              <w:right w:val="nil"/>
            </w:tcBorders>
            <w:shd w:val="clear" w:color="auto" w:fill="auto"/>
            <w:vAlign w:val="center"/>
            <w:hideMark/>
          </w:tcPr>
          <w:p w14:paraId="39E48C47"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 </w:t>
            </w:r>
          </w:p>
        </w:tc>
        <w:tc>
          <w:tcPr>
            <w:tcW w:w="398" w:type="pct"/>
            <w:tcBorders>
              <w:top w:val="nil"/>
              <w:left w:val="nil"/>
              <w:bottom w:val="single" w:sz="4" w:space="0" w:color="auto"/>
              <w:right w:val="nil"/>
            </w:tcBorders>
            <w:shd w:val="clear" w:color="auto" w:fill="auto"/>
            <w:vAlign w:val="center"/>
            <w:hideMark/>
          </w:tcPr>
          <w:p w14:paraId="0FE665A0"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 </w:t>
            </w:r>
          </w:p>
        </w:tc>
        <w:tc>
          <w:tcPr>
            <w:tcW w:w="319" w:type="pct"/>
            <w:tcBorders>
              <w:top w:val="nil"/>
              <w:left w:val="nil"/>
              <w:bottom w:val="single" w:sz="4" w:space="0" w:color="auto"/>
              <w:right w:val="nil"/>
            </w:tcBorders>
            <w:shd w:val="clear" w:color="auto" w:fill="auto"/>
            <w:vAlign w:val="center"/>
            <w:hideMark/>
          </w:tcPr>
          <w:p w14:paraId="14D558D6"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 </w:t>
            </w:r>
          </w:p>
        </w:tc>
        <w:tc>
          <w:tcPr>
            <w:tcW w:w="322" w:type="pct"/>
            <w:tcBorders>
              <w:top w:val="nil"/>
              <w:left w:val="nil"/>
              <w:bottom w:val="single" w:sz="4" w:space="0" w:color="auto"/>
              <w:right w:val="nil"/>
            </w:tcBorders>
            <w:shd w:val="clear" w:color="auto" w:fill="auto"/>
            <w:vAlign w:val="center"/>
            <w:hideMark/>
          </w:tcPr>
          <w:p w14:paraId="57BDB593"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 </w:t>
            </w:r>
          </w:p>
        </w:tc>
        <w:tc>
          <w:tcPr>
            <w:tcW w:w="125" w:type="pct"/>
            <w:tcBorders>
              <w:top w:val="nil"/>
              <w:left w:val="nil"/>
              <w:bottom w:val="single" w:sz="4" w:space="0" w:color="auto"/>
              <w:right w:val="nil"/>
            </w:tcBorders>
            <w:shd w:val="clear" w:color="auto" w:fill="auto"/>
            <w:noWrap/>
            <w:vAlign w:val="bottom"/>
            <w:hideMark/>
          </w:tcPr>
          <w:p w14:paraId="23EBAC35" w14:textId="77777777" w:rsidR="006F3C05" w:rsidRPr="00C07F2E" w:rsidRDefault="006F3C05" w:rsidP="006F3C05">
            <w:pPr>
              <w:pStyle w:val="NoSpacing"/>
              <w:rPr>
                <w:rFonts w:eastAsia="Times New Roman"/>
                <w:sz w:val="18"/>
                <w:lang w:eastAsia="en-GB"/>
              </w:rPr>
            </w:pPr>
            <w:r w:rsidRPr="00C07F2E">
              <w:rPr>
                <w:rFonts w:eastAsia="Times New Roman"/>
                <w:sz w:val="18"/>
                <w:lang w:eastAsia="en-GB"/>
              </w:rPr>
              <w:t> </w:t>
            </w:r>
          </w:p>
        </w:tc>
        <w:tc>
          <w:tcPr>
            <w:tcW w:w="403" w:type="pct"/>
            <w:tcBorders>
              <w:top w:val="nil"/>
              <w:left w:val="nil"/>
              <w:bottom w:val="single" w:sz="4" w:space="0" w:color="auto"/>
              <w:right w:val="nil"/>
            </w:tcBorders>
            <w:shd w:val="clear" w:color="auto" w:fill="auto"/>
            <w:vAlign w:val="center"/>
            <w:hideMark/>
          </w:tcPr>
          <w:p w14:paraId="233A44FF"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&lt; 0.001</w:t>
            </w:r>
          </w:p>
        </w:tc>
        <w:tc>
          <w:tcPr>
            <w:tcW w:w="275" w:type="pct"/>
            <w:tcBorders>
              <w:top w:val="nil"/>
              <w:left w:val="nil"/>
              <w:bottom w:val="single" w:sz="4" w:space="0" w:color="auto"/>
              <w:right w:val="nil"/>
            </w:tcBorders>
            <w:shd w:val="clear" w:color="auto" w:fill="auto"/>
            <w:vAlign w:val="center"/>
            <w:hideMark/>
          </w:tcPr>
          <w:p w14:paraId="0D75B904"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 </w:t>
            </w:r>
          </w:p>
        </w:tc>
        <w:tc>
          <w:tcPr>
            <w:tcW w:w="319" w:type="pct"/>
            <w:tcBorders>
              <w:top w:val="nil"/>
              <w:left w:val="nil"/>
              <w:bottom w:val="single" w:sz="4" w:space="0" w:color="auto"/>
              <w:right w:val="nil"/>
            </w:tcBorders>
            <w:shd w:val="clear" w:color="auto" w:fill="auto"/>
            <w:vAlign w:val="center"/>
            <w:hideMark/>
          </w:tcPr>
          <w:p w14:paraId="784781C7"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 </w:t>
            </w:r>
          </w:p>
        </w:tc>
        <w:tc>
          <w:tcPr>
            <w:tcW w:w="399" w:type="pct"/>
            <w:tcBorders>
              <w:top w:val="nil"/>
              <w:left w:val="nil"/>
              <w:bottom w:val="single" w:sz="4" w:space="0" w:color="auto"/>
              <w:right w:val="nil"/>
            </w:tcBorders>
            <w:shd w:val="clear" w:color="auto" w:fill="auto"/>
            <w:vAlign w:val="center"/>
            <w:hideMark/>
          </w:tcPr>
          <w:p w14:paraId="6A4A9964"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 </w:t>
            </w:r>
          </w:p>
        </w:tc>
        <w:tc>
          <w:tcPr>
            <w:tcW w:w="319" w:type="pct"/>
            <w:tcBorders>
              <w:top w:val="nil"/>
              <w:left w:val="nil"/>
              <w:bottom w:val="single" w:sz="4" w:space="0" w:color="auto"/>
              <w:right w:val="nil"/>
            </w:tcBorders>
            <w:shd w:val="clear" w:color="auto" w:fill="auto"/>
            <w:vAlign w:val="center"/>
            <w:hideMark/>
          </w:tcPr>
          <w:p w14:paraId="4AEB72F6"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 </w:t>
            </w:r>
          </w:p>
        </w:tc>
        <w:tc>
          <w:tcPr>
            <w:tcW w:w="323" w:type="pct"/>
            <w:tcBorders>
              <w:top w:val="nil"/>
              <w:left w:val="nil"/>
              <w:bottom w:val="single" w:sz="4" w:space="0" w:color="auto"/>
              <w:right w:val="nil"/>
            </w:tcBorders>
            <w:shd w:val="clear" w:color="auto" w:fill="auto"/>
            <w:vAlign w:val="center"/>
            <w:hideMark/>
          </w:tcPr>
          <w:p w14:paraId="45A614D8" w14:textId="77777777" w:rsidR="006F3C05" w:rsidRPr="00C07F2E" w:rsidRDefault="006F3C05" w:rsidP="006F3C05">
            <w:pPr>
              <w:pStyle w:val="NoSpacing"/>
              <w:rPr>
                <w:rFonts w:eastAsia="Times New Roman"/>
                <w:sz w:val="18"/>
                <w:lang w:eastAsia="en-GB"/>
              </w:rPr>
            </w:pPr>
            <w:r w:rsidRPr="00C07F2E">
              <w:rPr>
                <w:rFonts w:eastAsia="Times New Roman"/>
                <w:sz w:val="18"/>
                <w:lang w:val="en-US" w:eastAsia="en-GB"/>
              </w:rPr>
              <w:t> </w:t>
            </w:r>
          </w:p>
        </w:tc>
      </w:tr>
    </w:tbl>
    <w:p w14:paraId="67F18087" w14:textId="77777777" w:rsidR="006F3C05" w:rsidRPr="00186838" w:rsidRDefault="006F3C05" w:rsidP="006F3C05">
      <w:pPr>
        <w:pStyle w:val="Caption"/>
        <w:rPr>
          <w:b w:val="0"/>
        </w:rPr>
      </w:pPr>
      <w:r w:rsidRPr="00186838">
        <w:rPr>
          <w:b w:val="0"/>
        </w:rPr>
        <w:t xml:space="preserve">Values represent beta values. RWG, rapid weight gain; n, total in each group; SD, standard deviation; min, minimum; max, maximum. P value from ANOVA. Bold represents the high-risk phenotype of RWG in infancy and subsequent OWOB, which has higher </w:t>
      </w:r>
      <w:proofErr w:type="spellStart"/>
      <w:r w:rsidRPr="00186838">
        <w:rPr>
          <w:b w:val="0"/>
        </w:rPr>
        <w:t>DNAm</w:t>
      </w:r>
      <w:proofErr w:type="spellEnd"/>
      <w:r w:rsidRPr="00186838">
        <w:rPr>
          <w:b w:val="0"/>
        </w:rPr>
        <w:t xml:space="preserve"> levels (relative to the other categories).</w:t>
      </w:r>
    </w:p>
    <w:p w14:paraId="36DC982E" w14:textId="77777777" w:rsidR="006F3C05" w:rsidRPr="00186838" w:rsidRDefault="006F3C05" w:rsidP="006F3C05">
      <w:pPr>
        <w:spacing w:after="160" w:line="259" w:lineRule="auto"/>
      </w:pPr>
      <w:r w:rsidRPr="00186838">
        <w:br w:type="page"/>
      </w:r>
    </w:p>
    <w:tbl>
      <w:tblPr>
        <w:tblW w:w="10062" w:type="dxa"/>
        <w:jc w:val="center"/>
        <w:tblLook w:val="04A0" w:firstRow="1" w:lastRow="0" w:firstColumn="1" w:lastColumn="0" w:noHBand="0" w:noVBand="1"/>
      </w:tblPr>
      <w:tblGrid>
        <w:gridCol w:w="5256"/>
        <w:gridCol w:w="5046"/>
      </w:tblGrid>
      <w:tr w:rsidR="006F3C05" w:rsidRPr="00F33D2F" w14:paraId="1C307CF0" w14:textId="77777777" w:rsidTr="006F3C05">
        <w:trPr>
          <w:trHeight w:val="4090"/>
          <w:jc w:val="center"/>
        </w:trPr>
        <w:tc>
          <w:tcPr>
            <w:tcW w:w="5016" w:type="dxa"/>
            <w:tcBorders>
              <w:top w:val="nil"/>
              <w:left w:val="nil"/>
              <w:bottom w:val="nil"/>
              <w:right w:val="nil"/>
            </w:tcBorders>
          </w:tcPr>
          <w:p w14:paraId="47C6EE15" w14:textId="77777777" w:rsidR="006F3C05" w:rsidRPr="00F33D2F" w:rsidRDefault="006F3C05" w:rsidP="006F3C05">
            <w:pPr>
              <w:rPr>
                <w:rFonts w:cstheme="minorHAnsi"/>
              </w:rPr>
            </w:pPr>
            <w:r>
              <w:rPr>
                <w:rFonts w:cstheme="minorHAnsi"/>
              </w:rPr>
              <w:lastRenderedPageBreak/>
              <w:t xml:space="preserve">A. </w:t>
            </w:r>
            <w:r>
              <w:rPr>
                <w:noProof/>
                <w:sz w:val="16"/>
                <w:szCs w:val="16"/>
                <w:lang w:eastAsia="en-GB"/>
              </w:rPr>
              <w:drawing>
                <wp:inline distT="0" distB="0" distL="0" distR="0" wp14:anchorId="59149E93" wp14:editId="07143FFA">
                  <wp:extent cx="3200400" cy="2561359"/>
                  <wp:effectExtent l="0" t="0" r="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802AA6.tmp"/>
                          <pic:cNvPicPr/>
                        </pic:nvPicPr>
                        <pic:blipFill>
                          <a:blip r:embed="rId22">
                            <a:extLst>
                              <a:ext uri="{28A0092B-C50C-407E-A947-70E740481C1C}">
                                <a14:useLocalDpi xmlns:a14="http://schemas.microsoft.com/office/drawing/2010/main" val="0"/>
                              </a:ext>
                            </a:extLst>
                          </a:blip>
                          <a:stretch>
                            <a:fillRect/>
                          </a:stretch>
                        </pic:blipFill>
                        <pic:spPr>
                          <a:xfrm>
                            <a:off x="0" y="0"/>
                            <a:ext cx="3210334" cy="2569309"/>
                          </a:xfrm>
                          <a:prstGeom prst="rect">
                            <a:avLst/>
                          </a:prstGeom>
                        </pic:spPr>
                      </pic:pic>
                    </a:graphicData>
                  </a:graphic>
                </wp:inline>
              </w:drawing>
            </w:r>
          </w:p>
        </w:tc>
        <w:tc>
          <w:tcPr>
            <w:tcW w:w="5046" w:type="dxa"/>
            <w:tcBorders>
              <w:top w:val="nil"/>
              <w:left w:val="nil"/>
              <w:bottom w:val="nil"/>
              <w:right w:val="nil"/>
            </w:tcBorders>
          </w:tcPr>
          <w:p w14:paraId="35A87F82" w14:textId="77777777" w:rsidR="006F3C05" w:rsidRPr="00F33D2F" w:rsidRDefault="006F3C05" w:rsidP="006F3C05">
            <w:pPr>
              <w:keepNext/>
              <w:rPr>
                <w:rFonts w:cstheme="minorHAnsi"/>
                <w:lang w:eastAsia="en-GB"/>
              </w:rPr>
            </w:pPr>
            <w:r>
              <w:rPr>
                <w:rFonts w:cstheme="minorHAnsi"/>
              </w:rPr>
              <w:t xml:space="preserve">B. </w:t>
            </w:r>
            <w:r w:rsidRPr="00F33D2F">
              <w:rPr>
                <w:rFonts w:cstheme="minorHAnsi"/>
                <w:noProof/>
                <w:lang w:eastAsia="en-GB"/>
              </w:rPr>
              <w:drawing>
                <wp:inline distT="0" distB="0" distL="0" distR="0" wp14:anchorId="2EE713BE" wp14:editId="71ED2328">
                  <wp:extent cx="3067050" cy="2628900"/>
                  <wp:effectExtent l="0" t="0" r="0" b="0"/>
                  <wp:docPr id="1314" name="Picture 1314" descr="H:\Thesis progress\figures for RWG cpg (adj)\unnamed-chunk-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hesis progress\figures for RWG cpg (adj)\unnamed-chunk-50-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7050" cy="2628900"/>
                          </a:xfrm>
                          <a:prstGeom prst="rect">
                            <a:avLst/>
                          </a:prstGeom>
                          <a:noFill/>
                          <a:ln>
                            <a:noFill/>
                          </a:ln>
                        </pic:spPr>
                      </pic:pic>
                    </a:graphicData>
                  </a:graphic>
                </wp:inline>
              </w:drawing>
            </w:r>
          </w:p>
        </w:tc>
      </w:tr>
      <w:tr w:rsidR="006F3C05" w:rsidRPr="00F33D2F" w14:paraId="75ABDA8F" w14:textId="77777777" w:rsidTr="006F3C05">
        <w:trPr>
          <w:trHeight w:val="3331"/>
          <w:jc w:val="center"/>
        </w:trPr>
        <w:tc>
          <w:tcPr>
            <w:tcW w:w="5016" w:type="dxa"/>
          </w:tcPr>
          <w:p w14:paraId="0B35CD72" w14:textId="77777777" w:rsidR="006F3C05" w:rsidRDefault="006F3C05" w:rsidP="006F3C05">
            <w:pPr>
              <w:rPr>
                <w:rFonts w:cstheme="minorHAnsi"/>
              </w:rPr>
            </w:pPr>
            <w:r>
              <w:rPr>
                <w:rFonts w:cstheme="minorHAnsi"/>
              </w:rPr>
              <w:t xml:space="preserve">C. </w:t>
            </w:r>
          </w:p>
          <w:p w14:paraId="2A17421E" w14:textId="77777777" w:rsidR="006F3C05" w:rsidRPr="00F33D2F" w:rsidRDefault="006F3C05" w:rsidP="006F3C05">
            <w:pPr>
              <w:rPr>
                <w:rFonts w:cstheme="minorHAnsi"/>
              </w:rPr>
            </w:pPr>
            <w:r w:rsidRPr="00F33D2F">
              <w:rPr>
                <w:rFonts w:cstheme="minorHAnsi"/>
                <w:noProof/>
                <w:lang w:eastAsia="en-GB"/>
              </w:rPr>
              <w:drawing>
                <wp:inline distT="0" distB="0" distL="0" distR="0" wp14:anchorId="316AAC25" wp14:editId="645ACF98">
                  <wp:extent cx="2967848" cy="2541181"/>
                  <wp:effectExtent l="0" t="0" r="4445" b="0"/>
                  <wp:docPr id="1317" name="Picture 1317" descr="\\campus\home\home2014\b5057702\Downloads\figures_sensRWG\unnamed-chunk-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mpus\home\home2014\b5057702\Downloads\figures_sensRWG\unnamed-chunk-3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8491" cy="2550294"/>
                          </a:xfrm>
                          <a:prstGeom prst="rect">
                            <a:avLst/>
                          </a:prstGeom>
                          <a:noFill/>
                          <a:ln>
                            <a:noFill/>
                          </a:ln>
                        </pic:spPr>
                      </pic:pic>
                    </a:graphicData>
                  </a:graphic>
                </wp:inline>
              </w:drawing>
            </w:r>
          </w:p>
        </w:tc>
        <w:tc>
          <w:tcPr>
            <w:tcW w:w="5046" w:type="dxa"/>
          </w:tcPr>
          <w:p w14:paraId="5950391C" w14:textId="77777777" w:rsidR="006F3C05" w:rsidRPr="00F33D2F" w:rsidRDefault="006F3C05" w:rsidP="006F3C05">
            <w:pPr>
              <w:rPr>
                <w:rFonts w:cstheme="minorHAnsi"/>
              </w:rPr>
            </w:pPr>
            <w:r>
              <w:rPr>
                <w:rFonts w:cstheme="minorHAnsi"/>
              </w:rPr>
              <w:t xml:space="preserve">D. </w:t>
            </w:r>
            <w:r w:rsidRPr="00F33D2F">
              <w:rPr>
                <w:rFonts w:cstheme="minorHAnsi"/>
                <w:noProof/>
                <w:lang w:eastAsia="en-GB"/>
              </w:rPr>
              <w:drawing>
                <wp:inline distT="0" distB="0" distL="0" distR="0" wp14:anchorId="0ADAF75A" wp14:editId="0D4FF836">
                  <wp:extent cx="2998381" cy="2567324"/>
                  <wp:effectExtent l="0" t="0" r="0" b="4445"/>
                  <wp:docPr id="1318" name="Picture 1318" descr="\\campus\home\home2014\b5057702\Downloads\figures_sensRWG\unnamed-chunk-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mpus\home\home2014\b5057702\Downloads\figures_sensRWG\unnamed-chunk-32-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4680" cy="2572718"/>
                          </a:xfrm>
                          <a:prstGeom prst="rect">
                            <a:avLst/>
                          </a:prstGeom>
                          <a:noFill/>
                          <a:ln>
                            <a:noFill/>
                          </a:ln>
                        </pic:spPr>
                      </pic:pic>
                    </a:graphicData>
                  </a:graphic>
                </wp:inline>
              </w:drawing>
            </w:r>
          </w:p>
        </w:tc>
      </w:tr>
    </w:tbl>
    <w:p w14:paraId="5CEC95A9" w14:textId="77777777" w:rsidR="006F3C05" w:rsidRPr="00F33D2F" w:rsidRDefault="006F3C05" w:rsidP="006F3C05">
      <w:pPr>
        <w:spacing w:after="0" w:line="240" w:lineRule="auto"/>
        <w:rPr>
          <w:rFonts w:cstheme="minorHAnsi"/>
          <w:bCs/>
          <w:i/>
          <w:iCs/>
          <w:color w:val="44546A" w:themeColor="text2"/>
          <w:sz w:val="18"/>
          <w:szCs w:val="18"/>
        </w:rPr>
      </w:pPr>
      <w:bookmarkStart w:id="23" w:name="_Ref530638"/>
      <w:bookmarkStart w:id="24" w:name="_Toc19795596"/>
      <w:bookmarkStart w:id="25" w:name="_Toc32422278"/>
      <w:r w:rsidRPr="00F33D2F">
        <w:rPr>
          <w:rFonts w:cstheme="minorHAnsi"/>
          <w:i/>
          <w:iCs/>
          <w:color w:val="44546A" w:themeColor="text2"/>
          <w:sz w:val="18"/>
          <w:szCs w:val="18"/>
        </w:rPr>
        <w:t xml:space="preserve">Figure </w:t>
      </w:r>
      <w:r w:rsidRPr="00F33D2F">
        <w:rPr>
          <w:rFonts w:cstheme="minorHAnsi"/>
          <w:i/>
          <w:iCs/>
          <w:noProof/>
          <w:color w:val="44546A" w:themeColor="text2"/>
          <w:sz w:val="18"/>
          <w:szCs w:val="18"/>
        </w:rPr>
        <w:fldChar w:fldCharType="begin"/>
      </w:r>
      <w:r w:rsidRPr="00F33D2F">
        <w:rPr>
          <w:rFonts w:cstheme="minorHAnsi"/>
          <w:i/>
          <w:iCs/>
          <w:noProof/>
          <w:color w:val="44546A" w:themeColor="text2"/>
          <w:sz w:val="18"/>
          <w:szCs w:val="18"/>
        </w:rPr>
        <w:instrText xml:space="preserve"> SEQ Figure \* ROMAN </w:instrText>
      </w:r>
      <w:r w:rsidRPr="00F33D2F">
        <w:rPr>
          <w:rFonts w:cstheme="minorHAnsi"/>
          <w:i/>
          <w:iCs/>
          <w:noProof/>
          <w:color w:val="44546A" w:themeColor="text2"/>
          <w:sz w:val="18"/>
          <w:szCs w:val="18"/>
        </w:rPr>
        <w:fldChar w:fldCharType="separate"/>
      </w:r>
      <w:r>
        <w:rPr>
          <w:rFonts w:cstheme="minorHAnsi"/>
          <w:i/>
          <w:iCs/>
          <w:noProof/>
          <w:color w:val="44546A" w:themeColor="text2"/>
          <w:sz w:val="18"/>
          <w:szCs w:val="18"/>
        </w:rPr>
        <w:t>I</w:t>
      </w:r>
      <w:r w:rsidRPr="00F33D2F">
        <w:rPr>
          <w:rFonts w:cstheme="minorHAnsi"/>
          <w:i/>
          <w:iCs/>
          <w:noProof/>
          <w:color w:val="44546A" w:themeColor="text2"/>
          <w:sz w:val="18"/>
          <w:szCs w:val="18"/>
        </w:rPr>
        <w:fldChar w:fldCharType="end"/>
      </w:r>
      <w:bookmarkEnd w:id="23"/>
      <w:r w:rsidRPr="00F33D2F">
        <w:rPr>
          <w:rFonts w:cstheme="minorHAnsi"/>
          <w:i/>
          <w:iCs/>
          <w:color w:val="44546A" w:themeColor="text2"/>
          <w:sz w:val="18"/>
          <w:szCs w:val="18"/>
        </w:rPr>
        <w:t xml:space="preserve"> Q-Q plots </w:t>
      </w:r>
      <w:r w:rsidRPr="00F33D2F">
        <w:rPr>
          <w:rFonts w:cstheme="minorHAnsi"/>
          <w:bCs/>
          <w:i/>
          <w:iCs/>
          <w:color w:val="44546A" w:themeColor="text2"/>
          <w:sz w:val="18"/>
          <w:szCs w:val="18"/>
        </w:rPr>
        <w:t xml:space="preserve">for RWG </w:t>
      </w:r>
      <w:r>
        <w:rPr>
          <w:rFonts w:cstheme="minorHAnsi"/>
          <w:bCs/>
          <w:i/>
          <w:iCs/>
          <w:color w:val="44546A" w:themeColor="text2"/>
          <w:sz w:val="18"/>
          <w:szCs w:val="18"/>
        </w:rPr>
        <w:t>models (SVA, ISVA) both with (A, B) and without (</w:t>
      </w:r>
      <w:proofErr w:type="gramStart"/>
      <w:r>
        <w:rPr>
          <w:rFonts w:cstheme="minorHAnsi"/>
          <w:bCs/>
          <w:i/>
          <w:iCs/>
          <w:color w:val="44546A" w:themeColor="text2"/>
          <w:sz w:val="18"/>
          <w:szCs w:val="18"/>
        </w:rPr>
        <w:t>C,D</w:t>
      </w:r>
      <w:proofErr w:type="gramEnd"/>
      <w:r>
        <w:rPr>
          <w:rFonts w:cstheme="minorHAnsi"/>
          <w:bCs/>
          <w:i/>
          <w:iCs/>
          <w:color w:val="44546A" w:themeColor="text2"/>
          <w:sz w:val="18"/>
          <w:szCs w:val="18"/>
        </w:rPr>
        <w:t xml:space="preserve">) adjustment for </w:t>
      </w:r>
      <w:r w:rsidRPr="00F33D2F">
        <w:rPr>
          <w:rFonts w:cstheme="minorHAnsi"/>
          <w:bCs/>
          <w:i/>
          <w:iCs/>
          <w:color w:val="44546A" w:themeColor="text2"/>
          <w:sz w:val="18"/>
          <w:szCs w:val="18"/>
        </w:rPr>
        <w:t>cell count</w:t>
      </w:r>
      <w:r>
        <w:rPr>
          <w:rFonts w:cstheme="minorHAnsi"/>
          <w:bCs/>
          <w:i/>
          <w:iCs/>
          <w:color w:val="44546A" w:themeColor="text2"/>
          <w:sz w:val="18"/>
          <w:szCs w:val="18"/>
        </w:rPr>
        <w:t>s.</w:t>
      </w:r>
      <w:r w:rsidRPr="00F33D2F">
        <w:rPr>
          <w:rFonts w:cstheme="minorHAnsi"/>
          <w:bCs/>
          <w:i/>
          <w:iCs/>
          <w:color w:val="44546A" w:themeColor="text2"/>
          <w:sz w:val="18"/>
          <w:szCs w:val="18"/>
        </w:rPr>
        <w:t xml:space="preserve"> </w:t>
      </w:r>
      <w:bookmarkEnd w:id="24"/>
      <w:bookmarkEnd w:id="25"/>
    </w:p>
    <w:p w14:paraId="7B365C04" w14:textId="77777777" w:rsidR="006F3C05" w:rsidRDefault="006F3C05" w:rsidP="006F3C05">
      <w:pPr>
        <w:spacing w:after="200" w:line="240" w:lineRule="auto"/>
        <w:rPr>
          <w:rFonts w:cstheme="minorHAnsi"/>
          <w:i/>
          <w:iCs/>
          <w:color w:val="44546A" w:themeColor="text2"/>
          <w:sz w:val="18"/>
          <w:szCs w:val="18"/>
        </w:rPr>
      </w:pPr>
      <w:r w:rsidRPr="00F33D2F">
        <w:rPr>
          <w:rFonts w:cstheme="minorHAnsi"/>
          <w:i/>
          <w:iCs/>
          <w:color w:val="44546A" w:themeColor="text2"/>
          <w:sz w:val="18"/>
          <w:szCs w:val="18"/>
        </w:rPr>
        <w:t xml:space="preserve">The Q-Q plots present the distribution of the p value for the association between CpG site methylation and RWG. The straight line is the expected distribution under the null hypothesis.  </w:t>
      </w:r>
    </w:p>
    <w:p w14:paraId="6F750DAC" w14:textId="77777777" w:rsidR="006F3C05" w:rsidRDefault="006F3C05" w:rsidP="006F3C05">
      <w:pPr>
        <w:spacing w:after="160" w:line="259" w:lineRule="auto"/>
        <w:rPr>
          <w:rFonts w:cstheme="minorHAnsi"/>
          <w:i/>
          <w:iCs/>
          <w:color w:val="44546A" w:themeColor="text2"/>
          <w:sz w:val="18"/>
          <w:szCs w:val="18"/>
        </w:rPr>
      </w:pPr>
      <w:r>
        <w:rPr>
          <w:rFonts w:cstheme="minorHAnsi"/>
          <w:i/>
          <w:iCs/>
          <w:color w:val="44546A" w:themeColor="text2"/>
          <w:sz w:val="18"/>
          <w:szCs w:val="18"/>
        </w:rPr>
        <w:br w:type="page"/>
      </w:r>
    </w:p>
    <w:tbl>
      <w:tblPr>
        <w:tblStyle w:val="TableGrid"/>
        <w:tblW w:w="9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0"/>
      </w:tblGrid>
      <w:tr w:rsidR="006F3C05" w:rsidRPr="00186838" w14:paraId="55AF07E5" w14:textId="77777777" w:rsidTr="006F3C05">
        <w:trPr>
          <w:trHeight w:val="398"/>
        </w:trPr>
        <w:tc>
          <w:tcPr>
            <w:tcW w:w="9370" w:type="dxa"/>
          </w:tcPr>
          <w:p w14:paraId="789A6203" w14:textId="77777777" w:rsidR="006F3C05" w:rsidRPr="00186838" w:rsidRDefault="006F3C05" w:rsidP="006F3C05">
            <w:pPr>
              <w:pStyle w:val="NoSpacing"/>
              <w:rPr>
                <w:b/>
              </w:rPr>
            </w:pPr>
            <w:r w:rsidRPr="00186838">
              <w:rPr>
                <w:b/>
              </w:rPr>
              <w:lastRenderedPageBreak/>
              <w:t>Age 7, RWG</w:t>
            </w:r>
          </w:p>
        </w:tc>
      </w:tr>
      <w:tr w:rsidR="006F3C05" w:rsidRPr="00186838" w14:paraId="3E9BF15B" w14:textId="77777777" w:rsidTr="006F3C05">
        <w:trPr>
          <w:trHeight w:val="13251"/>
        </w:trPr>
        <w:tc>
          <w:tcPr>
            <w:tcW w:w="9370" w:type="dxa"/>
          </w:tcPr>
          <w:p w14:paraId="36CED14E" w14:textId="77777777" w:rsidR="006F3C05" w:rsidRPr="00186838" w:rsidRDefault="006F3C05" w:rsidP="006F3C05">
            <w:pPr>
              <w:pStyle w:val="NoSpacing"/>
              <w:rPr>
                <w:b/>
              </w:rPr>
            </w:pPr>
            <w:r w:rsidRPr="00186838">
              <w:rPr>
                <w:b/>
                <w:noProof/>
                <w:lang w:eastAsia="en-GB"/>
              </w:rPr>
              <w:drawing>
                <wp:inline distT="0" distB="0" distL="0" distR="0" wp14:anchorId="4FF1F227" wp14:editId="0FE3A766">
                  <wp:extent cx="5340350" cy="3834765"/>
                  <wp:effectExtent l="0" t="0" r="0" b="0"/>
                  <wp:docPr id="11" name="Picture 11"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0350" cy="3834765"/>
                          </a:xfrm>
                          <a:prstGeom prst="rect">
                            <a:avLst/>
                          </a:prstGeom>
                          <a:noFill/>
                        </pic:spPr>
                      </pic:pic>
                    </a:graphicData>
                  </a:graphic>
                </wp:inline>
              </w:drawing>
            </w:r>
          </w:p>
          <w:p w14:paraId="37407381" w14:textId="77777777" w:rsidR="006F3C05" w:rsidRPr="00186838" w:rsidRDefault="006F3C05" w:rsidP="006F3C05">
            <w:pPr>
              <w:pStyle w:val="NoSpacing"/>
              <w:rPr>
                <w:b/>
              </w:rPr>
            </w:pPr>
            <w:r w:rsidRPr="00186838">
              <w:rPr>
                <w:b/>
                <w:noProof/>
                <w:lang w:eastAsia="en-GB"/>
              </w:rPr>
              <w:drawing>
                <wp:inline distT="0" distB="0" distL="0" distR="0" wp14:anchorId="2B99B6BE" wp14:editId="430463D3">
                  <wp:extent cx="5334635" cy="3802638"/>
                  <wp:effectExtent l="0" t="0" r="0" b="762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3408"/>
                          <a:stretch/>
                        </pic:blipFill>
                        <pic:spPr bwMode="auto">
                          <a:xfrm>
                            <a:off x="0" y="0"/>
                            <a:ext cx="5334635" cy="38026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3C05" w:rsidRPr="00186838" w14:paraId="1B3F7C6F" w14:textId="77777777" w:rsidTr="006F3C05">
        <w:trPr>
          <w:trHeight w:val="128"/>
        </w:trPr>
        <w:tc>
          <w:tcPr>
            <w:tcW w:w="9370" w:type="dxa"/>
          </w:tcPr>
          <w:p w14:paraId="7F87138F" w14:textId="77777777" w:rsidR="006F3C05" w:rsidRDefault="006F3C05" w:rsidP="006F3C05">
            <w:pPr>
              <w:pStyle w:val="NoSpacing"/>
              <w:rPr>
                <w:b/>
              </w:rPr>
            </w:pPr>
          </w:p>
          <w:p w14:paraId="7C065D8A" w14:textId="77777777" w:rsidR="006F3C05" w:rsidRPr="00186838" w:rsidRDefault="006F3C05" w:rsidP="006F3C05">
            <w:pPr>
              <w:pStyle w:val="NoSpacing"/>
              <w:rPr>
                <w:b/>
              </w:rPr>
            </w:pPr>
            <w:r w:rsidRPr="00186838">
              <w:rPr>
                <w:b/>
              </w:rPr>
              <w:lastRenderedPageBreak/>
              <w:t>Age 7, RT</w:t>
            </w:r>
          </w:p>
        </w:tc>
      </w:tr>
      <w:tr w:rsidR="006F3C05" w:rsidRPr="00186838" w14:paraId="17A4BDD6" w14:textId="77777777" w:rsidTr="006F3C05">
        <w:trPr>
          <w:trHeight w:val="5950"/>
        </w:trPr>
        <w:tc>
          <w:tcPr>
            <w:tcW w:w="9370" w:type="dxa"/>
          </w:tcPr>
          <w:p w14:paraId="6D956731" w14:textId="77777777" w:rsidR="006F3C05" w:rsidRPr="00186838" w:rsidRDefault="006F3C05" w:rsidP="006F3C05">
            <w:pPr>
              <w:pStyle w:val="NoSpacing"/>
              <w:rPr>
                <w:b/>
              </w:rPr>
            </w:pPr>
            <w:r>
              <w:rPr>
                <w:b/>
                <w:noProof/>
                <w:lang w:eastAsia="en-GB"/>
              </w:rPr>
              <w:lastRenderedPageBreak/>
              <w:drawing>
                <wp:inline distT="0" distB="0" distL="0" distR="0" wp14:anchorId="1A767676" wp14:editId="4DAB5A6B">
                  <wp:extent cx="5346700" cy="3846830"/>
                  <wp:effectExtent l="0" t="0" r="6350" b="1270"/>
                  <wp:docPr id="13" name="Picture 1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6700" cy="3846830"/>
                          </a:xfrm>
                          <a:prstGeom prst="rect">
                            <a:avLst/>
                          </a:prstGeom>
                          <a:noFill/>
                        </pic:spPr>
                      </pic:pic>
                    </a:graphicData>
                  </a:graphic>
                </wp:inline>
              </w:drawing>
            </w:r>
          </w:p>
        </w:tc>
      </w:tr>
      <w:tr w:rsidR="006F3C05" w:rsidRPr="00186838" w14:paraId="53F39AF2" w14:textId="77777777" w:rsidTr="006F3C05">
        <w:trPr>
          <w:trHeight w:val="6045"/>
        </w:trPr>
        <w:tc>
          <w:tcPr>
            <w:tcW w:w="9370" w:type="dxa"/>
          </w:tcPr>
          <w:p w14:paraId="2613781C" w14:textId="77777777" w:rsidR="006F3C05" w:rsidRPr="00186838" w:rsidRDefault="006F3C05" w:rsidP="006F3C05">
            <w:pPr>
              <w:pStyle w:val="NoSpacing"/>
              <w:rPr>
                <w:b/>
              </w:rPr>
            </w:pPr>
            <w:r>
              <w:rPr>
                <w:b/>
                <w:noProof/>
                <w:lang w:eastAsia="en-GB"/>
              </w:rPr>
              <w:drawing>
                <wp:inline distT="0" distB="0" distL="0" distR="0" wp14:anchorId="41B894A3" wp14:editId="612AFBEB">
                  <wp:extent cx="5353050" cy="3914140"/>
                  <wp:effectExtent l="0" t="0" r="0"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3050" cy="3914140"/>
                          </a:xfrm>
                          <a:prstGeom prst="rect">
                            <a:avLst/>
                          </a:prstGeom>
                          <a:noFill/>
                        </pic:spPr>
                      </pic:pic>
                    </a:graphicData>
                  </a:graphic>
                </wp:inline>
              </w:drawing>
            </w:r>
          </w:p>
        </w:tc>
      </w:tr>
      <w:tr w:rsidR="006F3C05" w:rsidRPr="00186838" w14:paraId="6E2B7D75" w14:textId="77777777" w:rsidTr="006F3C05">
        <w:trPr>
          <w:trHeight w:val="1072"/>
        </w:trPr>
        <w:tc>
          <w:tcPr>
            <w:tcW w:w="9370" w:type="dxa"/>
          </w:tcPr>
          <w:p w14:paraId="438C0869" w14:textId="77777777" w:rsidR="006F3C05" w:rsidRPr="00830937" w:rsidRDefault="006F3C05" w:rsidP="006F3C05">
            <w:pPr>
              <w:pStyle w:val="NoSpacing"/>
              <w:rPr>
                <w:b/>
                <w:bCs/>
                <w:lang/>
              </w:rPr>
            </w:pPr>
            <w:r w:rsidRPr="00186838">
              <w:rPr>
                <w:b/>
              </w:rPr>
              <w:t xml:space="preserve">Figure </w:t>
            </w:r>
            <w:r w:rsidRPr="00186838">
              <w:rPr>
                <w:b/>
              </w:rPr>
              <w:fldChar w:fldCharType="begin"/>
            </w:r>
            <w:r w:rsidRPr="00186838">
              <w:rPr>
                <w:b/>
              </w:rPr>
              <w:instrText xml:space="preserve"> SEQ Figure \* ARABIC </w:instrText>
            </w:r>
            <w:r w:rsidRPr="00186838">
              <w:rPr>
                <w:b/>
              </w:rPr>
              <w:fldChar w:fldCharType="separate"/>
            </w:r>
            <w:r w:rsidRPr="00186838">
              <w:rPr>
                <w:b/>
                <w:noProof/>
              </w:rPr>
              <w:t>2</w:t>
            </w:r>
            <w:r w:rsidRPr="00186838">
              <w:rPr>
                <w:b/>
              </w:rPr>
              <w:fldChar w:fldCharType="end"/>
            </w:r>
            <w:r w:rsidRPr="00186838">
              <w:rPr>
                <w:b/>
              </w:rPr>
              <w:t xml:space="preserve"> </w:t>
            </w:r>
            <w:r>
              <w:rPr>
                <w:b/>
              </w:rPr>
              <w:t xml:space="preserve">Bi-directional </w:t>
            </w:r>
            <w:r w:rsidRPr="00186838">
              <w:rPr>
                <w:b/>
              </w:rPr>
              <w:t>Manhattan plot</w:t>
            </w:r>
            <w:r>
              <w:rPr>
                <w:b/>
              </w:rPr>
              <w:t>s</w:t>
            </w:r>
            <w:r w:rsidRPr="00186838">
              <w:rPr>
                <w:b/>
              </w:rPr>
              <w:t xml:space="preserve"> of the EWAS analysis of RWG and RT for the ISVA and SVA models without cell counts. </w:t>
            </w:r>
            <w:r w:rsidRPr="00186838">
              <w:rPr>
                <w:b/>
              </w:rPr>
              <w:br/>
            </w:r>
            <w:r w:rsidRPr="00830937">
              <w:rPr>
                <w:sz w:val="18"/>
                <w:szCs w:val="18"/>
              </w:rPr>
              <w:t>The x-axis represents the chromosomes and the y-axis shows the –log10(P). The red line indicates the Bonferroni-corrected epigenome-wide threshold (p&lt;1.04x10</w:t>
            </w:r>
            <w:r w:rsidRPr="00830937">
              <w:rPr>
                <w:sz w:val="18"/>
                <w:szCs w:val="18"/>
                <w:vertAlign w:val="superscript"/>
              </w:rPr>
              <w:t>-7</w:t>
            </w:r>
            <w:r w:rsidRPr="00830937">
              <w:rPr>
                <w:sz w:val="18"/>
                <w:szCs w:val="18"/>
              </w:rPr>
              <w:t>). Positively associated loci are displayed in the positive y-axis and negatively associated loci are displayed in the negative y-axis.</w:t>
            </w:r>
          </w:p>
        </w:tc>
      </w:tr>
    </w:tbl>
    <w:p w14:paraId="1578DF20" w14:textId="77777777" w:rsidR="006F3C05" w:rsidRDefault="006F3C05" w:rsidP="006F3C05"/>
    <w:p w14:paraId="65C47B18" w14:textId="77777777" w:rsidR="006F3C05" w:rsidRPr="00804E3F" w:rsidRDefault="006F3C05" w:rsidP="006F3C05"/>
    <w:p w14:paraId="14924AF0" w14:textId="77777777" w:rsidR="006F3C05" w:rsidRPr="006F3C05" w:rsidRDefault="006F3C05" w:rsidP="006F3C05">
      <w:pPr>
        <w:spacing w:after="160" w:line="259" w:lineRule="auto"/>
        <w:rPr>
          <w:rFonts w:ascii="Calibri" w:eastAsia="Calibri" w:hAnsi="Calibri" w:cs="Times New Roman"/>
          <w:szCs w:val="22"/>
        </w:rPr>
      </w:pPr>
    </w:p>
    <w:p w14:paraId="3D355201" w14:textId="77777777" w:rsidR="006F3C05" w:rsidRDefault="006F3C05">
      <w:pPr>
        <w:spacing w:line="264" w:lineRule="auto"/>
      </w:pPr>
      <w:r>
        <w:br w:type="page"/>
      </w:r>
    </w:p>
    <w:p w14:paraId="68C79E95" w14:textId="4AA87FA2" w:rsidR="007B65B7" w:rsidRDefault="007B65B7">
      <w:pPr>
        <w:spacing w:line="264" w:lineRule="auto"/>
        <w:rPr>
          <w:rFonts w:asciiTheme="majorHAnsi" w:eastAsiaTheme="majorEastAsia" w:hAnsiTheme="majorHAnsi" w:cstheme="majorBidi"/>
          <w:color w:val="2F5496" w:themeColor="accent1" w:themeShade="BF"/>
          <w:sz w:val="28"/>
          <w:szCs w:val="28"/>
        </w:rPr>
      </w:pPr>
      <w:r>
        <w:lastRenderedPageBreak/>
        <w:br w:type="page"/>
      </w:r>
    </w:p>
    <w:p w14:paraId="5906FB49" w14:textId="5E11B7DE" w:rsidR="004C0CD1" w:rsidRDefault="001D20F4" w:rsidP="001D20F4">
      <w:pPr>
        <w:pStyle w:val="Heading2"/>
      </w:pPr>
      <w:r>
        <w:lastRenderedPageBreak/>
        <w:t xml:space="preserve">References </w:t>
      </w:r>
    </w:p>
    <w:p w14:paraId="50900D0C" w14:textId="77777777" w:rsidR="004C0CD1" w:rsidRDefault="004C0CD1" w:rsidP="00DB392C"/>
    <w:p w14:paraId="1CCC44FF" w14:textId="0BE5849C" w:rsidR="0063220B" w:rsidRPr="0063220B" w:rsidRDefault="0063220B" w:rsidP="0063220B">
      <w:pPr>
        <w:pStyle w:val="EndNoteBibliography"/>
        <w:spacing w:after="0"/>
      </w:pPr>
      <w:r w:rsidRPr="0063220B">
        <w:t>1.</w:t>
      </w:r>
      <w:r w:rsidRPr="0063220B">
        <w:tab/>
        <w:t>Johnson W, Li L, Kuh D, Hardy R. How Has the Age-Related Process of Overweight or Obesity Development Changed over Time? Co-ordinated Analyses of Individual Participant Data from Five United Kingdom Birth Cohorts. PLOS Medicine. 2015;12(5):e1001828.</w:t>
      </w:r>
    </w:p>
    <w:p w14:paraId="0DE6EC16" w14:textId="77777777" w:rsidR="0063220B" w:rsidRPr="00956785" w:rsidRDefault="0063220B" w:rsidP="0063220B">
      <w:pPr>
        <w:pStyle w:val="EndNoteBibliography"/>
        <w:spacing w:after="0"/>
        <w:rPr>
          <w:lang w:val="sv-SE"/>
        </w:rPr>
      </w:pPr>
      <w:r w:rsidRPr="0063220B">
        <w:t>2.</w:t>
      </w:r>
      <w:r w:rsidRPr="0063220B">
        <w:tab/>
        <w:t xml:space="preserve">Barker DJP. The developmental origins of adult disease. Journal of the American College of Nutrition. </w:t>
      </w:r>
      <w:r w:rsidRPr="00956785">
        <w:rPr>
          <w:lang w:val="sv-SE"/>
        </w:rPr>
        <w:t>2004;23(sup6):588S-95S.</w:t>
      </w:r>
    </w:p>
    <w:p w14:paraId="7F4C504F" w14:textId="77777777" w:rsidR="0063220B" w:rsidRPr="0063220B" w:rsidRDefault="0063220B" w:rsidP="0063220B">
      <w:pPr>
        <w:pStyle w:val="EndNoteBibliography"/>
        <w:spacing w:after="0"/>
      </w:pPr>
      <w:r w:rsidRPr="00956785">
        <w:rPr>
          <w:lang w:val="sv-SE"/>
        </w:rPr>
        <w:t>3.</w:t>
      </w:r>
      <w:r w:rsidRPr="00956785">
        <w:rPr>
          <w:lang w:val="sv-SE"/>
        </w:rPr>
        <w:tab/>
        <w:t xml:space="preserve">Stettler N, Kumanyika SK, Katz SH, Zemel BS, Stallings VA. </w:t>
      </w:r>
      <w:r w:rsidRPr="0063220B">
        <w:t>Rapid weight gain during infancy and obesity in young adulthood in a cohort of African Americans. The American Journal of Clinical Nutrition. 2003;77(6):1374-8.</w:t>
      </w:r>
    </w:p>
    <w:p w14:paraId="1EA60A37" w14:textId="77777777" w:rsidR="0063220B" w:rsidRPr="0063220B" w:rsidRDefault="0063220B" w:rsidP="0063220B">
      <w:pPr>
        <w:pStyle w:val="EndNoteBibliography"/>
        <w:spacing w:after="0"/>
      </w:pPr>
      <w:r w:rsidRPr="0063220B">
        <w:t>4.</w:t>
      </w:r>
      <w:r w:rsidRPr="0063220B">
        <w:tab/>
        <w:t>Ong KK, Loos RJF. Rapid infancy weight gain and subsequent obesity: Systematic reviews and hopeful suggestions. Acta Pædiatrica. 2006;95(8):904-8.</w:t>
      </w:r>
    </w:p>
    <w:p w14:paraId="6A506B69" w14:textId="77777777" w:rsidR="0063220B" w:rsidRPr="0063220B" w:rsidRDefault="0063220B" w:rsidP="0063220B">
      <w:pPr>
        <w:pStyle w:val="EndNoteBibliography"/>
        <w:spacing w:after="0"/>
      </w:pPr>
      <w:r w:rsidRPr="0063220B">
        <w:t>5.</w:t>
      </w:r>
      <w:r w:rsidRPr="0063220B">
        <w:tab/>
        <w:t>Druet C, Stettler N, Sharp S, Simmons RK, Cooper C, Davey Smith G, et al. Prediction of childhood obesity by infancy weight gain: an individual-level meta-analysis. Paediatric and Perinatal Epidemiology. 2012;26(1):19-26.</w:t>
      </w:r>
    </w:p>
    <w:p w14:paraId="2EB1E70E" w14:textId="77777777" w:rsidR="0063220B" w:rsidRPr="0063220B" w:rsidRDefault="0063220B" w:rsidP="0063220B">
      <w:pPr>
        <w:pStyle w:val="EndNoteBibliography"/>
        <w:spacing w:after="0"/>
      </w:pPr>
      <w:r w:rsidRPr="0063220B">
        <w:t>6.</w:t>
      </w:r>
      <w:r w:rsidRPr="0063220B">
        <w:tab/>
        <w:t>Zheng M, Lamb KE, Grimes C, Laws R, Bolton K, Ong KK, et al. Rapid weight gain during infancy and subsequent adiposity: a systematic review and meta-analysis of evidence. Obesity Reviews. 2018;19(3):321-32.</w:t>
      </w:r>
    </w:p>
    <w:p w14:paraId="19F15D8A" w14:textId="77777777" w:rsidR="0063220B" w:rsidRPr="0063220B" w:rsidRDefault="0063220B" w:rsidP="0063220B">
      <w:pPr>
        <w:pStyle w:val="EndNoteBibliography"/>
        <w:spacing w:after="0"/>
      </w:pPr>
      <w:r w:rsidRPr="0063220B">
        <w:t>7.</w:t>
      </w:r>
      <w:r w:rsidRPr="0063220B">
        <w:tab/>
        <w:t>Mathers JC, McKay JA. Epigenetics - potential contribution to fetal programming. Advances in experimental medicine and biology. 2009;646:119-23.</w:t>
      </w:r>
    </w:p>
    <w:p w14:paraId="5EBB69FF" w14:textId="77777777" w:rsidR="0063220B" w:rsidRPr="0063220B" w:rsidRDefault="0063220B" w:rsidP="0063220B">
      <w:pPr>
        <w:pStyle w:val="EndNoteBibliography"/>
        <w:spacing w:after="0"/>
      </w:pPr>
      <w:r w:rsidRPr="0063220B">
        <w:t>8.</w:t>
      </w:r>
      <w:r w:rsidRPr="0063220B">
        <w:tab/>
        <w:t>Suzuki MM, Bird A. DNA methylation landscapes: provocative insights from epigenomics. Nature reviews Genetics. 2008;9(6):465-76.</w:t>
      </w:r>
    </w:p>
    <w:p w14:paraId="635D2993" w14:textId="77777777" w:rsidR="0063220B" w:rsidRPr="0063220B" w:rsidRDefault="0063220B" w:rsidP="0063220B">
      <w:pPr>
        <w:pStyle w:val="EndNoteBibliography"/>
        <w:spacing w:after="0"/>
      </w:pPr>
      <w:r w:rsidRPr="0063220B">
        <w:t>9.</w:t>
      </w:r>
      <w:r w:rsidRPr="0063220B">
        <w:tab/>
        <w:t>Rzehak P, Covic M, Saffery R, Reischl E, Wahl S, Grote V, et al. DNA-Methylation and Body Composition in Preschool Children: Epigenome-Wide-Analysis in the European Childhood Obesity Project (CHOP)-Study. Scientific Reports. 2017;7(1):14349.</w:t>
      </w:r>
    </w:p>
    <w:p w14:paraId="6BF5DA0C" w14:textId="77777777" w:rsidR="0063220B" w:rsidRPr="0063220B" w:rsidRDefault="0063220B" w:rsidP="0063220B">
      <w:pPr>
        <w:pStyle w:val="EndNoteBibliography"/>
        <w:spacing w:after="0"/>
      </w:pPr>
      <w:r w:rsidRPr="0063220B">
        <w:t>10.</w:t>
      </w:r>
      <w:r w:rsidRPr="0063220B">
        <w:tab/>
        <w:t>van Dijk SJ, Peters TJ, Buckley M, Zhou J, Jones PA, Gibson RA, et al. DNA methylation in blood from neonatal screening cards and the association with BMI and insulin sensitivity in early childhood. Int J Obes (Lond). 2018;42(1):28-35.</w:t>
      </w:r>
    </w:p>
    <w:p w14:paraId="23A3892F" w14:textId="77777777" w:rsidR="0063220B" w:rsidRPr="0063220B" w:rsidRDefault="0063220B" w:rsidP="0063220B">
      <w:pPr>
        <w:pStyle w:val="EndNoteBibliography"/>
        <w:spacing w:after="0"/>
      </w:pPr>
      <w:r w:rsidRPr="0063220B">
        <w:t>11.</w:t>
      </w:r>
      <w:r w:rsidRPr="0063220B">
        <w:tab/>
        <w:t>van Dijk SJ, Tellam RL, Morrison JL, Muhlhausler BS, Molloy PL. Recent developments on the role of epigenetics in obesity and metabolic disease. Clinical epigenetics. 2015;7:66-.</w:t>
      </w:r>
    </w:p>
    <w:p w14:paraId="40827D71" w14:textId="77777777" w:rsidR="0063220B" w:rsidRPr="0063220B" w:rsidRDefault="0063220B" w:rsidP="0063220B">
      <w:pPr>
        <w:pStyle w:val="EndNoteBibliography"/>
        <w:spacing w:after="0"/>
      </w:pPr>
      <w:r w:rsidRPr="0063220B">
        <w:t>12.</w:t>
      </w:r>
      <w:r w:rsidRPr="0063220B">
        <w:tab/>
        <w:t>Wahl S, Drong A, Lehne B, Loh M, Scott WR, Kunze S, et al. Epigenome-wide association study of body mass index, and the adverse outcomes of adiposity. Nature. 2017;541(7635):81-6.</w:t>
      </w:r>
    </w:p>
    <w:p w14:paraId="1F627588" w14:textId="77777777" w:rsidR="0063220B" w:rsidRPr="0063220B" w:rsidRDefault="0063220B" w:rsidP="0063220B">
      <w:pPr>
        <w:pStyle w:val="EndNoteBibliography"/>
        <w:spacing w:after="0"/>
      </w:pPr>
      <w:r w:rsidRPr="0063220B">
        <w:t>13.</w:t>
      </w:r>
      <w:r w:rsidRPr="0063220B">
        <w:tab/>
        <w:t>Rakyan VK, Down TA, Balding DJ, Beck S. Epigenome-wide association studies for common human diseases. Nature reviews Genetics. 2011;12(8):529-41.</w:t>
      </w:r>
    </w:p>
    <w:p w14:paraId="48248886" w14:textId="77777777" w:rsidR="0063220B" w:rsidRPr="0063220B" w:rsidRDefault="0063220B" w:rsidP="0063220B">
      <w:pPr>
        <w:pStyle w:val="EndNoteBibliography"/>
        <w:spacing w:after="0"/>
      </w:pPr>
      <w:r w:rsidRPr="0063220B">
        <w:t>14.</w:t>
      </w:r>
      <w:r w:rsidRPr="0063220B">
        <w:tab/>
        <w:t>Flanagan JM. Epigenome-wide association studies (EWAS): past, present, and future. Methods in molecular biology (Clifton, NJ). 2015;1238:51-63.</w:t>
      </w:r>
    </w:p>
    <w:p w14:paraId="72C3A30A" w14:textId="77777777" w:rsidR="0063220B" w:rsidRPr="0063220B" w:rsidRDefault="0063220B" w:rsidP="0063220B">
      <w:pPr>
        <w:pStyle w:val="EndNoteBibliography"/>
        <w:spacing w:after="0"/>
      </w:pPr>
      <w:r w:rsidRPr="0063220B">
        <w:t>15.</w:t>
      </w:r>
      <w:r w:rsidRPr="0063220B">
        <w:tab/>
        <w:t>Küpers LK, Monnereau C, Sharp GC, Yousefi P, Salas LA, Ghantous A, et al. Meta-analysis of epigenome-wide association studies in neonates reveals widespread differential DNA methylation associated with birthweight. Nature communications. 2019;10(1):1893.</w:t>
      </w:r>
    </w:p>
    <w:p w14:paraId="0AACA75C" w14:textId="77777777" w:rsidR="0063220B" w:rsidRPr="0063220B" w:rsidRDefault="0063220B" w:rsidP="0063220B">
      <w:pPr>
        <w:pStyle w:val="EndNoteBibliography"/>
        <w:spacing w:after="0"/>
      </w:pPr>
      <w:r w:rsidRPr="0063220B">
        <w:t>16.</w:t>
      </w:r>
      <w:r w:rsidRPr="0063220B">
        <w:tab/>
        <w:t>Sharp GC, Salas LA, Monnereau C, Allard C, Yousefi P, Everson TM, et al. Maternal BMI at the start of pregnancy and offspring epigenome-wide DNA methylation: findings from the pregnancy and childhood epigenetics (PACE) consortium. Human Molecular Genetics. 2017;26(20):4067-85.</w:t>
      </w:r>
    </w:p>
    <w:p w14:paraId="53A8F8E2" w14:textId="77777777" w:rsidR="0063220B" w:rsidRPr="0063220B" w:rsidRDefault="0063220B" w:rsidP="0063220B">
      <w:pPr>
        <w:pStyle w:val="EndNoteBibliography"/>
        <w:spacing w:after="0"/>
      </w:pPr>
      <w:r w:rsidRPr="0063220B">
        <w:rPr>
          <w:rFonts w:hint="eastAsia"/>
        </w:rPr>
        <w:t>17.</w:t>
      </w:r>
      <w:r w:rsidRPr="0063220B">
        <w:rPr>
          <w:rFonts w:hint="eastAsia"/>
        </w:rPr>
        <w:tab/>
        <w:t>Wright C, Matthews J, Waterston A, Aynsley</w:t>
      </w:r>
      <w:r w:rsidRPr="0063220B">
        <w:rPr>
          <w:rFonts w:hint="eastAsia"/>
        </w:rPr>
        <w:t>‐</w:t>
      </w:r>
      <w:r w:rsidRPr="0063220B">
        <w:rPr>
          <w:rFonts w:hint="eastAsia"/>
        </w:rPr>
        <w:t>Green A. What is a normal rate of weight gain in infancy? Acta Paediatrica. 1994;83(4):351-6.</w:t>
      </w:r>
    </w:p>
    <w:p w14:paraId="48D12230" w14:textId="77777777" w:rsidR="0063220B" w:rsidRPr="0063220B" w:rsidRDefault="0063220B" w:rsidP="0063220B">
      <w:pPr>
        <w:pStyle w:val="EndNoteBibliography"/>
        <w:spacing w:after="0"/>
      </w:pPr>
      <w:r w:rsidRPr="0063220B">
        <w:t>18.</w:t>
      </w:r>
      <w:r w:rsidRPr="0063220B">
        <w:tab/>
        <w:t>Wright CM, Cox KM, Sherriff A, Franco-Villoria M, Pearce MS, Adamson AJ. To what extent do weight gain and eating avidity during infancy predict later adiposity? Public Health Nutrition. 2012;15(4):656-62.</w:t>
      </w:r>
    </w:p>
    <w:p w14:paraId="6CF01C0A" w14:textId="77777777" w:rsidR="0063220B" w:rsidRPr="0063220B" w:rsidRDefault="0063220B" w:rsidP="0063220B">
      <w:pPr>
        <w:pStyle w:val="EndNoteBibliography"/>
        <w:spacing w:after="0"/>
      </w:pPr>
      <w:r w:rsidRPr="0063220B">
        <w:t>19.</w:t>
      </w:r>
      <w:r w:rsidRPr="0063220B">
        <w:tab/>
        <w:t>Boyd A, Golding J, Macleod J, Lawlor DA, Fraser A, Henderson J, et al. Cohort Profile: the 'children of the 90s'--the index offspring of the Avon Longitudinal Study of Parents and Children. Int J Epidemiol. 2013;42(1):111-27.</w:t>
      </w:r>
    </w:p>
    <w:p w14:paraId="5D5255D2" w14:textId="77777777" w:rsidR="0063220B" w:rsidRPr="0063220B" w:rsidRDefault="0063220B" w:rsidP="0063220B">
      <w:pPr>
        <w:pStyle w:val="EndNoteBibliography"/>
        <w:spacing w:after="0"/>
      </w:pPr>
      <w:r w:rsidRPr="0063220B">
        <w:lastRenderedPageBreak/>
        <w:t>20.</w:t>
      </w:r>
      <w:r w:rsidRPr="0063220B">
        <w:tab/>
        <w:t>Fraser A, Macdonald-Wallis C, Tilling K, Boyd A, Golding J, Davey Smith G, et al. Cohort profile: the Avon Longitudinal Study of Parents and Children: ALSPAC mothers cohort. International journal of epidemiology. 2013;42(1):97-110.</w:t>
      </w:r>
    </w:p>
    <w:p w14:paraId="5E0F8A13" w14:textId="77777777" w:rsidR="0063220B" w:rsidRPr="0063220B" w:rsidRDefault="0063220B" w:rsidP="0063220B">
      <w:pPr>
        <w:pStyle w:val="EndNoteBibliography"/>
        <w:spacing w:after="0"/>
      </w:pPr>
      <w:r w:rsidRPr="0063220B">
        <w:t>21.</w:t>
      </w:r>
      <w:r w:rsidRPr="0063220B">
        <w:tab/>
        <w:t>Relton CL, Gaunt T, McArdle W, Ho K, Duggirala A, Shihab H, et al. Data Resource Profile: Accessible Resource for Integrated Epigenomic Studies (ARIES). International Journal of Epidemiology. 2015;44(4):1181-90.</w:t>
      </w:r>
    </w:p>
    <w:p w14:paraId="0CD17509" w14:textId="77777777" w:rsidR="0063220B" w:rsidRPr="0063220B" w:rsidRDefault="0063220B" w:rsidP="0063220B">
      <w:pPr>
        <w:pStyle w:val="EndNoteBibliography"/>
        <w:spacing w:after="0"/>
      </w:pPr>
      <w:r w:rsidRPr="0063220B">
        <w:t>22.</w:t>
      </w:r>
      <w:r w:rsidRPr="0063220B">
        <w:tab/>
        <w:t>Cole TJ, Freeman JV, Preece MA. Body mass index reference curves for the UK, 1990. Archives of Disease in Childhood. 1995;73(1):25.</w:t>
      </w:r>
    </w:p>
    <w:p w14:paraId="14C136BD" w14:textId="77777777" w:rsidR="0063220B" w:rsidRPr="0063220B" w:rsidRDefault="0063220B" w:rsidP="0063220B">
      <w:pPr>
        <w:pStyle w:val="EndNoteBibliography"/>
        <w:spacing w:after="0"/>
      </w:pPr>
      <w:r w:rsidRPr="0063220B">
        <w:t>23.</w:t>
      </w:r>
      <w:r w:rsidRPr="0063220B">
        <w:tab/>
        <w:t>Yu ZB, Han SP, Zhu GZ, Zhu C, Wang XJ, Cao XG, et al. Birth weight and subsequent risk of obesity: a systematic review and meta-analysis. Obesity Reviews. 2011;12(7):525-42.</w:t>
      </w:r>
    </w:p>
    <w:p w14:paraId="179829C3" w14:textId="77777777" w:rsidR="0063220B" w:rsidRPr="0063220B" w:rsidRDefault="0063220B" w:rsidP="0063220B">
      <w:pPr>
        <w:pStyle w:val="EndNoteBibliography"/>
        <w:spacing w:after="0"/>
      </w:pPr>
      <w:r w:rsidRPr="0063220B">
        <w:t>24.</w:t>
      </w:r>
      <w:r w:rsidRPr="0063220B">
        <w:tab/>
        <w:t>Simpkin AJ, Suderman M, Gaunt TR, Lyttleton O, McArdle WL, Ring SM, et al. Longitudinal analysis of DNA methylation associated with birth weight and gestational age. Human molecular genetics. 2015;24(13):3752-63.</w:t>
      </w:r>
    </w:p>
    <w:p w14:paraId="0996DD78" w14:textId="77777777" w:rsidR="0063220B" w:rsidRPr="0063220B" w:rsidRDefault="0063220B" w:rsidP="0063220B">
      <w:pPr>
        <w:pStyle w:val="EndNoteBibliography"/>
        <w:spacing w:after="0"/>
      </w:pPr>
      <w:r w:rsidRPr="0063220B">
        <w:t>25.</w:t>
      </w:r>
      <w:r w:rsidRPr="0063220B">
        <w:tab/>
        <w:t>Vidmar S, Carlin J, Hesketh K, Cole T. Standardizing anthropometric measures in children and adolescents with new functions for egen. Stata J. 2004;4(1):50-5.</w:t>
      </w:r>
    </w:p>
    <w:p w14:paraId="4F6C94F8" w14:textId="77777777" w:rsidR="0063220B" w:rsidRPr="0063220B" w:rsidRDefault="0063220B" w:rsidP="0063220B">
      <w:pPr>
        <w:pStyle w:val="EndNoteBibliography"/>
        <w:spacing w:after="0"/>
      </w:pPr>
      <w:r w:rsidRPr="0063220B">
        <w:t>26.</w:t>
      </w:r>
      <w:r w:rsidRPr="0063220B">
        <w:tab/>
        <w:t>SACN. RCPCH Expert Group. Consideration of issues around the use of BMI centile thresholds for defining underweight, overweight and obesity in children aged 2-18 years in the UK. 2012.</w:t>
      </w:r>
    </w:p>
    <w:p w14:paraId="68C403D6" w14:textId="77777777" w:rsidR="0063220B" w:rsidRPr="0063220B" w:rsidRDefault="0063220B" w:rsidP="0063220B">
      <w:pPr>
        <w:pStyle w:val="EndNoteBibliography"/>
        <w:spacing w:after="0"/>
      </w:pPr>
      <w:r w:rsidRPr="0063220B">
        <w:t>27.</w:t>
      </w:r>
      <w:r w:rsidRPr="0063220B">
        <w:tab/>
        <w:t>Touleimat N, Tost J. Complete pipeline for Infinium® Human Methylation 450K BeadChip data processing using subset quantile normalization for accurate DNA methylation estimation. Epigenomics. 2012;4(3):325-41.</w:t>
      </w:r>
    </w:p>
    <w:p w14:paraId="1A0E6E64" w14:textId="77777777" w:rsidR="0063220B" w:rsidRPr="0063220B" w:rsidRDefault="0063220B" w:rsidP="0063220B">
      <w:pPr>
        <w:pStyle w:val="EndNoteBibliography"/>
        <w:spacing w:after="0"/>
      </w:pPr>
      <w:r w:rsidRPr="0063220B">
        <w:t>28.</w:t>
      </w:r>
      <w:r w:rsidRPr="0063220B">
        <w:tab/>
        <w:t>Houseman EA, Accomando WP, Koestler DC, Christensen BC, Marsit CJ, Nelson HH, et al. DNA methylation arrays as surrogate measures of cell mixture distribution. BMC bioinformatics. 2012;13:86.</w:t>
      </w:r>
    </w:p>
    <w:p w14:paraId="0271642A" w14:textId="77777777" w:rsidR="0063220B" w:rsidRPr="0063220B" w:rsidRDefault="0063220B" w:rsidP="0063220B">
      <w:pPr>
        <w:pStyle w:val="EndNoteBibliography"/>
        <w:spacing w:after="0"/>
      </w:pPr>
      <w:r w:rsidRPr="0063220B">
        <w:t>29.</w:t>
      </w:r>
      <w:r w:rsidRPr="0063220B">
        <w:tab/>
        <w:t>Chen Y-a, Lemire M, Choufani S, Butcher DT, Grafodatskaya D, Zanke BW, et al. Discovery of cross-reactive probes and polymorphic CpGs in the Illumina Infinium HumanMethylation450 microarray. Epigenetics. 2013;8(2):203-9.</w:t>
      </w:r>
    </w:p>
    <w:p w14:paraId="7ECFFCCA" w14:textId="77777777" w:rsidR="0063220B" w:rsidRPr="0063220B" w:rsidRDefault="0063220B" w:rsidP="0063220B">
      <w:pPr>
        <w:pStyle w:val="EndNoteBibliography"/>
        <w:spacing w:after="0"/>
      </w:pPr>
      <w:r w:rsidRPr="0063220B">
        <w:t>30.</w:t>
      </w:r>
      <w:r w:rsidRPr="0063220B">
        <w:tab/>
        <w:t>Jaffe AE, Irizarry RA. Accounting for cellular heterogeneity is critical in epigenome-wide association studies. Genome Biology. 2014;15(2):R31.</w:t>
      </w:r>
    </w:p>
    <w:p w14:paraId="4889E814" w14:textId="77777777" w:rsidR="0063220B" w:rsidRPr="0063220B" w:rsidRDefault="0063220B" w:rsidP="0063220B">
      <w:pPr>
        <w:pStyle w:val="EndNoteBibliography"/>
        <w:spacing w:after="0"/>
      </w:pPr>
      <w:r w:rsidRPr="0063220B">
        <w:t>31.</w:t>
      </w:r>
      <w:r w:rsidRPr="0063220B">
        <w:tab/>
        <w:t>Benjamini Y, Hochberg Y. Controlling the false discovery rate: a practical and powerful approach to multiple testing. Journal of the Royal statistical society: series B (Methodological). 1995;57(1):289-300.</w:t>
      </w:r>
    </w:p>
    <w:p w14:paraId="07324DDC" w14:textId="77777777" w:rsidR="0063220B" w:rsidRPr="0063220B" w:rsidRDefault="0063220B" w:rsidP="0063220B">
      <w:pPr>
        <w:pStyle w:val="EndNoteBibliography"/>
        <w:spacing w:after="0"/>
      </w:pPr>
      <w:r w:rsidRPr="0063220B">
        <w:t>32.</w:t>
      </w:r>
      <w:r w:rsidRPr="0063220B">
        <w:tab/>
        <w:t>Min J, Hemani G, Davey Smith G, Relton CL, Suderman M. Meffil: efficient normalisation and analysis of very large DNA methylation samples. bioRxiv. 2017.</w:t>
      </w:r>
    </w:p>
    <w:p w14:paraId="7CCBE17A" w14:textId="77777777" w:rsidR="0063220B" w:rsidRPr="0063220B" w:rsidRDefault="0063220B" w:rsidP="0063220B">
      <w:pPr>
        <w:pStyle w:val="EndNoteBibliography"/>
        <w:spacing w:after="0"/>
      </w:pPr>
      <w:r w:rsidRPr="0063220B">
        <w:t>33.</w:t>
      </w:r>
      <w:r w:rsidRPr="0063220B">
        <w:tab/>
        <w:t>Leek JT, Storey JD. Capturing Heterogeneity in Gene Expression Studies by Surrogate Variable Analysis. PLOS Genetics. 2007;3(9):e161.</w:t>
      </w:r>
    </w:p>
    <w:p w14:paraId="0F569378" w14:textId="77777777" w:rsidR="0063220B" w:rsidRPr="0063220B" w:rsidRDefault="0063220B" w:rsidP="0063220B">
      <w:pPr>
        <w:pStyle w:val="EndNoteBibliography"/>
        <w:spacing w:after="0"/>
      </w:pPr>
      <w:r w:rsidRPr="0063220B">
        <w:t>34.</w:t>
      </w:r>
      <w:r w:rsidRPr="0063220B">
        <w:tab/>
        <w:t>Teschendorff AE, Zhuang J, Widschwendter M. Independent surrogate variable analysis to deconvolve confounding factors in large-scale microarray profiling studies. Bioinformatics (Oxford, England). 2011;27(11):1496-505.</w:t>
      </w:r>
    </w:p>
    <w:p w14:paraId="4ADA05B4" w14:textId="77777777" w:rsidR="0063220B" w:rsidRPr="0063220B" w:rsidRDefault="0063220B" w:rsidP="0063220B">
      <w:pPr>
        <w:pStyle w:val="EndNoteBibliography"/>
        <w:spacing w:after="0"/>
      </w:pPr>
      <w:r w:rsidRPr="0063220B">
        <w:t>35.</w:t>
      </w:r>
      <w:r w:rsidRPr="0063220B">
        <w:tab/>
        <w:t>Jones PA, Baylin SB. The fundamental role of epigenetic events in cancer. Nature reviews genetics. 2002;3(6):415.</w:t>
      </w:r>
    </w:p>
    <w:p w14:paraId="1283A699" w14:textId="77777777" w:rsidR="0063220B" w:rsidRPr="00956785" w:rsidRDefault="0063220B" w:rsidP="0063220B">
      <w:pPr>
        <w:pStyle w:val="EndNoteBibliography"/>
        <w:spacing w:after="0"/>
        <w:rPr>
          <w:lang w:val="sv-SE"/>
        </w:rPr>
      </w:pPr>
      <w:r w:rsidRPr="0063220B">
        <w:t>36.</w:t>
      </w:r>
      <w:r w:rsidRPr="0063220B">
        <w:tab/>
        <w:t xml:space="preserve">Robinson MD, Kahraman A, Law CW, Lindsay H, Nowicka M, Weber LM, et al. Statistical methods for detecting differentially methylated loci and regions. Frontiers in genetics. </w:t>
      </w:r>
      <w:r w:rsidRPr="00956785">
        <w:rPr>
          <w:lang w:val="sv-SE"/>
        </w:rPr>
        <w:t>2014;5:324.</w:t>
      </w:r>
    </w:p>
    <w:p w14:paraId="575E9246" w14:textId="77777777" w:rsidR="0063220B" w:rsidRPr="0063220B" w:rsidRDefault="0063220B" w:rsidP="0063220B">
      <w:pPr>
        <w:pStyle w:val="EndNoteBibliography"/>
        <w:spacing w:after="0"/>
      </w:pPr>
      <w:r w:rsidRPr="00956785">
        <w:rPr>
          <w:lang w:val="sv-SE"/>
        </w:rPr>
        <w:t>37.</w:t>
      </w:r>
      <w:r w:rsidRPr="00956785">
        <w:rPr>
          <w:lang w:val="sv-SE"/>
        </w:rPr>
        <w:tab/>
        <w:t xml:space="preserve">Peters TJ, Buckley MJ, Statham AL, Pidsley R, Samaras K, V Lord R, et al. </w:t>
      </w:r>
      <w:r w:rsidRPr="0063220B">
        <w:t>De novo identification of differentially methylated regions in the human genome. Epigenetics &amp; Chromatin. 2015;8(1):6.</w:t>
      </w:r>
    </w:p>
    <w:p w14:paraId="68149BDD" w14:textId="77777777" w:rsidR="0063220B" w:rsidRPr="0063220B" w:rsidRDefault="0063220B" w:rsidP="0063220B">
      <w:pPr>
        <w:pStyle w:val="EndNoteBibliography"/>
        <w:spacing w:after="0"/>
      </w:pPr>
      <w:r w:rsidRPr="0063220B">
        <w:t>38.</w:t>
      </w:r>
      <w:r w:rsidRPr="0063220B">
        <w:tab/>
        <w:t>Kent WJ, Sugnet CW, Furey TS, Roskin KM, Pringle TH, Zahler AM, et al. The human genome browser at UCSC. Genome research. 2002;12(6):996-1006.</w:t>
      </w:r>
    </w:p>
    <w:p w14:paraId="665EA219" w14:textId="77777777" w:rsidR="0063220B" w:rsidRPr="0063220B" w:rsidRDefault="0063220B" w:rsidP="0063220B">
      <w:pPr>
        <w:pStyle w:val="EndNoteBibliography"/>
        <w:spacing w:after="0"/>
      </w:pPr>
      <w:r w:rsidRPr="0063220B">
        <w:t>39.</w:t>
      </w:r>
      <w:r w:rsidRPr="0063220B">
        <w:tab/>
        <w:t>Inskip HM, Godfrey KM, Robinson SM, Law CM, Barker DJ, Cooper C. Cohort profile: the Southampton women's survey. International journal of epidemiology. 2006;35(1):42-8.</w:t>
      </w:r>
    </w:p>
    <w:p w14:paraId="72FCE009" w14:textId="77777777" w:rsidR="0063220B" w:rsidRPr="0063220B" w:rsidRDefault="0063220B" w:rsidP="0063220B">
      <w:pPr>
        <w:pStyle w:val="EndNoteBibliography"/>
        <w:spacing w:after="0"/>
      </w:pPr>
      <w:r w:rsidRPr="0063220B">
        <w:lastRenderedPageBreak/>
        <w:t>40.</w:t>
      </w:r>
      <w:r w:rsidRPr="0063220B">
        <w:tab/>
        <w:t>Turan N, Ghalwash MF, Katari S, Coutifaris C, Obradovic Z, Sapienza C. DNA methylation differences at growth related genes correlate with birth weight: a molecular signature linked to developmental origins of adult disease? Bmc Medical Genomics. 2012;5.</w:t>
      </w:r>
    </w:p>
    <w:p w14:paraId="2AA526A3" w14:textId="77777777" w:rsidR="0063220B" w:rsidRPr="0063220B" w:rsidRDefault="0063220B" w:rsidP="0063220B">
      <w:pPr>
        <w:pStyle w:val="EndNoteBibliography"/>
        <w:spacing w:after="0"/>
      </w:pPr>
      <w:r w:rsidRPr="0063220B">
        <w:t>41.</w:t>
      </w:r>
      <w:r w:rsidRPr="0063220B">
        <w:tab/>
        <w:t>Zheng M, Lamb KE, Grimes C, Laws R, Bolton K, Ong KK, et al. Rapid weight gain during infancy and subsequent adiposity: a systematic review and meta-analysis of evidence. Obes Rev. 2018;19(3):321-32.</w:t>
      </w:r>
    </w:p>
    <w:p w14:paraId="16A02F98" w14:textId="77777777" w:rsidR="0063220B" w:rsidRPr="0063220B" w:rsidRDefault="0063220B" w:rsidP="0063220B">
      <w:pPr>
        <w:pStyle w:val="EndNoteBibliography"/>
        <w:spacing w:after="0"/>
      </w:pPr>
      <w:r w:rsidRPr="0063220B">
        <w:t>42.</w:t>
      </w:r>
      <w:r w:rsidRPr="0063220B">
        <w:tab/>
        <w:t>Scolnick DM, Halazonetis TD. Chfr defines a mitotic stress checkpoint that delays entry into metaphase. Nature. 2000;406(6794):430.</w:t>
      </w:r>
    </w:p>
    <w:p w14:paraId="57524A41" w14:textId="77777777" w:rsidR="0063220B" w:rsidRPr="0063220B" w:rsidRDefault="0063220B" w:rsidP="0063220B">
      <w:pPr>
        <w:pStyle w:val="EndNoteBibliography"/>
        <w:spacing w:after="0"/>
      </w:pPr>
      <w:r w:rsidRPr="0063220B">
        <w:t>43.</w:t>
      </w:r>
      <w:r w:rsidRPr="0063220B">
        <w:tab/>
        <w:t>Sanbhnani S, Yeong FM. CHFR: a key checkpoint component implicated in a wide range of cancers. Cellular and molecular life sciences : CMLS. 2012;69(10):1669-87.</w:t>
      </w:r>
    </w:p>
    <w:p w14:paraId="55A46A29" w14:textId="77777777" w:rsidR="0063220B" w:rsidRPr="0063220B" w:rsidRDefault="0063220B" w:rsidP="0063220B">
      <w:pPr>
        <w:pStyle w:val="EndNoteBibliography"/>
        <w:spacing w:after="0"/>
      </w:pPr>
      <w:r w:rsidRPr="0063220B">
        <w:t>44.</w:t>
      </w:r>
      <w:r w:rsidRPr="0063220B">
        <w:tab/>
        <w:t>Derks S, Cleven AH, Melotte V, Smits KM, Brandes JC, Azad N, et al. Emerging evidence for CHFR as a cancer biomarker: from tumor biology to precision medicine. Cancer and Metastasis Reviews. 2014;33(1):161-71.</w:t>
      </w:r>
    </w:p>
    <w:p w14:paraId="11A384DB" w14:textId="77777777" w:rsidR="0063220B" w:rsidRPr="0063220B" w:rsidRDefault="0063220B" w:rsidP="0063220B">
      <w:pPr>
        <w:pStyle w:val="EndNoteBibliography"/>
        <w:spacing w:after="0"/>
      </w:pPr>
      <w:r w:rsidRPr="0063220B">
        <w:t>45.</w:t>
      </w:r>
      <w:r w:rsidRPr="0063220B">
        <w:tab/>
        <w:t>Oh YM, Kwon YE, Kim JM, Bae SJ, Lee BK, Yoo SJ, et al. Chfr is linked to tumour metastasis through the downregulation of HDAC1. Nature Cell Biology. 2009;11:295.</w:t>
      </w:r>
    </w:p>
    <w:p w14:paraId="6A3B06B2" w14:textId="77777777" w:rsidR="0063220B" w:rsidRPr="0063220B" w:rsidRDefault="0063220B" w:rsidP="0063220B">
      <w:pPr>
        <w:pStyle w:val="EndNoteBibliography"/>
        <w:spacing w:after="0"/>
      </w:pPr>
      <w:r w:rsidRPr="0063220B">
        <w:t>46.</w:t>
      </w:r>
      <w:r w:rsidRPr="0063220B">
        <w:tab/>
        <w:t>Kisiel JB, Dukek BA, R VSRK, Ghoz HM, Yab TC, Berger CK, et al. Hepatocellular Carcinoma Detection by Plasma Methylated DNA: Discovery, Phase I Pilot, and Phase II Clinical Validation. Hepatology (Baltimore, Md). 2019;69(3):1180-92.</w:t>
      </w:r>
    </w:p>
    <w:p w14:paraId="17D69DF3" w14:textId="77777777" w:rsidR="0063220B" w:rsidRPr="0063220B" w:rsidRDefault="0063220B" w:rsidP="0063220B">
      <w:pPr>
        <w:pStyle w:val="EndNoteBibliography"/>
        <w:spacing w:after="0"/>
      </w:pPr>
      <w:r w:rsidRPr="0063220B">
        <w:t>47.</w:t>
      </w:r>
      <w:r w:rsidRPr="0063220B">
        <w:tab/>
        <w:t>Majumder S, Taylor WR, Foote PH, Berger CK, Wu CW, Yab TC, et al. Mo1370 - Pancreatic Cancer Detection by Plasma Assay of Novel Methylated Dna Markers: A Case-Control Study. Gastroenterology. 2019;156(6):S-754-S-5.</w:t>
      </w:r>
    </w:p>
    <w:p w14:paraId="676DC7B4" w14:textId="77777777" w:rsidR="0063220B" w:rsidRPr="0063220B" w:rsidRDefault="0063220B" w:rsidP="0063220B">
      <w:pPr>
        <w:pStyle w:val="EndNoteBibliography"/>
        <w:spacing w:after="0"/>
      </w:pPr>
      <w:r w:rsidRPr="0063220B">
        <w:t>48.</w:t>
      </w:r>
      <w:r w:rsidRPr="0063220B">
        <w:tab/>
        <w:t>Gore L, Triche TJ, Farrar JE, Wai D, Legendre C, Gooden GC, et al. A multicenter, randomized study of decitabine as epigenetic priming with induction chemotherapy in children with AML. Clinical epigenetics. 2017;9(1):108.</w:t>
      </w:r>
    </w:p>
    <w:p w14:paraId="1ECFEE85" w14:textId="77777777" w:rsidR="0063220B" w:rsidRPr="0063220B" w:rsidRDefault="0063220B" w:rsidP="0063220B">
      <w:pPr>
        <w:pStyle w:val="EndNoteBibliography"/>
        <w:spacing w:after="0"/>
      </w:pPr>
      <w:r w:rsidRPr="0063220B">
        <w:t>49.</w:t>
      </w:r>
      <w:r w:rsidRPr="0063220B">
        <w:tab/>
        <w:t>Froy O. Metabolism and Circadian Rhythms—Implications for Obesity. Endocrine Reviews. 2010;31(1):1-24.</w:t>
      </w:r>
    </w:p>
    <w:p w14:paraId="625A8EA2" w14:textId="77777777" w:rsidR="0063220B" w:rsidRPr="0063220B" w:rsidRDefault="0063220B" w:rsidP="0063220B">
      <w:pPr>
        <w:pStyle w:val="EndNoteBibliography"/>
        <w:spacing w:after="0"/>
      </w:pPr>
      <w:r w:rsidRPr="0063220B">
        <w:t>50.</w:t>
      </w:r>
      <w:r w:rsidRPr="0063220B">
        <w:tab/>
        <w:t>Woo Baidal JA, Locks LM, Cheng ER, Blake-Lamb TL, Perkins ME, Taveras EM. Risk Factors for Childhood Obesity in the First 1,000 Days: A Systematic Review. American Journal of Preventive Medicine. 2016;50(6):761-79.</w:t>
      </w:r>
    </w:p>
    <w:p w14:paraId="3E109BAE" w14:textId="77777777" w:rsidR="0063220B" w:rsidRPr="0063220B" w:rsidRDefault="0063220B" w:rsidP="0063220B">
      <w:pPr>
        <w:pStyle w:val="EndNoteBibliography"/>
        <w:spacing w:after="0"/>
      </w:pPr>
      <w:r w:rsidRPr="0063220B">
        <w:t>51.</w:t>
      </w:r>
      <w:r w:rsidRPr="0063220B">
        <w:tab/>
        <w:t>Reed ZE, Suderman MJ, Relton CL, Davis OSP, Hemani G. The association of DNA methylation with body mass index: distinguishing between predictors and biomarkers. Clinical epigenetics. 2020;12(1):50.</w:t>
      </w:r>
    </w:p>
    <w:p w14:paraId="632CD823" w14:textId="77777777" w:rsidR="0063220B" w:rsidRPr="0063220B" w:rsidRDefault="0063220B" w:rsidP="0063220B">
      <w:pPr>
        <w:pStyle w:val="EndNoteBibliography"/>
        <w:spacing w:after="0"/>
      </w:pPr>
      <w:r w:rsidRPr="0063220B">
        <w:t>52.</w:t>
      </w:r>
      <w:r w:rsidRPr="0063220B">
        <w:tab/>
        <w:t>Cole T. Children grow and horses race: is the adiposity rebound a critical period for later obesity? BMC pediatrics. 2004;4(1):6.</w:t>
      </w:r>
    </w:p>
    <w:p w14:paraId="5877041A" w14:textId="77777777" w:rsidR="0063220B" w:rsidRPr="0063220B" w:rsidRDefault="0063220B" w:rsidP="0063220B">
      <w:pPr>
        <w:pStyle w:val="EndNoteBibliography"/>
        <w:spacing w:after="0"/>
      </w:pPr>
      <w:r w:rsidRPr="0063220B">
        <w:t>53.</w:t>
      </w:r>
      <w:r w:rsidRPr="0063220B">
        <w:tab/>
        <w:t>Visser M, Bouter LM, McQuillan GM, Wener MH, Harris TB. Elevated C-reactive protein levels in overweight and obese adults. Jama. 1999;282(22):2131-5.</w:t>
      </w:r>
    </w:p>
    <w:p w14:paraId="541E41D1" w14:textId="77777777" w:rsidR="0063220B" w:rsidRPr="0063220B" w:rsidRDefault="0063220B" w:rsidP="0063220B">
      <w:pPr>
        <w:pStyle w:val="EndNoteBibliography"/>
        <w:spacing w:after="0"/>
      </w:pPr>
      <w:r w:rsidRPr="0063220B">
        <w:t>54.</w:t>
      </w:r>
      <w:r w:rsidRPr="0063220B">
        <w:tab/>
        <w:t>Farhangi MA, Keshavarz S-A, Eshraghian M, Ostadrahimi A, Saboor-Yaraghi A-A. White Blood Cell Count in Women: Relation to Inflammatory Biomarkers, Haematological Profiles, Visceral Adiposity, and Other Cardiovascular Risk Factors. Journal of Health, Population, and Nutrition. 2013;31(1):58-64.</w:t>
      </w:r>
    </w:p>
    <w:p w14:paraId="7FCE7FD7" w14:textId="77777777" w:rsidR="0063220B" w:rsidRPr="0063220B" w:rsidRDefault="0063220B" w:rsidP="0063220B">
      <w:pPr>
        <w:pStyle w:val="EndNoteBibliography"/>
        <w:spacing w:after="0"/>
      </w:pPr>
      <w:r w:rsidRPr="0063220B">
        <w:t>55.</w:t>
      </w:r>
      <w:r w:rsidRPr="0063220B">
        <w:tab/>
        <w:t>Bastard J-P, Maachi M, Lagathu C, Kim MJ, Caron M, Vidal H, et al. Recent advances in the relationship between obesity, inflammation, and insulin resistance. European cytokine network. 2006;17(1):4-12.</w:t>
      </w:r>
    </w:p>
    <w:p w14:paraId="435D651E" w14:textId="77777777" w:rsidR="0063220B" w:rsidRPr="0063220B" w:rsidRDefault="0063220B" w:rsidP="0063220B">
      <w:pPr>
        <w:pStyle w:val="EndNoteBibliography"/>
        <w:spacing w:after="0"/>
      </w:pPr>
      <w:r w:rsidRPr="0063220B">
        <w:t>56.</w:t>
      </w:r>
      <w:r w:rsidRPr="0063220B">
        <w:tab/>
        <w:t>Teschendorff AE, Menon U, Gentry-Maharaj A, Ramus SJ, Gayther SA, Apostolidou S, et al. An Epigenetic Signature in Peripheral Blood Predicts Active Ovarian Cancer. PLOS ONE. 2009;4(12):e8274.</w:t>
      </w:r>
    </w:p>
    <w:p w14:paraId="37FDD73A" w14:textId="77777777" w:rsidR="0063220B" w:rsidRPr="00956785" w:rsidRDefault="0063220B" w:rsidP="0063220B">
      <w:pPr>
        <w:pStyle w:val="EndNoteBibliography"/>
        <w:spacing w:after="0"/>
        <w:rPr>
          <w:lang w:val="sv-SE"/>
        </w:rPr>
      </w:pPr>
      <w:r w:rsidRPr="0063220B">
        <w:t>57.</w:t>
      </w:r>
      <w:r w:rsidRPr="0063220B">
        <w:tab/>
        <w:t xml:space="preserve">Teschendorff AE, Zheng SC. Cell-type deconvolution in epigenome-wide association studies: a review and recommendations. </w:t>
      </w:r>
      <w:r w:rsidRPr="00956785">
        <w:rPr>
          <w:lang w:val="sv-SE"/>
        </w:rPr>
        <w:t>Epigenomics. 2017;9(5):757-68.</w:t>
      </w:r>
    </w:p>
    <w:p w14:paraId="7876E870" w14:textId="77777777" w:rsidR="0063220B" w:rsidRPr="0063220B" w:rsidRDefault="0063220B" w:rsidP="0063220B">
      <w:pPr>
        <w:pStyle w:val="EndNoteBibliography"/>
        <w:spacing w:after="0"/>
      </w:pPr>
      <w:r w:rsidRPr="00956785">
        <w:rPr>
          <w:lang w:val="sv-SE"/>
        </w:rPr>
        <w:t>58.</w:t>
      </w:r>
      <w:r w:rsidRPr="00956785">
        <w:rPr>
          <w:lang w:val="sv-SE"/>
        </w:rPr>
        <w:tab/>
        <w:t xml:space="preserve">McGregor K, Bernatsky S, Colmegna I, Hudson M, Pastinen T, Labbe A, et al. </w:t>
      </w:r>
      <w:r w:rsidRPr="0063220B">
        <w:t>An evaluation of methods correcting for cell-type heterogeneity in DNA methylation studies. Genome Biology. 2016;17(1):84.</w:t>
      </w:r>
    </w:p>
    <w:p w14:paraId="63DBADB7" w14:textId="77777777" w:rsidR="0063220B" w:rsidRPr="0063220B" w:rsidRDefault="0063220B" w:rsidP="0063220B">
      <w:pPr>
        <w:pStyle w:val="EndNoteBibliography"/>
      </w:pPr>
      <w:r w:rsidRPr="0063220B">
        <w:lastRenderedPageBreak/>
        <w:t>59.</w:t>
      </w:r>
      <w:r w:rsidRPr="0063220B">
        <w:tab/>
        <w:t>Pidsley R, Zotenko E, Peters TJ, Lawrence MG, Risbridger GP, Molloy P, et al. Critical evaluation of the Illumina MethylationEPIC BeadChip microarray for whole-genome DNA methylation profiling. Genome biology. 2016;17(1):1-17.</w:t>
      </w:r>
    </w:p>
    <w:p w14:paraId="5D4CBE14" w14:textId="58F8673B" w:rsidR="00800688" w:rsidRDefault="00800688" w:rsidP="00DB392C"/>
    <w:sectPr w:rsidR="00800688" w:rsidSect="002B7F6C">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B26B59" w14:textId="77777777" w:rsidR="008A3E61" w:rsidRDefault="008A3E61" w:rsidP="00DC2FF8">
      <w:pPr>
        <w:spacing w:after="0" w:line="240" w:lineRule="auto"/>
      </w:pPr>
      <w:r>
        <w:separator/>
      </w:r>
    </w:p>
  </w:endnote>
  <w:endnote w:type="continuationSeparator" w:id="0">
    <w:p w14:paraId="186F89DA" w14:textId="77777777" w:rsidR="008A3E61" w:rsidRDefault="008A3E61" w:rsidP="00DC2FF8">
      <w:pPr>
        <w:spacing w:after="0" w:line="240" w:lineRule="auto"/>
      </w:pPr>
      <w:r>
        <w:continuationSeparator/>
      </w:r>
    </w:p>
  </w:endnote>
  <w:endnote w:type="continuationNotice" w:id="1">
    <w:p w14:paraId="78190EF3" w14:textId="77777777" w:rsidR="008A3E61" w:rsidRDefault="008A3E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DC080" w14:textId="77777777" w:rsidR="006F3C05" w:rsidRDefault="006F3C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FDA11" w14:textId="66D77B4D" w:rsidR="006F3C05" w:rsidRDefault="006F3C05" w:rsidP="000D190B">
    <w:pPr>
      <w:pStyle w:val="Footer"/>
      <w:jc w:val="right"/>
    </w:pPr>
    <w:r>
      <w:fldChar w:fldCharType="begin"/>
    </w:r>
    <w:r>
      <w:instrText xml:space="preserve"> PAGE   \* MERGEFORMAT </w:instrText>
    </w:r>
    <w:r>
      <w:fldChar w:fldCharType="separate"/>
    </w:r>
    <w:r>
      <w:rPr>
        <w:noProof/>
      </w:rPr>
      <w:t>23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50279" w14:textId="77777777" w:rsidR="006F3C05" w:rsidRDefault="006F3C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CEB2E8" w14:textId="77777777" w:rsidR="008A3E61" w:rsidRDefault="008A3E61" w:rsidP="00DC2FF8">
      <w:pPr>
        <w:spacing w:after="0" w:line="240" w:lineRule="auto"/>
      </w:pPr>
      <w:r>
        <w:separator/>
      </w:r>
    </w:p>
  </w:footnote>
  <w:footnote w:type="continuationSeparator" w:id="0">
    <w:p w14:paraId="7CCA194C" w14:textId="77777777" w:rsidR="008A3E61" w:rsidRDefault="008A3E61" w:rsidP="00DC2FF8">
      <w:pPr>
        <w:spacing w:after="0" w:line="240" w:lineRule="auto"/>
      </w:pPr>
      <w:r>
        <w:continuationSeparator/>
      </w:r>
    </w:p>
  </w:footnote>
  <w:footnote w:type="continuationNotice" w:id="1">
    <w:p w14:paraId="664D0735" w14:textId="77777777" w:rsidR="008A3E61" w:rsidRDefault="008A3E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78606" w14:textId="77777777" w:rsidR="006F3C05" w:rsidRDefault="006F3C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5BB07" w14:textId="77777777" w:rsidR="006F3C05" w:rsidRDefault="006F3C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C34BA" w14:textId="77777777" w:rsidR="006F3C05" w:rsidRDefault="006F3C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03D06"/>
    <w:multiLevelType w:val="hybridMultilevel"/>
    <w:tmpl w:val="850C87EA"/>
    <w:lvl w:ilvl="0" w:tplc="A5F40F84">
      <w:start w:val="1"/>
      <w:numFmt w:val="bullet"/>
      <w:lvlText w:val="•"/>
      <w:lvlJc w:val="left"/>
      <w:pPr>
        <w:tabs>
          <w:tab w:val="num" w:pos="720"/>
        </w:tabs>
        <w:ind w:left="720" w:hanging="360"/>
      </w:pPr>
      <w:rPr>
        <w:rFonts w:ascii="Arial" w:hAnsi="Arial" w:hint="default"/>
      </w:rPr>
    </w:lvl>
    <w:lvl w:ilvl="1" w:tplc="A1805208" w:tentative="1">
      <w:start w:val="1"/>
      <w:numFmt w:val="bullet"/>
      <w:lvlText w:val="•"/>
      <w:lvlJc w:val="left"/>
      <w:pPr>
        <w:tabs>
          <w:tab w:val="num" w:pos="1440"/>
        </w:tabs>
        <w:ind w:left="1440" w:hanging="360"/>
      </w:pPr>
      <w:rPr>
        <w:rFonts w:ascii="Arial" w:hAnsi="Arial" w:hint="default"/>
      </w:rPr>
    </w:lvl>
    <w:lvl w:ilvl="2" w:tplc="97A2955E" w:tentative="1">
      <w:start w:val="1"/>
      <w:numFmt w:val="bullet"/>
      <w:lvlText w:val="•"/>
      <w:lvlJc w:val="left"/>
      <w:pPr>
        <w:tabs>
          <w:tab w:val="num" w:pos="2160"/>
        </w:tabs>
        <w:ind w:left="2160" w:hanging="360"/>
      </w:pPr>
      <w:rPr>
        <w:rFonts w:ascii="Arial" w:hAnsi="Arial" w:hint="default"/>
      </w:rPr>
    </w:lvl>
    <w:lvl w:ilvl="3" w:tplc="CFF21414" w:tentative="1">
      <w:start w:val="1"/>
      <w:numFmt w:val="bullet"/>
      <w:lvlText w:val="•"/>
      <w:lvlJc w:val="left"/>
      <w:pPr>
        <w:tabs>
          <w:tab w:val="num" w:pos="2880"/>
        </w:tabs>
        <w:ind w:left="2880" w:hanging="360"/>
      </w:pPr>
      <w:rPr>
        <w:rFonts w:ascii="Arial" w:hAnsi="Arial" w:hint="default"/>
      </w:rPr>
    </w:lvl>
    <w:lvl w:ilvl="4" w:tplc="99A0297C" w:tentative="1">
      <w:start w:val="1"/>
      <w:numFmt w:val="bullet"/>
      <w:lvlText w:val="•"/>
      <w:lvlJc w:val="left"/>
      <w:pPr>
        <w:tabs>
          <w:tab w:val="num" w:pos="3600"/>
        </w:tabs>
        <w:ind w:left="3600" w:hanging="360"/>
      </w:pPr>
      <w:rPr>
        <w:rFonts w:ascii="Arial" w:hAnsi="Arial" w:hint="default"/>
      </w:rPr>
    </w:lvl>
    <w:lvl w:ilvl="5" w:tplc="045EE82A" w:tentative="1">
      <w:start w:val="1"/>
      <w:numFmt w:val="bullet"/>
      <w:lvlText w:val="•"/>
      <w:lvlJc w:val="left"/>
      <w:pPr>
        <w:tabs>
          <w:tab w:val="num" w:pos="4320"/>
        </w:tabs>
        <w:ind w:left="4320" w:hanging="360"/>
      </w:pPr>
      <w:rPr>
        <w:rFonts w:ascii="Arial" w:hAnsi="Arial" w:hint="default"/>
      </w:rPr>
    </w:lvl>
    <w:lvl w:ilvl="6" w:tplc="44E6AC5A" w:tentative="1">
      <w:start w:val="1"/>
      <w:numFmt w:val="bullet"/>
      <w:lvlText w:val="•"/>
      <w:lvlJc w:val="left"/>
      <w:pPr>
        <w:tabs>
          <w:tab w:val="num" w:pos="5040"/>
        </w:tabs>
        <w:ind w:left="5040" w:hanging="360"/>
      </w:pPr>
      <w:rPr>
        <w:rFonts w:ascii="Arial" w:hAnsi="Arial" w:hint="default"/>
      </w:rPr>
    </w:lvl>
    <w:lvl w:ilvl="7" w:tplc="67161B88" w:tentative="1">
      <w:start w:val="1"/>
      <w:numFmt w:val="bullet"/>
      <w:lvlText w:val="•"/>
      <w:lvlJc w:val="left"/>
      <w:pPr>
        <w:tabs>
          <w:tab w:val="num" w:pos="5760"/>
        </w:tabs>
        <w:ind w:left="5760" w:hanging="360"/>
      </w:pPr>
      <w:rPr>
        <w:rFonts w:ascii="Arial" w:hAnsi="Arial" w:hint="default"/>
      </w:rPr>
    </w:lvl>
    <w:lvl w:ilvl="8" w:tplc="AB509EC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F654479"/>
    <w:multiLevelType w:val="hybridMultilevel"/>
    <w:tmpl w:val="5372BA26"/>
    <w:lvl w:ilvl="0" w:tplc="DBBEA870">
      <w:start w:val="1"/>
      <w:numFmt w:val="bullet"/>
      <w:lvlText w:val="•"/>
      <w:lvlJc w:val="left"/>
      <w:pPr>
        <w:tabs>
          <w:tab w:val="num" w:pos="720"/>
        </w:tabs>
        <w:ind w:left="720" w:hanging="360"/>
      </w:pPr>
      <w:rPr>
        <w:rFonts w:ascii="Arial" w:hAnsi="Arial" w:hint="default"/>
      </w:rPr>
    </w:lvl>
    <w:lvl w:ilvl="1" w:tplc="6CF6B6A8" w:tentative="1">
      <w:start w:val="1"/>
      <w:numFmt w:val="bullet"/>
      <w:lvlText w:val="•"/>
      <w:lvlJc w:val="left"/>
      <w:pPr>
        <w:tabs>
          <w:tab w:val="num" w:pos="1440"/>
        </w:tabs>
        <w:ind w:left="1440" w:hanging="360"/>
      </w:pPr>
      <w:rPr>
        <w:rFonts w:ascii="Arial" w:hAnsi="Arial" w:hint="default"/>
      </w:rPr>
    </w:lvl>
    <w:lvl w:ilvl="2" w:tplc="DF1605D6" w:tentative="1">
      <w:start w:val="1"/>
      <w:numFmt w:val="bullet"/>
      <w:lvlText w:val="•"/>
      <w:lvlJc w:val="left"/>
      <w:pPr>
        <w:tabs>
          <w:tab w:val="num" w:pos="2160"/>
        </w:tabs>
        <w:ind w:left="2160" w:hanging="360"/>
      </w:pPr>
      <w:rPr>
        <w:rFonts w:ascii="Arial" w:hAnsi="Arial" w:hint="default"/>
      </w:rPr>
    </w:lvl>
    <w:lvl w:ilvl="3" w:tplc="2420407A" w:tentative="1">
      <w:start w:val="1"/>
      <w:numFmt w:val="bullet"/>
      <w:lvlText w:val="•"/>
      <w:lvlJc w:val="left"/>
      <w:pPr>
        <w:tabs>
          <w:tab w:val="num" w:pos="2880"/>
        </w:tabs>
        <w:ind w:left="2880" w:hanging="360"/>
      </w:pPr>
      <w:rPr>
        <w:rFonts w:ascii="Arial" w:hAnsi="Arial" w:hint="default"/>
      </w:rPr>
    </w:lvl>
    <w:lvl w:ilvl="4" w:tplc="D6807A08" w:tentative="1">
      <w:start w:val="1"/>
      <w:numFmt w:val="bullet"/>
      <w:lvlText w:val="•"/>
      <w:lvlJc w:val="left"/>
      <w:pPr>
        <w:tabs>
          <w:tab w:val="num" w:pos="3600"/>
        </w:tabs>
        <w:ind w:left="3600" w:hanging="360"/>
      </w:pPr>
      <w:rPr>
        <w:rFonts w:ascii="Arial" w:hAnsi="Arial" w:hint="default"/>
      </w:rPr>
    </w:lvl>
    <w:lvl w:ilvl="5" w:tplc="E1A06A54" w:tentative="1">
      <w:start w:val="1"/>
      <w:numFmt w:val="bullet"/>
      <w:lvlText w:val="•"/>
      <w:lvlJc w:val="left"/>
      <w:pPr>
        <w:tabs>
          <w:tab w:val="num" w:pos="4320"/>
        </w:tabs>
        <w:ind w:left="4320" w:hanging="360"/>
      </w:pPr>
      <w:rPr>
        <w:rFonts w:ascii="Arial" w:hAnsi="Arial" w:hint="default"/>
      </w:rPr>
    </w:lvl>
    <w:lvl w:ilvl="6" w:tplc="AAF612B2" w:tentative="1">
      <w:start w:val="1"/>
      <w:numFmt w:val="bullet"/>
      <w:lvlText w:val="•"/>
      <w:lvlJc w:val="left"/>
      <w:pPr>
        <w:tabs>
          <w:tab w:val="num" w:pos="5040"/>
        </w:tabs>
        <w:ind w:left="5040" w:hanging="360"/>
      </w:pPr>
      <w:rPr>
        <w:rFonts w:ascii="Arial" w:hAnsi="Arial" w:hint="default"/>
      </w:rPr>
    </w:lvl>
    <w:lvl w:ilvl="7" w:tplc="90E2C7EE" w:tentative="1">
      <w:start w:val="1"/>
      <w:numFmt w:val="bullet"/>
      <w:lvlText w:val="•"/>
      <w:lvlJc w:val="left"/>
      <w:pPr>
        <w:tabs>
          <w:tab w:val="num" w:pos="5760"/>
        </w:tabs>
        <w:ind w:left="5760" w:hanging="360"/>
      </w:pPr>
      <w:rPr>
        <w:rFonts w:ascii="Arial" w:hAnsi="Arial" w:hint="default"/>
      </w:rPr>
    </w:lvl>
    <w:lvl w:ilvl="8" w:tplc="929847C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482775B"/>
    <w:multiLevelType w:val="multilevel"/>
    <w:tmpl w:val="A6FCB06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2EA2A22"/>
    <w:multiLevelType w:val="hybridMultilevel"/>
    <w:tmpl w:val="25DA6C98"/>
    <w:lvl w:ilvl="0" w:tplc="6EEA901C">
      <w:start w:val="1"/>
      <w:numFmt w:val="bullet"/>
      <w:lvlText w:val="•"/>
      <w:lvlJc w:val="left"/>
      <w:pPr>
        <w:tabs>
          <w:tab w:val="num" w:pos="720"/>
        </w:tabs>
        <w:ind w:left="720" w:hanging="360"/>
      </w:pPr>
      <w:rPr>
        <w:rFonts w:ascii="Arial" w:hAnsi="Arial" w:hint="default"/>
      </w:rPr>
    </w:lvl>
    <w:lvl w:ilvl="1" w:tplc="FEAEE9D0" w:tentative="1">
      <w:start w:val="1"/>
      <w:numFmt w:val="bullet"/>
      <w:lvlText w:val="•"/>
      <w:lvlJc w:val="left"/>
      <w:pPr>
        <w:tabs>
          <w:tab w:val="num" w:pos="1440"/>
        </w:tabs>
        <w:ind w:left="1440" w:hanging="360"/>
      </w:pPr>
      <w:rPr>
        <w:rFonts w:ascii="Arial" w:hAnsi="Arial" w:hint="default"/>
      </w:rPr>
    </w:lvl>
    <w:lvl w:ilvl="2" w:tplc="5F70ACD4" w:tentative="1">
      <w:start w:val="1"/>
      <w:numFmt w:val="bullet"/>
      <w:lvlText w:val="•"/>
      <w:lvlJc w:val="left"/>
      <w:pPr>
        <w:tabs>
          <w:tab w:val="num" w:pos="2160"/>
        </w:tabs>
        <w:ind w:left="2160" w:hanging="360"/>
      </w:pPr>
      <w:rPr>
        <w:rFonts w:ascii="Arial" w:hAnsi="Arial" w:hint="default"/>
      </w:rPr>
    </w:lvl>
    <w:lvl w:ilvl="3" w:tplc="D01C7338" w:tentative="1">
      <w:start w:val="1"/>
      <w:numFmt w:val="bullet"/>
      <w:lvlText w:val="•"/>
      <w:lvlJc w:val="left"/>
      <w:pPr>
        <w:tabs>
          <w:tab w:val="num" w:pos="2880"/>
        </w:tabs>
        <w:ind w:left="2880" w:hanging="360"/>
      </w:pPr>
      <w:rPr>
        <w:rFonts w:ascii="Arial" w:hAnsi="Arial" w:hint="default"/>
      </w:rPr>
    </w:lvl>
    <w:lvl w:ilvl="4" w:tplc="BA640774" w:tentative="1">
      <w:start w:val="1"/>
      <w:numFmt w:val="bullet"/>
      <w:lvlText w:val="•"/>
      <w:lvlJc w:val="left"/>
      <w:pPr>
        <w:tabs>
          <w:tab w:val="num" w:pos="3600"/>
        </w:tabs>
        <w:ind w:left="3600" w:hanging="360"/>
      </w:pPr>
      <w:rPr>
        <w:rFonts w:ascii="Arial" w:hAnsi="Arial" w:hint="default"/>
      </w:rPr>
    </w:lvl>
    <w:lvl w:ilvl="5" w:tplc="4B66DC82" w:tentative="1">
      <w:start w:val="1"/>
      <w:numFmt w:val="bullet"/>
      <w:lvlText w:val="•"/>
      <w:lvlJc w:val="left"/>
      <w:pPr>
        <w:tabs>
          <w:tab w:val="num" w:pos="4320"/>
        </w:tabs>
        <w:ind w:left="4320" w:hanging="360"/>
      </w:pPr>
      <w:rPr>
        <w:rFonts w:ascii="Arial" w:hAnsi="Arial" w:hint="default"/>
      </w:rPr>
    </w:lvl>
    <w:lvl w:ilvl="6" w:tplc="E55EDD2C" w:tentative="1">
      <w:start w:val="1"/>
      <w:numFmt w:val="bullet"/>
      <w:lvlText w:val="•"/>
      <w:lvlJc w:val="left"/>
      <w:pPr>
        <w:tabs>
          <w:tab w:val="num" w:pos="5040"/>
        </w:tabs>
        <w:ind w:left="5040" w:hanging="360"/>
      </w:pPr>
      <w:rPr>
        <w:rFonts w:ascii="Arial" w:hAnsi="Arial" w:hint="default"/>
      </w:rPr>
    </w:lvl>
    <w:lvl w:ilvl="7" w:tplc="84924EA0" w:tentative="1">
      <w:start w:val="1"/>
      <w:numFmt w:val="bullet"/>
      <w:lvlText w:val="•"/>
      <w:lvlJc w:val="left"/>
      <w:pPr>
        <w:tabs>
          <w:tab w:val="num" w:pos="5760"/>
        </w:tabs>
        <w:ind w:left="5760" w:hanging="360"/>
      </w:pPr>
      <w:rPr>
        <w:rFonts w:ascii="Arial" w:hAnsi="Arial" w:hint="default"/>
      </w:rPr>
    </w:lvl>
    <w:lvl w:ilvl="8" w:tplc="D2AEF2D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47E01FC"/>
    <w:multiLevelType w:val="multilevel"/>
    <w:tmpl w:val="A1EEA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D680E01"/>
    <w:multiLevelType w:val="hybridMultilevel"/>
    <w:tmpl w:val="FD3812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650C0F"/>
    <w:multiLevelType w:val="hybridMultilevel"/>
    <w:tmpl w:val="904422B2"/>
    <w:lvl w:ilvl="0" w:tplc="8CC4DFFC">
      <w:start w:val="1"/>
      <w:numFmt w:val="bullet"/>
      <w:lvlText w:val="•"/>
      <w:lvlJc w:val="left"/>
      <w:pPr>
        <w:tabs>
          <w:tab w:val="num" w:pos="720"/>
        </w:tabs>
        <w:ind w:left="720" w:hanging="360"/>
      </w:pPr>
      <w:rPr>
        <w:rFonts w:ascii="Arial" w:hAnsi="Arial" w:hint="default"/>
      </w:rPr>
    </w:lvl>
    <w:lvl w:ilvl="1" w:tplc="7D9AF8F4" w:tentative="1">
      <w:start w:val="1"/>
      <w:numFmt w:val="bullet"/>
      <w:lvlText w:val="•"/>
      <w:lvlJc w:val="left"/>
      <w:pPr>
        <w:tabs>
          <w:tab w:val="num" w:pos="1440"/>
        </w:tabs>
        <w:ind w:left="1440" w:hanging="360"/>
      </w:pPr>
      <w:rPr>
        <w:rFonts w:ascii="Arial" w:hAnsi="Arial" w:hint="default"/>
      </w:rPr>
    </w:lvl>
    <w:lvl w:ilvl="2" w:tplc="3F8A2588" w:tentative="1">
      <w:start w:val="1"/>
      <w:numFmt w:val="bullet"/>
      <w:lvlText w:val="•"/>
      <w:lvlJc w:val="left"/>
      <w:pPr>
        <w:tabs>
          <w:tab w:val="num" w:pos="2160"/>
        </w:tabs>
        <w:ind w:left="2160" w:hanging="360"/>
      </w:pPr>
      <w:rPr>
        <w:rFonts w:ascii="Arial" w:hAnsi="Arial" w:hint="default"/>
      </w:rPr>
    </w:lvl>
    <w:lvl w:ilvl="3" w:tplc="57EC5A04" w:tentative="1">
      <w:start w:val="1"/>
      <w:numFmt w:val="bullet"/>
      <w:lvlText w:val="•"/>
      <w:lvlJc w:val="left"/>
      <w:pPr>
        <w:tabs>
          <w:tab w:val="num" w:pos="2880"/>
        </w:tabs>
        <w:ind w:left="2880" w:hanging="360"/>
      </w:pPr>
      <w:rPr>
        <w:rFonts w:ascii="Arial" w:hAnsi="Arial" w:hint="default"/>
      </w:rPr>
    </w:lvl>
    <w:lvl w:ilvl="4" w:tplc="D01C6CD8" w:tentative="1">
      <w:start w:val="1"/>
      <w:numFmt w:val="bullet"/>
      <w:lvlText w:val="•"/>
      <w:lvlJc w:val="left"/>
      <w:pPr>
        <w:tabs>
          <w:tab w:val="num" w:pos="3600"/>
        </w:tabs>
        <w:ind w:left="3600" w:hanging="360"/>
      </w:pPr>
      <w:rPr>
        <w:rFonts w:ascii="Arial" w:hAnsi="Arial" w:hint="default"/>
      </w:rPr>
    </w:lvl>
    <w:lvl w:ilvl="5" w:tplc="1BF4AFE4" w:tentative="1">
      <w:start w:val="1"/>
      <w:numFmt w:val="bullet"/>
      <w:lvlText w:val="•"/>
      <w:lvlJc w:val="left"/>
      <w:pPr>
        <w:tabs>
          <w:tab w:val="num" w:pos="4320"/>
        </w:tabs>
        <w:ind w:left="4320" w:hanging="360"/>
      </w:pPr>
      <w:rPr>
        <w:rFonts w:ascii="Arial" w:hAnsi="Arial" w:hint="default"/>
      </w:rPr>
    </w:lvl>
    <w:lvl w:ilvl="6" w:tplc="68980528" w:tentative="1">
      <w:start w:val="1"/>
      <w:numFmt w:val="bullet"/>
      <w:lvlText w:val="•"/>
      <w:lvlJc w:val="left"/>
      <w:pPr>
        <w:tabs>
          <w:tab w:val="num" w:pos="5040"/>
        </w:tabs>
        <w:ind w:left="5040" w:hanging="360"/>
      </w:pPr>
      <w:rPr>
        <w:rFonts w:ascii="Arial" w:hAnsi="Arial" w:hint="default"/>
      </w:rPr>
    </w:lvl>
    <w:lvl w:ilvl="7" w:tplc="19DEB9EE" w:tentative="1">
      <w:start w:val="1"/>
      <w:numFmt w:val="bullet"/>
      <w:lvlText w:val="•"/>
      <w:lvlJc w:val="left"/>
      <w:pPr>
        <w:tabs>
          <w:tab w:val="num" w:pos="5760"/>
        </w:tabs>
        <w:ind w:left="5760" w:hanging="360"/>
      </w:pPr>
      <w:rPr>
        <w:rFonts w:ascii="Arial" w:hAnsi="Arial" w:hint="default"/>
      </w:rPr>
    </w:lvl>
    <w:lvl w:ilvl="8" w:tplc="85A6A36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64F276A"/>
    <w:multiLevelType w:val="hybridMultilevel"/>
    <w:tmpl w:val="AFACC788"/>
    <w:lvl w:ilvl="0" w:tplc="43044096">
      <w:start w:val="1"/>
      <w:numFmt w:val="bullet"/>
      <w:lvlText w:val="•"/>
      <w:lvlJc w:val="left"/>
      <w:pPr>
        <w:tabs>
          <w:tab w:val="num" w:pos="720"/>
        </w:tabs>
        <w:ind w:left="720" w:hanging="360"/>
      </w:pPr>
      <w:rPr>
        <w:rFonts w:ascii="Arial" w:hAnsi="Arial" w:hint="default"/>
      </w:rPr>
    </w:lvl>
    <w:lvl w:ilvl="1" w:tplc="4B464396" w:tentative="1">
      <w:start w:val="1"/>
      <w:numFmt w:val="bullet"/>
      <w:lvlText w:val="•"/>
      <w:lvlJc w:val="left"/>
      <w:pPr>
        <w:tabs>
          <w:tab w:val="num" w:pos="1440"/>
        </w:tabs>
        <w:ind w:left="1440" w:hanging="360"/>
      </w:pPr>
      <w:rPr>
        <w:rFonts w:ascii="Arial" w:hAnsi="Arial" w:hint="default"/>
      </w:rPr>
    </w:lvl>
    <w:lvl w:ilvl="2" w:tplc="1D9ADFCE" w:tentative="1">
      <w:start w:val="1"/>
      <w:numFmt w:val="bullet"/>
      <w:lvlText w:val="•"/>
      <w:lvlJc w:val="left"/>
      <w:pPr>
        <w:tabs>
          <w:tab w:val="num" w:pos="2160"/>
        </w:tabs>
        <w:ind w:left="2160" w:hanging="360"/>
      </w:pPr>
      <w:rPr>
        <w:rFonts w:ascii="Arial" w:hAnsi="Arial" w:hint="default"/>
      </w:rPr>
    </w:lvl>
    <w:lvl w:ilvl="3" w:tplc="6A2CAD1A" w:tentative="1">
      <w:start w:val="1"/>
      <w:numFmt w:val="bullet"/>
      <w:lvlText w:val="•"/>
      <w:lvlJc w:val="left"/>
      <w:pPr>
        <w:tabs>
          <w:tab w:val="num" w:pos="2880"/>
        </w:tabs>
        <w:ind w:left="2880" w:hanging="360"/>
      </w:pPr>
      <w:rPr>
        <w:rFonts w:ascii="Arial" w:hAnsi="Arial" w:hint="default"/>
      </w:rPr>
    </w:lvl>
    <w:lvl w:ilvl="4" w:tplc="59C0A7FE" w:tentative="1">
      <w:start w:val="1"/>
      <w:numFmt w:val="bullet"/>
      <w:lvlText w:val="•"/>
      <w:lvlJc w:val="left"/>
      <w:pPr>
        <w:tabs>
          <w:tab w:val="num" w:pos="3600"/>
        </w:tabs>
        <w:ind w:left="3600" w:hanging="360"/>
      </w:pPr>
      <w:rPr>
        <w:rFonts w:ascii="Arial" w:hAnsi="Arial" w:hint="default"/>
      </w:rPr>
    </w:lvl>
    <w:lvl w:ilvl="5" w:tplc="500EAA74" w:tentative="1">
      <w:start w:val="1"/>
      <w:numFmt w:val="bullet"/>
      <w:lvlText w:val="•"/>
      <w:lvlJc w:val="left"/>
      <w:pPr>
        <w:tabs>
          <w:tab w:val="num" w:pos="4320"/>
        </w:tabs>
        <w:ind w:left="4320" w:hanging="360"/>
      </w:pPr>
      <w:rPr>
        <w:rFonts w:ascii="Arial" w:hAnsi="Arial" w:hint="default"/>
      </w:rPr>
    </w:lvl>
    <w:lvl w:ilvl="6" w:tplc="CA0CA658" w:tentative="1">
      <w:start w:val="1"/>
      <w:numFmt w:val="bullet"/>
      <w:lvlText w:val="•"/>
      <w:lvlJc w:val="left"/>
      <w:pPr>
        <w:tabs>
          <w:tab w:val="num" w:pos="5040"/>
        </w:tabs>
        <w:ind w:left="5040" w:hanging="360"/>
      </w:pPr>
      <w:rPr>
        <w:rFonts w:ascii="Arial" w:hAnsi="Arial" w:hint="default"/>
      </w:rPr>
    </w:lvl>
    <w:lvl w:ilvl="7" w:tplc="039CC156" w:tentative="1">
      <w:start w:val="1"/>
      <w:numFmt w:val="bullet"/>
      <w:lvlText w:val="•"/>
      <w:lvlJc w:val="left"/>
      <w:pPr>
        <w:tabs>
          <w:tab w:val="num" w:pos="5760"/>
        </w:tabs>
        <w:ind w:left="5760" w:hanging="360"/>
      </w:pPr>
      <w:rPr>
        <w:rFonts w:ascii="Arial" w:hAnsi="Arial" w:hint="default"/>
      </w:rPr>
    </w:lvl>
    <w:lvl w:ilvl="8" w:tplc="9196B732"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6"/>
  </w:num>
  <w:num w:numId="12">
    <w:abstractNumId w:val="3"/>
  </w:num>
  <w:num w:numId="13">
    <w:abstractNumId w:val="1"/>
  </w:num>
  <w:num w:numId="14">
    <w:abstractNumId w:val="7"/>
  </w:num>
  <w:num w:numId="15">
    <w:abstractNumId w:val="0"/>
  </w:num>
  <w:num w:numId="16">
    <w:abstractNumId w:val="4"/>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t222da5fx5xv2ee0d8px0x5x2drwdpswfr5&quot;&gt;My EndNote Library (05-05-19)-thesis refs Copy&lt;record-ids&gt;&lt;item&gt;776&lt;/item&gt;&lt;item&gt;854&lt;/item&gt;&lt;item&gt;929&lt;/item&gt;&lt;item&gt;957&lt;/item&gt;&lt;item&gt;966&lt;/item&gt;&lt;item&gt;981&lt;/item&gt;&lt;item&gt;982&lt;/item&gt;&lt;item&gt;984&lt;/item&gt;&lt;item&gt;985&lt;/item&gt;&lt;item&gt;986&lt;/item&gt;&lt;item&gt;987&lt;/item&gt;&lt;item&gt;989&lt;/item&gt;&lt;item&gt;1005&lt;/item&gt;&lt;item&gt;1010&lt;/item&gt;&lt;item&gt;1024&lt;/item&gt;&lt;item&gt;1029&lt;/item&gt;&lt;item&gt;1031&lt;/item&gt;&lt;item&gt;1033&lt;/item&gt;&lt;item&gt;1034&lt;/item&gt;&lt;item&gt;1035&lt;/item&gt;&lt;item&gt;1036&lt;/item&gt;&lt;item&gt;1099&lt;/item&gt;&lt;item&gt;1162&lt;/item&gt;&lt;item&gt;1214&lt;/item&gt;&lt;item&gt;1227&lt;/item&gt;&lt;item&gt;1232&lt;/item&gt;&lt;item&gt;1236&lt;/item&gt;&lt;item&gt;1241&lt;/item&gt;&lt;item&gt;1262&lt;/item&gt;&lt;item&gt;1267&lt;/item&gt;&lt;item&gt;1315&lt;/item&gt;&lt;item&gt;1317&lt;/item&gt;&lt;item&gt;1340&lt;/item&gt;&lt;item&gt;1341&lt;/item&gt;&lt;item&gt;1346&lt;/item&gt;&lt;item&gt;1352&lt;/item&gt;&lt;item&gt;1358&lt;/item&gt;&lt;item&gt;1370&lt;/item&gt;&lt;item&gt;1372&lt;/item&gt;&lt;item&gt;1376&lt;/item&gt;&lt;item&gt;1378&lt;/item&gt;&lt;item&gt;1380&lt;/item&gt;&lt;item&gt;1381&lt;/item&gt;&lt;item&gt;1383&lt;/item&gt;&lt;item&gt;1413&lt;/item&gt;&lt;item&gt;1414&lt;/item&gt;&lt;item&gt;1415&lt;/item&gt;&lt;item&gt;1617&lt;/item&gt;&lt;item&gt;1664&lt;/item&gt;&lt;item&gt;1669&lt;/item&gt;&lt;item&gt;1783&lt;/item&gt;&lt;item&gt;1784&lt;/item&gt;&lt;item&gt;1785&lt;/item&gt;&lt;item&gt;1787&lt;/item&gt;&lt;item&gt;1789&lt;/item&gt;&lt;item&gt;1790&lt;/item&gt;&lt;item&gt;1791&lt;/item&gt;&lt;item&gt;1797&lt;/item&gt;&lt;item&gt;1798&lt;/item&gt;&lt;/record-ids&gt;&lt;/item&gt;&lt;/Libraries&gt;"/>
  </w:docVars>
  <w:rsids>
    <w:rsidRoot w:val="00F034A5"/>
    <w:rsid w:val="00007CAC"/>
    <w:rsid w:val="00011127"/>
    <w:rsid w:val="00014326"/>
    <w:rsid w:val="00015C70"/>
    <w:rsid w:val="00020304"/>
    <w:rsid w:val="00020A10"/>
    <w:rsid w:val="00023048"/>
    <w:rsid w:val="00024B39"/>
    <w:rsid w:val="000260F9"/>
    <w:rsid w:val="000267FA"/>
    <w:rsid w:val="00026B99"/>
    <w:rsid w:val="00037092"/>
    <w:rsid w:val="000379C7"/>
    <w:rsid w:val="00041421"/>
    <w:rsid w:val="00041DDD"/>
    <w:rsid w:val="00043F45"/>
    <w:rsid w:val="0004466B"/>
    <w:rsid w:val="00045D39"/>
    <w:rsid w:val="000506D6"/>
    <w:rsid w:val="000514E4"/>
    <w:rsid w:val="00052A9F"/>
    <w:rsid w:val="000546C0"/>
    <w:rsid w:val="000558CC"/>
    <w:rsid w:val="00070AEA"/>
    <w:rsid w:val="00072937"/>
    <w:rsid w:val="00075B01"/>
    <w:rsid w:val="00075CE2"/>
    <w:rsid w:val="00081BCE"/>
    <w:rsid w:val="00085924"/>
    <w:rsid w:val="000862ED"/>
    <w:rsid w:val="0008644E"/>
    <w:rsid w:val="0009160B"/>
    <w:rsid w:val="00091E73"/>
    <w:rsid w:val="00093077"/>
    <w:rsid w:val="0009532F"/>
    <w:rsid w:val="00095CE0"/>
    <w:rsid w:val="000A2F38"/>
    <w:rsid w:val="000A4BE5"/>
    <w:rsid w:val="000A649D"/>
    <w:rsid w:val="000B220B"/>
    <w:rsid w:val="000B52BD"/>
    <w:rsid w:val="000B752B"/>
    <w:rsid w:val="000B7AC1"/>
    <w:rsid w:val="000B7EAE"/>
    <w:rsid w:val="000C3126"/>
    <w:rsid w:val="000C3BC4"/>
    <w:rsid w:val="000C5DC0"/>
    <w:rsid w:val="000D190B"/>
    <w:rsid w:val="000D50CA"/>
    <w:rsid w:val="000E017F"/>
    <w:rsid w:val="000E72BF"/>
    <w:rsid w:val="000F6ED6"/>
    <w:rsid w:val="001006F3"/>
    <w:rsid w:val="0011240E"/>
    <w:rsid w:val="00112ABA"/>
    <w:rsid w:val="001159F6"/>
    <w:rsid w:val="00117E36"/>
    <w:rsid w:val="001211A9"/>
    <w:rsid w:val="0012295E"/>
    <w:rsid w:val="0013098B"/>
    <w:rsid w:val="00130B9C"/>
    <w:rsid w:val="00141127"/>
    <w:rsid w:val="00141807"/>
    <w:rsid w:val="001479A3"/>
    <w:rsid w:val="00154B26"/>
    <w:rsid w:val="001601E0"/>
    <w:rsid w:val="00167096"/>
    <w:rsid w:val="001719E7"/>
    <w:rsid w:val="00176A15"/>
    <w:rsid w:val="00176C02"/>
    <w:rsid w:val="001812C5"/>
    <w:rsid w:val="00183502"/>
    <w:rsid w:val="001921AD"/>
    <w:rsid w:val="00196377"/>
    <w:rsid w:val="001A7256"/>
    <w:rsid w:val="001B7A90"/>
    <w:rsid w:val="001C3669"/>
    <w:rsid w:val="001C3EF2"/>
    <w:rsid w:val="001D20F4"/>
    <w:rsid w:val="001D3CEB"/>
    <w:rsid w:val="001D5477"/>
    <w:rsid w:val="001D5877"/>
    <w:rsid w:val="001D785A"/>
    <w:rsid w:val="001E28C2"/>
    <w:rsid w:val="001E4CF8"/>
    <w:rsid w:val="001F0CB3"/>
    <w:rsid w:val="001F7BEA"/>
    <w:rsid w:val="002019F0"/>
    <w:rsid w:val="0020370B"/>
    <w:rsid w:val="00204C19"/>
    <w:rsid w:val="002238AA"/>
    <w:rsid w:val="00226BF5"/>
    <w:rsid w:val="00226FD5"/>
    <w:rsid w:val="002272FC"/>
    <w:rsid w:val="002335DE"/>
    <w:rsid w:val="00237D80"/>
    <w:rsid w:val="00240E1D"/>
    <w:rsid w:val="00243967"/>
    <w:rsid w:val="002439CC"/>
    <w:rsid w:val="00246B85"/>
    <w:rsid w:val="00247734"/>
    <w:rsid w:val="00250403"/>
    <w:rsid w:val="00254F80"/>
    <w:rsid w:val="00257DCC"/>
    <w:rsid w:val="00261F95"/>
    <w:rsid w:val="0026626C"/>
    <w:rsid w:val="0026786E"/>
    <w:rsid w:val="00276124"/>
    <w:rsid w:val="002857B5"/>
    <w:rsid w:val="00287556"/>
    <w:rsid w:val="0029162C"/>
    <w:rsid w:val="00293B01"/>
    <w:rsid w:val="0029432F"/>
    <w:rsid w:val="00295F9E"/>
    <w:rsid w:val="002A6F71"/>
    <w:rsid w:val="002A7D0F"/>
    <w:rsid w:val="002B1257"/>
    <w:rsid w:val="002B4885"/>
    <w:rsid w:val="002B51F2"/>
    <w:rsid w:val="002B53B5"/>
    <w:rsid w:val="002B58EB"/>
    <w:rsid w:val="002B7F6C"/>
    <w:rsid w:val="002C13EA"/>
    <w:rsid w:val="002C1AF1"/>
    <w:rsid w:val="002D2D22"/>
    <w:rsid w:val="002D42B7"/>
    <w:rsid w:val="002E4EF8"/>
    <w:rsid w:val="002E5B5D"/>
    <w:rsid w:val="002F3777"/>
    <w:rsid w:val="002F429D"/>
    <w:rsid w:val="002F681E"/>
    <w:rsid w:val="002F7E26"/>
    <w:rsid w:val="00302C53"/>
    <w:rsid w:val="0030340F"/>
    <w:rsid w:val="003130EA"/>
    <w:rsid w:val="0032024B"/>
    <w:rsid w:val="003206B2"/>
    <w:rsid w:val="003208B0"/>
    <w:rsid w:val="003356CA"/>
    <w:rsid w:val="00336AAB"/>
    <w:rsid w:val="00344D93"/>
    <w:rsid w:val="00365327"/>
    <w:rsid w:val="00365B90"/>
    <w:rsid w:val="0037122C"/>
    <w:rsid w:val="00371B5A"/>
    <w:rsid w:val="003721FD"/>
    <w:rsid w:val="0037399C"/>
    <w:rsid w:val="00381DE9"/>
    <w:rsid w:val="003827D8"/>
    <w:rsid w:val="00392A65"/>
    <w:rsid w:val="003A32D9"/>
    <w:rsid w:val="003A48FE"/>
    <w:rsid w:val="003A555A"/>
    <w:rsid w:val="003B1D97"/>
    <w:rsid w:val="003B2512"/>
    <w:rsid w:val="003B5595"/>
    <w:rsid w:val="003C12E8"/>
    <w:rsid w:val="003C21A9"/>
    <w:rsid w:val="003C39BF"/>
    <w:rsid w:val="003D0BC5"/>
    <w:rsid w:val="003D1669"/>
    <w:rsid w:val="003D399A"/>
    <w:rsid w:val="003E41D5"/>
    <w:rsid w:val="003E4230"/>
    <w:rsid w:val="003F06C3"/>
    <w:rsid w:val="003F3137"/>
    <w:rsid w:val="003F3761"/>
    <w:rsid w:val="00400D75"/>
    <w:rsid w:val="00402349"/>
    <w:rsid w:val="00406836"/>
    <w:rsid w:val="0040767C"/>
    <w:rsid w:val="00407B21"/>
    <w:rsid w:val="004139F6"/>
    <w:rsid w:val="004164B2"/>
    <w:rsid w:val="00420151"/>
    <w:rsid w:val="00420C56"/>
    <w:rsid w:val="00423498"/>
    <w:rsid w:val="00425C0D"/>
    <w:rsid w:val="0043000F"/>
    <w:rsid w:val="004338A8"/>
    <w:rsid w:val="00436603"/>
    <w:rsid w:val="00436B27"/>
    <w:rsid w:val="00437362"/>
    <w:rsid w:val="00441DE5"/>
    <w:rsid w:val="00446ACF"/>
    <w:rsid w:val="00450A4A"/>
    <w:rsid w:val="00451BC7"/>
    <w:rsid w:val="0045531F"/>
    <w:rsid w:val="00455BD5"/>
    <w:rsid w:val="00457155"/>
    <w:rsid w:val="0046403A"/>
    <w:rsid w:val="004712F8"/>
    <w:rsid w:val="004768EF"/>
    <w:rsid w:val="004838BD"/>
    <w:rsid w:val="004838BF"/>
    <w:rsid w:val="004A0C3D"/>
    <w:rsid w:val="004A6836"/>
    <w:rsid w:val="004B3654"/>
    <w:rsid w:val="004B6FD9"/>
    <w:rsid w:val="004C0CD1"/>
    <w:rsid w:val="004C4725"/>
    <w:rsid w:val="004C6C1C"/>
    <w:rsid w:val="004D0CC0"/>
    <w:rsid w:val="004D1DE1"/>
    <w:rsid w:val="004D2F25"/>
    <w:rsid w:val="004E4340"/>
    <w:rsid w:val="004E63BD"/>
    <w:rsid w:val="004E7A15"/>
    <w:rsid w:val="004F1898"/>
    <w:rsid w:val="0050423E"/>
    <w:rsid w:val="00504509"/>
    <w:rsid w:val="00504A76"/>
    <w:rsid w:val="00511694"/>
    <w:rsid w:val="00525F12"/>
    <w:rsid w:val="005264A8"/>
    <w:rsid w:val="00526F6C"/>
    <w:rsid w:val="00530982"/>
    <w:rsid w:val="00530CE4"/>
    <w:rsid w:val="00534E11"/>
    <w:rsid w:val="00537045"/>
    <w:rsid w:val="00540002"/>
    <w:rsid w:val="005438C8"/>
    <w:rsid w:val="00551712"/>
    <w:rsid w:val="00551E5B"/>
    <w:rsid w:val="00554798"/>
    <w:rsid w:val="005547C4"/>
    <w:rsid w:val="005630C3"/>
    <w:rsid w:val="0056657E"/>
    <w:rsid w:val="00566BB8"/>
    <w:rsid w:val="0057143D"/>
    <w:rsid w:val="00575F85"/>
    <w:rsid w:val="0057657E"/>
    <w:rsid w:val="00580C8F"/>
    <w:rsid w:val="00580E1F"/>
    <w:rsid w:val="00583C71"/>
    <w:rsid w:val="00594FDA"/>
    <w:rsid w:val="005A0CE6"/>
    <w:rsid w:val="005A3518"/>
    <w:rsid w:val="005B3481"/>
    <w:rsid w:val="005B47CF"/>
    <w:rsid w:val="005C2330"/>
    <w:rsid w:val="005C351D"/>
    <w:rsid w:val="005D631A"/>
    <w:rsid w:val="005E3BCB"/>
    <w:rsid w:val="005E4842"/>
    <w:rsid w:val="005F2211"/>
    <w:rsid w:val="005F5119"/>
    <w:rsid w:val="00603144"/>
    <w:rsid w:val="00612032"/>
    <w:rsid w:val="00623D9E"/>
    <w:rsid w:val="0063220B"/>
    <w:rsid w:val="00633F58"/>
    <w:rsid w:val="0063453E"/>
    <w:rsid w:val="00640B0F"/>
    <w:rsid w:val="00640D66"/>
    <w:rsid w:val="00642D08"/>
    <w:rsid w:val="00642D3D"/>
    <w:rsid w:val="00646BCD"/>
    <w:rsid w:val="006565A2"/>
    <w:rsid w:val="00666E07"/>
    <w:rsid w:val="00675107"/>
    <w:rsid w:val="00682EEF"/>
    <w:rsid w:val="00682FFC"/>
    <w:rsid w:val="006839D2"/>
    <w:rsid w:val="00685F22"/>
    <w:rsid w:val="00690C76"/>
    <w:rsid w:val="006A2A6B"/>
    <w:rsid w:val="006A73DC"/>
    <w:rsid w:val="006B0C0D"/>
    <w:rsid w:val="006B0C6E"/>
    <w:rsid w:val="006B5AE7"/>
    <w:rsid w:val="006B753B"/>
    <w:rsid w:val="006B7F5A"/>
    <w:rsid w:val="006C307C"/>
    <w:rsid w:val="006C55D3"/>
    <w:rsid w:val="006C5E25"/>
    <w:rsid w:val="006C5FBF"/>
    <w:rsid w:val="006C7C13"/>
    <w:rsid w:val="006D1C13"/>
    <w:rsid w:val="006D2573"/>
    <w:rsid w:val="006D4B1A"/>
    <w:rsid w:val="006E3EC7"/>
    <w:rsid w:val="006E4449"/>
    <w:rsid w:val="006F05E6"/>
    <w:rsid w:val="006F354A"/>
    <w:rsid w:val="006F36BA"/>
    <w:rsid w:val="006F3C05"/>
    <w:rsid w:val="006F6219"/>
    <w:rsid w:val="00701F0E"/>
    <w:rsid w:val="00706A44"/>
    <w:rsid w:val="0071461E"/>
    <w:rsid w:val="00714738"/>
    <w:rsid w:val="00716950"/>
    <w:rsid w:val="00721CCD"/>
    <w:rsid w:val="007229AD"/>
    <w:rsid w:val="00724FF3"/>
    <w:rsid w:val="00725205"/>
    <w:rsid w:val="00725D1F"/>
    <w:rsid w:val="0073028F"/>
    <w:rsid w:val="007370D9"/>
    <w:rsid w:val="007373E1"/>
    <w:rsid w:val="0075162F"/>
    <w:rsid w:val="00754813"/>
    <w:rsid w:val="00755051"/>
    <w:rsid w:val="0076218D"/>
    <w:rsid w:val="007628B2"/>
    <w:rsid w:val="00770768"/>
    <w:rsid w:val="00775D55"/>
    <w:rsid w:val="007846E5"/>
    <w:rsid w:val="00787C86"/>
    <w:rsid w:val="00791569"/>
    <w:rsid w:val="00793D70"/>
    <w:rsid w:val="007A6360"/>
    <w:rsid w:val="007B65B7"/>
    <w:rsid w:val="007C0CA9"/>
    <w:rsid w:val="007C2A36"/>
    <w:rsid w:val="007C35D9"/>
    <w:rsid w:val="007C551D"/>
    <w:rsid w:val="007D341D"/>
    <w:rsid w:val="007D36B7"/>
    <w:rsid w:val="007D3D66"/>
    <w:rsid w:val="007D4C1B"/>
    <w:rsid w:val="007D75E2"/>
    <w:rsid w:val="007D7970"/>
    <w:rsid w:val="007E307F"/>
    <w:rsid w:val="00800688"/>
    <w:rsid w:val="00803DAD"/>
    <w:rsid w:val="00817022"/>
    <w:rsid w:val="00822819"/>
    <w:rsid w:val="00822E25"/>
    <w:rsid w:val="00827A3B"/>
    <w:rsid w:val="00834003"/>
    <w:rsid w:val="00841095"/>
    <w:rsid w:val="00843AC4"/>
    <w:rsid w:val="00850BB3"/>
    <w:rsid w:val="00852999"/>
    <w:rsid w:val="00854F5C"/>
    <w:rsid w:val="008576F6"/>
    <w:rsid w:val="00863E35"/>
    <w:rsid w:val="008702FD"/>
    <w:rsid w:val="0087194C"/>
    <w:rsid w:val="00873982"/>
    <w:rsid w:val="008743EC"/>
    <w:rsid w:val="00891505"/>
    <w:rsid w:val="00894EB5"/>
    <w:rsid w:val="008A0822"/>
    <w:rsid w:val="008A2207"/>
    <w:rsid w:val="008A230B"/>
    <w:rsid w:val="008A3E61"/>
    <w:rsid w:val="008A4CAB"/>
    <w:rsid w:val="008A6075"/>
    <w:rsid w:val="008A63E9"/>
    <w:rsid w:val="008A6D80"/>
    <w:rsid w:val="008B1C3F"/>
    <w:rsid w:val="008B3321"/>
    <w:rsid w:val="008B35D2"/>
    <w:rsid w:val="008B3B51"/>
    <w:rsid w:val="008C3DD8"/>
    <w:rsid w:val="008C47C3"/>
    <w:rsid w:val="008C62C3"/>
    <w:rsid w:val="008C7174"/>
    <w:rsid w:val="008C750F"/>
    <w:rsid w:val="008D5134"/>
    <w:rsid w:val="008E1B0B"/>
    <w:rsid w:val="008E3488"/>
    <w:rsid w:val="008E5651"/>
    <w:rsid w:val="008E5C92"/>
    <w:rsid w:val="008E6DFB"/>
    <w:rsid w:val="008E7176"/>
    <w:rsid w:val="008F6C0F"/>
    <w:rsid w:val="00901082"/>
    <w:rsid w:val="009049DF"/>
    <w:rsid w:val="0091497E"/>
    <w:rsid w:val="00915B8C"/>
    <w:rsid w:val="00916F9E"/>
    <w:rsid w:val="009228D7"/>
    <w:rsid w:val="00923669"/>
    <w:rsid w:val="00934E0D"/>
    <w:rsid w:val="0093523B"/>
    <w:rsid w:val="00935A40"/>
    <w:rsid w:val="009417E3"/>
    <w:rsid w:val="00946AE3"/>
    <w:rsid w:val="00950E4A"/>
    <w:rsid w:val="00956785"/>
    <w:rsid w:val="009617E7"/>
    <w:rsid w:val="00962EB8"/>
    <w:rsid w:val="00964ECE"/>
    <w:rsid w:val="00970CA9"/>
    <w:rsid w:val="00984490"/>
    <w:rsid w:val="0099317C"/>
    <w:rsid w:val="00995848"/>
    <w:rsid w:val="00996E9F"/>
    <w:rsid w:val="00997004"/>
    <w:rsid w:val="009974E4"/>
    <w:rsid w:val="009A0748"/>
    <w:rsid w:val="009A16E0"/>
    <w:rsid w:val="009B0341"/>
    <w:rsid w:val="009B44B7"/>
    <w:rsid w:val="009B6EFE"/>
    <w:rsid w:val="009D366B"/>
    <w:rsid w:val="009D5E64"/>
    <w:rsid w:val="009E0926"/>
    <w:rsid w:val="009E1F7C"/>
    <w:rsid w:val="009E396F"/>
    <w:rsid w:val="009F0B6F"/>
    <w:rsid w:val="009F11B6"/>
    <w:rsid w:val="009F1863"/>
    <w:rsid w:val="009F4421"/>
    <w:rsid w:val="009F469D"/>
    <w:rsid w:val="00A02C0A"/>
    <w:rsid w:val="00A0489D"/>
    <w:rsid w:val="00A05BD5"/>
    <w:rsid w:val="00A12891"/>
    <w:rsid w:val="00A161A0"/>
    <w:rsid w:val="00A30214"/>
    <w:rsid w:val="00A326D2"/>
    <w:rsid w:val="00A361A9"/>
    <w:rsid w:val="00A40767"/>
    <w:rsid w:val="00A4679A"/>
    <w:rsid w:val="00A55604"/>
    <w:rsid w:val="00A62B80"/>
    <w:rsid w:val="00A7655A"/>
    <w:rsid w:val="00A91D08"/>
    <w:rsid w:val="00A92CD0"/>
    <w:rsid w:val="00A94ACE"/>
    <w:rsid w:val="00A96413"/>
    <w:rsid w:val="00AA2481"/>
    <w:rsid w:val="00AA4EEE"/>
    <w:rsid w:val="00AB3E4E"/>
    <w:rsid w:val="00AB7576"/>
    <w:rsid w:val="00AC21C7"/>
    <w:rsid w:val="00AD0411"/>
    <w:rsid w:val="00AD219C"/>
    <w:rsid w:val="00AD237B"/>
    <w:rsid w:val="00AD73EA"/>
    <w:rsid w:val="00AD7C3F"/>
    <w:rsid w:val="00AE403D"/>
    <w:rsid w:val="00AE7198"/>
    <w:rsid w:val="00AF3536"/>
    <w:rsid w:val="00AF7B03"/>
    <w:rsid w:val="00B0211C"/>
    <w:rsid w:val="00B1155A"/>
    <w:rsid w:val="00B14719"/>
    <w:rsid w:val="00B15D74"/>
    <w:rsid w:val="00B15EB3"/>
    <w:rsid w:val="00B2078B"/>
    <w:rsid w:val="00B22408"/>
    <w:rsid w:val="00B27B71"/>
    <w:rsid w:val="00B31A3B"/>
    <w:rsid w:val="00B3282A"/>
    <w:rsid w:val="00B329EC"/>
    <w:rsid w:val="00B3377C"/>
    <w:rsid w:val="00B35153"/>
    <w:rsid w:val="00B37C5F"/>
    <w:rsid w:val="00B471B9"/>
    <w:rsid w:val="00B577D6"/>
    <w:rsid w:val="00B57B39"/>
    <w:rsid w:val="00B707CE"/>
    <w:rsid w:val="00B717DD"/>
    <w:rsid w:val="00B769B3"/>
    <w:rsid w:val="00B7795C"/>
    <w:rsid w:val="00B77F0B"/>
    <w:rsid w:val="00B850CB"/>
    <w:rsid w:val="00B97BEA"/>
    <w:rsid w:val="00BA0D41"/>
    <w:rsid w:val="00BA4DA9"/>
    <w:rsid w:val="00BA736F"/>
    <w:rsid w:val="00BA7457"/>
    <w:rsid w:val="00BB1BEC"/>
    <w:rsid w:val="00BB5CB1"/>
    <w:rsid w:val="00BC275A"/>
    <w:rsid w:val="00BC373F"/>
    <w:rsid w:val="00BD0CD1"/>
    <w:rsid w:val="00BD1C47"/>
    <w:rsid w:val="00BE076C"/>
    <w:rsid w:val="00BE0B2A"/>
    <w:rsid w:val="00BE556D"/>
    <w:rsid w:val="00BF3101"/>
    <w:rsid w:val="00BF4D9B"/>
    <w:rsid w:val="00BF5ECB"/>
    <w:rsid w:val="00C03297"/>
    <w:rsid w:val="00C03893"/>
    <w:rsid w:val="00C1070B"/>
    <w:rsid w:val="00C12A92"/>
    <w:rsid w:val="00C169AB"/>
    <w:rsid w:val="00C219E3"/>
    <w:rsid w:val="00C22C89"/>
    <w:rsid w:val="00C24CBD"/>
    <w:rsid w:val="00C35137"/>
    <w:rsid w:val="00C36C2D"/>
    <w:rsid w:val="00C4264C"/>
    <w:rsid w:val="00C45CCA"/>
    <w:rsid w:val="00C47138"/>
    <w:rsid w:val="00C4792E"/>
    <w:rsid w:val="00C50776"/>
    <w:rsid w:val="00C51DAD"/>
    <w:rsid w:val="00C55A21"/>
    <w:rsid w:val="00C61EC1"/>
    <w:rsid w:val="00C66908"/>
    <w:rsid w:val="00C72E25"/>
    <w:rsid w:val="00C75495"/>
    <w:rsid w:val="00C8593D"/>
    <w:rsid w:val="00C85A01"/>
    <w:rsid w:val="00C85EBF"/>
    <w:rsid w:val="00C92C36"/>
    <w:rsid w:val="00C94CC2"/>
    <w:rsid w:val="00C96D99"/>
    <w:rsid w:val="00CC312A"/>
    <w:rsid w:val="00CC6DB4"/>
    <w:rsid w:val="00CD5ECC"/>
    <w:rsid w:val="00CD7C84"/>
    <w:rsid w:val="00CE0529"/>
    <w:rsid w:val="00CE4F7A"/>
    <w:rsid w:val="00CF0BC7"/>
    <w:rsid w:val="00CF6336"/>
    <w:rsid w:val="00CF7257"/>
    <w:rsid w:val="00D02834"/>
    <w:rsid w:val="00D04643"/>
    <w:rsid w:val="00D05B85"/>
    <w:rsid w:val="00D128E8"/>
    <w:rsid w:val="00D16A3E"/>
    <w:rsid w:val="00D17232"/>
    <w:rsid w:val="00D17829"/>
    <w:rsid w:val="00D228C2"/>
    <w:rsid w:val="00D231E6"/>
    <w:rsid w:val="00D23D2D"/>
    <w:rsid w:val="00D23F39"/>
    <w:rsid w:val="00D303F7"/>
    <w:rsid w:val="00D324BB"/>
    <w:rsid w:val="00D36179"/>
    <w:rsid w:val="00D4363D"/>
    <w:rsid w:val="00D51B1B"/>
    <w:rsid w:val="00D55F28"/>
    <w:rsid w:val="00D6571D"/>
    <w:rsid w:val="00D8118B"/>
    <w:rsid w:val="00D81461"/>
    <w:rsid w:val="00D82487"/>
    <w:rsid w:val="00D95E1F"/>
    <w:rsid w:val="00DA35D5"/>
    <w:rsid w:val="00DA3765"/>
    <w:rsid w:val="00DA7332"/>
    <w:rsid w:val="00DB11BA"/>
    <w:rsid w:val="00DB1B31"/>
    <w:rsid w:val="00DB27CF"/>
    <w:rsid w:val="00DB392C"/>
    <w:rsid w:val="00DB4CB4"/>
    <w:rsid w:val="00DC2FF8"/>
    <w:rsid w:val="00DC389B"/>
    <w:rsid w:val="00DC5861"/>
    <w:rsid w:val="00DD2A0D"/>
    <w:rsid w:val="00DE7ECC"/>
    <w:rsid w:val="00DF02B5"/>
    <w:rsid w:val="00DF1976"/>
    <w:rsid w:val="00DF348F"/>
    <w:rsid w:val="00DF4EF9"/>
    <w:rsid w:val="00DF6F1F"/>
    <w:rsid w:val="00E025D6"/>
    <w:rsid w:val="00E04BFB"/>
    <w:rsid w:val="00E04EB7"/>
    <w:rsid w:val="00E065E1"/>
    <w:rsid w:val="00E137E6"/>
    <w:rsid w:val="00E1582C"/>
    <w:rsid w:val="00E257F1"/>
    <w:rsid w:val="00E3561F"/>
    <w:rsid w:val="00E360B9"/>
    <w:rsid w:val="00E36F40"/>
    <w:rsid w:val="00E430B1"/>
    <w:rsid w:val="00E446F1"/>
    <w:rsid w:val="00E46E34"/>
    <w:rsid w:val="00E4727B"/>
    <w:rsid w:val="00E50546"/>
    <w:rsid w:val="00E52C9B"/>
    <w:rsid w:val="00E61B47"/>
    <w:rsid w:val="00E627E2"/>
    <w:rsid w:val="00E66437"/>
    <w:rsid w:val="00E717F9"/>
    <w:rsid w:val="00E7329C"/>
    <w:rsid w:val="00E73926"/>
    <w:rsid w:val="00E743FD"/>
    <w:rsid w:val="00E760CA"/>
    <w:rsid w:val="00E766D9"/>
    <w:rsid w:val="00E810A9"/>
    <w:rsid w:val="00E81D3B"/>
    <w:rsid w:val="00EA207F"/>
    <w:rsid w:val="00EA273A"/>
    <w:rsid w:val="00EB0918"/>
    <w:rsid w:val="00EB30C2"/>
    <w:rsid w:val="00EB69A2"/>
    <w:rsid w:val="00EC05B3"/>
    <w:rsid w:val="00EC1EA9"/>
    <w:rsid w:val="00EC26B1"/>
    <w:rsid w:val="00ED0A91"/>
    <w:rsid w:val="00ED1BEE"/>
    <w:rsid w:val="00ED2A3B"/>
    <w:rsid w:val="00ED7CD4"/>
    <w:rsid w:val="00EF0728"/>
    <w:rsid w:val="00EF0E70"/>
    <w:rsid w:val="00EF72E1"/>
    <w:rsid w:val="00F00C02"/>
    <w:rsid w:val="00F02431"/>
    <w:rsid w:val="00F034A5"/>
    <w:rsid w:val="00F03FDF"/>
    <w:rsid w:val="00F0697E"/>
    <w:rsid w:val="00F109E2"/>
    <w:rsid w:val="00F237FE"/>
    <w:rsid w:val="00F276CD"/>
    <w:rsid w:val="00F31CC5"/>
    <w:rsid w:val="00F32BAE"/>
    <w:rsid w:val="00F3529E"/>
    <w:rsid w:val="00F37F40"/>
    <w:rsid w:val="00F50052"/>
    <w:rsid w:val="00F5617C"/>
    <w:rsid w:val="00F565D3"/>
    <w:rsid w:val="00F67A1A"/>
    <w:rsid w:val="00F70BA1"/>
    <w:rsid w:val="00F7648B"/>
    <w:rsid w:val="00F83017"/>
    <w:rsid w:val="00F86ADE"/>
    <w:rsid w:val="00F87D32"/>
    <w:rsid w:val="00FA130D"/>
    <w:rsid w:val="00FA7129"/>
    <w:rsid w:val="00FB2AAE"/>
    <w:rsid w:val="00FB3E65"/>
    <w:rsid w:val="00FC084F"/>
    <w:rsid w:val="00FC3BA1"/>
    <w:rsid w:val="00FC3DF0"/>
    <w:rsid w:val="00FD11D8"/>
    <w:rsid w:val="00FD1B77"/>
    <w:rsid w:val="00FE3164"/>
    <w:rsid w:val="00FE6C0D"/>
    <w:rsid w:val="00FF0BEB"/>
    <w:rsid w:val="00FF12BD"/>
    <w:rsid w:val="00FF178F"/>
    <w:rsid w:val="00FF227A"/>
    <w:rsid w:val="00FF3957"/>
    <w:rsid w:val="00FF3B6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120123"/>
  <w15:chartTrackingRefBased/>
  <w15:docId w15:val="{DABCEC91-2A7E-41C6-8657-84A562ED5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9E7"/>
    <w:pPr>
      <w:spacing w:line="480" w:lineRule="auto"/>
    </w:pPr>
    <w:rPr>
      <w:sz w:val="22"/>
    </w:rPr>
  </w:style>
  <w:style w:type="paragraph" w:styleId="Heading1">
    <w:name w:val="heading 1"/>
    <w:basedOn w:val="Normal"/>
    <w:next w:val="Normal"/>
    <w:link w:val="Heading1Char"/>
    <w:uiPriority w:val="9"/>
    <w:qFormat/>
    <w:rsid w:val="009E1F7C"/>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Heading2">
    <w:name w:val="heading 2"/>
    <w:basedOn w:val="Normal"/>
    <w:next w:val="Normal"/>
    <w:link w:val="Heading2Char"/>
    <w:uiPriority w:val="9"/>
    <w:unhideWhenUsed/>
    <w:qFormat/>
    <w:rsid w:val="009E1F7C"/>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9E1F7C"/>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9E1F7C"/>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9E1F7C"/>
    <w:pPr>
      <w:keepNext/>
      <w:keepLines/>
      <w:spacing w:before="80" w:after="0"/>
      <w:outlineLvl w:val="4"/>
    </w:pPr>
    <w:rPr>
      <w:rFonts w:asciiTheme="majorHAnsi" w:eastAsiaTheme="majorEastAsia" w:hAnsiTheme="majorHAnsi" w:cstheme="majorBidi"/>
      <w:i/>
      <w:iCs/>
      <w:szCs w:val="22"/>
    </w:rPr>
  </w:style>
  <w:style w:type="paragraph" w:styleId="Heading6">
    <w:name w:val="heading 6"/>
    <w:basedOn w:val="Normal"/>
    <w:next w:val="Normal"/>
    <w:link w:val="Heading6Char"/>
    <w:uiPriority w:val="9"/>
    <w:semiHidden/>
    <w:unhideWhenUsed/>
    <w:qFormat/>
    <w:rsid w:val="009E1F7C"/>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9E1F7C"/>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9E1F7C"/>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9E1F7C"/>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iPriority w:val="35"/>
    <w:unhideWhenUsed/>
    <w:qFormat/>
    <w:rsid w:val="009E1F7C"/>
    <w:pPr>
      <w:spacing w:line="240" w:lineRule="auto"/>
    </w:pPr>
    <w:rPr>
      <w:b/>
      <w:bCs/>
      <w:color w:val="404040" w:themeColor="text1" w:themeTint="BF"/>
      <w:sz w:val="20"/>
      <w:szCs w:val="20"/>
    </w:rPr>
  </w:style>
  <w:style w:type="character" w:styleId="Emphasis">
    <w:name w:val="Emphasis"/>
    <w:basedOn w:val="DefaultParagraphFont"/>
    <w:uiPriority w:val="20"/>
    <w:qFormat/>
    <w:rsid w:val="009E1F7C"/>
    <w:rPr>
      <w:i/>
      <w:iCs/>
    </w:rPr>
  </w:style>
  <w:style w:type="character" w:customStyle="1" w:styleId="Heading1Char">
    <w:name w:val="Heading 1 Char"/>
    <w:basedOn w:val="DefaultParagraphFont"/>
    <w:link w:val="Heading1"/>
    <w:uiPriority w:val="9"/>
    <w:rsid w:val="009E1F7C"/>
    <w:rPr>
      <w:rFonts w:asciiTheme="majorHAnsi" w:eastAsiaTheme="majorEastAsia" w:hAnsiTheme="majorHAnsi" w:cstheme="majorBidi"/>
      <w:color w:val="2F5496" w:themeColor="accent1" w:themeShade="BF"/>
      <w:sz w:val="36"/>
      <w:szCs w:val="36"/>
    </w:rPr>
  </w:style>
  <w:style w:type="character" w:customStyle="1" w:styleId="Heading2Char">
    <w:name w:val="Heading 2 Char"/>
    <w:basedOn w:val="DefaultParagraphFont"/>
    <w:link w:val="Heading2"/>
    <w:uiPriority w:val="9"/>
    <w:rsid w:val="009E1F7C"/>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rsid w:val="009E1F7C"/>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9E1F7C"/>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9E1F7C"/>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9E1F7C"/>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9E1F7C"/>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9E1F7C"/>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9E1F7C"/>
    <w:rPr>
      <w:rFonts w:asciiTheme="majorHAnsi" w:eastAsiaTheme="majorEastAsia" w:hAnsiTheme="majorHAnsi" w:cstheme="majorBidi"/>
      <w:i/>
      <w:iCs/>
      <w:smallCaps/>
      <w:color w:val="595959" w:themeColor="text1" w:themeTint="A6"/>
    </w:rPr>
  </w:style>
  <w:style w:type="paragraph" w:styleId="Title">
    <w:name w:val="Title"/>
    <w:basedOn w:val="Normal"/>
    <w:next w:val="Normal"/>
    <w:link w:val="TitleChar"/>
    <w:uiPriority w:val="10"/>
    <w:qFormat/>
    <w:rsid w:val="009E1F7C"/>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leChar">
    <w:name w:val="Title Char"/>
    <w:basedOn w:val="DefaultParagraphFont"/>
    <w:link w:val="Title"/>
    <w:uiPriority w:val="10"/>
    <w:rsid w:val="009E1F7C"/>
    <w:rPr>
      <w:rFonts w:asciiTheme="majorHAnsi" w:eastAsiaTheme="majorEastAsia" w:hAnsiTheme="majorHAnsi" w:cstheme="majorBidi"/>
      <w:color w:val="2F5496" w:themeColor="accent1" w:themeShade="BF"/>
      <w:spacing w:val="-7"/>
      <w:sz w:val="80"/>
      <w:szCs w:val="80"/>
    </w:rPr>
  </w:style>
  <w:style w:type="paragraph" w:styleId="Subtitle">
    <w:name w:val="Subtitle"/>
    <w:basedOn w:val="Normal"/>
    <w:next w:val="Normal"/>
    <w:link w:val="SubtitleChar"/>
    <w:uiPriority w:val="11"/>
    <w:qFormat/>
    <w:rsid w:val="009E1F7C"/>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9E1F7C"/>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9E1F7C"/>
    <w:rPr>
      <w:b/>
      <w:bCs/>
    </w:rPr>
  </w:style>
  <w:style w:type="paragraph" w:styleId="NoSpacing">
    <w:name w:val="No Spacing"/>
    <w:uiPriority w:val="1"/>
    <w:qFormat/>
    <w:rsid w:val="009E1F7C"/>
    <w:pPr>
      <w:spacing w:after="0" w:line="240" w:lineRule="auto"/>
    </w:pPr>
  </w:style>
  <w:style w:type="paragraph" w:styleId="Quote">
    <w:name w:val="Quote"/>
    <w:basedOn w:val="Normal"/>
    <w:next w:val="Normal"/>
    <w:link w:val="QuoteChar"/>
    <w:uiPriority w:val="29"/>
    <w:qFormat/>
    <w:rsid w:val="009E1F7C"/>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9E1F7C"/>
    <w:rPr>
      <w:i/>
      <w:iCs/>
    </w:rPr>
  </w:style>
  <w:style w:type="paragraph" w:styleId="IntenseQuote">
    <w:name w:val="Intense Quote"/>
    <w:basedOn w:val="Normal"/>
    <w:next w:val="Normal"/>
    <w:link w:val="IntenseQuoteChar"/>
    <w:uiPriority w:val="30"/>
    <w:qFormat/>
    <w:rsid w:val="009E1F7C"/>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9E1F7C"/>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9E1F7C"/>
    <w:rPr>
      <w:i/>
      <w:iCs/>
      <w:color w:val="595959" w:themeColor="text1" w:themeTint="A6"/>
    </w:rPr>
  </w:style>
  <w:style w:type="character" w:styleId="IntenseEmphasis">
    <w:name w:val="Intense Emphasis"/>
    <w:basedOn w:val="DefaultParagraphFont"/>
    <w:uiPriority w:val="21"/>
    <w:qFormat/>
    <w:rsid w:val="009E1F7C"/>
    <w:rPr>
      <w:b/>
      <w:bCs/>
      <w:i/>
      <w:iCs/>
    </w:rPr>
  </w:style>
  <w:style w:type="character" w:styleId="SubtleReference">
    <w:name w:val="Subtle Reference"/>
    <w:basedOn w:val="DefaultParagraphFont"/>
    <w:uiPriority w:val="31"/>
    <w:qFormat/>
    <w:rsid w:val="009E1F7C"/>
    <w:rPr>
      <w:smallCaps/>
      <w:color w:val="404040" w:themeColor="text1" w:themeTint="BF"/>
    </w:rPr>
  </w:style>
  <w:style w:type="character" w:styleId="IntenseReference">
    <w:name w:val="Intense Reference"/>
    <w:basedOn w:val="DefaultParagraphFont"/>
    <w:uiPriority w:val="32"/>
    <w:qFormat/>
    <w:rsid w:val="009E1F7C"/>
    <w:rPr>
      <w:b/>
      <w:bCs/>
      <w:smallCaps/>
      <w:u w:val="single"/>
    </w:rPr>
  </w:style>
  <w:style w:type="character" w:styleId="BookTitle">
    <w:name w:val="Book Title"/>
    <w:basedOn w:val="DefaultParagraphFont"/>
    <w:uiPriority w:val="33"/>
    <w:qFormat/>
    <w:rsid w:val="009E1F7C"/>
    <w:rPr>
      <w:b/>
      <w:bCs/>
      <w:smallCaps/>
    </w:rPr>
  </w:style>
  <w:style w:type="paragraph" w:styleId="TOCHeading">
    <w:name w:val="TOC Heading"/>
    <w:basedOn w:val="Heading1"/>
    <w:next w:val="Normal"/>
    <w:uiPriority w:val="39"/>
    <w:semiHidden/>
    <w:unhideWhenUsed/>
    <w:qFormat/>
    <w:rsid w:val="009E1F7C"/>
    <w:pPr>
      <w:outlineLvl w:val="9"/>
    </w:pPr>
  </w:style>
  <w:style w:type="character" w:styleId="Hyperlink">
    <w:name w:val="Hyperlink"/>
    <w:basedOn w:val="DefaultParagraphFont"/>
    <w:uiPriority w:val="99"/>
    <w:unhideWhenUsed/>
    <w:rsid w:val="00B3282A"/>
    <w:rPr>
      <w:color w:val="0000FF"/>
      <w:u w:val="single"/>
    </w:rPr>
  </w:style>
  <w:style w:type="paragraph" w:customStyle="1" w:styleId="Default">
    <w:name w:val="Default"/>
    <w:rsid w:val="00525F12"/>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04466B"/>
    <w:pPr>
      <w:ind w:left="720"/>
      <w:contextualSpacing/>
    </w:pPr>
  </w:style>
  <w:style w:type="character" w:customStyle="1" w:styleId="CaptionChar">
    <w:name w:val="Caption Char"/>
    <w:basedOn w:val="DefaultParagraphFont"/>
    <w:link w:val="Caption"/>
    <w:uiPriority w:val="35"/>
    <w:rsid w:val="00250403"/>
    <w:rPr>
      <w:b/>
      <w:bCs/>
      <w:color w:val="404040" w:themeColor="text1" w:themeTint="BF"/>
      <w:sz w:val="20"/>
      <w:szCs w:val="20"/>
    </w:rPr>
  </w:style>
  <w:style w:type="table" w:styleId="PlainTable4">
    <w:name w:val="Plain Table 4"/>
    <w:basedOn w:val="TableNormal"/>
    <w:uiPriority w:val="44"/>
    <w:rsid w:val="0025040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5040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9B6EFE"/>
    <w:rPr>
      <w:sz w:val="16"/>
      <w:szCs w:val="16"/>
    </w:rPr>
  </w:style>
  <w:style w:type="paragraph" w:styleId="CommentText">
    <w:name w:val="annotation text"/>
    <w:basedOn w:val="Normal"/>
    <w:link w:val="CommentTextChar"/>
    <w:uiPriority w:val="99"/>
    <w:unhideWhenUsed/>
    <w:rsid w:val="009B6EFE"/>
    <w:pPr>
      <w:spacing w:line="240" w:lineRule="auto"/>
    </w:pPr>
    <w:rPr>
      <w:sz w:val="20"/>
      <w:szCs w:val="20"/>
    </w:rPr>
  </w:style>
  <w:style w:type="character" w:customStyle="1" w:styleId="CommentTextChar">
    <w:name w:val="Comment Text Char"/>
    <w:basedOn w:val="DefaultParagraphFont"/>
    <w:link w:val="CommentText"/>
    <w:uiPriority w:val="99"/>
    <w:rsid w:val="009B6EFE"/>
    <w:rPr>
      <w:sz w:val="20"/>
      <w:szCs w:val="20"/>
    </w:rPr>
  </w:style>
  <w:style w:type="paragraph" w:styleId="CommentSubject">
    <w:name w:val="annotation subject"/>
    <w:basedOn w:val="CommentText"/>
    <w:next w:val="CommentText"/>
    <w:link w:val="CommentSubjectChar"/>
    <w:uiPriority w:val="99"/>
    <w:semiHidden/>
    <w:unhideWhenUsed/>
    <w:rsid w:val="009B6EFE"/>
    <w:rPr>
      <w:b/>
      <w:bCs/>
    </w:rPr>
  </w:style>
  <w:style w:type="character" w:customStyle="1" w:styleId="CommentSubjectChar">
    <w:name w:val="Comment Subject Char"/>
    <w:basedOn w:val="CommentTextChar"/>
    <w:link w:val="CommentSubject"/>
    <w:uiPriority w:val="99"/>
    <w:semiHidden/>
    <w:rsid w:val="009B6EFE"/>
    <w:rPr>
      <w:b/>
      <w:bCs/>
      <w:sz w:val="20"/>
      <w:szCs w:val="20"/>
    </w:rPr>
  </w:style>
  <w:style w:type="paragraph" w:styleId="BalloonText">
    <w:name w:val="Balloon Text"/>
    <w:basedOn w:val="Normal"/>
    <w:link w:val="BalloonTextChar"/>
    <w:uiPriority w:val="99"/>
    <w:semiHidden/>
    <w:unhideWhenUsed/>
    <w:rsid w:val="009B6E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6EFE"/>
    <w:rPr>
      <w:rFonts w:ascii="Segoe UI" w:hAnsi="Segoe UI" w:cs="Segoe UI"/>
      <w:sz w:val="18"/>
      <w:szCs w:val="18"/>
    </w:rPr>
  </w:style>
  <w:style w:type="table" w:styleId="TableGrid">
    <w:name w:val="Table Grid"/>
    <w:basedOn w:val="TableNormal"/>
    <w:uiPriority w:val="39"/>
    <w:rsid w:val="00423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4C0CD1"/>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C0CD1"/>
    <w:rPr>
      <w:rFonts w:ascii="Calibri" w:hAnsi="Calibri" w:cs="Calibri"/>
      <w:noProof/>
      <w:sz w:val="22"/>
      <w:lang w:val="en-US"/>
    </w:rPr>
  </w:style>
  <w:style w:type="paragraph" w:customStyle="1" w:styleId="EndNoteBibliography">
    <w:name w:val="EndNote Bibliography"/>
    <w:basedOn w:val="Normal"/>
    <w:link w:val="EndNoteBibliographyChar"/>
    <w:rsid w:val="004C0CD1"/>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4C0CD1"/>
    <w:rPr>
      <w:rFonts w:ascii="Calibri" w:hAnsi="Calibri" w:cs="Calibri"/>
      <w:noProof/>
      <w:sz w:val="22"/>
      <w:lang w:val="en-US"/>
    </w:rPr>
  </w:style>
  <w:style w:type="character" w:styleId="FollowedHyperlink">
    <w:name w:val="FollowedHyperlink"/>
    <w:basedOn w:val="DefaultParagraphFont"/>
    <w:uiPriority w:val="99"/>
    <w:semiHidden/>
    <w:unhideWhenUsed/>
    <w:rsid w:val="00276124"/>
    <w:rPr>
      <w:color w:val="954F72" w:themeColor="followedHyperlink"/>
      <w:u w:val="single"/>
    </w:rPr>
  </w:style>
  <w:style w:type="paragraph" w:styleId="NormalWeb">
    <w:name w:val="Normal (Web)"/>
    <w:basedOn w:val="Normal"/>
    <w:uiPriority w:val="99"/>
    <w:semiHidden/>
    <w:unhideWhenUsed/>
    <w:rsid w:val="00EA27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author-informationsubtitle">
    <w:name w:val="c-article-author-information__subtitle"/>
    <w:basedOn w:val="DefaultParagraphFont"/>
    <w:rsid w:val="00EA273A"/>
  </w:style>
  <w:style w:type="paragraph" w:styleId="Header">
    <w:name w:val="header"/>
    <w:basedOn w:val="Normal"/>
    <w:link w:val="HeaderChar"/>
    <w:uiPriority w:val="99"/>
    <w:unhideWhenUsed/>
    <w:rsid w:val="00DC2F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2FF8"/>
    <w:rPr>
      <w:sz w:val="22"/>
    </w:rPr>
  </w:style>
  <w:style w:type="paragraph" w:styleId="Footer">
    <w:name w:val="footer"/>
    <w:basedOn w:val="Normal"/>
    <w:link w:val="FooterChar"/>
    <w:uiPriority w:val="99"/>
    <w:unhideWhenUsed/>
    <w:rsid w:val="00DC2F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2FF8"/>
    <w:rPr>
      <w:sz w:val="22"/>
    </w:rPr>
  </w:style>
  <w:style w:type="character" w:styleId="LineNumber">
    <w:name w:val="line number"/>
    <w:basedOn w:val="DefaultParagraphFont"/>
    <w:uiPriority w:val="99"/>
    <w:semiHidden/>
    <w:unhideWhenUsed/>
    <w:rsid w:val="002B7F6C"/>
  </w:style>
  <w:style w:type="character" w:customStyle="1" w:styleId="UnresolvedMention1">
    <w:name w:val="Unresolved Mention1"/>
    <w:basedOn w:val="DefaultParagraphFont"/>
    <w:uiPriority w:val="99"/>
    <w:semiHidden/>
    <w:unhideWhenUsed/>
    <w:rsid w:val="00EA207F"/>
    <w:rPr>
      <w:color w:val="605E5C"/>
      <w:shd w:val="clear" w:color="auto" w:fill="E1DFDD"/>
    </w:rPr>
  </w:style>
  <w:style w:type="paragraph" w:styleId="Revision">
    <w:name w:val="Revision"/>
    <w:hidden/>
    <w:uiPriority w:val="99"/>
    <w:semiHidden/>
    <w:rsid w:val="002B1257"/>
    <w:pPr>
      <w:spacing w:after="0" w:line="240" w:lineRule="auto"/>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14752">
      <w:bodyDiv w:val="1"/>
      <w:marLeft w:val="0"/>
      <w:marRight w:val="0"/>
      <w:marTop w:val="0"/>
      <w:marBottom w:val="0"/>
      <w:divBdr>
        <w:top w:val="none" w:sz="0" w:space="0" w:color="auto"/>
        <w:left w:val="none" w:sz="0" w:space="0" w:color="auto"/>
        <w:bottom w:val="none" w:sz="0" w:space="0" w:color="auto"/>
        <w:right w:val="none" w:sz="0" w:space="0" w:color="auto"/>
      </w:divBdr>
    </w:div>
    <w:div w:id="110982700">
      <w:bodyDiv w:val="1"/>
      <w:marLeft w:val="0"/>
      <w:marRight w:val="0"/>
      <w:marTop w:val="0"/>
      <w:marBottom w:val="0"/>
      <w:divBdr>
        <w:top w:val="none" w:sz="0" w:space="0" w:color="auto"/>
        <w:left w:val="none" w:sz="0" w:space="0" w:color="auto"/>
        <w:bottom w:val="none" w:sz="0" w:space="0" w:color="auto"/>
        <w:right w:val="none" w:sz="0" w:space="0" w:color="auto"/>
      </w:divBdr>
    </w:div>
    <w:div w:id="339699603">
      <w:bodyDiv w:val="1"/>
      <w:marLeft w:val="0"/>
      <w:marRight w:val="0"/>
      <w:marTop w:val="0"/>
      <w:marBottom w:val="0"/>
      <w:divBdr>
        <w:top w:val="none" w:sz="0" w:space="0" w:color="auto"/>
        <w:left w:val="none" w:sz="0" w:space="0" w:color="auto"/>
        <w:bottom w:val="none" w:sz="0" w:space="0" w:color="auto"/>
        <w:right w:val="none" w:sz="0" w:space="0" w:color="auto"/>
      </w:divBdr>
    </w:div>
    <w:div w:id="466239385">
      <w:bodyDiv w:val="1"/>
      <w:marLeft w:val="0"/>
      <w:marRight w:val="0"/>
      <w:marTop w:val="0"/>
      <w:marBottom w:val="0"/>
      <w:divBdr>
        <w:top w:val="none" w:sz="0" w:space="0" w:color="auto"/>
        <w:left w:val="none" w:sz="0" w:space="0" w:color="auto"/>
        <w:bottom w:val="none" w:sz="0" w:space="0" w:color="auto"/>
        <w:right w:val="none" w:sz="0" w:space="0" w:color="auto"/>
      </w:divBdr>
      <w:divsChild>
        <w:div w:id="927495772">
          <w:marLeft w:val="446"/>
          <w:marRight w:val="0"/>
          <w:marTop w:val="0"/>
          <w:marBottom w:val="0"/>
          <w:divBdr>
            <w:top w:val="none" w:sz="0" w:space="0" w:color="auto"/>
            <w:left w:val="none" w:sz="0" w:space="0" w:color="auto"/>
            <w:bottom w:val="none" w:sz="0" w:space="0" w:color="auto"/>
            <w:right w:val="none" w:sz="0" w:space="0" w:color="auto"/>
          </w:divBdr>
        </w:div>
        <w:div w:id="1606187970">
          <w:marLeft w:val="446"/>
          <w:marRight w:val="0"/>
          <w:marTop w:val="0"/>
          <w:marBottom w:val="0"/>
          <w:divBdr>
            <w:top w:val="none" w:sz="0" w:space="0" w:color="auto"/>
            <w:left w:val="none" w:sz="0" w:space="0" w:color="auto"/>
            <w:bottom w:val="none" w:sz="0" w:space="0" w:color="auto"/>
            <w:right w:val="none" w:sz="0" w:space="0" w:color="auto"/>
          </w:divBdr>
        </w:div>
        <w:div w:id="1443761943">
          <w:marLeft w:val="446"/>
          <w:marRight w:val="0"/>
          <w:marTop w:val="0"/>
          <w:marBottom w:val="0"/>
          <w:divBdr>
            <w:top w:val="none" w:sz="0" w:space="0" w:color="auto"/>
            <w:left w:val="none" w:sz="0" w:space="0" w:color="auto"/>
            <w:bottom w:val="none" w:sz="0" w:space="0" w:color="auto"/>
            <w:right w:val="none" w:sz="0" w:space="0" w:color="auto"/>
          </w:divBdr>
        </w:div>
        <w:div w:id="1076780236">
          <w:marLeft w:val="446"/>
          <w:marRight w:val="0"/>
          <w:marTop w:val="0"/>
          <w:marBottom w:val="0"/>
          <w:divBdr>
            <w:top w:val="none" w:sz="0" w:space="0" w:color="auto"/>
            <w:left w:val="none" w:sz="0" w:space="0" w:color="auto"/>
            <w:bottom w:val="none" w:sz="0" w:space="0" w:color="auto"/>
            <w:right w:val="none" w:sz="0" w:space="0" w:color="auto"/>
          </w:divBdr>
        </w:div>
      </w:divsChild>
    </w:div>
    <w:div w:id="524556728">
      <w:bodyDiv w:val="1"/>
      <w:marLeft w:val="0"/>
      <w:marRight w:val="0"/>
      <w:marTop w:val="0"/>
      <w:marBottom w:val="0"/>
      <w:divBdr>
        <w:top w:val="none" w:sz="0" w:space="0" w:color="auto"/>
        <w:left w:val="none" w:sz="0" w:space="0" w:color="auto"/>
        <w:bottom w:val="none" w:sz="0" w:space="0" w:color="auto"/>
        <w:right w:val="none" w:sz="0" w:space="0" w:color="auto"/>
      </w:divBdr>
    </w:div>
    <w:div w:id="546261262">
      <w:bodyDiv w:val="1"/>
      <w:marLeft w:val="0"/>
      <w:marRight w:val="0"/>
      <w:marTop w:val="0"/>
      <w:marBottom w:val="0"/>
      <w:divBdr>
        <w:top w:val="none" w:sz="0" w:space="0" w:color="auto"/>
        <w:left w:val="none" w:sz="0" w:space="0" w:color="auto"/>
        <w:bottom w:val="none" w:sz="0" w:space="0" w:color="auto"/>
        <w:right w:val="none" w:sz="0" w:space="0" w:color="auto"/>
      </w:divBdr>
      <w:divsChild>
        <w:div w:id="1026297422">
          <w:marLeft w:val="0"/>
          <w:marRight w:val="0"/>
          <w:marTop w:val="0"/>
          <w:marBottom w:val="0"/>
          <w:divBdr>
            <w:top w:val="none" w:sz="0" w:space="0" w:color="auto"/>
            <w:left w:val="none" w:sz="0" w:space="0" w:color="auto"/>
            <w:bottom w:val="none" w:sz="0" w:space="0" w:color="auto"/>
            <w:right w:val="none" w:sz="0" w:space="0" w:color="auto"/>
          </w:divBdr>
          <w:divsChild>
            <w:div w:id="610943179">
              <w:marLeft w:val="0"/>
              <w:marRight w:val="0"/>
              <w:marTop w:val="0"/>
              <w:marBottom w:val="600"/>
              <w:divBdr>
                <w:top w:val="none" w:sz="0" w:space="0" w:color="auto"/>
                <w:left w:val="none" w:sz="0" w:space="0" w:color="auto"/>
                <w:bottom w:val="none" w:sz="0" w:space="0" w:color="auto"/>
                <w:right w:val="none" w:sz="0" w:space="0" w:color="auto"/>
              </w:divBdr>
            </w:div>
          </w:divsChild>
        </w:div>
        <w:div w:id="1523587138">
          <w:marLeft w:val="0"/>
          <w:marRight w:val="0"/>
          <w:marTop w:val="0"/>
          <w:marBottom w:val="0"/>
          <w:divBdr>
            <w:top w:val="none" w:sz="0" w:space="0" w:color="auto"/>
            <w:left w:val="none" w:sz="0" w:space="0" w:color="auto"/>
            <w:bottom w:val="none" w:sz="0" w:space="0" w:color="auto"/>
            <w:right w:val="none" w:sz="0" w:space="0" w:color="auto"/>
          </w:divBdr>
        </w:div>
      </w:divsChild>
    </w:div>
    <w:div w:id="654802651">
      <w:bodyDiv w:val="1"/>
      <w:marLeft w:val="0"/>
      <w:marRight w:val="0"/>
      <w:marTop w:val="0"/>
      <w:marBottom w:val="0"/>
      <w:divBdr>
        <w:top w:val="none" w:sz="0" w:space="0" w:color="auto"/>
        <w:left w:val="none" w:sz="0" w:space="0" w:color="auto"/>
        <w:bottom w:val="none" w:sz="0" w:space="0" w:color="auto"/>
        <w:right w:val="none" w:sz="0" w:space="0" w:color="auto"/>
      </w:divBdr>
    </w:div>
    <w:div w:id="656542622">
      <w:bodyDiv w:val="1"/>
      <w:marLeft w:val="0"/>
      <w:marRight w:val="0"/>
      <w:marTop w:val="0"/>
      <w:marBottom w:val="0"/>
      <w:divBdr>
        <w:top w:val="none" w:sz="0" w:space="0" w:color="auto"/>
        <w:left w:val="none" w:sz="0" w:space="0" w:color="auto"/>
        <w:bottom w:val="none" w:sz="0" w:space="0" w:color="auto"/>
        <w:right w:val="none" w:sz="0" w:space="0" w:color="auto"/>
      </w:divBdr>
      <w:divsChild>
        <w:div w:id="843981185">
          <w:marLeft w:val="0"/>
          <w:marRight w:val="0"/>
          <w:marTop w:val="0"/>
          <w:marBottom w:val="0"/>
          <w:divBdr>
            <w:top w:val="none" w:sz="0" w:space="0" w:color="auto"/>
            <w:left w:val="none" w:sz="0" w:space="0" w:color="auto"/>
            <w:bottom w:val="none" w:sz="0" w:space="0" w:color="auto"/>
            <w:right w:val="none" w:sz="0" w:space="0" w:color="auto"/>
          </w:divBdr>
          <w:divsChild>
            <w:div w:id="759302292">
              <w:marLeft w:val="0"/>
              <w:marRight w:val="0"/>
              <w:marTop w:val="0"/>
              <w:marBottom w:val="600"/>
              <w:divBdr>
                <w:top w:val="none" w:sz="0" w:space="0" w:color="auto"/>
                <w:left w:val="none" w:sz="0" w:space="0" w:color="auto"/>
                <w:bottom w:val="none" w:sz="0" w:space="0" w:color="auto"/>
                <w:right w:val="none" w:sz="0" w:space="0" w:color="auto"/>
              </w:divBdr>
            </w:div>
          </w:divsChild>
        </w:div>
        <w:div w:id="1601184581">
          <w:marLeft w:val="0"/>
          <w:marRight w:val="0"/>
          <w:marTop w:val="0"/>
          <w:marBottom w:val="0"/>
          <w:divBdr>
            <w:top w:val="none" w:sz="0" w:space="0" w:color="auto"/>
            <w:left w:val="none" w:sz="0" w:space="0" w:color="auto"/>
            <w:bottom w:val="none" w:sz="0" w:space="0" w:color="auto"/>
            <w:right w:val="none" w:sz="0" w:space="0" w:color="auto"/>
          </w:divBdr>
        </w:div>
      </w:divsChild>
    </w:div>
    <w:div w:id="675770485">
      <w:bodyDiv w:val="1"/>
      <w:marLeft w:val="0"/>
      <w:marRight w:val="0"/>
      <w:marTop w:val="0"/>
      <w:marBottom w:val="0"/>
      <w:divBdr>
        <w:top w:val="none" w:sz="0" w:space="0" w:color="auto"/>
        <w:left w:val="none" w:sz="0" w:space="0" w:color="auto"/>
        <w:bottom w:val="none" w:sz="0" w:space="0" w:color="auto"/>
        <w:right w:val="none" w:sz="0" w:space="0" w:color="auto"/>
      </w:divBdr>
    </w:div>
    <w:div w:id="693193964">
      <w:bodyDiv w:val="1"/>
      <w:marLeft w:val="0"/>
      <w:marRight w:val="0"/>
      <w:marTop w:val="0"/>
      <w:marBottom w:val="0"/>
      <w:divBdr>
        <w:top w:val="none" w:sz="0" w:space="0" w:color="auto"/>
        <w:left w:val="none" w:sz="0" w:space="0" w:color="auto"/>
        <w:bottom w:val="none" w:sz="0" w:space="0" w:color="auto"/>
        <w:right w:val="none" w:sz="0" w:space="0" w:color="auto"/>
      </w:divBdr>
    </w:div>
    <w:div w:id="739520063">
      <w:bodyDiv w:val="1"/>
      <w:marLeft w:val="0"/>
      <w:marRight w:val="0"/>
      <w:marTop w:val="0"/>
      <w:marBottom w:val="0"/>
      <w:divBdr>
        <w:top w:val="none" w:sz="0" w:space="0" w:color="auto"/>
        <w:left w:val="none" w:sz="0" w:space="0" w:color="auto"/>
        <w:bottom w:val="none" w:sz="0" w:space="0" w:color="auto"/>
        <w:right w:val="none" w:sz="0" w:space="0" w:color="auto"/>
      </w:divBdr>
    </w:div>
    <w:div w:id="779910917">
      <w:marLeft w:val="0"/>
      <w:marRight w:val="0"/>
      <w:marTop w:val="0"/>
      <w:marBottom w:val="0"/>
      <w:divBdr>
        <w:top w:val="none" w:sz="0" w:space="0" w:color="auto"/>
        <w:left w:val="none" w:sz="0" w:space="0" w:color="auto"/>
        <w:bottom w:val="none" w:sz="0" w:space="0" w:color="auto"/>
        <w:right w:val="none" w:sz="0" w:space="0" w:color="auto"/>
      </w:divBdr>
      <w:divsChild>
        <w:div w:id="694813717">
          <w:marLeft w:val="0"/>
          <w:marRight w:val="0"/>
          <w:marTop w:val="0"/>
          <w:marBottom w:val="0"/>
          <w:divBdr>
            <w:top w:val="none" w:sz="0" w:space="0" w:color="auto"/>
            <w:left w:val="none" w:sz="0" w:space="0" w:color="auto"/>
            <w:bottom w:val="none" w:sz="0" w:space="0" w:color="auto"/>
            <w:right w:val="none" w:sz="0" w:space="0" w:color="auto"/>
          </w:divBdr>
        </w:div>
      </w:divsChild>
    </w:div>
    <w:div w:id="792017574">
      <w:bodyDiv w:val="1"/>
      <w:marLeft w:val="0"/>
      <w:marRight w:val="0"/>
      <w:marTop w:val="0"/>
      <w:marBottom w:val="0"/>
      <w:divBdr>
        <w:top w:val="none" w:sz="0" w:space="0" w:color="auto"/>
        <w:left w:val="none" w:sz="0" w:space="0" w:color="auto"/>
        <w:bottom w:val="none" w:sz="0" w:space="0" w:color="auto"/>
        <w:right w:val="none" w:sz="0" w:space="0" w:color="auto"/>
      </w:divBdr>
    </w:div>
    <w:div w:id="813137056">
      <w:bodyDiv w:val="1"/>
      <w:marLeft w:val="0"/>
      <w:marRight w:val="0"/>
      <w:marTop w:val="0"/>
      <w:marBottom w:val="0"/>
      <w:divBdr>
        <w:top w:val="none" w:sz="0" w:space="0" w:color="auto"/>
        <w:left w:val="none" w:sz="0" w:space="0" w:color="auto"/>
        <w:bottom w:val="none" w:sz="0" w:space="0" w:color="auto"/>
        <w:right w:val="none" w:sz="0" w:space="0" w:color="auto"/>
      </w:divBdr>
    </w:div>
    <w:div w:id="893736980">
      <w:bodyDiv w:val="1"/>
      <w:marLeft w:val="0"/>
      <w:marRight w:val="0"/>
      <w:marTop w:val="0"/>
      <w:marBottom w:val="0"/>
      <w:divBdr>
        <w:top w:val="none" w:sz="0" w:space="0" w:color="auto"/>
        <w:left w:val="none" w:sz="0" w:space="0" w:color="auto"/>
        <w:bottom w:val="none" w:sz="0" w:space="0" w:color="auto"/>
        <w:right w:val="none" w:sz="0" w:space="0" w:color="auto"/>
      </w:divBdr>
    </w:div>
    <w:div w:id="1042098067">
      <w:bodyDiv w:val="1"/>
      <w:marLeft w:val="0"/>
      <w:marRight w:val="0"/>
      <w:marTop w:val="0"/>
      <w:marBottom w:val="0"/>
      <w:divBdr>
        <w:top w:val="none" w:sz="0" w:space="0" w:color="auto"/>
        <w:left w:val="none" w:sz="0" w:space="0" w:color="auto"/>
        <w:bottom w:val="none" w:sz="0" w:space="0" w:color="auto"/>
        <w:right w:val="none" w:sz="0" w:space="0" w:color="auto"/>
      </w:divBdr>
    </w:div>
    <w:div w:id="1055079468">
      <w:bodyDiv w:val="1"/>
      <w:marLeft w:val="0"/>
      <w:marRight w:val="0"/>
      <w:marTop w:val="0"/>
      <w:marBottom w:val="0"/>
      <w:divBdr>
        <w:top w:val="none" w:sz="0" w:space="0" w:color="auto"/>
        <w:left w:val="none" w:sz="0" w:space="0" w:color="auto"/>
        <w:bottom w:val="none" w:sz="0" w:space="0" w:color="auto"/>
        <w:right w:val="none" w:sz="0" w:space="0" w:color="auto"/>
      </w:divBdr>
    </w:div>
    <w:div w:id="1093160076">
      <w:bodyDiv w:val="1"/>
      <w:marLeft w:val="0"/>
      <w:marRight w:val="0"/>
      <w:marTop w:val="0"/>
      <w:marBottom w:val="0"/>
      <w:divBdr>
        <w:top w:val="none" w:sz="0" w:space="0" w:color="auto"/>
        <w:left w:val="none" w:sz="0" w:space="0" w:color="auto"/>
        <w:bottom w:val="none" w:sz="0" w:space="0" w:color="auto"/>
        <w:right w:val="none" w:sz="0" w:space="0" w:color="auto"/>
      </w:divBdr>
    </w:div>
    <w:div w:id="1100611700">
      <w:bodyDiv w:val="1"/>
      <w:marLeft w:val="0"/>
      <w:marRight w:val="0"/>
      <w:marTop w:val="0"/>
      <w:marBottom w:val="0"/>
      <w:divBdr>
        <w:top w:val="none" w:sz="0" w:space="0" w:color="auto"/>
        <w:left w:val="none" w:sz="0" w:space="0" w:color="auto"/>
        <w:bottom w:val="none" w:sz="0" w:space="0" w:color="auto"/>
        <w:right w:val="none" w:sz="0" w:space="0" w:color="auto"/>
      </w:divBdr>
    </w:div>
    <w:div w:id="1236933705">
      <w:bodyDiv w:val="1"/>
      <w:marLeft w:val="0"/>
      <w:marRight w:val="0"/>
      <w:marTop w:val="0"/>
      <w:marBottom w:val="0"/>
      <w:divBdr>
        <w:top w:val="none" w:sz="0" w:space="0" w:color="auto"/>
        <w:left w:val="none" w:sz="0" w:space="0" w:color="auto"/>
        <w:bottom w:val="none" w:sz="0" w:space="0" w:color="auto"/>
        <w:right w:val="none" w:sz="0" w:space="0" w:color="auto"/>
      </w:divBdr>
      <w:divsChild>
        <w:div w:id="1137140195">
          <w:marLeft w:val="446"/>
          <w:marRight w:val="0"/>
          <w:marTop w:val="0"/>
          <w:marBottom w:val="0"/>
          <w:divBdr>
            <w:top w:val="none" w:sz="0" w:space="0" w:color="auto"/>
            <w:left w:val="none" w:sz="0" w:space="0" w:color="auto"/>
            <w:bottom w:val="none" w:sz="0" w:space="0" w:color="auto"/>
            <w:right w:val="none" w:sz="0" w:space="0" w:color="auto"/>
          </w:divBdr>
        </w:div>
        <w:div w:id="1818909474">
          <w:marLeft w:val="446"/>
          <w:marRight w:val="0"/>
          <w:marTop w:val="0"/>
          <w:marBottom w:val="0"/>
          <w:divBdr>
            <w:top w:val="none" w:sz="0" w:space="0" w:color="auto"/>
            <w:left w:val="none" w:sz="0" w:space="0" w:color="auto"/>
            <w:bottom w:val="none" w:sz="0" w:space="0" w:color="auto"/>
            <w:right w:val="none" w:sz="0" w:space="0" w:color="auto"/>
          </w:divBdr>
        </w:div>
        <w:div w:id="1024137689">
          <w:marLeft w:val="446"/>
          <w:marRight w:val="0"/>
          <w:marTop w:val="0"/>
          <w:marBottom w:val="0"/>
          <w:divBdr>
            <w:top w:val="none" w:sz="0" w:space="0" w:color="auto"/>
            <w:left w:val="none" w:sz="0" w:space="0" w:color="auto"/>
            <w:bottom w:val="none" w:sz="0" w:space="0" w:color="auto"/>
            <w:right w:val="none" w:sz="0" w:space="0" w:color="auto"/>
          </w:divBdr>
        </w:div>
        <w:div w:id="1886913545">
          <w:marLeft w:val="446"/>
          <w:marRight w:val="0"/>
          <w:marTop w:val="0"/>
          <w:marBottom w:val="0"/>
          <w:divBdr>
            <w:top w:val="none" w:sz="0" w:space="0" w:color="auto"/>
            <w:left w:val="none" w:sz="0" w:space="0" w:color="auto"/>
            <w:bottom w:val="none" w:sz="0" w:space="0" w:color="auto"/>
            <w:right w:val="none" w:sz="0" w:space="0" w:color="auto"/>
          </w:divBdr>
        </w:div>
      </w:divsChild>
    </w:div>
    <w:div w:id="1296566107">
      <w:bodyDiv w:val="1"/>
      <w:marLeft w:val="0"/>
      <w:marRight w:val="0"/>
      <w:marTop w:val="0"/>
      <w:marBottom w:val="0"/>
      <w:divBdr>
        <w:top w:val="none" w:sz="0" w:space="0" w:color="auto"/>
        <w:left w:val="none" w:sz="0" w:space="0" w:color="auto"/>
        <w:bottom w:val="none" w:sz="0" w:space="0" w:color="auto"/>
        <w:right w:val="none" w:sz="0" w:space="0" w:color="auto"/>
      </w:divBdr>
    </w:div>
    <w:div w:id="1308976338">
      <w:bodyDiv w:val="1"/>
      <w:marLeft w:val="0"/>
      <w:marRight w:val="0"/>
      <w:marTop w:val="0"/>
      <w:marBottom w:val="0"/>
      <w:divBdr>
        <w:top w:val="none" w:sz="0" w:space="0" w:color="auto"/>
        <w:left w:val="none" w:sz="0" w:space="0" w:color="auto"/>
        <w:bottom w:val="none" w:sz="0" w:space="0" w:color="auto"/>
        <w:right w:val="none" w:sz="0" w:space="0" w:color="auto"/>
      </w:divBdr>
      <w:divsChild>
        <w:div w:id="1164738404">
          <w:marLeft w:val="0"/>
          <w:marRight w:val="0"/>
          <w:marTop w:val="0"/>
          <w:marBottom w:val="600"/>
          <w:divBdr>
            <w:top w:val="none" w:sz="0" w:space="0" w:color="auto"/>
            <w:left w:val="none" w:sz="0" w:space="0" w:color="auto"/>
            <w:bottom w:val="none" w:sz="0" w:space="0" w:color="auto"/>
            <w:right w:val="none" w:sz="0" w:space="0" w:color="auto"/>
          </w:divBdr>
        </w:div>
      </w:divsChild>
    </w:div>
    <w:div w:id="1417945290">
      <w:bodyDiv w:val="1"/>
      <w:marLeft w:val="0"/>
      <w:marRight w:val="0"/>
      <w:marTop w:val="0"/>
      <w:marBottom w:val="0"/>
      <w:divBdr>
        <w:top w:val="none" w:sz="0" w:space="0" w:color="auto"/>
        <w:left w:val="none" w:sz="0" w:space="0" w:color="auto"/>
        <w:bottom w:val="none" w:sz="0" w:space="0" w:color="auto"/>
        <w:right w:val="none" w:sz="0" w:space="0" w:color="auto"/>
      </w:divBdr>
      <w:divsChild>
        <w:div w:id="769198558">
          <w:marLeft w:val="720"/>
          <w:marRight w:val="0"/>
          <w:marTop w:val="0"/>
          <w:marBottom w:val="0"/>
          <w:divBdr>
            <w:top w:val="none" w:sz="0" w:space="0" w:color="auto"/>
            <w:left w:val="none" w:sz="0" w:space="0" w:color="auto"/>
            <w:bottom w:val="none" w:sz="0" w:space="0" w:color="auto"/>
            <w:right w:val="none" w:sz="0" w:space="0" w:color="auto"/>
          </w:divBdr>
        </w:div>
        <w:div w:id="900211889">
          <w:marLeft w:val="720"/>
          <w:marRight w:val="0"/>
          <w:marTop w:val="0"/>
          <w:marBottom w:val="0"/>
          <w:divBdr>
            <w:top w:val="none" w:sz="0" w:space="0" w:color="auto"/>
            <w:left w:val="none" w:sz="0" w:space="0" w:color="auto"/>
            <w:bottom w:val="none" w:sz="0" w:space="0" w:color="auto"/>
            <w:right w:val="none" w:sz="0" w:space="0" w:color="auto"/>
          </w:divBdr>
        </w:div>
        <w:div w:id="676074961">
          <w:marLeft w:val="720"/>
          <w:marRight w:val="0"/>
          <w:marTop w:val="0"/>
          <w:marBottom w:val="0"/>
          <w:divBdr>
            <w:top w:val="none" w:sz="0" w:space="0" w:color="auto"/>
            <w:left w:val="none" w:sz="0" w:space="0" w:color="auto"/>
            <w:bottom w:val="none" w:sz="0" w:space="0" w:color="auto"/>
            <w:right w:val="none" w:sz="0" w:space="0" w:color="auto"/>
          </w:divBdr>
        </w:div>
        <w:div w:id="1041053744">
          <w:marLeft w:val="720"/>
          <w:marRight w:val="0"/>
          <w:marTop w:val="0"/>
          <w:marBottom w:val="0"/>
          <w:divBdr>
            <w:top w:val="none" w:sz="0" w:space="0" w:color="auto"/>
            <w:left w:val="none" w:sz="0" w:space="0" w:color="auto"/>
            <w:bottom w:val="none" w:sz="0" w:space="0" w:color="auto"/>
            <w:right w:val="none" w:sz="0" w:space="0" w:color="auto"/>
          </w:divBdr>
        </w:div>
        <w:div w:id="477646393">
          <w:marLeft w:val="720"/>
          <w:marRight w:val="0"/>
          <w:marTop w:val="0"/>
          <w:marBottom w:val="0"/>
          <w:divBdr>
            <w:top w:val="none" w:sz="0" w:space="0" w:color="auto"/>
            <w:left w:val="none" w:sz="0" w:space="0" w:color="auto"/>
            <w:bottom w:val="none" w:sz="0" w:space="0" w:color="auto"/>
            <w:right w:val="none" w:sz="0" w:space="0" w:color="auto"/>
          </w:divBdr>
        </w:div>
        <w:div w:id="239877954">
          <w:marLeft w:val="720"/>
          <w:marRight w:val="0"/>
          <w:marTop w:val="0"/>
          <w:marBottom w:val="0"/>
          <w:divBdr>
            <w:top w:val="none" w:sz="0" w:space="0" w:color="auto"/>
            <w:left w:val="none" w:sz="0" w:space="0" w:color="auto"/>
            <w:bottom w:val="none" w:sz="0" w:space="0" w:color="auto"/>
            <w:right w:val="none" w:sz="0" w:space="0" w:color="auto"/>
          </w:divBdr>
        </w:div>
        <w:div w:id="753747238">
          <w:marLeft w:val="720"/>
          <w:marRight w:val="0"/>
          <w:marTop w:val="0"/>
          <w:marBottom w:val="0"/>
          <w:divBdr>
            <w:top w:val="none" w:sz="0" w:space="0" w:color="auto"/>
            <w:left w:val="none" w:sz="0" w:space="0" w:color="auto"/>
            <w:bottom w:val="none" w:sz="0" w:space="0" w:color="auto"/>
            <w:right w:val="none" w:sz="0" w:space="0" w:color="auto"/>
          </w:divBdr>
        </w:div>
      </w:divsChild>
    </w:div>
    <w:div w:id="1445926362">
      <w:bodyDiv w:val="1"/>
      <w:marLeft w:val="0"/>
      <w:marRight w:val="0"/>
      <w:marTop w:val="0"/>
      <w:marBottom w:val="0"/>
      <w:divBdr>
        <w:top w:val="none" w:sz="0" w:space="0" w:color="auto"/>
        <w:left w:val="none" w:sz="0" w:space="0" w:color="auto"/>
        <w:bottom w:val="none" w:sz="0" w:space="0" w:color="auto"/>
        <w:right w:val="none" w:sz="0" w:space="0" w:color="auto"/>
      </w:divBdr>
    </w:div>
    <w:div w:id="1472361721">
      <w:bodyDiv w:val="1"/>
      <w:marLeft w:val="0"/>
      <w:marRight w:val="0"/>
      <w:marTop w:val="0"/>
      <w:marBottom w:val="0"/>
      <w:divBdr>
        <w:top w:val="none" w:sz="0" w:space="0" w:color="auto"/>
        <w:left w:val="none" w:sz="0" w:space="0" w:color="auto"/>
        <w:bottom w:val="none" w:sz="0" w:space="0" w:color="auto"/>
        <w:right w:val="none" w:sz="0" w:space="0" w:color="auto"/>
      </w:divBdr>
      <w:divsChild>
        <w:div w:id="1969165860">
          <w:marLeft w:val="720"/>
          <w:marRight w:val="0"/>
          <w:marTop w:val="0"/>
          <w:marBottom w:val="0"/>
          <w:divBdr>
            <w:top w:val="none" w:sz="0" w:space="0" w:color="auto"/>
            <w:left w:val="none" w:sz="0" w:space="0" w:color="auto"/>
            <w:bottom w:val="none" w:sz="0" w:space="0" w:color="auto"/>
            <w:right w:val="none" w:sz="0" w:space="0" w:color="auto"/>
          </w:divBdr>
        </w:div>
        <w:div w:id="2068216434">
          <w:marLeft w:val="720"/>
          <w:marRight w:val="0"/>
          <w:marTop w:val="0"/>
          <w:marBottom w:val="0"/>
          <w:divBdr>
            <w:top w:val="none" w:sz="0" w:space="0" w:color="auto"/>
            <w:left w:val="none" w:sz="0" w:space="0" w:color="auto"/>
            <w:bottom w:val="none" w:sz="0" w:space="0" w:color="auto"/>
            <w:right w:val="none" w:sz="0" w:space="0" w:color="auto"/>
          </w:divBdr>
        </w:div>
        <w:div w:id="1799840107">
          <w:marLeft w:val="720"/>
          <w:marRight w:val="0"/>
          <w:marTop w:val="0"/>
          <w:marBottom w:val="0"/>
          <w:divBdr>
            <w:top w:val="none" w:sz="0" w:space="0" w:color="auto"/>
            <w:left w:val="none" w:sz="0" w:space="0" w:color="auto"/>
            <w:bottom w:val="none" w:sz="0" w:space="0" w:color="auto"/>
            <w:right w:val="none" w:sz="0" w:space="0" w:color="auto"/>
          </w:divBdr>
        </w:div>
        <w:div w:id="571474276">
          <w:marLeft w:val="720"/>
          <w:marRight w:val="0"/>
          <w:marTop w:val="0"/>
          <w:marBottom w:val="0"/>
          <w:divBdr>
            <w:top w:val="none" w:sz="0" w:space="0" w:color="auto"/>
            <w:left w:val="none" w:sz="0" w:space="0" w:color="auto"/>
            <w:bottom w:val="none" w:sz="0" w:space="0" w:color="auto"/>
            <w:right w:val="none" w:sz="0" w:space="0" w:color="auto"/>
          </w:divBdr>
        </w:div>
      </w:divsChild>
    </w:div>
    <w:div w:id="1566721496">
      <w:bodyDiv w:val="1"/>
      <w:marLeft w:val="0"/>
      <w:marRight w:val="0"/>
      <w:marTop w:val="0"/>
      <w:marBottom w:val="0"/>
      <w:divBdr>
        <w:top w:val="none" w:sz="0" w:space="0" w:color="auto"/>
        <w:left w:val="none" w:sz="0" w:space="0" w:color="auto"/>
        <w:bottom w:val="none" w:sz="0" w:space="0" w:color="auto"/>
        <w:right w:val="none" w:sz="0" w:space="0" w:color="auto"/>
      </w:divBdr>
    </w:div>
    <w:div w:id="1715808211">
      <w:bodyDiv w:val="1"/>
      <w:marLeft w:val="0"/>
      <w:marRight w:val="0"/>
      <w:marTop w:val="0"/>
      <w:marBottom w:val="0"/>
      <w:divBdr>
        <w:top w:val="none" w:sz="0" w:space="0" w:color="auto"/>
        <w:left w:val="none" w:sz="0" w:space="0" w:color="auto"/>
        <w:bottom w:val="none" w:sz="0" w:space="0" w:color="auto"/>
        <w:right w:val="none" w:sz="0" w:space="0" w:color="auto"/>
      </w:divBdr>
    </w:div>
    <w:div w:id="1885557545">
      <w:bodyDiv w:val="1"/>
      <w:marLeft w:val="0"/>
      <w:marRight w:val="0"/>
      <w:marTop w:val="0"/>
      <w:marBottom w:val="0"/>
      <w:divBdr>
        <w:top w:val="none" w:sz="0" w:space="0" w:color="auto"/>
        <w:left w:val="none" w:sz="0" w:space="0" w:color="auto"/>
        <w:bottom w:val="none" w:sz="0" w:space="0" w:color="auto"/>
        <w:right w:val="none" w:sz="0" w:space="0" w:color="auto"/>
      </w:divBdr>
    </w:div>
    <w:div w:id="1915773438">
      <w:bodyDiv w:val="1"/>
      <w:marLeft w:val="0"/>
      <w:marRight w:val="0"/>
      <w:marTop w:val="0"/>
      <w:marBottom w:val="0"/>
      <w:divBdr>
        <w:top w:val="none" w:sz="0" w:space="0" w:color="auto"/>
        <w:left w:val="none" w:sz="0" w:space="0" w:color="auto"/>
        <w:bottom w:val="none" w:sz="0" w:space="0" w:color="auto"/>
        <w:right w:val="none" w:sz="0" w:space="0" w:color="auto"/>
      </w:divBdr>
    </w:div>
    <w:div w:id="2076511961">
      <w:bodyDiv w:val="1"/>
      <w:marLeft w:val="0"/>
      <w:marRight w:val="0"/>
      <w:marTop w:val="0"/>
      <w:marBottom w:val="0"/>
      <w:divBdr>
        <w:top w:val="none" w:sz="0" w:space="0" w:color="auto"/>
        <w:left w:val="none" w:sz="0" w:space="0" w:color="auto"/>
        <w:bottom w:val="none" w:sz="0" w:space="0" w:color="auto"/>
        <w:right w:val="none" w:sz="0" w:space="0" w:color="auto"/>
      </w:divBdr>
    </w:div>
    <w:div w:id="2126851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tmp"/><Relationship Id="rId27" Type="http://schemas.openxmlformats.org/officeDocument/2006/relationships/image" Target="media/image10.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natrob\Documents\NCL%20files%20(from%20passport%20drive)\PhD%20files\Analysis\ALSPAC\J%20clin%20Epigen%20submission%20files\Graphs%20of%20methylation%20change%20over%20time%2011-11-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Sheet1!$B$20</c:f>
              <c:strCache>
                <c:ptCount val="1"/>
                <c:pt idx="0">
                  <c:v>cg11531579</c:v>
                </c:pt>
              </c:strCache>
            </c:strRef>
          </c:tx>
          <c:spPr>
            <a:solidFill>
              <a:schemeClr val="accent1">
                <a:alpha val="70000"/>
              </a:schemeClr>
            </a:solidFill>
            <a:ln>
              <a:noFill/>
            </a:ln>
            <a:effectLst/>
          </c:spPr>
          <c:invertIfNegative val="0"/>
          <c:errBars>
            <c:errBarType val="both"/>
            <c:errValType val="cust"/>
            <c:noEndCap val="0"/>
            <c:plus>
              <c:numRef>
                <c:f>Sheet1!$F$20:$F$22</c:f>
                <c:numCache>
                  <c:formatCode>General</c:formatCode>
                  <c:ptCount val="3"/>
                  <c:pt idx="0">
                    <c:v>2.6538300000000001E-2</c:v>
                  </c:pt>
                  <c:pt idx="1">
                    <c:v>2.6916099999999998E-2</c:v>
                  </c:pt>
                  <c:pt idx="2">
                    <c:v>2.1696300000000002E-2</c:v>
                  </c:pt>
                </c:numCache>
              </c:numRef>
            </c:plus>
            <c:minus>
              <c:numRef>
                <c:f>Sheet1!$F$20:$F$22</c:f>
                <c:numCache>
                  <c:formatCode>General</c:formatCode>
                  <c:ptCount val="3"/>
                  <c:pt idx="0">
                    <c:v>2.6538300000000001E-2</c:v>
                  </c:pt>
                  <c:pt idx="1">
                    <c:v>2.6916099999999998E-2</c:v>
                  </c:pt>
                  <c:pt idx="2">
                    <c:v>2.1696300000000002E-2</c:v>
                  </c:pt>
                </c:numCache>
              </c:numRef>
            </c:minus>
            <c:spPr>
              <a:noFill/>
              <a:ln w="9525">
                <a:solidFill>
                  <a:schemeClr val="tx1">
                    <a:lumMod val="65000"/>
                    <a:lumOff val="35000"/>
                  </a:schemeClr>
                </a:solidFill>
                <a:round/>
              </a:ln>
              <a:effectLst/>
            </c:spPr>
          </c:errBars>
          <c:cat>
            <c:strRef>
              <c:f>Sheet1!$A$20:$A$22</c:f>
              <c:strCache>
                <c:ptCount val="3"/>
                <c:pt idx="0">
                  <c:v>All</c:v>
                </c:pt>
                <c:pt idx="1">
                  <c:v>No RWG</c:v>
                </c:pt>
                <c:pt idx="2">
                  <c:v>RWG</c:v>
                </c:pt>
              </c:strCache>
            </c:strRef>
          </c:cat>
          <c:val>
            <c:numRef>
              <c:f>Sheet1!$E$20:$E$22</c:f>
              <c:numCache>
                <c:formatCode>General</c:formatCode>
                <c:ptCount val="3"/>
                <c:pt idx="0">
                  <c:v>0.55937999999999999</c:v>
                </c:pt>
                <c:pt idx="1">
                  <c:v>1.22221</c:v>
                </c:pt>
                <c:pt idx="2">
                  <c:v>-0.60560000000000003</c:v>
                </c:pt>
              </c:numCache>
            </c:numRef>
          </c:val>
          <c:extLst>
            <c:ext xmlns:c16="http://schemas.microsoft.com/office/drawing/2014/chart" uri="{C3380CC4-5D6E-409C-BE32-E72D297353CC}">
              <c16:uniqueId val="{00000000-9C04-C94B-A2E8-4441920C8C73}"/>
            </c:ext>
          </c:extLst>
        </c:ser>
        <c:ser>
          <c:idx val="1"/>
          <c:order val="1"/>
          <c:tx>
            <c:strRef>
              <c:f>Sheet1!$B$25</c:f>
              <c:strCache>
                <c:ptCount val="1"/>
                <c:pt idx="0">
                  <c:v>cg01379158</c:v>
                </c:pt>
              </c:strCache>
            </c:strRef>
          </c:tx>
          <c:spPr>
            <a:pattFill prst="pct50">
              <a:fgClr>
                <a:schemeClr val="accent1"/>
              </a:fgClr>
              <a:bgClr>
                <a:schemeClr val="bg1"/>
              </a:bgClr>
            </a:pattFill>
            <a:ln>
              <a:noFill/>
            </a:ln>
            <a:effectLst/>
          </c:spPr>
          <c:invertIfNegative val="0"/>
          <c:errBars>
            <c:errBarType val="both"/>
            <c:errValType val="cust"/>
            <c:noEndCap val="0"/>
            <c:plus>
              <c:numRef>
                <c:f>Sheet1!$F$25:$F$27</c:f>
                <c:numCache>
                  <c:formatCode>General</c:formatCode>
                  <c:ptCount val="3"/>
                  <c:pt idx="0">
                    <c:v>2.96809E-2</c:v>
                  </c:pt>
                  <c:pt idx="1">
                    <c:v>2.77735E-2</c:v>
                  </c:pt>
                  <c:pt idx="2">
                    <c:v>3.22606E-2</c:v>
                  </c:pt>
                </c:numCache>
              </c:numRef>
            </c:plus>
            <c:minus>
              <c:numRef>
                <c:f>Sheet1!$F$25:$F$27</c:f>
                <c:numCache>
                  <c:formatCode>General</c:formatCode>
                  <c:ptCount val="3"/>
                  <c:pt idx="0">
                    <c:v>2.96809E-2</c:v>
                  </c:pt>
                  <c:pt idx="1">
                    <c:v>2.77735E-2</c:v>
                  </c:pt>
                  <c:pt idx="2">
                    <c:v>3.22606E-2</c:v>
                  </c:pt>
                </c:numCache>
              </c:numRef>
            </c:minus>
            <c:spPr>
              <a:noFill/>
              <a:ln w="9525">
                <a:solidFill>
                  <a:schemeClr val="tx1">
                    <a:lumMod val="65000"/>
                    <a:lumOff val="35000"/>
                  </a:schemeClr>
                </a:solidFill>
                <a:round/>
              </a:ln>
              <a:effectLst/>
            </c:spPr>
          </c:errBars>
          <c:val>
            <c:numRef>
              <c:f>Sheet1!$E$25:$E$27</c:f>
              <c:numCache>
                <c:formatCode>General</c:formatCode>
                <c:ptCount val="3"/>
                <c:pt idx="0">
                  <c:v>0.20836000000000002</c:v>
                </c:pt>
                <c:pt idx="1">
                  <c:v>0.56323000000000001</c:v>
                </c:pt>
                <c:pt idx="2">
                  <c:v>-0.41533999999999999</c:v>
                </c:pt>
              </c:numCache>
            </c:numRef>
          </c:val>
          <c:extLst>
            <c:ext xmlns:c16="http://schemas.microsoft.com/office/drawing/2014/chart" uri="{C3380CC4-5D6E-409C-BE32-E72D297353CC}">
              <c16:uniqueId val="{00000001-9C04-C94B-A2E8-4441920C8C73}"/>
            </c:ext>
          </c:extLst>
        </c:ser>
        <c:dLbls>
          <c:showLegendKey val="0"/>
          <c:showVal val="0"/>
          <c:showCatName val="0"/>
          <c:showSerName val="0"/>
          <c:showPercent val="0"/>
          <c:showBubbleSize val="0"/>
        </c:dLbls>
        <c:gapWidth val="90"/>
        <c:overlap val="-5"/>
        <c:axId val="578471680"/>
        <c:axId val="578472008"/>
      </c:barChart>
      <c:catAx>
        <c:axId val="57847168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cap="none" spc="20" normalizeH="0" baseline="0">
                <a:solidFill>
                  <a:schemeClr val="tx1">
                    <a:lumMod val="65000"/>
                    <a:lumOff val="35000"/>
                  </a:schemeClr>
                </a:solidFill>
                <a:latin typeface="+mn-lt"/>
                <a:ea typeface="+mn-ea"/>
                <a:cs typeface="+mn-cs"/>
              </a:defRPr>
            </a:pPr>
            <a:endParaRPr lang="en-US"/>
          </a:p>
        </c:txPr>
        <c:crossAx val="578472008"/>
        <c:crosses val="autoZero"/>
        <c:auto val="1"/>
        <c:lblAlgn val="ctr"/>
        <c:lblOffset val="100"/>
        <c:noMultiLvlLbl val="0"/>
      </c:catAx>
      <c:valAx>
        <c:axId val="578472008"/>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1200" b="0" i="0" u="none" strike="noStrike" kern="1200" cap="none" baseline="0">
                    <a:solidFill>
                      <a:schemeClr val="tx1">
                        <a:lumMod val="65000"/>
                        <a:lumOff val="35000"/>
                      </a:schemeClr>
                    </a:solidFill>
                    <a:latin typeface="+mn-lt"/>
                    <a:ea typeface="+mn-ea"/>
                    <a:cs typeface="+mn-cs"/>
                  </a:defRPr>
                </a:pPr>
                <a:r>
                  <a:rPr lang="en-GB" cap="none"/>
                  <a:t>Difference in % methylation over time </a:t>
                </a:r>
              </a:p>
              <a:p>
                <a:pPr>
                  <a:defRPr cap="none"/>
                </a:pPr>
                <a:r>
                  <a:rPr lang="en-GB" cap="none"/>
                  <a:t>(age 7 to 17)</a:t>
                </a:r>
              </a:p>
            </c:rich>
          </c:tx>
          <c:layout>
            <c:manualLayout>
              <c:xMode val="edge"/>
              <c:yMode val="edge"/>
              <c:x val="1.8225008816822055E-2"/>
              <c:y val="9.0087470916031781E-2"/>
            </c:manualLayout>
          </c:layout>
          <c:overlay val="0"/>
          <c:spPr>
            <a:noFill/>
            <a:ln>
              <a:noFill/>
            </a:ln>
            <a:effectLst/>
          </c:spPr>
          <c:txPr>
            <a:bodyPr rot="-5400000" spcFirstLastPara="1" vertOverflow="ellipsis" vert="horz" wrap="square" anchor="ctr" anchorCtr="1"/>
            <a:lstStyle/>
            <a:p>
              <a:pPr>
                <a:defRPr sz="1200" b="0" i="0" u="none" strike="noStrike" kern="1200" cap="none"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spc="20" baseline="0">
                <a:solidFill>
                  <a:schemeClr val="tx1">
                    <a:lumMod val="65000"/>
                    <a:lumOff val="35000"/>
                  </a:schemeClr>
                </a:solidFill>
                <a:latin typeface="+mn-lt"/>
                <a:ea typeface="+mn-ea"/>
                <a:cs typeface="+mn-cs"/>
              </a:defRPr>
            </a:pPr>
            <a:endParaRPr lang="en-US"/>
          </a:p>
        </c:txPr>
        <c:crossAx val="57847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sz="1200"/>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D959B2D8FA5C4980890EF71530081A" ma:contentTypeVersion="8" ma:contentTypeDescription="Create a new document." ma:contentTypeScope="" ma:versionID="719167b953509a06d1887d2b0877613c">
  <xsd:schema xmlns:xsd="http://www.w3.org/2001/XMLSchema" xmlns:xs="http://www.w3.org/2001/XMLSchema" xmlns:p="http://schemas.microsoft.com/office/2006/metadata/properties" xmlns:ns3="1ff86b73-d2ed-45d1-9e31-5b4a0d263f49" xmlns:ns4="917767b3-d7cc-4621-8ad9-27e46fe3c43e" targetNamespace="http://schemas.microsoft.com/office/2006/metadata/properties" ma:root="true" ma:fieldsID="697e4d3479f50e97f80866cb1cc546d4" ns3:_="" ns4:_="">
    <xsd:import namespace="1ff86b73-d2ed-45d1-9e31-5b4a0d263f49"/>
    <xsd:import namespace="917767b3-d7cc-4621-8ad9-27e46fe3c43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f86b73-d2ed-45d1-9e31-5b4a0d263f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7767b3-d7cc-4621-8ad9-27e46fe3c4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AB4BF-F162-4CCA-B41B-9D2565F8EE5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EF16C1E-2CAD-4536-B15E-9915A39DA55E}">
  <ds:schemaRefs>
    <ds:schemaRef ds:uri="http://schemas.microsoft.com/sharepoint/v3/contenttype/forms"/>
  </ds:schemaRefs>
</ds:datastoreItem>
</file>

<file path=customXml/itemProps3.xml><?xml version="1.0" encoding="utf-8"?>
<ds:datastoreItem xmlns:ds="http://schemas.openxmlformats.org/officeDocument/2006/customXml" ds:itemID="{B02D1209-AFAC-4325-9EFB-FAC463118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f86b73-d2ed-45d1-9e31-5b4a0d263f49"/>
    <ds:schemaRef ds:uri="917767b3-d7cc-4621-8ad9-27e46fe3c4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B15E72-6DDF-4CF2-BDB4-54F39D471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Pages>
  <Words>8923</Words>
  <Characters>50866</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Newcastle University</Company>
  <LinksUpToDate>false</LinksUpToDate>
  <CharactersWithSpaces>59670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Natassia Robinson (PGR)</dc:creator>
  <cp:keywords/>
  <dc:description/>
  <cp:lastModifiedBy>Karen Drake</cp:lastModifiedBy>
  <cp:revision>2</cp:revision>
  <cp:lastPrinted>2020-04-14T12:37:00Z</cp:lastPrinted>
  <dcterms:created xsi:type="dcterms:W3CDTF">2020-10-23T08:57:00Z</dcterms:created>
  <dcterms:modified xsi:type="dcterms:W3CDTF">2020-10-23T08:57:00Z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0x010100D9D959B2D8FA5C4980890EF71530081A</vt:lpwstr>
  </property>
</Properties>
</file>