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14A" w:rsidRPr="004C10F5" w:rsidRDefault="006A514A" w:rsidP="00B3605F">
      <w:pPr>
        <w:spacing w:after="0" w:line="240" w:lineRule="auto"/>
        <w:rPr>
          <w:b/>
          <w:u w:val="single"/>
        </w:rPr>
      </w:pPr>
      <w:r w:rsidRPr="004C10F5">
        <w:rPr>
          <w:b/>
          <w:u w:val="single"/>
        </w:rPr>
        <w:t>Background</w:t>
      </w:r>
    </w:p>
    <w:p w:rsidR="00AF4214" w:rsidRPr="004C10F5" w:rsidRDefault="00AF4214" w:rsidP="00B3605F">
      <w:pPr>
        <w:spacing w:after="0" w:line="240" w:lineRule="auto"/>
      </w:pPr>
    </w:p>
    <w:p w:rsidR="00B718E4" w:rsidRPr="004C10F5" w:rsidRDefault="00AF4214" w:rsidP="00B3605F">
      <w:pPr>
        <w:spacing w:after="0" w:line="240" w:lineRule="auto"/>
        <w:rPr>
          <w:b/>
          <w:i/>
          <w:u w:val="single"/>
        </w:rPr>
      </w:pPr>
      <w:r w:rsidRPr="004C10F5">
        <w:rPr>
          <w:b/>
          <w:i/>
          <w:u w:val="single"/>
        </w:rPr>
        <w:t>What is clinical reasoning and why is it important for paramedic students to learn this</w:t>
      </w:r>
      <w:r w:rsidR="00130CDA" w:rsidRPr="004C10F5">
        <w:rPr>
          <w:b/>
          <w:i/>
          <w:u w:val="single"/>
        </w:rPr>
        <w:t>?</w:t>
      </w:r>
    </w:p>
    <w:p w:rsidR="000E25A3" w:rsidRPr="004C10F5" w:rsidRDefault="000E25A3" w:rsidP="00B3605F">
      <w:pPr>
        <w:spacing w:after="0" w:line="240" w:lineRule="auto"/>
        <w:rPr>
          <w:b/>
          <w:i/>
        </w:rPr>
      </w:pPr>
    </w:p>
    <w:p w:rsidR="00E00E54" w:rsidRPr="007F4A4A" w:rsidRDefault="00E00E54" w:rsidP="00E00E54">
      <w:pPr>
        <w:pStyle w:val="CommentText"/>
        <w:spacing w:after="0"/>
        <w:rPr>
          <w:sz w:val="22"/>
          <w:szCs w:val="22"/>
        </w:rPr>
      </w:pPr>
      <w:r w:rsidRPr="007F4A4A">
        <w:rPr>
          <w:sz w:val="22"/>
          <w:szCs w:val="22"/>
        </w:rPr>
        <w:t xml:space="preserve">Clinical reasoning is a situated, practice-based form of reasoning requiring background scientific </w:t>
      </w:r>
      <w:proofErr w:type="gramStart"/>
      <w:r w:rsidRPr="007F4A4A">
        <w:rPr>
          <w:sz w:val="22"/>
          <w:szCs w:val="22"/>
        </w:rPr>
        <w:t>knowledge, and</w:t>
      </w:r>
      <w:proofErr w:type="gramEnd"/>
      <w:r w:rsidR="006343F8" w:rsidRPr="007F4A4A">
        <w:rPr>
          <w:sz w:val="22"/>
          <w:szCs w:val="22"/>
        </w:rPr>
        <w:t xml:space="preserve"> applying this t</w:t>
      </w:r>
      <w:r w:rsidRPr="007F4A4A">
        <w:rPr>
          <w:sz w:val="22"/>
          <w:szCs w:val="22"/>
        </w:rPr>
        <w:t xml:space="preserve">o a particular patient </w:t>
      </w:r>
      <w:r w:rsidR="002513E1" w:rsidRPr="007F4A4A">
        <w:rPr>
          <w:sz w:val="22"/>
          <w:szCs w:val="22"/>
        </w:rPr>
        <w:t>using</w:t>
      </w:r>
      <w:r w:rsidRPr="007F4A4A">
        <w:rPr>
          <w:sz w:val="22"/>
          <w:szCs w:val="22"/>
        </w:rPr>
        <w:t xml:space="preserve"> the pres</w:t>
      </w:r>
      <w:r w:rsidR="0048792E" w:rsidRPr="007F4A4A">
        <w:rPr>
          <w:sz w:val="22"/>
          <w:szCs w:val="22"/>
        </w:rPr>
        <w:t xml:space="preserve">ented </w:t>
      </w:r>
      <w:r w:rsidR="002513E1" w:rsidRPr="007F4A4A">
        <w:rPr>
          <w:sz w:val="22"/>
          <w:szCs w:val="22"/>
        </w:rPr>
        <w:t xml:space="preserve">clinical </w:t>
      </w:r>
      <w:r w:rsidR="0048792E" w:rsidRPr="007F4A4A">
        <w:rPr>
          <w:sz w:val="22"/>
          <w:szCs w:val="22"/>
        </w:rPr>
        <w:t xml:space="preserve">evidence (Benner, Hughes and </w:t>
      </w:r>
      <w:proofErr w:type="spellStart"/>
      <w:r w:rsidRPr="007F4A4A">
        <w:rPr>
          <w:sz w:val="22"/>
          <w:szCs w:val="22"/>
        </w:rPr>
        <w:t>Sutphen</w:t>
      </w:r>
      <w:proofErr w:type="spellEnd"/>
      <w:r w:rsidRPr="007F4A4A">
        <w:rPr>
          <w:sz w:val="22"/>
          <w:szCs w:val="22"/>
        </w:rPr>
        <w:t>, 2008).  Clinical reasoning is an essential component of professional practice and enables health care professionals to analyse the information relevant to patient care</w:t>
      </w:r>
      <w:r w:rsidR="00CD451F" w:rsidRPr="007F4A4A">
        <w:rPr>
          <w:sz w:val="22"/>
          <w:szCs w:val="22"/>
        </w:rPr>
        <w:t>.  M</w:t>
      </w:r>
      <w:r w:rsidRPr="007F4A4A">
        <w:rPr>
          <w:sz w:val="22"/>
          <w:szCs w:val="22"/>
        </w:rPr>
        <w:t xml:space="preserve">odern healthcare </w:t>
      </w:r>
      <w:r w:rsidR="00CD451F" w:rsidRPr="007F4A4A">
        <w:rPr>
          <w:sz w:val="22"/>
          <w:szCs w:val="22"/>
        </w:rPr>
        <w:t>involves complex decision-making processes</w:t>
      </w:r>
      <w:r w:rsidRPr="007F4A4A">
        <w:rPr>
          <w:sz w:val="22"/>
          <w:szCs w:val="22"/>
        </w:rPr>
        <w:t>, often under conditions of uncertainty (Simmons et al, 2003)</w:t>
      </w:r>
      <w:r w:rsidR="00CD451F" w:rsidRPr="007F4A4A">
        <w:rPr>
          <w:sz w:val="22"/>
          <w:szCs w:val="22"/>
        </w:rPr>
        <w:t>, necessitating strong clinical reasoning skills in practitioners</w:t>
      </w:r>
      <w:r w:rsidRPr="007F4A4A">
        <w:rPr>
          <w:sz w:val="22"/>
          <w:szCs w:val="22"/>
        </w:rPr>
        <w:t xml:space="preserve">.  </w:t>
      </w:r>
    </w:p>
    <w:p w:rsidR="006D139E" w:rsidRPr="007F4A4A" w:rsidRDefault="006D139E" w:rsidP="00E00E54">
      <w:pPr>
        <w:pStyle w:val="CommentText"/>
        <w:spacing w:after="0"/>
        <w:rPr>
          <w:sz w:val="22"/>
          <w:szCs w:val="22"/>
        </w:rPr>
      </w:pPr>
    </w:p>
    <w:p w:rsidR="00B718E4" w:rsidRPr="007F4A4A" w:rsidRDefault="00B718E4" w:rsidP="00B3605F">
      <w:pPr>
        <w:pStyle w:val="CommentText"/>
        <w:spacing w:after="0"/>
        <w:rPr>
          <w:sz w:val="22"/>
          <w:szCs w:val="22"/>
        </w:rPr>
      </w:pPr>
      <w:r w:rsidRPr="007F4A4A">
        <w:rPr>
          <w:sz w:val="22"/>
          <w:szCs w:val="22"/>
        </w:rPr>
        <w:t xml:space="preserve">Patient safety is paramount to a healthcare provider (Berwick, 2013); however </w:t>
      </w:r>
      <w:r w:rsidR="00346673" w:rsidRPr="007F4A4A">
        <w:rPr>
          <w:sz w:val="22"/>
          <w:szCs w:val="22"/>
        </w:rPr>
        <w:t>preventable patient harm affects nearly one in 20 patients within health care services in the UK (</w:t>
      </w:r>
      <w:proofErr w:type="spellStart"/>
      <w:r w:rsidR="00346673" w:rsidRPr="007F4A4A">
        <w:rPr>
          <w:sz w:val="22"/>
          <w:szCs w:val="22"/>
        </w:rPr>
        <w:t>Panagioti</w:t>
      </w:r>
      <w:proofErr w:type="spellEnd"/>
      <w:r w:rsidR="00346673" w:rsidRPr="007F4A4A">
        <w:rPr>
          <w:sz w:val="22"/>
          <w:szCs w:val="22"/>
        </w:rPr>
        <w:t xml:space="preserve"> et a, 2017</w:t>
      </w:r>
      <w:r w:rsidR="00B55DCE" w:rsidRPr="007F4A4A">
        <w:rPr>
          <w:sz w:val="22"/>
          <w:szCs w:val="22"/>
        </w:rPr>
        <w:t>.</w:t>
      </w:r>
      <w:r w:rsidRPr="007F4A4A">
        <w:rPr>
          <w:sz w:val="22"/>
          <w:szCs w:val="22"/>
        </w:rPr>
        <w:t xml:space="preserve">  In the 2017/18 financial year the NHS paid out more than £1.63bn in damages to clinical negligence claimants</w:t>
      </w:r>
      <w:r w:rsidR="000E25A3" w:rsidRPr="007F4A4A">
        <w:rPr>
          <w:sz w:val="22"/>
          <w:szCs w:val="22"/>
        </w:rPr>
        <w:t xml:space="preserve"> (NHS Resolution, 2018)</w:t>
      </w:r>
      <w:r w:rsidRPr="007F4A4A">
        <w:rPr>
          <w:sz w:val="22"/>
          <w:szCs w:val="22"/>
        </w:rPr>
        <w:t>.</w:t>
      </w:r>
      <w:r w:rsidR="00E00E54" w:rsidRPr="007F4A4A">
        <w:rPr>
          <w:sz w:val="22"/>
          <w:szCs w:val="22"/>
        </w:rPr>
        <w:t xml:space="preserve">  Improving clinical reasoning may strengthen professional practice by increasing the accuracy of decisions and therefore improv</w:t>
      </w:r>
      <w:r w:rsidR="00A605C9" w:rsidRPr="007F4A4A">
        <w:rPr>
          <w:sz w:val="22"/>
          <w:szCs w:val="22"/>
        </w:rPr>
        <w:t>e</w:t>
      </w:r>
      <w:r w:rsidR="00E00E54" w:rsidRPr="007F4A4A">
        <w:rPr>
          <w:sz w:val="22"/>
          <w:szCs w:val="22"/>
        </w:rPr>
        <w:t xml:space="preserve"> patient outcomes (Simmons et al, 2003).</w:t>
      </w:r>
    </w:p>
    <w:p w:rsidR="00B3605F" w:rsidRPr="007F4A4A" w:rsidRDefault="00B3605F" w:rsidP="00B3605F">
      <w:pPr>
        <w:pStyle w:val="CommentText"/>
        <w:spacing w:after="0"/>
        <w:rPr>
          <w:sz w:val="22"/>
          <w:szCs w:val="22"/>
        </w:rPr>
      </w:pPr>
    </w:p>
    <w:p w:rsidR="000E25A3" w:rsidRPr="007F4A4A" w:rsidRDefault="000E25A3" w:rsidP="00B3605F">
      <w:pPr>
        <w:pStyle w:val="CommentText"/>
        <w:spacing w:after="0"/>
        <w:rPr>
          <w:sz w:val="22"/>
          <w:szCs w:val="22"/>
        </w:rPr>
      </w:pPr>
      <w:r w:rsidRPr="007F4A4A">
        <w:rPr>
          <w:sz w:val="22"/>
          <w:szCs w:val="22"/>
        </w:rPr>
        <w:t xml:space="preserve">Clinical reasoning is a difficult skill for students to develop due </w:t>
      </w:r>
      <w:r w:rsidR="00E00E54" w:rsidRPr="007F4A4A">
        <w:rPr>
          <w:sz w:val="22"/>
          <w:szCs w:val="22"/>
        </w:rPr>
        <w:t xml:space="preserve">in part </w:t>
      </w:r>
      <w:r w:rsidRPr="007F4A4A">
        <w:rPr>
          <w:sz w:val="22"/>
          <w:szCs w:val="22"/>
        </w:rPr>
        <w:t xml:space="preserve">to </w:t>
      </w:r>
      <w:r w:rsidR="00C87B34" w:rsidRPr="007F4A4A">
        <w:rPr>
          <w:sz w:val="22"/>
          <w:szCs w:val="22"/>
        </w:rPr>
        <w:t xml:space="preserve">the </w:t>
      </w:r>
      <w:r w:rsidRPr="007F4A4A">
        <w:rPr>
          <w:sz w:val="22"/>
          <w:szCs w:val="22"/>
        </w:rPr>
        <w:t xml:space="preserve">inability to guarantee awareness or opportunity to develop within </w:t>
      </w:r>
      <w:r w:rsidR="00C87B34" w:rsidRPr="007F4A4A">
        <w:rPr>
          <w:sz w:val="22"/>
          <w:szCs w:val="22"/>
        </w:rPr>
        <w:t xml:space="preserve">time spent in </w:t>
      </w:r>
      <w:r w:rsidRPr="007F4A4A">
        <w:rPr>
          <w:sz w:val="22"/>
          <w:szCs w:val="22"/>
        </w:rPr>
        <w:t>practice. Whilst professional developments within the past few years have established a supportive preceptorship programme within NHS Trusts for new paramedic registrants</w:t>
      </w:r>
      <w:r w:rsidR="00C05EBD" w:rsidRPr="007F4A4A">
        <w:rPr>
          <w:sz w:val="22"/>
          <w:szCs w:val="22"/>
        </w:rPr>
        <w:t xml:space="preserve"> (The NHS Staff Council, 2016)</w:t>
      </w:r>
      <w:r w:rsidRPr="007F4A4A">
        <w:rPr>
          <w:sz w:val="22"/>
          <w:szCs w:val="22"/>
        </w:rPr>
        <w:t xml:space="preserve">, enhancing activities to develop these crucial skills within a pre-registrant programme </w:t>
      </w:r>
      <w:r w:rsidR="0018301D" w:rsidRPr="007F4A4A">
        <w:rPr>
          <w:sz w:val="22"/>
          <w:szCs w:val="22"/>
        </w:rPr>
        <w:t>should be prioritised in order to</w:t>
      </w:r>
      <w:r w:rsidRPr="007F4A4A">
        <w:rPr>
          <w:sz w:val="22"/>
          <w:szCs w:val="22"/>
        </w:rPr>
        <w:t xml:space="preserve"> enhance </w:t>
      </w:r>
      <w:r w:rsidR="0018301D" w:rsidRPr="007F4A4A">
        <w:rPr>
          <w:sz w:val="22"/>
          <w:szCs w:val="22"/>
        </w:rPr>
        <w:t xml:space="preserve">the abilities of </w:t>
      </w:r>
      <w:r w:rsidRPr="007F4A4A">
        <w:rPr>
          <w:sz w:val="22"/>
          <w:szCs w:val="22"/>
        </w:rPr>
        <w:t>students and su</w:t>
      </w:r>
      <w:r w:rsidR="00E00E54" w:rsidRPr="007F4A4A">
        <w:rPr>
          <w:sz w:val="22"/>
          <w:szCs w:val="22"/>
        </w:rPr>
        <w:t>bsequently our new registrants</w:t>
      </w:r>
      <w:r w:rsidR="00880CA1" w:rsidRPr="007F4A4A">
        <w:rPr>
          <w:sz w:val="22"/>
          <w:szCs w:val="22"/>
        </w:rPr>
        <w:t xml:space="preserve"> </w:t>
      </w:r>
      <w:r w:rsidR="002A20A0" w:rsidRPr="007F4A4A">
        <w:rPr>
          <w:sz w:val="22"/>
          <w:szCs w:val="22"/>
        </w:rPr>
        <w:t>(</w:t>
      </w:r>
      <w:r w:rsidR="002A20A0" w:rsidRPr="007F4A4A">
        <w:rPr>
          <w:rFonts w:cs="Arial"/>
          <w:sz w:val="22"/>
          <w:szCs w:val="22"/>
        </w:rPr>
        <w:t>Quality Assurance Agency for Higher Education, 2016</w:t>
      </w:r>
      <w:r w:rsidR="002513E1" w:rsidRPr="007F4A4A">
        <w:rPr>
          <w:rFonts w:cs="Arial"/>
          <w:sz w:val="22"/>
          <w:szCs w:val="22"/>
        </w:rPr>
        <w:t>;</w:t>
      </w:r>
      <w:r w:rsidR="002A20A0" w:rsidRPr="007F4A4A">
        <w:rPr>
          <w:rFonts w:cs="Arial"/>
          <w:sz w:val="22"/>
          <w:szCs w:val="22"/>
        </w:rPr>
        <w:t xml:space="preserve"> </w:t>
      </w:r>
      <w:r w:rsidR="002A20A0" w:rsidRPr="007F4A4A">
        <w:rPr>
          <w:sz w:val="22"/>
          <w:szCs w:val="22"/>
        </w:rPr>
        <w:t>Health and Care Professions Council, 2017)</w:t>
      </w:r>
      <w:r w:rsidR="00125E9B" w:rsidRPr="007F4A4A">
        <w:rPr>
          <w:sz w:val="22"/>
          <w:szCs w:val="22"/>
        </w:rPr>
        <w:t>.</w:t>
      </w:r>
      <w:r w:rsidR="00E00E54" w:rsidRPr="007F4A4A">
        <w:rPr>
          <w:sz w:val="22"/>
          <w:szCs w:val="22"/>
        </w:rPr>
        <w:t xml:space="preserve">  A better understanding of the reasoning processes used during clinical reasoning may help health care professionals with less experience develop their </w:t>
      </w:r>
      <w:r w:rsidR="002513E1" w:rsidRPr="007F4A4A">
        <w:rPr>
          <w:sz w:val="22"/>
          <w:szCs w:val="22"/>
        </w:rPr>
        <w:t xml:space="preserve">processes in their own </w:t>
      </w:r>
      <w:r w:rsidR="00E00E54" w:rsidRPr="007F4A4A">
        <w:rPr>
          <w:sz w:val="22"/>
          <w:szCs w:val="22"/>
        </w:rPr>
        <w:t>clinical reasoning (Simmons et al, 2003).</w:t>
      </w:r>
    </w:p>
    <w:p w:rsidR="000E25A3" w:rsidRPr="007F4A4A" w:rsidRDefault="000E25A3" w:rsidP="00B3605F">
      <w:pPr>
        <w:pStyle w:val="CommentText"/>
        <w:spacing w:after="0"/>
        <w:rPr>
          <w:sz w:val="22"/>
          <w:szCs w:val="22"/>
        </w:rPr>
      </w:pPr>
    </w:p>
    <w:p w:rsidR="000E25A3" w:rsidRPr="007F4A4A" w:rsidRDefault="00C87B34" w:rsidP="006F512B">
      <w:pPr>
        <w:spacing w:after="0" w:line="240" w:lineRule="auto"/>
        <w:jc w:val="both"/>
        <w:rPr>
          <w:rFonts w:cs="Arial"/>
        </w:rPr>
      </w:pPr>
      <w:r w:rsidRPr="007F4A4A">
        <w:rPr>
          <w:rFonts w:cs="Arial"/>
        </w:rPr>
        <w:t>The Higher E</w:t>
      </w:r>
      <w:r w:rsidR="000E25A3" w:rsidRPr="007F4A4A">
        <w:rPr>
          <w:rFonts w:cs="Arial"/>
        </w:rPr>
        <w:t xml:space="preserve">ducation environment </w:t>
      </w:r>
      <w:r w:rsidRPr="007F4A4A">
        <w:rPr>
          <w:rFonts w:cs="Arial"/>
        </w:rPr>
        <w:t xml:space="preserve">for health science students </w:t>
      </w:r>
      <w:r w:rsidR="000E25A3" w:rsidRPr="007F4A4A">
        <w:rPr>
          <w:rFonts w:cs="Arial"/>
        </w:rPr>
        <w:t>is in a period of significan</w:t>
      </w:r>
      <w:r w:rsidRPr="007F4A4A">
        <w:rPr>
          <w:rFonts w:cs="Arial"/>
        </w:rPr>
        <w:t>t transformation</w:t>
      </w:r>
      <w:r w:rsidR="000E25A3" w:rsidRPr="007F4A4A">
        <w:rPr>
          <w:rFonts w:cs="Arial"/>
        </w:rPr>
        <w:t xml:space="preserve">, with changes such as the removal of the bursary, the introduction and first awarding of the Teaching Excellence </w:t>
      </w:r>
      <w:r w:rsidRPr="007F4A4A">
        <w:rPr>
          <w:rFonts w:cs="Arial"/>
        </w:rPr>
        <w:t xml:space="preserve">and Student Outcomes </w:t>
      </w:r>
      <w:r w:rsidR="000E25A3" w:rsidRPr="007F4A4A">
        <w:rPr>
          <w:rFonts w:cs="Arial"/>
        </w:rPr>
        <w:t>Framework (TEF), the newly established Office for Students (</w:t>
      </w:r>
      <w:proofErr w:type="spellStart"/>
      <w:r w:rsidR="000E25A3" w:rsidRPr="007F4A4A">
        <w:rPr>
          <w:rFonts w:cs="Arial"/>
        </w:rPr>
        <w:t>OfS</w:t>
      </w:r>
      <w:proofErr w:type="spellEnd"/>
      <w:r w:rsidR="000E25A3" w:rsidRPr="007F4A4A">
        <w:rPr>
          <w:rFonts w:cs="Arial"/>
        </w:rPr>
        <w:t xml:space="preserve">) as well as the increasing effects of Brexit (Council of Deans, 2018). The provision of a </w:t>
      </w:r>
      <w:proofErr w:type="gramStart"/>
      <w:r w:rsidR="000E25A3" w:rsidRPr="007F4A4A">
        <w:rPr>
          <w:rFonts w:cs="Arial"/>
        </w:rPr>
        <w:t>high quality</w:t>
      </w:r>
      <w:proofErr w:type="gramEnd"/>
      <w:r w:rsidR="000E25A3" w:rsidRPr="007F4A4A">
        <w:rPr>
          <w:rFonts w:cs="Arial"/>
        </w:rPr>
        <w:t xml:space="preserve"> academic experience for students with significance placed upon student outcomes and learning gain remains central in the changing environment (</w:t>
      </w:r>
      <w:proofErr w:type="spellStart"/>
      <w:r w:rsidR="000E25A3" w:rsidRPr="007F4A4A">
        <w:rPr>
          <w:rFonts w:cs="Arial"/>
        </w:rPr>
        <w:t>OfS</w:t>
      </w:r>
      <w:proofErr w:type="spellEnd"/>
      <w:r w:rsidR="000E25A3" w:rsidRPr="007F4A4A">
        <w:rPr>
          <w:rFonts w:cs="Arial"/>
        </w:rPr>
        <w:t>, 2018). The University</w:t>
      </w:r>
      <w:r w:rsidRPr="007F4A4A">
        <w:rPr>
          <w:rFonts w:cs="Arial"/>
        </w:rPr>
        <w:t xml:space="preserve"> of Surrey</w:t>
      </w:r>
      <w:r w:rsidR="000E25A3" w:rsidRPr="007F4A4A">
        <w:rPr>
          <w:rFonts w:cs="Arial"/>
        </w:rPr>
        <w:t xml:space="preserve"> </w:t>
      </w:r>
      <w:r w:rsidRPr="007F4A4A">
        <w:rPr>
          <w:rFonts w:cs="Arial"/>
        </w:rPr>
        <w:t xml:space="preserve">was awarded Gold in 2017, </w:t>
      </w:r>
      <w:proofErr w:type="gramStart"/>
      <w:r w:rsidRPr="007F4A4A">
        <w:rPr>
          <w:rFonts w:cs="Arial"/>
        </w:rPr>
        <w:t>in particular for</w:t>
      </w:r>
      <w:proofErr w:type="gramEnd"/>
      <w:r w:rsidRPr="007F4A4A">
        <w:rPr>
          <w:rFonts w:cs="Arial"/>
        </w:rPr>
        <w:t xml:space="preserve"> the innovative provisions and digital resources that enhance learning and encourage a high degree of commitment (</w:t>
      </w:r>
      <w:proofErr w:type="spellStart"/>
      <w:r w:rsidR="006E7262" w:rsidRPr="007F4A4A">
        <w:t>Bhardwa</w:t>
      </w:r>
      <w:proofErr w:type="spellEnd"/>
      <w:r w:rsidR="006E7262" w:rsidRPr="007F4A4A">
        <w:t>, 2019</w:t>
      </w:r>
      <w:r w:rsidRPr="007F4A4A">
        <w:rPr>
          <w:rFonts w:cs="Arial"/>
        </w:rPr>
        <w:t xml:space="preserve">).  </w:t>
      </w:r>
      <w:r w:rsidR="000E25A3" w:rsidRPr="007F4A4A">
        <w:rPr>
          <w:rFonts w:cs="Arial"/>
        </w:rPr>
        <w:t xml:space="preserve">Future iterations of the TEF are to become programme specific and therefore there is a need to evidence the student experience.  </w:t>
      </w:r>
    </w:p>
    <w:p w:rsidR="00AF4214" w:rsidRPr="007F4A4A" w:rsidRDefault="00AF4214" w:rsidP="00B3605F">
      <w:pPr>
        <w:spacing w:after="0" w:line="240" w:lineRule="auto"/>
      </w:pPr>
    </w:p>
    <w:p w:rsidR="00AF4214" w:rsidRPr="007F4A4A" w:rsidRDefault="00AF4214" w:rsidP="00B3605F">
      <w:pPr>
        <w:spacing w:after="0" w:line="240" w:lineRule="auto"/>
        <w:rPr>
          <w:b/>
          <w:i/>
          <w:u w:val="single"/>
        </w:rPr>
      </w:pPr>
      <w:r w:rsidRPr="007F4A4A">
        <w:rPr>
          <w:b/>
          <w:i/>
          <w:u w:val="single"/>
        </w:rPr>
        <w:t>How can we improve the teaching of clinical reasoning?</w:t>
      </w:r>
    </w:p>
    <w:p w:rsidR="00130CDA" w:rsidRPr="007F4A4A" w:rsidRDefault="00130CDA" w:rsidP="00B3605F">
      <w:pPr>
        <w:spacing w:after="0" w:line="240" w:lineRule="auto"/>
      </w:pPr>
    </w:p>
    <w:p w:rsidR="00130CDA" w:rsidRPr="007F4A4A" w:rsidRDefault="00130CDA" w:rsidP="00B3605F">
      <w:pPr>
        <w:pStyle w:val="CommentText"/>
        <w:spacing w:after="0"/>
        <w:rPr>
          <w:sz w:val="22"/>
          <w:szCs w:val="22"/>
        </w:rPr>
      </w:pPr>
      <w:r w:rsidRPr="007F4A4A">
        <w:rPr>
          <w:sz w:val="22"/>
          <w:szCs w:val="22"/>
        </w:rPr>
        <w:t>Upon</w:t>
      </w:r>
      <w:r w:rsidR="0049043F" w:rsidRPr="007F4A4A">
        <w:rPr>
          <w:sz w:val="22"/>
          <w:szCs w:val="22"/>
        </w:rPr>
        <w:t xml:space="preserve"> successful</w:t>
      </w:r>
      <w:r w:rsidRPr="007F4A4A">
        <w:rPr>
          <w:sz w:val="22"/>
          <w:szCs w:val="22"/>
        </w:rPr>
        <w:t xml:space="preserve"> completion of </w:t>
      </w:r>
      <w:r w:rsidR="0049043F" w:rsidRPr="007F4A4A">
        <w:rPr>
          <w:sz w:val="22"/>
          <w:szCs w:val="22"/>
        </w:rPr>
        <w:t xml:space="preserve">their degree, </w:t>
      </w:r>
      <w:r w:rsidRPr="007F4A4A">
        <w:rPr>
          <w:sz w:val="22"/>
          <w:szCs w:val="22"/>
        </w:rPr>
        <w:t>students will register and become remote and autonomous practitioners</w:t>
      </w:r>
      <w:r w:rsidR="0049043F" w:rsidRPr="007F4A4A">
        <w:rPr>
          <w:sz w:val="22"/>
          <w:szCs w:val="22"/>
        </w:rPr>
        <w:t>:</w:t>
      </w:r>
      <w:r w:rsidRPr="007F4A4A">
        <w:rPr>
          <w:sz w:val="22"/>
          <w:szCs w:val="22"/>
        </w:rPr>
        <w:t xml:space="preserve"> whilst emphasis within the </w:t>
      </w:r>
      <w:r w:rsidR="0049043F" w:rsidRPr="007F4A4A">
        <w:rPr>
          <w:sz w:val="22"/>
          <w:szCs w:val="22"/>
        </w:rPr>
        <w:t xml:space="preserve">current </w:t>
      </w:r>
      <w:r w:rsidRPr="007F4A4A">
        <w:rPr>
          <w:sz w:val="22"/>
          <w:szCs w:val="22"/>
        </w:rPr>
        <w:t xml:space="preserve">curriculum highlights the necessity of awareness of </w:t>
      </w:r>
      <w:proofErr w:type="gramStart"/>
      <w:r w:rsidRPr="007F4A4A">
        <w:rPr>
          <w:sz w:val="22"/>
          <w:szCs w:val="22"/>
        </w:rPr>
        <w:t>decision making</w:t>
      </w:r>
      <w:proofErr w:type="gramEnd"/>
      <w:r w:rsidRPr="007F4A4A">
        <w:rPr>
          <w:sz w:val="22"/>
          <w:szCs w:val="22"/>
        </w:rPr>
        <w:t xml:space="preserve"> processes, applying these in a non-practice and</w:t>
      </w:r>
      <w:r w:rsidR="0049043F" w:rsidRPr="007F4A4A">
        <w:rPr>
          <w:sz w:val="22"/>
          <w:szCs w:val="22"/>
        </w:rPr>
        <w:t xml:space="preserve"> safe environment is difficult and problematic.  Clinical reasoning is </w:t>
      </w:r>
      <w:r w:rsidR="003E0CF8" w:rsidRPr="007F4A4A">
        <w:rPr>
          <w:sz w:val="22"/>
          <w:szCs w:val="22"/>
        </w:rPr>
        <w:t xml:space="preserve">complex </w:t>
      </w:r>
      <w:r w:rsidR="0049043F" w:rsidRPr="007F4A4A">
        <w:rPr>
          <w:sz w:val="22"/>
          <w:szCs w:val="22"/>
        </w:rPr>
        <w:t>for teachers to train</w:t>
      </w:r>
      <w:r w:rsidR="00A544EB" w:rsidRPr="007F4A4A">
        <w:rPr>
          <w:sz w:val="22"/>
          <w:szCs w:val="22"/>
        </w:rPr>
        <w:t xml:space="preserve"> (Linn et al, 2012)</w:t>
      </w:r>
      <w:r w:rsidR="0049043F" w:rsidRPr="007F4A4A">
        <w:rPr>
          <w:sz w:val="22"/>
          <w:szCs w:val="22"/>
        </w:rPr>
        <w:t>, with theory often being difficult to apply explicably within practice, due to unpredictable expos</w:t>
      </w:r>
      <w:r w:rsidR="00A605C9" w:rsidRPr="007F4A4A">
        <w:rPr>
          <w:sz w:val="22"/>
          <w:szCs w:val="22"/>
        </w:rPr>
        <w:t>ur</w:t>
      </w:r>
      <w:r w:rsidR="0049043F" w:rsidRPr="007F4A4A">
        <w:rPr>
          <w:sz w:val="22"/>
          <w:szCs w:val="22"/>
        </w:rPr>
        <w:t xml:space="preserve">e and practicalities, combined with a lack of time to reflect upon these opportunities.  </w:t>
      </w:r>
      <w:r w:rsidRPr="007F4A4A">
        <w:rPr>
          <w:sz w:val="22"/>
          <w:szCs w:val="22"/>
        </w:rPr>
        <w:t xml:space="preserve">Whilst </w:t>
      </w:r>
      <w:r w:rsidR="0049043F" w:rsidRPr="007F4A4A">
        <w:rPr>
          <w:sz w:val="22"/>
          <w:szCs w:val="22"/>
        </w:rPr>
        <w:t xml:space="preserve">recent </w:t>
      </w:r>
      <w:r w:rsidRPr="007F4A4A">
        <w:rPr>
          <w:sz w:val="22"/>
          <w:szCs w:val="22"/>
        </w:rPr>
        <w:t>professional devel</w:t>
      </w:r>
      <w:r w:rsidR="0049043F" w:rsidRPr="007F4A4A">
        <w:rPr>
          <w:sz w:val="22"/>
          <w:szCs w:val="22"/>
        </w:rPr>
        <w:t>opments</w:t>
      </w:r>
      <w:r w:rsidRPr="007F4A4A">
        <w:rPr>
          <w:sz w:val="22"/>
          <w:szCs w:val="22"/>
        </w:rPr>
        <w:t xml:space="preserve"> have established a supportive preceptorship programme for new paramedic registrants</w:t>
      </w:r>
      <w:r w:rsidR="0049043F" w:rsidRPr="007F4A4A">
        <w:rPr>
          <w:sz w:val="22"/>
          <w:szCs w:val="22"/>
        </w:rPr>
        <w:t>,</w:t>
      </w:r>
      <w:r w:rsidRPr="007F4A4A">
        <w:rPr>
          <w:sz w:val="22"/>
          <w:szCs w:val="22"/>
        </w:rPr>
        <w:t xml:space="preserve"> developing these crucial skills within a pre-registrant programme </w:t>
      </w:r>
      <w:r w:rsidR="0049043F" w:rsidRPr="007F4A4A">
        <w:rPr>
          <w:sz w:val="22"/>
          <w:szCs w:val="22"/>
        </w:rPr>
        <w:t>will hopefully</w:t>
      </w:r>
      <w:r w:rsidRPr="007F4A4A">
        <w:rPr>
          <w:sz w:val="22"/>
          <w:szCs w:val="22"/>
        </w:rPr>
        <w:t xml:space="preserve"> enhance the a</w:t>
      </w:r>
      <w:r w:rsidR="0049043F" w:rsidRPr="007F4A4A">
        <w:rPr>
          <w:sz w:val="22"/>
          <w:szCs w:val="22"/>
        </w:rPr>
        <w:t>bilities of current</w:t>
      </w:r>
      <w:r w:rsidRPr="007F4A4A">
        <w:rPr>
          <w:sz w:val="22"/>
          <w:szCs w:val="22"/>
        </w:rPr>
        <w:t xml:space="preserve"> students.</w:t>
      </w:r>
    </w:p>
    <w:p w:rsidR="0049043F" w:rsidRPr="007F4A4A" w:rsidRDefault="0049043F" w:rsidP="00B3605F">
      <w:pPr>
        <w:pStyle w:val="CommentText"/>
        <w:spacing w:after="0"/>
        <w:rPr>
          <w:sz w:val="22"/>
          <w:szCs w:val="22"/>
        </w:rPr>
      </w:pPr>
    </w:p>
    <w:p w:rsidR="00E475A2" w:rsidRPr="007F4A4A" w:rsidRDefault="006D139E" w:rsidP="006F512B">
      <w:pPr>
        <w:pStyle w:val="CommentText"/>
        <w:spacing w:after="0"/>
        <w:rPr>
          <w:sz w:val="22"/>
          <w:szCs w:val="22"/>
        </w:rPr>
      </w:pPr>
      <w:r w:rsidRPr="007F4A4A">
        <w:rPr>
          <w:sz w:val="22"/>
          <w:szCs w:val="22"/>
        </w:rPr>
        <w:lastRenderedPageBreak/>
        <w:t xml:space="preserve">‘Think aloud’ is a technique of collecting verbal data about an individual’s cognitive processes during a specific task (Simmons et al, 2003).  </w:t>
      </w:r>
      <w:r w:rsidR="0049043F" w:rsidRPr="007F4A4A">
        <w:rPr>
          <w:sz w:val="22"/>
          <w:szCs w:val="22"/>
        </w:rPr>
        <w:t>Following a ‘Think-aloud Loud’ case study presented by Veterinary School colleagues</w:t>
      </w:r>
      <w:r w:rsidR="00144AE5" w:rsidRPr="007F4A4A">
        <w:rPr>
          <w:sz w:val="22"/>
          <w:szCs w:val="22"/>
        </w:rPr>
        <w:t xml:space="preserve"> (Trace and </w:t>
      </w:r>
      <w:proofErr w:type="spellStart"/>
      <w:r w:rsidR="00144AE5" w:rsidRPr="007F4A4A">
        <w:rPr>
          <w:sz w:val="22"/>
          <w:szCs w:val="22"/>
        </w:rPr>
        <w:t>Tisdall</w:t>
      </w:r>
      <w:proofErr w:type="spellEnd"/>
      <w:r w:rsidR="00144AE5" w:rsidRPr="007F4A4A">
        <w:rPr>
          <w:sz w:val="22"/>
          <w:szCs w:val="22"/>
        </w:rPr>
        <w:t>, 2018)</w:t>
      </w:r>
      <w:r w:rsidR="0049043F" w:rsidRPr="007F4A4A">
        <w:rPr>
          <w:sz w:val="22"/>
          <w:szCs w:val="22"/>
        </w:rPr>
        <w:t xml:space="preserve">, this was adapted to enhance and develop the skills required by health science students.  </w:t>
      </w:r>
      <w:r w:rsidR="00130CDA" w:rsidRPr="007F4A4A">
        <w:rPr>
          <w:rFonts w:cs="Arial"/>
          <w:sz w:val="22"/>
          <w:szCs w:val="22"/>
        </w:rPr>
        <w:t>Within t</w:t>
      </w:r>
      <w:r w:rsidR="00130CDA" w:rsidRPr="007F4A4A">
        <w:rPr>
          <w:sz w:val="22"/>
          <w:szCs w:val="22"/>
        </w:rPr>
        <w:t xml:space="preserve">he classroom </w:t>
      </w:r>
      <w:r w:rsidR="0049043F" w:rsidRPr="007F4A4A">
        <w:rPr>
          <w:sz w:val="22"/>
          <w:szCs w:val="22"/>
        </w:rPr>
        <w:t>this provided the</w:t>
      </w:r>
      <w:r w:rsidR="00130CDA" w:rsidRPr="007F4A4A">
        <w:rPr>
          <w:sz w:val="22"/>
          <w:szCs w:val="22"/>
        </w:rPr>
        <w:t xml:space="preserve"> opportunity for the students to explore gaps in knowledge, developing a socially constructed understanding of concepts and thinking more deeply about those concepts (Bergman and </w:t>
      </w:r>
      <w:proofErr w:type="spellStart"/>
      <w:r w:rsidR="00130CDA" w:rsidRPr="007F4A4A">
        <w:rPr>
          <w:sz w:val="22"/>
          <w:szCs w:val="22"/>
        </w:rPr>
        <w:t>Sams</w:t>
      </w:r>
      <w:proofErr w:type="spellEnd"/>
      <w:r w:rsidR="00130CDA" w:rsidRPr="007F4A4A">
        <w:rPr>
          <w:sz w:val="22"/>
          <w:szCs w:val="22"/>
        </w:rPr>
        <w:t>, 2012) in a learner centred model.</w:t>
      </w:r>
      <w:r w:rsidR="00C05EBD" w:rsidRPr="007F4A4A">
        <w:rPr>
          <w:sz w:val="22"/>
          <w:szCs w:val="22"/>
        </w:rPr>
        <w:t xml:space="preserve"> ‘Think Aloud’ has been utilised in other practise areas and disciplines but has not been applied to UK </w:t>
      </w:r>
      <w:r w:rsidR="00125E9B" w:rsidRPr="007F4A4A">
        <w:rPr>
          <w:sz w:val="22"/>
          <w:szCs w:val="22"/>
        </w:rPr>
        <w:t>p</w:t>
      </w:r>
      <w:r w:rsidR="00C05EBD" w:rsidRPr="007F4A4A">
        <w:rPr>
          <w:sz w:val="22"/>
          <w:szCs w:val="22"/>
        </w:rPr>
        <w:t>aramedic education previously</w:t>
      </w:r>
      <w:r w:rsidR="00125E9B" w:rsidRPr="007F4A4A">
        <w:rPr>
          <w:sz w:val="22"/>
          <w:szCs w:val="22"/>
        </w:rPr>
        <w:t xml:space="preserve">. </w:t>
      </w:r>
      <w:r w:rsidR="00C05EBD" w:rsidRPr="007F4A4A">
        <w:rPr>
          <w:sz w:val="22"/>
          <w:szCs w:val="22"/>
        </w:rPr>
        <w:t xml:space="preserve"> Studies have</w:t>
      </w:r>
      <w:r w:rsidR="00125E9B" w:rsidRPr="007F4A4A">
        <w:rPr>
          <w:sz w:val="22"/>
          <w:szCs w:val="22"/>
        </w:rPr>
        <w:t>,</w:t>
      </w:r>
      <w:r w:rsidR="00C05EBD" w:rsidRPr="007F4A4A">
        <w:rPr>
          <w:sz w:val="22"/>
          <w:szCs w:val="22"/>
        </w:rPr>
        <w:t xml:space="preserve"> however</w:t>
      </w:r>
      <w:r w:rsidR="00125E9B" w:rsidRPr="007F4A4A">
        <w:rPr>
          <w:sz w:val="22"/>
          <w:szCs w:val="22"/>
        </w:rPr>
        <w:t>,</w:t>
      </w:r>
      <w:r w:rsidR="00C05EBD" w:rsidRPr="007F4A4A">
        <w:rPr>
          <w:sz w:val="22"/>
          <w:szCs w:val="22"/>
        </w:rPr>
        <w:t xml:space="preserve"> applied this within a UK higher education model with positive evaluation (Trace and </w:t>
      </w:r>
      <w:proofErr w:type="spellStart"/>
      <w:r w:rsidR="00C05EBD" w:rsidRPr="007F4A4A">
        <w:rPr>
          <w:sz w:val="22"/>
          <w:szCs w:val="22"/>
        </w:rPr>
        <w:t>Tisdall</w:t>
      </w:r>
      <w:proofErr w:type="spellEnd"/>
      <w:r w:rsidR="00C05EBD" w:rsidRPr="007F4A4A">
        <w:rPr>
          <w:sz w:val="22"/>
          <w:szCs w:val="22"/>
        </w:rPr>
        <w:t xml:space="preserve">, 2018). </w:t>
      </w:r>
    </w:p>
    <w:p w:rsidR="00E475A2" w:rsidRPr="007F4A4A" w:rsidRDefault="00E475A2" w:rsidP="00B3605F">
      <w:pPr>
        <w:spacing w:after="0" w:line="240" w:lineRule="auto"/>
        <w:rPr>
          <w:b/>
          <w:u w:val="single"/>
        </w:rPr>
      </w:pPr>
    </w:p>
    <w:p w:rsidR="0049043F" w:rsidRPr="007F4A4A" w:rsidRDefault="002A20A0" w:rsidP="00B3605F">
      <w:pPr>
        <w:spacing w:after="0" w:line="240" w:lineRule="auto"/>
        <w:rPr>
          <w:b/>
          <w:u w:val="single"/>
        </w:rPr>
      </w:pPr>
      <w:r w:rsidRPr="007F4A4A">
        <w:rPr>
          <w:b/>
          <w:u w:val="single"/>
        </w:rPr>
        <w:t>Aim</w:t>
      </w:r>
    </w:p>
    <w:p w:rsidR="0049043F" w:rsidRPr="007F4A4A" w:rsidRDefault="0049043F" w:rsidP="00B3605F">
      <w:pPr>
        <w:spacing w:after="0" w:line="240" w:lineRule="auto"/>
      </w:pPr>
    </w:p>
    <w:p w:rsidR="00FB3330" w:rsidRPr="007F4A4A" w:rsidRDefault="003E7362" w:rsidP="00B3605F">
      <w:pPr>
        <w:spacing w:after="0" w:line="240" w:lineRule="auto"/>
      </w:pPr>
      <w:r w:rsidRPr="007F4A4A">
        <w:t>This study aimed to evaluate a</w:t>
      </w:r>
      <w:r w:rsidR="00B20E8A" w:rsidRPr="007F4A4A">
        <w:t xml:space="preserve"> </w:t>
      </w:r>
      <w:r w:rsidRPr="007F4A4A">
        <w:t>teaching tool</w:t>
      </w:r>
      <w:r w:rsidR="00B20E8A" w:rsidRPr="007F4A4A">
        <w:t>, established in other disciplines,</w:t>
      </w:r>
      <w:r w:rsidRPr="007F4A4A">
        <w:t xml:space="preserve"> for developing students’ clinical reasoning skills, addressing three objectives: to seek the opinions and experiences of students undertaking this learning activity and their level of enjoyment; a qualitative evaluation to ascertain student belief of validity and awareness of the skills it wishes to develop; and to ascertain the feasibility of this as an ongoing method for enhancing the teaching of clinical reasoning skills</w:t>
      </w:r>
      <w:r w:rsidR="00A605C9" w:rsidRPr="007F4A4A">
        <w:t>.  It also explored</w:t>
      </w:r>
      <w:r w:rsidRPr="007F4A4A">
        <w:t xml:space="preserve"> the potential for embedding similar exercises throughout the programme, assisting students in applying theoretical components of the course to clinical situations.</w:t>
      </w:r>
    </w:p>
    <w:p w:rsidR="00AF4214" w:rsidRPr="007F4A4A" w:rsidRDefault="00AF4214" w:rsidP="00B3605F">
      <w:pPr>
        <w:spacing w:after="0" w:line="240" w:lineRule="auto"/>
      </w:pPr>
    </w:p>
    <w:p w:rsidR="00AF4214" w:rsidRPr="007F4A4A" w:rsidRDefault="002A20A0" w:rsidP="00B3605F">
      <w:pPr>
        <w:spacing w:after="0" w:line="240" w:lineRule="auto"/>
        <w:rPr>
          <w:b/>
          <w:u w:val="single"/>
        </w:rPr>
      </w:pPr>
      <w:r w:rsidRPr="007F4A4A">
        <w:rPr>
          <w:b/>
          <w:u w:val="single"/>
        </w:rPr>
        <w:t>Exercise Methodology and Evaluation</w:t>
      </w:r>
    </w:p>
    <w:p w:rsidR="00227819" w:rsidRPr="007F4A4A" w:rsidRDefault="00227819" w:rsidP="00B3605F">
      <w:pPr>
        <w:spacing w:after="0" w:line="240" w:lineRule="auto"/>
      </w:pPr>
    </w:p>
    <w:p w:rsidR="001D6055" w:rsidRPr="007F4A4A" w:rsidRDefault="005E335C" w:rsidP="00B3605F">
      <w:pPr>
        <w:spacing w:after="0" w:line="240" w:lineRule="auto"/>
      </w:pPr>
      <w:r w:rsidRPr="007F4A4A">
        <w:t>The learning activity was undertaken with 39 third year Paramedic Science students within the induction week for their compulsory</w:t>
      </w:r>
      <w:r w:rsidR="00A544EB" w:rsidRPr="007F4A4A">
        <w:t xml:space="preserve"> and final</w:t>
      </w:r>
      <w:r w:rsidRPr="007F4A4A">
        <w:t xml:space="preserve"> third year practice module.  Details of the exercise were briefed at the start of the session, including its aims and objectives.    For this study, participants spoke their thought processes out loud while working through a clinical case.  A written case study allows researchers to present essential elements of the case in the order they choose (most likely to reflect best practice) and therefore closely simulate an actual patient with information revealed in segments (Fonteyn et al, 1993).  Recordings of these cases can then be listened back to, allowing students to reflect upon their approach to clinical reasoning.  </w:t>
      </w:r>
      <w:r w:rsidR="003A48C5" w:rsidRPr="00B04869">
        <w:t>Participation i</w:t>
      </w:r>
      <w:r w:rsidR="00026AAB" w:rsidRPr="00B04869">
        <w:t>n the ‘think aloud loud’ exercise was non-voluntary as a learning exercise to be undertaken.</w:t>
      </w:r>
      <w:r w:rsidR="00227819" w:rsidRPr="00B04869">
        <w:t xml:space="preserve"> Upon completion of the activity students were given the opportunity to </w:t>
      </w:r>
      <w:r w:rsidR="00026AAB" w:rsidRPr="00B04869">
        <w:t xml:space="preserve">voluntarily </w:t>
      </w:r>
      <w:r w:rsidR="00227819" w:rsidRPr="00B04869">
        <w:t xml:space="preserve">participate in an online </w:t>
      </w:r>
      <w:r w:rsidR="006D139E" w:rsidRPr="00B04869">
        <w:t xml:space="preserve">semi-structured </w:t>
      </w:r>
      <w:r w:rsidR="00227819" w:rsidRPr="00B04869">
        <w:t xml:space="preserve">questionnaire evaluating the exercise.  </w:t>
      </w:r>
      <w:r w:rsidR="00026AAB" w:rsidRPr="00B04869">
        <w:t xml:space="preserve">There was no requirement to complete the questionnaire and students were free to leave at the end of the teaching session. </w:t>
      </w:r>
      <w:r w:rsidR="00F77C62" w:rsidRPr="00B04869">
        <w:t>3</w:t>
      </w:r>
      <w:r w:rsidR="003E0CF8" w:rsidRPr="00B04869">
        <w:t>2</w:t>
      </w:r>
      <w:r w:rsidR="00F77C62" w:rsidRPr="00B04869">
        <w:t xml:space="preserve"> of 39 students </w:t>
      </w:r>
      <w:r w:rsidR="009B0FBC" w:rsidRPr="00B04869">
        <w:t xml:space="preserve">consented to </w:t>
      </w:r>
      <w:r w:rsidR="00F77C62" w:rsidRPr="00B04869">
        <w:t xml:space="preserve">participate. </w:t>
      </w:r>
      <w:r w:rsidR="00026AAB" w:rsidRPr="00B04869">
        <w:t xml:space="preserve"> Completion of the evaluation was taken as provision of informed consent.  Students were able to contact the lead researcher post completion if they wished to withdraw their consent</w:t>
      </w:r>
      <w:r w:rsidR="00B20E8A" w:rsidRPr="00B04869">
        <w:t xml:space="preserve"> (none did)</w:t>
      </w:r>
      <w:r w:rsidR="00026AAB" w:rsidRPr="00B04869">
        <w:t xml:space="preserve">.  The questionnaire responses, including free text answers, were </w:t>
      </w:r>
      <w:r w:rsidR="007F4A4A" w:rsidRPr="00B04869">
        <w:t xml:space="preserve">subsequently </w:t>
      </w:r>
      <w:r w:rsidR="00026AAB" w:rsidRPr="00B04869">
        <w:t xml:space="preserve">collated and analysed to allow for an evaluation of the </w:t>
      </w:r>
      <w:r w:rsidR="007F4A4A" w:rsidRPr="00B04869">
        <w:t>teaching tool and application to clinical decision making</w:t>
      </w:r>
      <w:r w:rsidR="00C05EBD" w:rsidRPr="00B04869">
        <w:t>, assessing both consideration of self-awareness pre</w:t>
      </w:r>
      <w:r w:rsidR="00125E9B" w:rsidRPr="00B04869">
        <w:t>-</w:t>
      </w:r>
      <w:r w:rsidR="00C05EBD" w:rsidRPr="00B04869">
        <w:t>and post</w:t>
      </w:r>
      <w:r w:rsidR="00125E9B" w:rsidRPr="00B04869">
        <w:t>-</w:t>
      </w:r>
      <w:r w:rsidR="00C05EBD" w:rsidRPr="00B04869">
        <w:t>exercise a</w:t>
      </w:r>
      <w:r w:rsidR="00125E9B" w:rsidRPr="00B04869">
        <w:t>s well as</w:t>
      </w:r>
      <w:r w:rsidR="00C05EBD" w:rsidRPr="00B04869">
        <w:t xml:space="preserve"> student evaluation of activity relati</w:t>
      </w:r>
      <w:r w:rsidR="00125E9B" w:rsidRPr="00B04869">
        <w:t>ve</w:t>
      </w:r>
      <w:r w:rsidR="00C05EBD" w:rsidRPr="00B04869">
        <w:t xml:space="preserve"> to clinical decision making</w:t>
      </w:r>
    </w:p>
    <w:p w:rsidR="005E335C" w:rsidRPr="007F4A4A" w:rsidRDefault="005E335C" w:rsidP="00B3605F">
      <w:pPr>
        <w:spacing w:after="0" w:line="240" w:lineRule="auto"/>
      </w:pPr>
    </w:p>
    <w:p w:rsidR="005E335C" w:rsidRPr="007F4A4A" w:rsidRDefault="005E335C" w:rsidP="00B3605F">
      <w:pPr>
        <w:spacing w:after="0" w:line="240" w:lineRule="auto"/>
      </w:pPr>
      <w:r w:rsidRPr="007F4A4A">
        <w:t xml:space="preserve">The research was approved by the University’s Ethics Committee </w:t>
      </w:r>
      <w:r w:rsidR="0008467B" w:rsidRPr="007F4A4A">
        <w:t>(University of Surrey, 2018)</w:t>
      </w:r>
      <w:r w:rsidRPr="007F4A4A">
        <w:t>.</w:t>
      </w:r>
    </w:p>
    <w:p w:rsidR="00FB3330" w:rsidRPr="007F4A4A" w:rsidRDefault="00FB3330" w:rsidP="00B3605F">
      <w:pPr>
        <w:spacing w:after="0" w:line="240" w:lineRule="auto"/>
      </w:pPr>
    </w:p>
    <w:p w:rsidR="00665769" w:rsidRPr="007F4A4A" w:rsidRDefault="002A20A0" w:rsidP="00B3605F">
      <w:pPr>
        <w:spacing w:after="0" w:line="240" w:lineRule="auto"/>
        <w:rPr>
          <w:b/>
          <w:u w:val="single"/>
        </w:rPr>
      </w:pPr>
      <w:r w:rsidRPr="007F4A4A">
        <w:rPr>
          <w:b/>
          <w:u w:val="single"/>
        </w:rPr>
        <w:t>Results</w:t>
      </w:r>
    </w:p>
    <w:p w:rsidR="00DC5B87" w:rsidRPr="007F4A4A" w:rsidRDefault="00DC5B87" w:rsidP="00B3605F">
      <w:pPr>
        <w:spacing w:after="0" w:line="240" w:lineRule="auto"/>
      </w:pPr>
    </w:p>
    <w:p w:rsidR="004C10F5" w:rsidRPr="007F4A4A" w:rsidRDefault="00301A13" w:rsidP="00B3605F">
      <w:pPr>
        <w:spacing w:after="0" w:line="240" w:lineRule="auto"/>
      </w:pPr>
      <w:r w:rsidRPr="007F4A4A">
        <w:t xml:space="preserve">The post-session questionnaire was </w:t>
      </w:r>
      <w:r w:rsidR="00055CB7" w:rsidRPr="007F4A4A">
        <w:t>answered</w:t>
      </w:r>
      <w:r w:rsidRPr="007F4A4A">
        <w:t xml:space="preserve"> by 3</w:t>
      </w:r>
      <w:r w:rsidR="003E0CF8" w:rsidRPr="007F4A4A">
        <w:t>2</w:t>
      </w:r>
      <w:r w:rsidRPr="007F4A4A">
        <w:t xml:space="preserve"> of the 39 stude</w:t>
      </w:r>
      <w:r w:rsidR="00055CB7" w:rsidRPr="007F4A4A">
        <w:t>nt paramedics, although not all individuals answered every question.</w:t>
      </w:r>
      <w:r w:rsidR="00A10FDC" w:rsidRPr="007F4A4A">
        <w:t xml:space="preserve">  The analysis focused on whether or not the students had enjoyed the activity and how easy it had been to navigate; </w:t>
      </w:r>
      <w:r w:rsidR="0087592A" w:rsidRPr="007F4A4A">
        <w:t xml:space="preserve">the systematic approach required; </w:t>
      </w:r>
      <w:r w:rsidR="00A10FDC" w:rsidRPr="007F4A4A">
        <w:t>the potential benefits of talking aloud; influences on decision making; how the activity could be implemented; and what, if anything, could be improved upon.</w:t>
      </w:r>
      <w:r w:rsidR="00425ACE" w:rsidRPr="007F4A4A">
        <w:t xml:space="preserve">  Verbatim quotations are provided with their unique participant identifier.</w:t>
      </w:r>
    </w:p>
    <w:p w:rsidR="004C10F5" w:rsidRPr="007F4A4A" w:rsidRDefault="004C10F5" w:rsidP="00B3605F">
      <w:pPr>
        <w:spacing w:after="0" w:line="240" w:lineRule="auto"/>
      </w:pPr>
    </w:p>
    <w:p w:rsidR="00301A13" w:rsidRPr="007F4A4A" w:rsidRDefault="00301A13" w:rsidP="00B3605F">
      <w:pPr>
        <w:spacing w:after="0" w:line="240" w:lineRule="auto"/>
      </w:pPr>
      <w:r w:rsidRPr="007F4A4A">
        <w:t>Table 1: Participant demographics</w:t>
      </w:r>
    </w:p>
    <w:p w:rsidR="00301A13" w:rsidRPr="007F4A4A" w:rsidRDefault="00301A13" w:rsidP="00B3605F">
      <w:pPr>
        <w:spacing w:after="0" w:line="240" w:lineRule="auto"/>
      </w:pPr>
    </w:p>
    <w:tbl>
      <w:tblPr>
        <w:tblStyle w:val="TableGrid"/>
        <w:tblW w:w="0" w:type="auto"/>
        <w:jc w:val="center"/>
        <w:tblLook w:val="04A0" w:firstRow="1" w:lastRow="0" w:firstColumn="1" w:lastColumn="0" w:noHBand="0" w:noVBand="1"/>
      </w:tblPr>
      <w:tblGrid>
        <w:gridCol w:w="1271"/>
        <w:gridCol w:w="1134"/>
        <w:gridCol w:w="851"/>
      </w:tblGrid>
      <w:tr w:rsidR="00301A13" w:rsidRPr="007F4A4A" w:rsidTr="00F77C62">
        <w:trPr>
          <w:jc w:val="center"/>
        </w:trPr>
        <w:tc>
          <w:tcPr>
            <w:tcW w:w="1271" w:type="dxa"/>
          </w:tcPr>
          <w:p w:rsidR="00301A13" w:rsidRPr="007F4A4A" w:rsidRDefault="00055CB7" w:rsidP="00B3605F">
            <w:r w:rsidRPr="007F4A4A">
              <w:t>Age range (years)</w:t>
            </w:r>
          </w:p>
        </w:tc>
        <w:tc>
          <w:tcPr>
            <w:tcW w:w="1134" w:type="dxa"/>
          </w:tcPr>
          <w:p w:rsidR="00301A13" w:rsidRPr="007F4A4A" w:rsidRDefault="00055CB7" w:rsidP="00B3605F">
            <w:r w:rsidRPr="007F4A4A">
              <w:t>Female</w:t>
            </w:r>
          </w:p>
        </w:tc>
        <w:tc>
          <w:tcPr>
            <w:tcW w:w="851" w:type="dxa"/>
          </w:tcPr>
          <w:p w:rsidR="00301A13" w:rsidRPr="007F4A4A" w:rsidRDefault="00055CB7" w:rsidP="00B3605F">
            <w:r w:rsidRPr="007F4A4A">
              <w:t>Male</w:t>
            </w:r>
          </w:p>
        </w:tc>
      </w:tr>
      <w:tr w:rsidR="00301A13" w:rsidRPr="007F4A4A" w:rsidTr="00F77C62">
        <w:trPr>
          <w:jc w:val="center"/>
        </w:trPr>
        <w:tc>
          <w:tcPr>
            <w:tcW w:w="1271" w:type="dxa"/>
          </w:tcPr>
          <w:p w:rsidR="00301A13" w:rsidRPr="007F4A4A" w:rsidRDefault="00055CB7" w:rsidP="00B3605F">
            <w:r w:rsidRPr="007F4A4A">
              <w:t>18-24</w:t>
            </w:r>
          </w:p>
        </w:tc>
        <w:tc>
          <w:tcPr>
            <w:tcW w:w="1134" w:type="dxa"/>
          </w:tcPr>
          <w:p w:rsidR="00301A13" w:rsidRPr="007F4A4A" w:rsidRDefault="00F77C62" w:rsidP="00B3605F">
            <w:r w:rsidRPr="007F4A4A">
              <w:t>15</w:t>
            </w:r>
          </w:p>
        </w:tc>
        <w:tc>
          <w:tcPr>
            <w:tcW w:w="851" w:type="dxa"/>
          </w:tcPr>
          <w:p w:rsidR="00301A13" w:rsidRPr="007F4A4A" w:rsidRDefault="00F77C62" w:rsidP="00B3605F">
            <w:r w:rsidRPr="007F4A4A">
              <w:t>6</w:t>
            </w:r>
          </w:p>
        </w:tc>
      </w:tr>
      <w:tr w:rsidR="00301A13" w:rsidRPr="007F4A4A" w:rsidTr="00F77C62">
        <w:trPr>
          <w:jc w:val="center"/>
        </w:trPr>
        <w:tc>
          <w:tcPr>
            <w:tcW w:w="1271" w:type="dxa"/>
          </w:tcPr>
          <w:p w:rsidR="00301A13" w:rsidRPr="007F4A4A" w:rsidRDefault="00055CB7" w:rsidP="00B3605F">
            <w:r w:rsidRPr="007F4A4A">
              <w:t>25-34</w:t>
            </w:r>
          </w:p>
        </w:tc>
        <w:tc>
          <w:tcPr>
            <w:tcW w:w="1134" w:type="dxa"/>
          </w:tcPr>
          <w:p w:rsidR="00301A13" w:rsidRPr="007F4A4A" w:rsidRDefault="00F77C62" w:rsidP="00B3605F">
            <w:r w:rsidRPr="007F4A4A">
              <w:t>7</w:t>
            </w:r>
          </w:p>
        </w:tc>
        <w:tc>
          <w:tcPr>
            <w:tcW w:w="851" w:type="dxa"/>
          </w:tcPr>
          <w:p w:rsidR="00301A13" w:rsidRPr="007F4A4A" w:rsidRDefault="00F77C62" w:rsidP="00B3605F">
            <w:r w:rsidRPr="007F4A4A">
              <w:t>3</w:t>
            </w:r>
          </w:p>
        </w:tc>
      </w:tr>
      <w:tr w:rsidR="00301A13" w:rsidRPr="007F4A4A" w:rsidTr="00F77C62">
        <w:trPr>
          <w:jc w:val="center"/>
        </w:trPr>
        <w:tc>
          <w:tcPr>
            <w:tcW w:w="1271" w:type="dxa"/>
          </w:tcPr>
          <w:p w:rsidR="00301A13" w:rsidRPr="007F4A4A" w:rsidRDefault="00055CB7" w:rsidP="00B3605F">
            <w:r w:rsidRPr="007F4A4A">
              <w:t>35-44</w:t>
            </w:r>
          </w:p>
        </w:tc>
        <w:tc>
          <w:tcPr>
            <w:tcW w:w="1134" w:type="dxa"/>
          </w:tcPr>
          <w:p w:rsidR="00301A13" w:rsidRPr="007F4A4A" w:rsidRDefault="00F77C62" w:rsidP="00B3605F">
            <w:r w:rsidRPr="007F4A4A">
              <w:t>0</w:t>
            </w:r>
          </w:p>
        </w:tc>
        <w:tc>
          <w:tcPr>
            <w:tcW w:w="851" w:type="dxa"/>
          </w:tcPr>
          <w:p w:rsidR="00301A13" w:rsidRPr="007F4A4A" w:rsidRDefault="00F77C62" w:rsidP="00B3605F">
            <w:r w:rsidRPr="007F4A4A">
              <w:t>0</w:t>
            </w:r>
          </w:p>
        </w:tc>
      </w:tr>
      <w:tr w:rsidR="00301A13" w:rsidRPr="007F4A4A" w:rsidTr="00F77C62">
        <w:trPr>
          <w:jc w:val="center"/>
        </w:trPr>
        <w:tc>
          <w:tcPr>
            <w:tcW w:w="1271" w:type="dxa"/>
          </w:tcPr>
          <w:p w:rsidR="00301A13" w:rsidRPr="007F4A4A" w:rsidRDefault="00055CB7" w:rsidP="00B3605F">
            <w:r w:rsidRPr="007F4A4A">
              <w:t>45-54</w:t>
            </w:r>
          </w:p>
        </w:tc>
        <w:tc>
          <w:tcPr>
            <w:tcW w:w="1134" w:type="dxa"/>
          </w:tcPr>
          <w:p w:rsidR="00301A13" w:rsidRPr="007F4A4A" w:rsidRDefault="0008467B" w:rsidP="00B3605F">
            <w:r w:rsidRPr="007F4A4A">
              <w:t>1</w:t>
            </w:r>
          </w:p>
        </w:tc>
        <w:tc>
          <w:tcPr>
            <w:tcW w:w="851" w:type="dxa"/>
          </w:tcPr>
          <w:p w:rsidR="00301A13" w:rsidRPr="007F4A4A" w:rsidRDefault="00F77C62" w:rsidP="00B3605F">
            <w:r w:rsidRPr="007F4A4A">
              <w:t>0</w:t>
            </w:r>
          </w:p>
        </w:tc>
      </w:tr>
      <w:tr w:rsidR="00F77C62" w:rsidRPr="007F4A4A" w:rsidTr="00F77C62">
        <w:trPr>
          <w:jc w:val="center"/>
        </w:trPr>
        <w:tc>
          <w:tcPr>
            <w:tcW w:w="1271" w:type="dxa"/>
          </w:tcPr>
          <w:p w:rsidR="00F77C62" w:rsidRPr="007F4A4A" w:rsidRDefault="00F77C62" w:rsidP="00B3605F">
            <w:r w:rsidRPr="007F4A4A">
              <w:t>Total</w:t>
            </w:r>
          </w:p>
        </w:tc>
        <w:tc>
          <w:tcPr>
            <w:tcW w:w="1134" w:type="dxa"/>
          </w:tcPr>
          <w:p w:rsidR="00F77C62" w:rsidRPr="007F4A4A" w:rsidRDefault="00F77C62" w:rsidP="00B3605F">
            <w:r w:rsidRPr="007F4A4A">
              <w:t>23</w:t>
            </w:r>
          </w:p>
        </w:tc>
        <w:tc>
          <w:tcPr>
            <w:tcW w:w="851" w:type="dxa"/>
          </w:tcPr>
          <w:p w:rsidR="00F77C62" w:rsidRPr="007F4A4A" w:rsidRDefault="00F77C62" w:rsidP="00B3605F">
            <w:r w:rsidRPr="007F4A4A">
              <w:t>9</w:t>
            </w:r>
          </w:p>
        </w:tc>
      </w:tr>
    </w:tbl>
    <w:p w:rsidR="00425ACE" w:rsidRPr="007F4A4A" w:rsidRDefault="00425ACE" w:rsidP="00B3605F">
      <w:pPr>
        <w:spacing w:after="0" w:line="240" w:lineRule="auto"/>
      </w:pPr>
    </w:p>
    <w:p w:rsidR="00425ACE" w:rsidRPr="007F4A4A" w:rsidRDefault="00425ACE" w:rsidP="00B3605F">
      <w:pPr>
        <w:spacing w:after="0" w:line="240" w:lineRule="auto"/>
      </w:pPr>
    </w:p>
    <w:p w:rsidR="00301A13" w:rsidRPr="007F4A4A" w:rsidRDefault="00A10FDC" w:rsidP="00B3605F">
      <w:pPr>
        <w:spacing w:after="0" w:line="240" w:lineRule="auto"/>
      </w:pPr>
      <w:r w:rsidRPr="007F4A4A">
        <w:t xml:space="preserve">When asked about their enjoyment of the exercise, only two students had not enjoyed it, with both commenting that they did not feel comfortable speaking out loud to themselves with other people in the room.  Of those who did enjoy it, the task </w:t>
      </w:r>
      <w:proofErr w:type="gramStart"/>
      <w:r w:rsidRPr="007F4A4A">
        <w:t>was seen as</w:t>
      </w:r>
      <w:proofErr w:type="gramEnd"/>
      <w:r w:rsidRPr="007F4A4A">
        <w:t xml:space="preserve"> a novel teaching approach:</w:t>
      </w:r>
    </w:p>
    <w:p w:rsidR="00A10FDC" w:rsidRPr="007F4A4A" w:rsidRDefault="00A10FDC" w:rsidP="00B3605F">
      <w:pPr>
        <w:spacing w:after="0" w:line="240" w:lineRule="auto"/>
      </w:pPr>
    </w:p>
    <w:p w:rsidR="00A10FDC" w:rsidRPr="007F4A4A" w:rsidRDefault="00A10FDC" w:rsidP="00B3605F">
      <w:pPr>
        <w:spacing w:after="0" w:line="240" w:lineRule="auto"/>
      </w:pPr>
      <w:r w:rsidRPr="007F4A4A">
        <w:tab/>
        <w:t>‘[It was a] fun, useful way to challenge clinical decision making and knowledge’ (P31).</w:t>
      </w:r>
    </w:p>
    <w:p w:rsidR="00425ACE" w:rsidRPr="007F4A4A" w:rsidRDefault="00425ACE" w:rsidP="00B3605F">
      <w:pPr>
        <w:spacing w:after="0" w:line="240" w:lineRule="auto"/>
      </w:pPr>
    </w:p>
    <w:p w:rsidR="00425ACE" w:rsidRPr="007F4A4A" w:rsidRDefault="00425ACE" w:rsidP="00B3605F">
      <w:pPr>
        <w:spacing w:after="0" w:line="240" w:lineRule="auto"/>
      </w:pPr>
      <w:r w:rsidRPr="007F4A4A">
        <w:t xml:space="preserve">In particular, the logical and systematic approach required was found to be useful, especially </w:t>
      </w:r>
      <w:r w:rsidR="003C774C" w:rsidRPr="007F4A4A">
        <w:t xml:space="preserve">when students were </w:t>
      </w:r>
      <w:r w:rsidRPr="007F4A4A">
        <w:t xml:space="preserve">only able to see certain information (such as </w:t>
      </w:r>
      <w:r w:rsidR="00F77C62" w:rsidRPr="007F4A4A">
        <w:t>medical history, observations, clinical assessment of systems and clinical predictive scores</w:t>
      </w:r>
      <w:r w:rsidRPr="007F4A4A">
        <w:t>) at a time.</w:t>
      </w:r>
    </w:p>
    <w:p w:rsidR="00425ACE" w:rsidRPr="007F4A4A" w:rsidRDefault="00425ACE" w:rsidP="00B3605F">
      <w:pPr>
        <w:spacing w:after="0" w:line="240" w:lineRule="auto"/>
      </w:pPr>
    </w:p>
    <w:p w:rsidR="00425ACE" w:rsidRPr="007F4A4A" w:rsidRDefault="00425ACE" w:rsidP="00B3605F">
      <w:pPr>
        <w:spacing w:after="0" w:line="240" w:lineRule="auto"/>
      </w:pPr>
      <w:r w:rsidRPr="007F4A4A">
        <w:tab/>
        <w:t>‘It allowed me to apply a very systematic approach and explore all angles of assessment’ (P14).</w:t>
      </w:r>
    </w:p>
    <w:p w:rsidR="00425ACE" w:rsidRPr="007F4A4A" w:rsidRDefault="00425ACE" w:rsidP="00B3605F">
      <w:pPr>
        <w:spacing w:after="0" w:line="240" w:lineRule="auto"/>
      </w:pPr>
    </w:p>
    <w:p w:rsidR="00425ACE" w:rsidRPr="007F4A4A" w:rsidRDefault="00425ACE" w:rsidP="00B3605F">
      <w:pPr>
        <w:spacing w:after="0" w:line="240" w:lineRule="auto"/>
      </w:pPr>
      <w:r w:rsidRPr="007F4A4A">
        <w:t xml:space="preserve">In terms of how the activity was presented, the format </w:t>
      </w:r>
      <w:proofErr w:type="gramStart"/>
      <w:r w:rsidRPr="007F4A4A">
        <w:t>was seen as</w:t>
      </w:r>
      <w:proofErr w:type="gramEnd"/>
      <w:r w:rsidRPr="007F4A4A">
        <w:t xml:space="preserve"> particularly useful, and</w:t>
      </w:r>
      <w:r w:rsidR="003C774C" w:rsidRPr="007F4A4A">
        <w:t xml:space="preserve"> students acknowledged that this was an accurate reflection of what they were experiencing in their</w:t>
      </w:r>
      <w:r w:rsidRPr="007F4A4A">
        <w:t xml:space="preserve"> practice.</w:t>
      </w:r>
    </w:p>
    <w:p w:rsidR="00425ACE" w:rsidRPr="007F4A4A" w:rsidRDefault="00425ACE" w:rsidP="00B3605F">
      <w:pPr>
        <w:spacing w:after="0" w:line="240" w:lineRule="auto"/>
      </w:pPr>
    </w:p>
    <w:p w:rsidR="00425ACE" w:rsidRPr="007F4A4A" w:rsidRDefault="00425ACE" w:rsidP="00B3605F">
      <w:pPr>
        <w:spacing w:after="0" w:line="240" w:lineRule="auto"/>
      </w:pPr>
      <w:r w:rsidRPr="007F4A4A">
        <w:tab/>
        <w:t>‘It really helped being able to navigate back to things previously said as in real life you would be able to go back through paperwork, if you have these things written down’ (P24).</w:t>
      </w:r>
    </w:p>
    <w:p w:rsidR="00425ACE" w:rsidRPr="007F4A4A" w:rsidRDefault="00425ACE" w:rsidP="00B3605F">
      <w:pPr>
        <w:spacing w:after="0" w:line="240" w:lineRule="auto"/>
      </w:pPr>
    </w:p>
    <w:p w:rsidR="00B55DCE" w:rsidRPr="007F4A4A" w:rsidRDefault="00541AB3" w:rsidP="00B3605F">
      <w:pPr>
        <w:spacing w:after="0" w:line="240" w:lineRule="auto"/>
      </w:pPr>
      <w:r w:rsidRPr="007F4A4A">
        <w:t xml:space="preserve">Nine students commented specifically on the benefits they perceived from having to talking aloud, with </w:t>
      </w:r>
      <w:proofErr w:type="gramStart"/>
      <w:r w:rsidRPr="007F4A4A">
        <w:t>particular reference</w:t>
      </w:r>
      <w:proofErr w:type="gramEnd"/>
      <w:r w:rsidRPr="007F4A4A">
        <w:t xml:space="preserve"> to</w:t>
      </w:r>
      <w:r w:rsidR="00D35F8F" w:rsidRPr="007F4A4A">
        <w:t xml:space="preserve"> the structural approach created. This is in line with historical opinion and teachings within the field and medical consultation models (</w:t>
      </w:r>
      <w:proofErr w:type="spellStart"/>
      <w:r w:rsidR="00D35F8F" w:rsidRPr="007F4A4A">
        <w:t>Croskerry</w:t>
      </w:r>
      <w:proofErr w:type="spellEnd"/>
      <w:r w:rsidR="00D35F8F" w:rsidRPr="007F4A4A">
        <w:t xml:space="preserve"> and Nimmo, 2011</w:t>
      </w:r>
      <w:r w:rsidR="003C774C" w:rsidRPr="007F4A4A">
        <w:t>;</w:t>
      </w:r>
      <w:r w:rsidR="00D35F8F" w:rsidRPr="007F4A4A">
        <w:t xml:space="preserve"> </w:t>
      </w:r>
      <w:r w:rsidR="00D35F8F" w:rsidRPr="007F4A4A">
        <w:rPr>
          <w:rFonts w:cs="Arial"/>
          <w:shd w:val="clear" w:color="auto" w:fill="FFFFFF"/>
        </w:rPr>
        <w:t>Brown et al, 2016</w:t>
      </w:r>
      <w:r w:rsidR="003C774C" w:rsidRPr="007F4A4A">
        <w:rPr>
          <w:rFonts w:cs="Arial"/>
          <w:shd w:val="clear" w:color="auto" w:fill="FFFFFF"/>
        </w:rPr>
        <w:t>;</w:t>
      </w:r>
      <w:r w:rsidR="00D35F8F" w:rsidRPr="007F4A4A">
        <w:rPr>
          <w:rFonts w:cs="Arial"/>
          <w:shd w:val="clear" w:color="auto" w:fill="FFFFFF"/>
        </w:rPr>
        <w:t xml:space="preserve"> Brown et al</w:t>
      </w:r>
      <w:r w:rsidR="003C774C" w:rsidRPr="007F4A4A">
        <w:rPr>
          <w:rFonts w:cs="Arial"/>
          <w:shd w:val="clear" w:color="auto" w:fill="FFFFFF"/>
        </w:rPr>
        <w:t xml:space="preserve">, </w:t>
      </w:r>
      <w:r w:rsidR="00D35F8F" w:rsidRPr="007F4A4A">
        <w:rPr>
          <w:rFonts w:cs="Arial"/>
          <w:shd w:val="clear" w:color="auto" w:fill="FFFFFF"/>
        </w:rPr>
        <w:t>2017)</w:t>
      </w:r>
      <w:r w:rsidR="00D35F8F" w:rsidRPr="007F4A4A">
        <w:t>.</w:t>
      </w:r>
    </w:p>
    <w:p w:rsidR="00B55DCE" w:rsidRPr="007F4A4A" w:rsidRDefault="00B55DCE" w:rsidP="00B3605F">
      <w:pPr>
        <w:spacing w:after="0" w:line="240" w:lineRule="auto"/>
      </w:pPr>
    </w:p>
    <w:p w:rsidR="00541AB3" w:rsidRPr="007F4A4A" w:rsidRDefault="00541AB3" w:rsidP="00B3605F">
      <w:pPr>
        <w:spacing w:after="0" w:line="240" w:lineRule="auto"/>
      </w:pPr>
      <w:r w:rsidRPr="007F4A4A">
        <w:tab/>
        <w:t>‘Verbalising my thought process helped organise my thoughts and use a more structural approach’ (P17).</w:t>
      </w:r>
    </w:p>
    <w:p w:rsidR="00541AB3" w:rsidRPr="007F4A4A" w:rsidRDefault="00541AB3" w:rsidP="00B3605F">
      <w:pPr>
        <w:spacing w:after="0" w:line="240" w:lineRule="auto"/>
      </w:pPr>
    </w:p>
    <w:p w:rsidR="00541AB3" w:rsidRPr="007F4A4A" w:rsidRDefault="00C97A9F" w:rsidP="00B3605F">
      <w:pPr>
        <w:spacing w:after="0" w:line="240" w:lineRule="auto"/>
      </w:pPr>
      <w:r w:rsidRPr="007F4A4A">
        <w:t xml:space="preserve">The process of talking out loud was useful for </w:t>
      </w:r>
      <w:proofErr w:type="gramStart"/>
      <w:r w:rsidRPr="007F4A4A">
        <w:t>a number of</w:t>
      </w:r>
      <w:proofErr w:type="gramEnd"/>
      <w:r w:rsidRPr="007F4A4A">
        <w:t xml:space="preserve"> students as a way of ensuring their thought processes were clear and potentially </w:t>
      </w:r>
      <w:r w:rsidR="00D03E50" w:rsidRPr="007F4A4A">
        <w:t>useable</w:t>
      </w:r>
      <w:r w:rsidRPr="007F4A4A">
        <w:t xml:space="preserve"> </w:t>
      </w:r>
      <w:r w:rsidR="00D03E50" w:rsidRPr="007F4A4A">
        <w:t>by</w:t>
      </w:r>
      <w:r w:rsidRPr="007F4A4A">
        <w:t xml:space="preserve"> others.  If assumptions were made, these could be </w:t>
      </w:r>
      <w:r w:rsidR="00666073" w:rsidRPr="007F4A4A">
        <w:t>identified</w:t>
      </w:r>
      <w:r w:rsidRPr="007F4A4A">
        <w:t xml:space="preserve"> and addressed</w:t>
      </w:r>
      <w:r w:rsidR="00666073" w:rsidRPr="007F4A4A">
        <w:t>,</w:t>
      </w:r>
      <w:r w:rsidRPr="007F4A4A">
        <w:t xml:space="preserve"> as students were </w:t>
      </w:r>
      <w:proofErr w:type="gramStart"/>
      <w:r w:rsidRPr="007F4A4A">
        <w:t>aware</w:t>
      </w:r>
      <w:proofErr w:type="gramEnd"/>
      <w:r w:rsidRPr="007F4A4A">
        <w:t xml:space="preserve"> they were talking out loud and being recorded.</w:t>
      </w:r>
    </w:p>
    <w:p w:rsidR="00425ACE" w:rsidRPr="007F4A4A" w:rsidRDefault="00425ACE" w:rsidP="00B3605F">
      <w:pPr>
        <w:spacing w:after="0" w:line="240" w:lineRule="auto"/>
      </w:pPr>
    </w:p>
    <w:p w:rsidR="00541AB3" w:rsidRPr="007F4A4A" w:rsidRDefault="00541AB3" w:rsidP="00B3605F">
      <w:pPr>
        <w:spacing w:after="0" w:line="240" w:lineRule="auto"/>
      </w:pPr>
      <w:r w:rsidRPr="007F4A4A">
        <w:tab/>
        <w:t>‘Talking out loud was a good way to make sure the thought process made some sense because it was like I was trying to explain it to someone else’ (P28).</w:t>
      </w:r>
    </w:p>
    <w:p w:rsidR="00541AB3" w:rsidRPr="007F4A4A" w:rsidRDefault="00541AB3" w:rsidP="00B3605F">
      <w:pPr>
        <w:spacing w:after="0" w:line="240" w:lineRule="auto"/>
      </w:pPr>
    </w:p>
    <w:p w:rsidR="00541AB3" w:rsidRPr="007F4A4A" w:rsidRDefault="00541AB3" w:rsidP="00B3605F">
      <w:pPr>
        <w:spacing w:after="0" w:line="240" w:lineRule="auto"/>
      </w:pPr>
      <w:r w:rsidRPr="007F4A4A">
        <w:tab/>
        <w:t>‘Kept correcting self as I made assumptions because I was talking out loud/being recorded’ (P31).</w:t>
      </w:r>
    </w:p>
    <w:p w:rsidR="00425ACE" w:rsidRPr="007F4A4A" w:rsidRDefault="00425ACE" w:rsidP="00B3605F">
      <w:pPr>
        <w:spacing w:after="0" w:line="240" w:lineRule="auto"/>
      </w:pPr>
    </w:p>
    <w:p w:rsidR="00C97A9F" w:rsidRPr="007F4A4A" w:rsidRDefault="00C97A9F" w:rsidP="00B3605F">
      <w:pPr>
        <w:spacing w:after="0" w:line="240" w:lineRule="auto"/>
      </w:pPr>
    </w:p>
    <w:p w:rsidR="00C97A9F" w:rsidRPr="007F4A4A" w:rsidRDefault="002A20A0" w:rsidP="00B3605F">
      <w:pPr>
        <w:spacing w:after="0" w:line="240" w:lineRule="auto"/>
        <w:rPr>
          <w:b/>
          <w:i/>
        </w:rPr>
      </w:pPr>
      <w:r w:rsidRPr="007F4A4A">
        <w:rPr>
          <w:b/>
          <w:i/>
        </w:rPr>
        <w:lastRenderedPageBreak/>
        <w:t>Implementation into Teaching</w:t>
      </w:r>
    </w:p>
    <w:p w:rsidR="00EC7101" w:rsidRPr="007F4A4A" w:rsidRDefault="00EC7101" w:rsidP="00B3605F">
      <w:pPr>
        <w:spacing w:after="0" w:line="240" w:lineRule="auto"/>
      </w:pPr>
    </w:p>
    <w:p w:rsidR="00EC7101" w:rsidRPr="007F4A4A" w:rsidRDefault="002024B4" w:rsidP="00B3605F">
      <w:pPr>
        <w:spacing w:after="0" w:line="240" w:lineRule="auto"/>
      </w:pPr>
      <w:r w:rsidRPr="007F4A4A">
        <w:t>When asked how this technique could be developed for wider use within the curriculum, a</w:t>
      </w:r>
      <w:r w:rsidR="00EC7101" w:rsidRPr="007F4A4A">
        <w:t xml:space="preserve"> variety of </w:t>
      </w:r>
      <w:r w:rsidRPr="007F4A4A">
        <w:t xml:space="preserve">clinical presentations </w:t>
      </w:r>
      <w:r w:rsidR="00B55DCE" w:rsidRPr="007F4A4A">
        <w:t>w</w:t>
      </w:r>
      <w:r w:rsidRPr="007F4A4A">
        <w:t>ere suggested.  ‘Homework’ or consistent practice were mentioned – perhaps in the form of a case to work on at home (P1 and P12), after a lecture (P10) or</w:t>
      </w:r>
      <w:r w:rsidR="006F512B" w:rsidRPr="007F4A4A">
        <w:t>:</w:t>
      </w:r>
    </w:p>
    <w:p w:rsidR="002024B4" w:rsidRPr="007F4A4A" w:rsidRDefault="002024B4" w:rsidP="00B3605F">
      <w:pPr>
        <w:spacing w:after="0" w:line="240" w:lineRule="auto"/>
      </w:pPr>
    </w:p>
    <w:p w:rsidR="00EC7101" w:rsidRPr="007F4A4A" w:rsidRDefault="002024B4" w:rsidP="002024B4">
      <w:pPr>
        <w:spacing w:after="0" w:line="240" w:lineRule="auto"/>
        <w:ind w:firstLine="720"/>
      </w:pPr>
      <w:r w:rsidRPr="007F4A4A">
        <w:t xml:space="preserve">‘at the end of a simulation scenario, the exercise could be used as a way of putting into practice what we have learned in a </w:t>
      </w:r>
      <w:proofErr w:type="gramStart"/>
      <w:r w:rsidRPr="007F4A4A">
        <w:t>real life</w:t>
      </w:r>
      <w:proofErr w:type="gramEnd"/>
      <w:r w:rsidRPr="007F4A4A">
        <w:t xml:space="preserve"> setting’ (P11).</w:t>
      </w:r>
    </w:p>
    <w:p w:rsidR="002024B4" w:rsidRPr="007F4A4A" w:rsidRDefault="002024B4" w:rsidP="00125E9B">
      <w:pPr>
        <w:spacing w:after="0" w:line="240" w:lineRule="auto"/>
        <w:ind w:firstLine="720"/>
      </w:pPr>
    </w:p>
    <w:p w:rsidR="00EC7101" w:rsidRPr="007F4A4A" w:rsidRDefault="00EC7101" w:rsidP="00B3605F">
      <w:pPr>
        <w:spacing w:after="0" w:line="240" w:lineRule="auto"/>
      </w:pPr>
      <w:r w:rsidRPr="007F4A4A">
        <w:tab/>
        <w:t>‘I would like a session with lots of clinical scenarios, 10 different ones that are ‘serious’ jobs that we may not have been to in practice’ (P21).</w:t>
      </w:r>
    </w:p>
    <w:p w:rsidR="00F3428B" w:rsidRPr="007F4A4A" w:rsidRDefault="00F3428B" w:rsidP="00B3605F">
      <w:pPr>
        <w:spacing w:after="0" w:line="240" w:lineRule="auto"/>
      </w:pPr>
    </w:p>
    <w:p w:rsidR="00F3428B" w:rsidRPr="007F4A4A" w:rsidRDefault="00F3428B" w:rsidP="00B3605F">
      <w:pPr>
        <w:spacing w:after="0" w:line="240" w:lineRule="auto"/>
      </w:pPr>
      <w:r w:rsidRPr="007F4A4A">
        <w:t xml:space="preserve">Timings are a consideration for this format of activity, and how often exposure to it should be in order to achieve optimal benefit.  </w:t>
      </w:r>
      <w:r w:rsidR="00F77C62" w:rsidRPr="007F4A4A">
        <w:t>The students were about to enter the final consolidated period of practice placement</w:t>
      </w:r>
      <w:r w:rsidR="0005396F" w:rsidRPr="007F4A4A">
        <w:t>: o</w:t>
      </w:r>
      <w:r w:rsidRPr="007F4A4A">
        <w:t>ne student suggested that:</w:t>
      </w:r>
    </w:p>
    <w:p w:rsidR="00F3428B" w:rsidRPr="007F4A4A" w:rsidRDefault="00F3428B" w:rsidP="00B3605F">
      <w:pPr>
        <w:spacing w:after="0" w:line="240" w:lineRule="auto"/>
      </w:pPr>
    </w:p>
    <w:p w:rsidR="00F3428B" w:rsidRPr="007F4A4A" w:rsidRDefault="00F3428B" w:rsidP="00B3605F">
      <w:pPr>
        <w:spacing w:after="0" w:line="240" w:lineRule="auto"/>
      </w:pPr>
      <w:r w:rsidRPr="007F4A4A">
        <w:tab/>
        <w:t>‘it should be implemented regularly to help improve our confidence going back to placement as it enables us to feel more confident ruling out most other differential diagnoses’ (P14).</w:t>
      </w:r>
    </w:p>
    <w:p w:rsidR="00F3428B" w:rsidRPr="007F4A4A" w:rsidRDefault="00F3428B" w:rsidP="00B3605F">
      <w:pPr>
        <w:spacing w:after="0" w:line="240" w:lineRule="auto"/>
      </w:pPr>
    </w:p>
    <w:p w:rsidR="00F3428B" w:rsidRPr="007F4A4A" w:rsidRDefault="00AB3E06" w:rsidP="00B3605F">
      <w:pPr>
        <w:spacing w:after="0" w:line="240" w:lineRule="auto"/>
        <w:rPr>
          <w:b/>
        </w:rPr>
      </w:pPr>
      <w:r w:rsidRPr="007F4A4A">
        <w:rPr>
          <w:b/>
          <w:i/>
        </w:rPr>
        <w:t>Influences on decision making</w:t>
      </w:r>
    </w:p>
    <w:p w:rsidR="00AB3E06" w:rsidRPr="007F4A4A" w:rsidRDefault="00AB3E06" w:rsidP="00B3605F">
      <w:pPr>
        <w:spacing w:after="0" w:line="240" w:lineRule="auto"/>
      </w:pPr>
    </w:p>
    <w:p w:rsidR="00AB3E06" w:rsidRPr="007F4A4A" w:rsidRDefault="00AB3E06" w:rsidP="00B3605F">
      <w:pPr>
        <w:spacing w:after="0" w:line="240" w:lineRule="auto"/>
      </w:pPr>
      <w:r w:rsidRPr="007F4A4A">
        <w:t xml:space="preserve">Many students commented on how the process of talking aloud had enabled them to question their decisions, allowing them to see where they were potentially forming early conclusions which were not necessarily correct.  </w:t>
      </w:r>
    </w:p>
    <w:p w:rsidR="00AB3E06" w:rsidRPr="007F4A4A" w:rsidRDefault="00AB3E06" w:rsidP="00B3605F">
      <w:pPr>
        <w:spacing w:after="0" w:line="240" w:lineRule="auto"/>
      </w:pPr>
    </w:p>
    <w:p w:rsidR="00AB3E06" w:rsidRPr="007F4A4A" w:rsidRDefault="00AB3E06" w:rsidP="00B3605F">
      <w:pPr>
        <w:spacing w:after="0" w:line="240" w:lineRule="auto"/>
      </w:pPr>
      <w:r w:rsidRPr="007F4A4A">
        <w:tab/>
        <w:t>‘Made me consider differential diagnosis rather than having one idea and sticking with it, which I sometimes do when I think I’m right.  Challenged my thought process’ (P6).</w:t>
      </w:r>
    </w:p>
    <w:p w:rsidR="00693A8E" w:rsidRPr="007F4A4A" w:rsidRDefault="00693A8E" w:rsidP="00B3605F">
      <w:pPr>
        <w:spacing w:after="0" w:line="240" w:lineRule="auto"/>
      </w:pPr>
    </w:p>
    <w:p w:rsidR="00AB3E06" w:rsidRPr="007F4A4A" w:rsidRDefault="00693A8E" w:rsidP="00693A8E">
      <w:pPr>
        <w:spacing w:after="0" w:line="240" w:lineRule="auto"/>
        <w:ind w:firstLine="720"/>
      </w:pPr>
      <w:r w:rsidRPr="007F4A4A">
        <w:t>‘Talking through findings and referring to guidelines helped my understanding and differentials.  Allowed me to explore all options as if I were with a crew’ (P19).</w:t>
      </w:r>
    </w:p>
    <w:p w:rsidR="00693A8E" w:rsidRPr="007F4A4A" w:rsidRDefault="00693A8E" w:rsidP="00693A8E">
      <w:pPr>
        <w:spacing w:after="0" w:line="240" w:lineRule="auto"/>
        <w:ind w:firstLine="720"/>
      </w:pPr>
    </w:p>
    <w:p w:rsidR="0005396F" w:rsidRPr="007F4A4A" w:rsidRDefault="00AB3E06" w:rsidP="00B3605F">
      <w:pPr>
        <w:spacing w:after="0" w:line="240" w:lineRule="auto"/>
      </w:pPr>
      <w:r w:rsidRPr="007F4A4A">
        <w:tab/>
        <w:t>‘It put me in the position as the sole decision making using the cues presented.  This made me think more than I would in practice where others have an input.  This allowed me to explore my clinical reasoning and thought processes’ (P5).</w:t>
      </w:r>
    </w:p>
    <w:p w:rsidR="00B20E8A" w:rsidRPr="007F4A4A" w:rsidRDefault="00B20E8A" w:rsidP="00B3605F">
      <w:pPr>
        <w:spacing w:after="0" w:line="240" w:lineRule="auto"/>
      </w:pPr>
    </w:p>
    <w:p w:rsidR="002A20A0" w:rsidRPr="007F4A4A" w:rsidRDefault="002A20A0" w:rsidP="00B3605F">
      <w:pPr>
        <w:spacing w:after="0" w:line="240" w:lineRule="auto"/>
      </w:pPr>
      <w:r w:rsidRPr="007F4A4A">
        <w:t xml:space="preserve">This paradigm is interesting considering the dynamic of supernumerary placements, where the students will have had an </w:t>
      </w:r>
      <w:r w:rsidR="0088004B" w:rsidRPr="007F4A4A">
        <w:t>ever-present</w:t>
      </w:r>
      <w:r w:rsidRPr="007F4A4A">
        <w:t xml:space="preserve"> safety net, and absence of overall responsibility; removal of this appears to have prompted reliance upon other clinicians.</w:t>
      </w:r>
    </w:p>
    <w:p w:rsidR="00693A8E" w:rsidRPr="007F4A4A" w:rsidRDefault="00693A8E" w:rsidP="00B3605F">
      <w:pPr>
        <w:spacing w:after="0" w:line="240" w:lineRule="auto"/>
      </w:pPr>
    </w:p>
    <w:p w:rsidR="00425ACE" w:rsidRPr="007F4A4A" w:rsidRDefault="00425ACE" w:rsidP="00B3605F">
      <w:pPr>
        <w:spacing w:after="0" w:line="240" w:lineRule="auto"/>
      </w:pPr>
      <w:r w:rsidRPr="007F4A4A">
        <w:t xml:space="preserve">Whilst students overwhelmingly enjoyed the exercise, with six commenting specifically that there was not anything they would change, </w:t>
      </w:r>
      <w:proofErr w:type="gramStart"/>
      <w:r w:rsidRPr="007F4A4A">
        <w:t>a number of</w:t>
      </w:r>
      <w:proofErr w:type="gramEnd"/>
      <w:r w:rsidRPr="007F4A4A">
        <w:t xml:space="preserve"> suggestions were put forward by others.  The opportunity to debrief afterwards was suggested by three students:</w:t>
      </w:r>
    </w:p>
    <w:p w:rsidR="00425ACE" w:rsidRPr="007F4A4A" w:rsidRDefault="00425ACE" w:rsidP="00B3605F">
      <w:pPr>
        <w:spacing w:after="0" w:line="240" w:lineRule="auto"/>
      </w:pPr>
    </w:p>
    <w:p w:rsidR="00425ACE" w:rsidRPr="007F4A4A" w:rsidRDefault="00425ACE" w:rsidP="00B3605F">
      <w:pPr>
        <w:spacing w:after="0" w:line="240" w:lineRule="auto"/>
      </w:pPr>
      <w:r w:rsidRPr="007F4A4A">
        <w:tab/>
        <w:t>‘A debrief discussion afterwards to determine what the answer was and the correct management plan’ (P12).</w:t>
      </w:r>
    </w:p>
    <w:p w:rsidR="00982EEF" w:rsidRPr="007F4A4A" w:rsidRDefault="00982EEF" w:rsidP="00B3605F">
      <w:pPr>
        <w:spacing w:after="0" w:line="240" w:lineRule="auto"/>
      </w:pPr>
    </w:p>
    <w:p w:rsidR="00982EEF" w:rsidRPr="007F4A4A" w:rsidRDefault="00982EEF" w:rsidP="00982EEF">
      <w:pPr>
        <w:spacing w:after="0" w:line="240" w:lineRule="auto"/>
      </w:pPr>
      <w:r w:rsidRPr="007F4A4A">
        <w:t>Other students would have preferred a different environment, or the opportunity to complete it at home.</w:t>
      </w:r>
    </w:p>
    <w:p w:rsidR="00982EEF" w:rsidRPr="007F4A4A" w:rsidRDefault="00982EEF" w:rsidP="00982EEF">
      <w:pPr>
        <w:spacing w:after="0" w:line="240" w:lineRule="auto"/>
      </w:pPr>
    </w:p>
    <w:p w:rsidR="00982EEF" w:rsidRPr="007F4A4A" w:rsidRDefault="00982EEF" w:rsidP="00982EEF">
      <w:pPr>
        <w:spacing w:after="0" w:line="240" w:lineRule="auto"/>
      </w:pPr>
      <w:r w:rsidRPr="007F4A4A">
        <w:tab/>
        <w:t>‘I think it would have been better doing it individually without loads of people around as it was quite distracting’ (P29).</w:t>
      </w:r>
    </w:p>
    <w:p w:rsidR="00982EEF" w:rsidRPr="007F4A4A" w:rsidRDefault="00982EEF" w:rsidP="00B3605F">
      <w:pPr>
        <w:spacing w:after="0" w:line="240" w:lineRule="auto"/>
      </w:pPr>
    </w:p>
    <w:p w:rsidR="00982EEF" w:rsidRPr="007F4A4A" w:rsidRDefault="00982EEF" w:rsidP="00B3605F">
      <w:pPr>
        <w:spacing w:after="0" w:line="240" w:lineRule="auto"/>
      </w:pPr>
      <w:r w:rsidRPr="007F4A4A">
        <w:t>Regarding the clinical information provided, there was disparity among some students as to whether there was too little, or too much, and the effec</w:t>
      </w:r>
      <w:r w:rsidR="001774D9" w:rsidRPr="007F4A4A">
        <w:t>ts this may have had</w:t>
      </w:r>
      <w:r w:rsidRPr="007F4A4A">
        <w:t xml:space="preserve">.  </w:t>
      </w:r>
    </w:p>
    <w:p w:rsidR="00982EEF" w:rsidRPr="007F4A4A" w:rsidRDefault="00982EEF" w:rsidP="00B3605F">
      <w:pPr>
        <w:spacing w:after="0" w:line="240" w:lineRule="auto"/>
      </w:pPr>
    </w:p>
    <w:p w:rsidR="00982EEF" w:rsidRPr="007F4A4A" w:rsidRDefault="00982EEF" w:rsidP="00B3605F">
      <w:pPr>
        <w:spacing w:after="0" w:line="240" w:lineRule="auto"/>
      </w:pPr>
      <w:r w:rsidRPr="007F4A4A">
        <w:tab/>
        <w:t xml:space="preserve">‘Whilst I appreciate not everything could be accounted for, [I] would’ve like things like [a] full set of </w:t>
      </w:r>
      <w:proofErr w:type="spellStart"/>
      <w:r w:rsidRPr="007F4A4A">
        <w:t>obs</w:t>
      </w:r>
      <w:proofErr w:type="spellEnd"/>
      <w:r w:rsidRPr="007F4A4A">
        <w:t xml:space="preserve"> as an option, possibly OPQRST pain assessment’ (P10).</w:t>
      </w:r>
    </w:p>
    <w:p w:rsidR="00982EEF" w:rsidRPr="007F4A4A" w:rsidRDefault="00982EEF" w:rsidP="00B3605F">
      <w:pPr>
        <w:spacing w:after="0" w:line="240" w:lineRule="auto"/>
      </w:pPr>
    </w:p>
    <w:p w:rsidR="00982EEF" w:rsidRPr="007F4A4A" w:rsidRDefault="00982EEF" w:rsidP="00982EEF">
      <w:pPr>
        <w:spacing w:after="0" w:line="240" w:lineRule="auto"/>
        <w:ind w:firstLine="720"/>
      </w:pPr>
      <w:r w:rsidRPr="007F4A4A">
        <w:t>‘Maybe remove some of the available tests ‘Wells’ criteria’ etc as they can influence thinking, I never would have thought of Wells’ criteria if it had not been a choice’ (P6).</w:t>
      </w:r>
    </w:p>
    <w:p w:rsidR="00425ACE" w:rsidRPr="007F4A4A" w:rsidRDefault="00425ACE" w:rsidP="00B3605F">
      <w:pPr>
        <w:spacing w:after="0" w:line="240" w:lineRule="auto"/>
      </w:pPr>
    </w:p>
    <w:p w:rsidR="00665769" w:rsidRPr="007F4A4A" w:rsidRDefault="00665769" w:rsidP="00B3605F">
      <w:pPr>
        <w:spacing w:after="0" w:line="240" w:lineRule="auto"/>
      </w:pPr>
    </w:p>
    <w:p w:rsidR="00426470" w:rsidRPr="007F4A4A" w:rsidRDefault="002A20A0" w:rsidP="00B3605F">
      <w:pPr>
        <w:spacing w:after="0" w:line="240" w:lineRule="auto"/>
        <w:rPr>
          <w:b/>
          <w:u w:val="single"/>
        </w:rPr>
      </w:pPr>
      <w:r w:rsidRPr="007F4A4A">
        <w:rPr>
          <w:b/>
          <w:u w:val="single"/>
        </w:rPr>
        <w:t>Discussion and Conclusion</w:t>
      </w:r>
    </w:p>
    <w:p w:rsidR="00DC5B87" w:rsidRPr="007F4A4A" w:rsidRDefault="00DC5B87" w:rsidP="00B3605F">
      <w:pPr>
        <w:spacing w:after="0" w:line="240" w:lineRule="auto"/>
      </w:pPr>
    </w:p>
    <w:p w:rsidR="0041127C" w:rsidRPr="007F4A4A" w:rsidRDefault="00DC5B87" w:rsidP="00B3605F">
      <w:pPr>
        <w:spacing w:after="0" w:line="240" w:lineRule="auto"/>
      </w:pPr>
      <w:r w:rsidRPr="007F4A4A">
        <w:t>Clinical reasoning is key to good practice</w:t>
      </w:r>
      <w:r w:rsidR="00FB650E" w:rsidRPr="007F4A4A">
        <w:t>, as strategies for preventing and reducing diagnostic incidents have the potential to improve patient safety within health care (</w:t>
      </w:r>
      <w:proofErr w:type="spellStart"/>
      <w:r w:rsidR="00FB650E" w:rsidRPr="007F4A4A">
        <w:t>Panagioti</w:t>
      </w:r>
      <w:proofErr w:type="spellEnd"/>
      <w:r w:rsidR="00FB650E" w:rsidRPr="007F4A4A">
        <w:t xml:space="preserve"> et al, 2017).  However, its teaching</w:t>
      </w:r>
      <w:r w:rsidR="00B55DCE" w:rsidRPr="007F4A4A">
        <w:t xml:space="preserve"> </w:t>
      </w:r>
      <w:r w:rsidR="00FB650E" w:rsidRPr="007F4A4A">
        <w:t>pre</w:t>
      </w:r>
      <w:r w:rsidRPr="007F4A4A">
        <w:t>sents a challenge to both students and teachers.  The process of ‘think aloud’ makes the clinical reasoning processes more explicit, enabling inexperienced clinicians to learn from the processes (Pinnock et al, 2015).</w:t>
      </w:r>
      <w:r w:rsidR="00FF13A9" w:rsidRPr="007F4A4A">
        <w:t xml:space="preserve">  </w:t>
      </w:r>
      <w:r w:rsidR="0041127C" w:rsidRPr="007F4A4A">
        <w:t>The exercise allowed students to critically engage with their own methods and processes of working, giving explicit mention to the considerations that had been highlighted through theoretical context with a true clinical focus, in a safe setting. Key aspects highlighted were the opportunity to respond to the information gathered throughout the exercise at their own speed, and with their own prioritisation, rather than anticipating and responding to the perceived will of mentors or staff in practice. Students highlighted that it made them more aware of assumptions they made throughout their patient encounters, and the opportunity to explore information potentially, not immediately apparent</w:t>
      </w:r>
      <w:r w:rsidR="00B55DCE" w:rsidRPr="007F4A4A">
        <w:t>,</w:t>
      </w:r>
      <w:r w:rsidR="0041127C" w:rsidRPr="007F4A4A">
        <w:t xml:space="preserve"> gave further consideration. </w:t>
      </w:r>
    </w:p>
    <w:p w:rsidR="005B2953" w:rsidRPr="007F4A4A" w:rsidRDefault="005B2953" w:rsidP="00B3605F">
      <w:pPr>
        <w:spacing w:after="0" w:line="240" w:lineRule="auto"/>
      </w:pPr>
    </w:p>
    <w:p w:rsidR="00E91099" w:rsidRPr="007F4A4A" w:rsidRDefault="005B2953" w:rsidP="00B3605F">
      <w:pPr>
        <w:spacing w:after="0" w:line="240" w:lineRule="auto"/>
      </w:pPr>
      <w:r w:rsidRPr="007F4A4A">
        <w:t xml:space="preserve">The participants voiced disagreement as to whether the information provided in the exercise was satisfactory in quantity and content.  </w:t>
      </w:r>
      <w:r w:rsidR="00E91099" w:rsidRPr="007F4A4A">
        <w:t>Th</w:t>
      </w:r>
      <w:r w:rsidRPr="007F4A4A">
        <w:t>e</w:t>
      </w:r>
      <w:r w:rsidR="00E91099" w:rsidRPr="007F4A4A">
        <w:t xml:space="preserve"> flexible nature of such a format could permit adaptation of the information and difficulty of the activity to the level of student and availability of tests and information within their clinical setting; for example input of radiographs and blood gases for hospital based clinicians, and omission of acute out of hospital providers. Consideration can further be given to omission of certain elements to challenge experienced clinicians undertaking continuing professional development (CPD).</w:t>
      </w:r>
    </w:p>
    <w:p w:rsidR="005B2953" w:rsidRPr="007F4A4A" w:rsidRDefault="005B2953" w:rsidP="00B3605F">
      <w:pPr>
        <w:spacing w:after="0" w:line="240" w:lineRule="auto"/>
      </w:pPr>
    </w:p>
    <w:p w:rsidR="005B2953" w:rsidRPr="007F4A4A" w:rsidRDefault="007D71CD" w:rsidP="00B3605F">
      <w:pPr>
        <w:spacing w:after="0" w:line="240" w:lineRule="auto"/>
      </w:pPr>
      <w:r w:rsidRPr="007F4A4A">
        <w:t>Due to our focus on the reflective process of this learning activity, with the opportunity for self-appraisal at a subsequent time, there was not scope in this initial evaluation to implement a structured debrief.  However, for expansion of this across related modules, an opportunity to discuss the case confounding factors and differing opinions and treatment options presented by students is to be incorporated alongside the previously identified mechanisms.</w:t>
      </w:r>
    </w:p>
    <w:p w:rsidR="005B2953" w:rsidRPr="007F4A4A" w:rsidRDefault="005B2953" w:rsidP="00B3605F">
      <w:pPr>
        <w:spacing w:after="0" w:line="240" w:lineRule="auto"/>
      </w:pPr>
    </w:p>
    <w:p w:rsidR="003E7362" w:rsidRPr="007F4A4A" w:rsidRDefault="009749DB" w:rsidP="00B3605F">
      <w:pPr>
        <w:spacing w:after="0" w:line="240" w:lineRule="auto"/>
      </w:pPr>
      <w:r w:rsidRPr="007F4A4A">
        <w:t xml:space="preserve">The ability for students to be self-reliant throughout the exercise promotes the independence of thought expected of them as autonomous practitioners upon qualification and subsequent </w:t>
      </w:r>
      <w:proofErr w:type="gramStart"/>
      <w:r w:rsidRPr="007F4A4A">
        <w:t>registration, and</w:t>
      </w:r>
      <w:proofErr w:type="gramEnd"/>
      <w:r w:rsidRPr="007F4A4A">
        <w:t xml:space="preserve"> could assist with transition into practi</w:t>
      </w:r>
      <w:r w:rsidR="005B2953" w:rsidRPr="007F4A4A">
        <w:t>c</w:t>
      </w:r>
      <w:r w:rsidRPr="007F4A4A">
        <w:t>e.</w:t>
      </w:r>
    </w:p>
    <w:p w:rsidR="003E7362" w:rsidRPr="007F4A4A" w:rsidRDefault="003E7362" w:rsidP="00B3605F">
      <w:pPr>
        <w:spacing w:after="0" w:line="240" w:lineRule="auto"/>
      </w:pPr>
    </w:p>
    <w:p w:rsidR="003E7362" w:rsidRPr="007F4A4A" w:rsidRDefault="003E7362" w:rsidP="003E7362">
      <w:pPr>
        <w:pStyle w:val="CommentText"/>
        <w:spacing w:after="0"/>
        <w:rPr>
          <w:sz w:val="22"/>
          <w:szCs w:val="22"/>
        </w:rPr>
      </w:pPr>
      <w:r w:rsidRPr="007F4A4A">
        <w:rPr>
          <w:sz w:val="22"/>
          <w:szCs w:val="22"/>
        </w:rPr>
        <w:t xml:space="preserve">The results of this case study indicate </w:t>
      </w:r>
      <w:r w:rsidR="00C05EBD" w:rsidRPr="007F4A4A">
        <w:rPr>
          <w:sz w:val="22"/>
          <w:szCs w:val="22"/>
        </w:rPr>
        <w:t>that the teaching method</w:t>
      </w:r>
      <w:r w:rsidR="003E0CF8" w:rsidRPr="007F4A4A">
        <w:rPr>
          <w:sz w:val="22"/>
          <w:szCs w:val="22"/>
        </w:rPr>
        <w:t xml:space="preserve"> </w:t>
      </w:r>
      <w:r w:rsidR="00C05EBD" w:rsidRPr="007F4A4A">
        <w:rPr>
          <w:sz w:val="22"/>
          <w:szCs w:val="22"/>
        </w:rPr>
        <w:t xml:space="preserve">has potential to be </w:t>
      </w:r>
      <w:r w:rsidRPr="007F4A4A">
        <w:rPr>
          <w:sz w:val="22"/>
          <w:szCs w:val="22"/>
        </w:rPr>
        <w:t>effective in its premise of developing clinical reasoning skills</w:t>
      </w:r>
      <w:r w:rsidR="004A3EC9" w:rsidRPr="007F4A4A">
        <w:rPr>
          <w:sz w:val="22"/>
          <w:szCs w:val="22"/>
        </w:rPr>
        <w:t xml:space="preserve"> within student </w:t>
      </w:r>
      <w:r w:rsidR="006F512B" w:rsidRPr="007F4A4A">
        <w:rPr>
          <w:sz w:val="22"/>
          <w:szCs w:val="22"/>
        </w:rPr>
        <w:t>p</w:t>
      </w:r>
      <w:r w:rsidR="004A3EC9" w:rsidRPr="007F4A4A">
        <w:rPr>
          <w:sz w:val="22"/>
          <w:szCs w:val="22"/>
        </w:rPr>
        <w:t>aramedic</w:t>
      </w:r>
      <w:r w:rsidR="00C05EBD" w:rsidRPr="007F4A4A">
        <w:rPr>
          <w:sz w:val="22"/>
          <w:szCs w:val="22"/>
        </w:rPr>
        <w:t xml:space="preserve"> education</w:t>
      </w:r>
      <w:r w:rsidR="000215BC" w:rsidRPr="007F4A4A">
        <w:rPr>
          <w:sz w:val="22"/>
          <w:szCs w:val="22"/>
        </w:rPr>
        <w:t xml:space="preserve">.  It </w:t>
      </w:r>
      <w:r w:rsidR="00C05EBD" w:rsidRPr="007F4A4A">
        <w:rPr>
          <w:sz w:val="22"/>
          <w:szCs w:val="22"/>
        </w:rPr>
        <w:t xml:space="preserve">stands to </w:t>
      </w:r>
      <w:r w:rsidR="000215BC" w:rsidRPr="007F4A4A">
        <w:rPr>
          <w:sz w:val="22"/>
          <w:szCs w:val="22"/>
        </w:rPr>
        <w:t>compl</w:t>
      </w:r>
      <w:r w:rsidR="006F512B" w:rsidRPr="007F4A4A">
        <w:rPr>
          <w:sz w:val="22"/>
          <w:szCs w:val="22"/>
        </w:rPr>
        <w:t>e</w:t>
      </w:r>
      <w:r w:rsidR="000215BC" w:rsidRPr="007F4A4A">
        <w:rPr>
          <w:sz w:val="22"/>
          <w:szCs w:val="22"/>
        </w:rPr>
        <w:t>ment established teaching strategies</w:t>
      </w:r>
      <w:r w:rsidR="001F5BCD" w:rsidRPr="007F4A4A">
        <w:rPr>
          <w:sz w:val="22"/>
          <w:szCs w:val="22"/>
        </w:rPr>
        <w:t>, such as core lectures, seminars and supervised practice</w:t>
      </w:r>
      <w:r w:rsidR="000215BC" w:rsidRPr="007F4A4A">
        <w:rPr>
          <w:sz w:val="22"/>
          <w:szCs w:val="22"/>
        </w:rPr>
        <w:t xml:space="preserve">.  This </w:t>
      </w:r>
      <w:r w:rsidR="00C05EBD" w:rsidRPr="007F4A4A">
        <w:rPr>
          <w:sz w:val="22"/>
          <w:szCs w:val="22"/>
        </w:rPr>
        <w:t xml:space="preserve">could </w:t>
      </w:r>
      <w:r w:rsidR="000215BC" w:rsidRPr="007F4A4A">
        <w:rPr>
          <w:sz w:val="22"/>
          <w:szCs w:val="22"/>
        </w:rPr>
        <w:t>inform future curricula design and teaching strategy: if its use were to be expanded throughout the course</w:t>
      </w:r>
      <w:r w:rsidR="007015BE" w:rsidRPr="007F4A4A">
        <w:rPr>
          <w:sz w:val="22"/>
          <w:szCs w:val="22"/>
        </w:rPr>
        <w:t xml:space="preserve"> (as requested by </w:t>
      </w:r>
      <w:proofErr w:type="gramStart"/>
      <w:r w:rsidR="007015BE" w:rsidRPr="007F4A4A">
        <w:rPr>
          <w:sz w:val="22"/>
          <w:szCs w:val="22"/>
        </w:rPr>
        <w:t>a number of</w:t>
      </w:r>
      <w:proofErr w:type="gramEnd"/>
      <w:r w:rsidR="007015BE" w:rsidRPr="007F4A4A">
        <w:rPr>
          <w:sz w:val="22"/>
          <w:szCs w:val="22"/>
        </w:rPr>
        <w:t xml:space="preserve"> participants)</w:t>
      </w:r>
      <w:r w:rsidR="000215BC" w:rsidRPr="007F4A4A">
        <w:rPr>
          <w:sz w:val="22"/>
          <w:szCs w:val="22"/>
        </w:rPr>
        <w:t>, it could reinforce and enhance desired student attributes</w:t>
      </w:r>
      <w:r w:rsidR="001F5BCD" w:rsidRPr="007F4A4A">
        <w:rPr>
          <w:sz w:val="22"/>
          <w:szCs w:val="22"/>
        </w:rPr>
        <w:t xml:space="preserve">, </w:t>
      </w:r>
      <w:r w:rsidR="0041127C" w:rsidRPr="007F4A4A">
        <w:rPr>
          <w:sz w:val="22"/>
          <w:szCs w:val="22"/>
        </w:rPr>
        <w:t>including</w:t>
      </w:r>
      <w:r w:rsidR="001F5BCD" w:rsidRPr="007F4A4A">
        <w:rPr>
          <w:sz w:val="22"/>
          <w:szCs w:val="22"/>
        </w:rPr>
        <w:t xml:space="preserve"> self-awareness, and appraisal of individual decision </w:t>
      </w:r>
      <w:r w:rsidR="001F5BCD" w:rsidRPr="007F4A4A">
        <w:rPr>
          <w:sz w:val="22"/>
          <w:szCs w:val="22"/>
        </w:rPr>
        <w:lastRenderedPageBreak/>
        <w:t>making</w:t>
      </w:r>
      <w:r w:rsidR="0042059C" w:rsidRPr="007F4A4A">
        <w:rPr>
          <w:sz w:val="22"/>
          <w:szCs w:val="22"/>
        </w:rPr>
        <w:t xml:space="preserve">.  It could </w:t>
      </w:r>
      <w:r w:rsidR="007015BE" w:rsidRPr="007F4A4A">
        <w:rPr>
          <w:sz w:val="22"/>
          <w:szCs w:val="22"/>
        </w:rPr>
        <w:t>also contribut</w:t>
      </w:r>
      <w:r w:rsidR="0042059C" w:rsidRPr="007F4A4A">
        <w:rPr>
          <w:sz w:val="22"/>
          <w:szCs w:val="22"/>
        </w:rPr>
        <w:t>e</w:t>
      </w:r>
      <w:r w:rsidR="007015BE" w:rsidRPr="007F4A4A">
        <w:rPr>
          <w:sz w:val="22"/>
          <w:szCs w:val="22"/>
        </w:rPr>
        <w:t xml:space="preserve"> to lifelong learning principles and the consideration of the holistic development of healthcare practitioners</w:t>
      </w:r>
      <w:r w:rsidR="000215BC" w:rsidRPr="007F4A4A">
        <w:rPr>
          <w:sz w:val="22"/>
          <w:szCs w:val="22"/>
        </w:rPr>
        <w:t xml:space="preserve">. </w:t>
      </w:r>
      <w:r w:rsidR="00C05EBD" w:rsidRPr="007F4A4A">
        <w:rPr>
          <w:sz w:val="22"/>
          <w:szCs w:val="22"/>
        </w:rPr>
        <w:t>This is in line with evidence and conclusion</w:t>
      </w:r>
      <w:r w:rsidR="0042059C" w:rsidRPr="007F4A4A">
        <w:rPr>
          <w:sz w:val="22"/>
          <w:szCs w:val="22"/>
        </w:rPr>
        <w:t>s</w:t>
      </w:r>
      <w:r w:rsidR="00C05EBD" w:rsidRPr="007F4A4A">
        <w:rPr>
          <w:sz w:val="22"/>
          <w:szCs w:val="22"/>
        </w:rPr>
        <w:t xml:space="preserve"> from evaluations within other practice settings (Trace and </w:t>
      </w:r>
      <w:proofErr w:type="spellStart"/>
      <w:r w:rsidR="00C05EBD" w:rsidRPr="007F4A4A">
        <w:rPr>
          <w:sz w:val="22"/>
          <w:szCs w:val="22"/>
        </w:rPr>
        <w:t>Tisdall</w:t>
      </w:r>
      <w:proofErr w:type="spellEnd"/>
      <w:r w:rsidR="00C05EBD" w:rsidRPr="007F4A4A">
        <w:rPr>
          <w:sz w:val="22"/>
          <w:szCs w:val="22"/>
        </w:rPr>
        <w:t>, 2018)</w:t>
      </w:r>
      <w:r w:rsidR="003F7B8E" w:rsidRPr="007F4A4A">
        <w:rPr>
          <w:sz w:val="22"/>
          <w:szCs w:val="22"/>
        </w:rPr>
        <w:t>.</w:t>
      </w:r>
      <w:r w:rsidR="000215BC" w:rsidRPr="007F4A4A">
        <w:rPr>
          <w:sz w:val="22"/>
          <w:szCs w:val="22"/>
        </w:rPr>
        <w:t xml:space="preserve"> If these can be attained, this has the potential to lead to increased patient safety through the increased efficacy and safe working of the registrant paramedic upon graduating from university.</w:t>
      </w:r>
    </w:p>
    <w:p w:rsidR="00E475A2" w:rsidRPr="007F4A4A" w:rsidRDefault="00E475A2" w:rsidP="00B3605F">
      <w:pPr>
        <w:spacing w:after="0" w:line="240" w:lineRule="auto"/>
        <w:rPr>
          <w:b/>
          <w:u w:val="single"/>
        </w:rPr>
      </w:pPr>
    </w:p>
    <w:p w:rsidR="00426470" w:rsidRPr="007F4A4A" w:rsidRDefault="00426470" w:rsidP="00B3605F">
      <w:pPr>
        <w:spacing w:after="0" w:line="240" w:lineRule="auto"/>
        <w:rPr>
          <w:b/>
          <w:u w:val="single"/>
        </w:rPr>
      </w:pPr>
      <w:r w:rsidRPr="007F4A4A">
        <w:rPr>
          <w:b/>
          <w:u w:val="single"/>
        </w:rPr>
        <w:t>References</w:t>
      </w:r>
    </w:p>
    <w:p w:rsidR="00426470" w:rsidRPr="007F4A4A" w:rsidRDefault="00426470" w:rsidP="00B3605F">
      <w:pPr>
        <w:spacing w:after="0" w:line="240" w:lineRule="auto"/>
        <w:rPr>
          <w:u w:val="single"/>
        </w:rPr>
      </w:pPr>
    </w:p>
    <w:p w:rsidR="00B3605F" w:rsidRPr="007F4A4A" w:rsidRDefault="00B3605F" w:rsidP="00B3605F">
      <w:pPr>
        <w:spacing w:after="0" w:line="240" w:lineRule="auto"/>
      </w:pPr>
      <w:r w:rsidRPr="007F4A4A">
        <w:t xml:space="preserve">Benner, P., Hughes, R.G., </w:t>
      </w:r>
      <w:proofErr w:type="spellStart"/>
      <w:r w:rsidRPr="007F4A4A">
        <w:t>Sutphen</w:t>
      </w:r>
      <w:proofErr w:type="spellEnd"/>
      <w:r w:rsidRPr="007F4A4A">
        <w:t>, M. (2008) ‘Clinical reasonin</w:t>
      </w:r>
      <w:r w:rsidR="006E7262" w:rsidRPr="007F4A4A">
        <w:t>g, decision</w:t>
      </w:r>
      <w:r w:rsidR="008F7B81" w:rsidRPr="007F4A4A">
        <w:t xml:space="preserve"> </w:t>
      </w:r>
      <w:r w:rsidR="006E7262" w:rsidRPr="007F4A4A">
        <w:t xml:space="preserve">making, and action: </w:t>
      </w:r>
      <w:r w:rsidRPr="007F4A4A">
        <w:t xml:space="preserve">Thinking critically and clinically’ in R.G. Hughes (ed) </w:t>
      </w:r>
      <w:r w:rsidRPr="007F4A4A">
        <w:rPr>
          <w:i/>
        </w:rPr>
        <w:t>Patient Safety and Quality: An evidence-based handbook for nurses</w:t>
      </w:r>
      <w:r w:rsidRPr="007F4A4A">
        <w:t>, AHRQ Publication, Rockville, MD.</w:t>
      </w:r>
    </w:p>
    <w:p w:rsidR="006E7262" w:rsidRPr="007F4A4A" w:rsidRDefault="006E7262" w:rsidP="00B3605F">
      <w:pPr>
        <w:spacing w:after="0" w:line="240" w:lineRule="auto"/>
      </w:pPr>
    </w:p>
    <w:p w:rsidR="00E24965" w:rsidRPr="007F4A4A" w:rsidRDefault="00E24965" w:rsidP="00B3605F">
      <w:pPr>
        <w:spacing w:after="0" w:line="240" w:lineRule="auto"/>
        <w:rPr>
          <w:color w:val="000000"/>
          <w:shd w:val="clear" w:color="auto" w:fill="FFFFFF"/>
        </w:rPr>
      </w:pPr>
      <w:r w:rsidRPr="007F4A4A">
        <w:rPr>
          <w:color w:val="000000"/>
          <w:shd w:val="clear" w:color="auto" w:fill="FFFFFF"/>
        </w:rPr>
        <w:t xml:space="preserve">Bergmann, J., &amp; </w:t>
      </w:r>
      <w:proofErr w:type="spellStart"/>
      <w:r w:rsidRPr="007F4A4A">
        <w:rPr>
          <w:color w:val="000000"/>
          <w:shd w:val="clear" w:color="auto" w:fill="FFFFFF"/>
        </w:rPr>
        <w:t>Sams</w:t>
      </w:r>
      <w:proofErr w:type="spellEnd"/>
      <w:r w:rsidRPr="007F4A4A">
        <w:rPr>
          <w:color w:val="000000"/>
          <w:shd w:val="clear" w:color="auto" w:fill="FFFFFF"/>
        </w:rPr>
        <w:t>, A. (2012). Flip Your Classroom: Reach Every Student in Every Class Every Day (pp. 120-190). Washington DC: International Society for Technology in Education</w:t>
      </w:r>
    </w:p>
    <w:p w:rsidR="006E7262" w:rsidRPr="007F4A4A" w:rsidRDefault="006E7262" w:rsidP="00B3605F">
      <w:pPr>
        <w:spacing w:after="0" w:line="240" w:lineRule="auto"/>
        <w:rPr>
          <w:color w:val="000000"/>
          <w:shd w:val="clear" w:color="auto" w:fill="FFFFFF"/>
        </w:rPr>
      </w:pPr>
    </w:p>
    <w:p w:rsidR="00350424" w:rsidRPr="007F4A4A" w:rsidRDefault="00426470" w:rsidP="00B3605F">
      <w:pPr>
        <w:spacing w:after="0" w:line="240" w:lineRule="auto"/>
        <w:rPr>
          <w:i/>
        </w:rPr>
      </w:pPr>
      <w:r w:rsidRPr="007F4A4A">
        <w:t>Berwick, D. (2013) ‘</w:t>
      </w:r>
      <w:r w:rsidRPr="007F4A4A">
        <w:rPr>
          <w:i/>
        </w:rPr>
        <w:t>A promise to learn – a commitment to act: Impr</w:t>
      </w:r>
      <w:r w:rsidR="006E7262" w:rsidRPr="007F4A4A">
        <w:rPr>
          <w:i/>
        </w:rPr>
        <w:t xml:space="preserve">oving the safety of patients in </w:t>
      </w:r>
      <w:r w:rsidRPr="007F4A4A">
        <w:rPr>
          <w:i/>
        </w:rPr>
        <w:t>England</w:t>
      </w:r>
      <w:r w:rsidRPr="007F4A4A">
        <w:t>, London: Department of Health.</w:t>
      </w:r>
    </w:p>
    <w:p w:rsidR="006E7262" w:rsidRPr="007F4A4A" w:rsidRDefault="006E7262" w:rsidP="00B3605F">
      <w:pPr>
        <w:spacing w:after="0" w:line="240" w:lineRule="auto"/>
      </w:pPr>
    </w:p>
    <w:p w:rsidR="006E7262" w:rsidRPr="007F4A4A" w:rsidRDefault="006E7262" w:rsidP="006E7262">
      <w:pPr>
        <w:spacing w:after="0" w:line="240" w:lineRule="auto"/>
        <w:rPr>
          <w:shd w:val="clear" w:color="auto" w:fill="CBCBCB"/>
        </w:rPr>
      </w:pPr>
      <w:proofErr w:type="spellStart"/>
      <w:r w:rsidRPr="007F4A4A">
        <w:t>Bhardwa</w:t>
      </w:r>
      <w:proofErr w:type="spellEnd"/>
      <w:r w:rsidRPr="007F4A4A">
        <w:t xml:space="preserve">, S (2019) </w:t>
      </w:r>
      <w:r w:rsidRPr="007F4A4A">
        <w:rPr>
          <w:i/>
          <w:iCs/>
        </w:rPr>
        <w:t xml:space="preserve">What is the TEF? Results of the teaching excellence framework 2019 (online) </w:t>
      </w:r>
      <w:r w:rsidRPr="007F4A4A">
        <w:t>Available at: www.timeshighereducation.com/student/blogs/what-tef-results-teaching-excellence-framework-2019 (accessed on 9 July 2019).</w:t>
      </w:r>
    </w:p>
    <w:p w:rsidR="006E7262" w:rsidRPr="007F4A4A" w:rsidRDefault="006E7262" w:rsidP="006E7262">
      <w:pPr>
        <w:spacing w:after="0" w:line="240" w:lineRule="auto"/>
        <w:rPr>
          <w:shd w:val="clear" w:color="auto" w:fill="CBCBCB"/>
        </w:rPr>
      </w:pPr>
    </w:p>
    <w:p w:rsidR="00D35F8F" w:rsidRPr="007F4A4A" w:rsidRDefault="00D35F8F" w:rsidP="00D35F8F">
      <w:pPr>
        <w:jc w:val="both"/>
        <w:rPr>
          <w:rFonts w:cs="Arial"/>
          <w:shd w:val="clear" w:color="auto" w:fill="FFFFFF"/>
        </w:rPr>
      </w:pPr>
      <w:r w:rsidRPr="007F4A4A">
        <w:rPr>
          <w:rFonts w:cs="Arial"/>
          <w:shd w:val="clear" w:color="auto" w:fill="FFFFFF"/>
        </w:rPr>
        <w:t xml:space="preserve">Brown, S. N., Kumar, D., </w:t>
      </w:r>
      <w:proofErr w:type="spellStart"/>
      <w:r w:rsidRPr="007F4A4A">
        <w:rPr>
          <w:rFonts w:cs="Arial"/>
          <w:shd w:val="clear" w:color="auto" w:fill="FFFFFF"/>
        </w:rPr>
        <w:t>Millins</w:t>
      </w:r>
      <w:proofErr w:type="spellEnd"/>
      <w:r w:rsidRPr="007F4A4A">
        <w:rPr>
          <w:rFonts w:cs="Arial"/>
          <w:shd w:val="clear" w:color="auto" w:fill="FFFFFF"/>
        </w:rPr>
        <w:t>, M., &amp; Mark, J. (Eds.). (2016). </w:t>
      </w:r>
      <w:r w:rsidRPr="007F4A4A">
        <w:rPr>
          <w:rStyle w:val="Emphasis"/>
          <w:rFonts w:cs="Arial"/>
          <w:shd w:val="clear" w:color="auto" w:fill="FFFFFF"/>
        </w:rPr>
        <w:t>UK ambulance services clinical practice guidelines 2016</w:t>
      </w:r>
      <w:r w:rsidRPr="007F4A4A">
        <w:rPr>
          <w:rFonts w:cs="Arial"/>
          <w:shd w:val="clear" w:color="auto" w:fill="FFFFFF"/>
        </w:rPr>
        <w:t>. Bridgwater: Class Professional.</w:t>
      </w:r>
    </w:p>
    <w:p w:rsidR="00D35F8F" w:rsidRPr="007F4A4A" w:rsidRDefault="00D35F8F" w:rsidP="00D35F8F">
      <w:pPr>
        <w:jc w:val="both"/>
        <w:rPr>
          <w:rFonts w:cs="Arial"/>
          <w:shd w:val="clear" w:color="auto" w:fill="FFFFFF"/>
        </w:rPr>
      </w:pPr>
    </w:p>
    <w:p w:rsidR="00D35F8F" w:rsidRPr="007F4A4A" w:rsidRDefault="00D35F8F" w:rsidP="00D35F8F">
      <w:pPr>
        <w:jc w:val="both"/>
        <w:rPr>
          <w:rFonts w:cs="Arial"/>
          <w:shd w:val="clear" w:color="auto" w:fill="FFFFFF"/>
        </w:rPr>
      </w:pPr>
      <w:r w:rsidRPr="007F4A4A">
        <w:rPr>
          <w:rFonts w:cs="Arial"/>
          <w:shd w:val="clear" w:color="auto" w:fill="FFFFFF"/>
        </w:rPr>
        <w:t>Brown, S. N., Kumar, D., James, C., &amp; Mark, J. (Eds.). (2017). </w:t>
      </w:r>
      <w:r w:rsidRPr="007F4A4A">
        <w:rPr>
          <w:rStyle w:val="Emphasis"/>
          <w:rFonts w:cs="Arial"/>
          <w:shd w:val="clear" w:color="auto" w:fill="FFFFFF"/>
        </w:rPr>
        <w:t>JRCALC clinical practice supplementary guidelines 2017. </w:t>
      </w:r>
      <w:r w:rsidRPr="007F4A4A">
        <w:rPr>
          <w:rFonts w:cs="Arial"/>
          <w:shd w:val="clear" w:color="auto" w:fill="FFFFFF"/>
        </w:rPr>
        <w:t>Bridgwater: Class Professional.</w:t>
      </w:r>
    </w:p>
    <w:p w:rsidR="00D35F8F" w:rsidRPr="007F4A4A" w:rsidRDefault="00D35F8F" w:rsidP="00B3605F">
      <w:pPr>
        <w:spacing w:after="0" w:line="240" w:lineRule="auto"/>
      </w:pPr>
    </w:p>
    <w:p w:rsidR="00E24965" w:rsidRPr="007F4A4A" w:rsidRDefault="00E24965" w:rsidP="00B3605F">
      <w:pPr>
        <w:spacing w:after="0" w:line="240" w:lineRule="auto"/>
      </w:pPr>
      <w:r w:rsidRPr="007F4A4A">
        <w:t>Council of Deans of Health (2018). 'Health educators respond to earn and learn support premiums'. Press release. Available at: councilofdeans.org.uk/2018/12/health-educatorsrespond-to-earn-and-learn-</w:t>
      </w:r>
      <w:r w:rsidR="006E7262" w:rsidRPr="007F4A4A">
        <w:t xml:space="preserve">support-premiums (accessed on </w:t>
      </w:r>
      <w:r w:rsidRPr="007F4A4A">
        <w:t>9 July 2019).</w:t>
      </w:r>
    </w:p>
    <w:p w:rsidR="006E7262" w:rsidRPr="007F4A4A" w:rsidRDefault="006E7262" w:rsidP="00B3605F">
      <w:pPr>
        <w:spacing w:after="0" w:line="240" w:lineRule="auto"/>
      </w:pPr>
    </w:p>
    <w:p w:rsidR="00D35F8F" w:rsidRPr="007F4A4A" w:rsidRDefault="00D35F8F" w:rsidP="00B3605F">
      <w:pPr>
        <w:spacing w:after="0" w:line="240" w:lineRule="auto"/>
        <w:rPr>
          <w:rFonts w:eastAsia="Times New Roman" w:cs="Arial"/>
        </w:rPr>
      </w:pPr>
      <w:proofErr w:type="spellStart"/>
      <w:r w:rsidRPr="007F4A4A">
        <w:rPr>
          <w:rFonts w:eastAsia="Times New Roman" w:cs="Arial"/>
        </w:rPr>
        <w:t>Croskerry</w:t>
      </w:r>
      <w:proofErr w:type="spellEnd"/>
      <w:r w:rsidRPr="007F4A4A">
        <w:rPr>
          <w:rFonts w:eastAsia="Times New Roman" w:cs="Arial"/>
        </w:rPr>
        <w:t xml:space="preserve">, P., &amp; Nimmo, G. R. (2011). Better clinical decision making and reducing diagnostic error. </w:t>
      </w:r>
      <w:r w:rsidRPr="007F4A4A">
        <w:rPr>
          <w:rFonts w:eastAsia="Times New Roman" w:cs="Arial"/>
          <w:i/>
          <w:iCs/>
        </w:rPr>
        <w:t>The Journal of the Royal College of Physicians of Edinburgh</w:t>
      </w:r>
      <w:r w:rsidRPr="007F4A4A">
        <w:rPr>
          <w:rFonts w:eastAsia="Times New Roman" w:cs="Arial"/>
        </w:rPr>
        <w:t xml:space="preserve">, </w:t>
      </w:r>
      <w:r w:rsidRPr="007F4A4A">
        <w:rPr>
          <w:rFonts w:eastAsia="Times New Roman" w:cs="Arial"/>
          <w:i/>
          <w:iCs/>
        </w:rPr>
        <w:t>41</w:t>
      </w:r>
      <w:r w:rsidRPr="007F4A4A">
        <w:rPr>
          <w:rFonts w:eastAsia="Times New Roman" w:cs="Arial"/>
        </w:rPr>
        <w:t>(2), 155-162</w:t>
      </w:r>
    </w:p>
    <w:p w:rsidR="00D35F8F" w:rsidRPr="007F4A4A" w:rsidRDefault="00D35F8F" w:rsidP="00B3605F">
      <w:pPr>
        <w:spacing w:after="0" w:line="240" w:lineRule="auto"/>
        <w:rPr>
          <w:rFonts w:eastAsia="Times New Roman" w:cs="Arial"/>
        </w:rPr>
      </w:pPr>
    </w:p>
    <w:p w:rsidR="00350424" w:rsidRPr="007F4A4A" w:rsidRDefault="00350424" w:rsidP="00B3605F">
      <w:pPr>
        <w:spacing w:after="0" w:line="240" w:lineRule="auto"/>
      </w:pPr>
      <w:r w:rsidRPr="007F4A4A">
        <w:t xml:space="preserve">Department of Health (2000). </w:t>
      </w:r>
      <w:r w:rsidRPr="007F4A4A">
        <w:rPr>
          <w:i/>
        </w:rPr>
        <w:t>An Organisation with a Memory</w:t>
      </w:r>
      <w:r w:rsidRPr="007F4A4A">
        <w:t>. London: Stationery Office.</w:t>
      </w:r>
    </w:p>
    <w:p w:rsidR="006E7262" w:rsidRPr="007F4A4A" w:rsidRDefault="006E7262" w:rsidP="00B3605F">
      <w:pPr>
        <w:spacing w:after="0" w:line="240" w:lineRule="auto"/>
      </w:pPr>
    </w:p>
    <w:p w:rsidR="006E7262" w:rsidRDefault="007F4A4A" w:rsidP="00B3605F">
      <w:pPr>
        <w:spacing w:after="0" w:line="240" w:lineRule="auto"/>
        <w:rPr>
          <w:rFonts w:ascii="Arial" w:hAnsi="Arial" w:cs="Arial"/>
          <w:color w:val="222222"/>
          <w:sz w:val="20"/>
          <w:szCs w:val="20"/>
          <w:shd w:val="clear" w:color="auto" w:fill="FFFFFF"/>
        </w:rPr>
      </w:pPr>
      <w:r w:rsidRPr="00B04869">
        <w:rPr>
          <w:rFonts w:ascii="Arial" w:hAnsi="Arial" w:cs="Arial"/>
          <w:color w:val="222222"/>
          <w:sz w:val="20"/>
          <w:szCs w:val="20"/>
          <w:shd w:val="clear" w:color="auto" w:fill="FFFFFF"/>
        </w:rPr>
        <w:t xml:space="preserve">Fonteyn, M. E., </w:t>
      </w:r>
      <w:proofErr w:type="spellStart"/>
      <w:r w:rsidRPr="00B04869">
        <w:rPr>
          <w:rFonts w:ascii="Arial" w:hAnsi="Arial" w:cs="Arial"/>
          <w:color w:val="222222"/>
          <w:sz w:val="20"/>
          <w:szCs w:val="20"/>
          <w:shd w:val="clear" w:color="auto" w:fill="FFFFFF"/>
        </w:rPr>
        <w:t>Kuipers</w:t>
      </w:r>
      <w:proofErr w:type="spellEnd"/>
      <w:r w:rsidRPr="00B04869">
        <w:rPr>
          <w:rFonts w:ascii="Arial" w:hAnsi="Arial" w:cs="Arial"/>
          <w:color w:val="222222"/>
          <w:sz w:val="20"/>
          <w:szCs w:val="20"/>
          <w:shd w:val="clear" w:color="auto" w:fill="FFFFFF"/>
        </w:rPr>
        <w:t xml:space="preserve">, B., &amp; </w:t>
      </w:r>
      <w:proofErr w:type="spellStart"/>
      <w:r w:rsidRPr="00B04869">
        <w:rPr>
          <w:rFonts w:ascii="Arial" w:hAnsi="Arial" w:cs="Arial"/>
          <w:color w:val="222222"/>
          <w:sz w:val="20"/>
          <w:szCs w:val="20"/>
          <w:shd w:val="clear" w:color="auto" w:fill="FFFFFF"/>
        </w:rPr>
        <w:t>Grobe</w:t>
      </w:r>
      <w:proofErr w:type="spellEnd"/>
      <w:r w:rsidRPr="00B04869">
        <w:rPr>
          <w:rFonts w:ascii="Arial" w:hAnsi="Arial" w:cs="Arial"/>
          <w:color w:val="222222"/>
          <w:sz w:val="20"/>
          <w:szCs w:val="20"/>
          <w:shd w:val="clear" w:color="auto" w:fill="FFFFFF"/>
        </w:rPr>
        <w:t>, S. J. (1993). A description of think aloud method and protocol analysis. </w:t>
      </w:r>
      <w:r w:rsidRPr="00B04869">
        <w:rPr>
          <w:rFonts w:ascii="Arial" w:hAnsi="Arial" w:cs="Arial"/>
          <w:i/>
          <w:iCs/>
          <w:color w:val="222222"/>
          <w:sz w:val="20"/>
          <w:szCs w:val="20"/>
          <w:shd w:val="clear" w:color="auto" w:fill="FFFFFF"/>
        </w:rPr>
        <w:t>Qualitative health research</w:t>
      </w:r>
      <w:r w:rsidRPr="00B04869">
        <w:rPr>
          <w:rFonts w:ascii="Arial" w:hAnsi="Arial" w:cs="Arial"/>
          <w:color w:val="222222"/>
          <w:sz w:val="20"/>
          <w:szCs w:val="20"/>
          <w:shd w:val="clear" w:color="auto" w:fill="FFFFFF"/>
        </w:rPr>
        <w:t>, </w:t>
      </w:r>
      <w:r w:rsidRPr="00B04869">
        <w:rPr>
          <w:rFonts w:ascii="Arial" w:hAnsi="Arial" w:cs="Arial"/>
          <w:i/>
          <w:iCs/>
          <w:color w:val="222222"/>
          <w:sz w:val="20"/>
          <w:szCs w:val="20"/>
          <w:shd w:val="clear" w:color="auto" w:fill="FFFFFF"/>
        </w:rPr>
        <w:t>3</w:t>
      </w:r>
      <w:r w:rsidRPr="00B04869">
        <w:rPr>
          <w:rFonts w:ascii="Arial" w:hAnsi="Arial" w:cs="Arial"/>
          <w:color w:val="222222"/>
          <w:sz w:val="20"/>
          <w:szCs w:val="20"/>
          <w:shd w:val="clear" w:color="auto" w:fill="FFFFFF"/>
        </w:rPr>
        <w:t xml:space="preserve">(4), 430-441. Available at: </w:t>
      </w:r>
      <w:hyperlink r:id="rId6" w:history="1">
        <w:r w:rsidRPr="00B04869">
          <w:rPr>
            <w:rStyle w:val="Hyperlink"/>
            <w:rFonts w:ascii="Arial" w:hAnsi="Arial" w:cs="Arial"/>
            <w:color w:val="006ACC"/>
            <w:sz w:val="21"/>
            <w:szCs w:val="21"/>
            <w:shd w:val="clear" w:color="auto" w:fill="FFFFFF"/>
          </w:rPr>
          <w:t>https://doi.org/10.1177/104973239300300403</w:t>
        </w:r>
      </w:hyperlink>
    </w:p>
    <w:p w:rsidR="007F4A4A" w:rsidRPr="007F4A4A" w:rsidRDefault="007F4A4A" w:rsidP="00B3605F">
      <w:pPr>
        <w:spacing w:after="0" w:line="240" w:lineRule="auto"/>
      </w:pPr>
    </w:p>
    <w:p w:rsidR="002A20A0" w:rsidRPr="007F4A4A" w:rsidRDefault="002A20A0" w:rsidP="00B3605F">
      <w:pPr>
        <w:spacing w:after="0" w:line="240" w:lineRule="auto"/>
        <w:rPr>
          <w:rFonts w:cs="Arial"/>
        </w:rPr>
      </w:pPr>
      <w:r w:rsidRPr="007F4A4A">
        <w:rPr>
          <w:rFonts w:cs="Arial"/>
        </w:rPr>
        <w:t xml:space="preserve">Health and Care Professions Council (2017) Standards of education and training guidance.  Available online at: </w:t>
      </w:r>
      <w:hyperlink r:id="rId7" w:history="1">
        <w:r w:rsidRPr="007F4A4A">
          <w:rPr>
            <w:rStyle w:val="Hyperlink"/>
            <w:rFonts w:cs="Arial"/>
            <w:color w:val="auto"/>
          </w:rPr>
          <w:t>https://www.hcpc-uk.org/assets/documents/10001A9DStandardsofeducationand</w:t>
        </w:r>
      </w:hyperlink>
      <w:r w:rsidRPr="007F4A4A">
        <w:rPr>
          <w:rFonts w:cs="Arial"/>
        </w:rPr>
        <w:t>trainingguidanceforeducationproviders.pdf (Accessed: June 2019).</w:t>
      </w:r>
    </w:p>
    <w:p w:rsidR="002A20A0" w:rsidRPr="007F4A4A" w:rsidRDefault="002A20A0" w:rsidP="00B3605F">
      <w:pPr>
        <w:spacing w:after="0" w:line="240" w:lineRule="auto"/>
        <w:rPr>
          <w:rFonts w:cs="Arial"/>
        </w:rPr>
      </w:pPr>
    </w:p>
    <w:p w:rsidR="006E7262" w:rsidRPr="007F4A4A" w:rsidRDefault="006E7262" w:rsidP="00B3605F">
      <w:pPr>
        <w:spacing w:after="0" w:line="240" w:lineRule="auto"/>
      </w:pPr>
      <w:r w:rsidRPr="007F4A4A">
        <w:t>Office for Students (2018) - Available at: https://www.officeforstudents.org.uk/media/14f84fe4-47c4-47c3-a125-559feed1f712/mature-students-and-nmah-courses-report.pdf (accessed on 9 July 2019</w:t>
      </w:r>
      <w:r w:rsidR="0008467B" w:rsidRPr="007F4A4A">
        <w:t>)</w:t>
      </w:r>
    </w:p>
    <w:p w:rsidR="00A544EB" w:rsidRPr="007F4A4A" w:rsidRDefault="00A544EB" w:rsidP="00B3605F">
      <w:pPr>
        <w:spacing w:after="0" w:line="240" w:lineRule="auto"/>
      </w:pPr>
    </w:p>
    <w:p w:rsidR="00A544EB" w:rsidRPr="007F4A4A" w:rsidRDefault="00A544EB" w:rsidP="00B3605F">
      <w:pPr>
        <w:spacing w:after="0" w:line="240" w:lineRule="auto"/>
      </w:pPr>
      <w:r w:rsidRPr="007F4A4A">
        <w:lastRenderedPageBreak/>
        <w:t xml:space="preserve">Linn, A., </w:t>
      </w:r>
      <w:proofErr w:type="spellStart"/>
      <w:r w:rsidRPr="007F4A4A">
        <w:t>Khaw</w:t>
      </w:r>
      <w:proofErr w:type="spellEnd"/>
      <w:r w:rsidRPr="007F4A4A">
        <w:t xml:space="preserve">, C., </w:t>
      </w:r>
      <w:proofErr w:type="spellStart"/>
      <w:r w:rsidRPr="007F4A4A">
        <w:t>Kildea</w:t>
      </w:r>
      <w:proofErr w:type="spellEnd"/>
      <w:r w:rsidRPr="007F4A4A">
        <w:t xml:space="preserve">, H.  &amp; Tonkin, A. (2012) Clinical </w:t>
      </w:r>
      <w:r w:rsidR="002A20A0" w:rsidRPr="007F4A4A">
        <w:t>Reasoning: A</w:t>
      </w:r>
      <w:r w:rsidRPr="007F4A4A">
        <w:t xml:space="preserve"> guide to improving teaching and practice. </w:t>
      </w:r>
      <w:r w:rsidRPr="007F4A4A">
        <w:rPr>
          <w:i/>
        </w:rPr>
        <w:t xml:space="preserve">Australian Family Physician. </w:t>
      </w:r>
      <w:r w:rsidRPr="007F4A4A">
        <w:t>41(1), pp. 18-20</w:t>
      </w:r>
    </w:p>
    <w:p w:rsidR="00A544EB" w:rsidRPr="007F4A4A" w:rsidRDefault="00A544EB" w:rsidP="00B3605F">
      <w:pPr>
        <w:spacing w:after="0" w:line="240" w:lineRule="auto"/>
        <w:rPr>
          <w:rFonts w:cs="Arial"/>
          <w:color w:val="333333"/>
          <w:shd w:val="clear" w:color="auto" w:fill="CBCBCB"/>
        </w:rPr>
      </w:pPr>
    </w:p>
    <w:p w:rsidR="00130CDA" w:rsidRPr="007F4A4A" w:rsidRDefault="00130CDA" w:rsidP="00B3605F">
      <w:pPr>
        <w:spacing w:after="0" w:line="240" w:lineRule="auto"/>
      </w:pPr>
      <w:r w:rsidRPr="007F4A4A">
        <w:t xml:space="preserve">NHS Resolution (2018) </w:t>
      </w:r>
      <w:r w:rsidRPr="007F4A4A">
        <w:rPr>
          <w:i/>
        </w:rPr>
        <w:t>Annual Report and Accounts 2017/18</w:t>
      </w:r>
      <w:r w:rsidR="00880CA1" w:rsidRPr="007F4A4A">
        <w:rPr>
          <w:i/>
        </w:rPr>
        <w:t xml:space="preserve">. </w:t>
      </w:r>
      <w:r w:rsidR="00880CA1" w:rsidRPr="007F4A4A">
        <w:t>London: Stationery Office.</w:t>
      </w:r>
    </w:p>
    <w:p w:rsidR="007E08C7" w:rsidRPr="007F4A4A" w:rsidRDefault="007E08C7" w:rsidP="00B3605F">
      <w:pPr>
        <w:spacing w:after="0" w:line="240" w:lineRule="auto"/>
      </w:pPr>
    </w:p>
    <w:p w:rsidR="00346673" w:rsidRPr="007F4A4A" w:rsidRDefault="007E08C7" w:rsidP="00B3605F">
      <w:pPr>
        <w:spacing w:after="0" w:line="240" w:lineRule="auto"/>
        <w:rPr>
          <w:rFonts w:ascii="Arial" w:hAnsi="Arial" w:cs="Arial"/>
          <w:sz w:val="20"/>
          <w:szCs w:val="20"/>
          <w:shd w:val="clear" w:color="auto" w:fill="CBCBCB"/>
        </w:rPr>
      </w:pPr>
      <w:r w:rsidRPr="007F4A4A">
        <w:rPr>
          <w:rFonts w:ascii="Arial" w:hAnsi="Arial" w:cs="Arial"/>
          <w:sz w:val="20"/>
          <w:szCs w:val="20"/>
          <w:shd w:val="clear" w:color="auto" w:fill="CBCBCB"/>
        </w:rPr>
        <w:t>The NHS Staff Council (2016). </w:t>
      </w:r>
      <w:r w:rsidRPr="007F4A4A">
        <w:rPr>
          <w:rFonts w:ascii="Arial" w:hAnsi="Arial" w:cs="Arial"/>
          <w:i/>
          <w:iCs/>
          <w:sz w:val="20"/>
          <w:szCs w:val="20"/>
        </w:rPr>
        <w:t>Implementation of the new Band 6 Paramedic Profile in Ambulance Trusts in England</w:t>
      </w:r>
      <w:r w:rsidRPr="007F4A4A">
        <w:rPr>
          <w:rFonts w:ascii="Arial" w:hAnsi="Arial" w:cs="Arial"/>
          <w:sz w:val="20"/>
          <w:szCs w:val="20"/>
          <w:shd w:val="clear" w:color="auto" w:fill="CBCBCB"/>
        </w:rPr>
        <w:t>. Press release, issued 21 November 2016</w:t>
      </w:r>
    </w:p>
    <w:p w:rsidR="007E08C7" w:rsidRPr="007F4A4A" w:rsidRDefault="007E08C7" w:rsidP="00B3605F">
      <w:pPr>
        <w:spacing w:after="0" w:line="240" w:lineRule="auto"/>
      </w:pPr>
    </w:p>
    <w:p w:rsidR="00346673" w:rsidRPr="007F4A4A" w:rsidRDefault="00346673" w:rsidP="00B3605F">
      <w:pPr>
        <w:spacing w:after="0" w:line="240" w:lineRule="auto"/>
        <w:rPr>
          <w:i/>
          <w:iCs/>
        </w:rPr>
      </w:pPr>
      <w:proofErr w:type="spellStart"/>
      <w:r w:rsidRPr="007F4A4A">
        <w:t>Panagioti</w:t>
      </w:r>
      <w:proofErr w:type="spellEnd"/>
      <w:r w:rsidRPr="007F4A4A">
        <w:t xml:space="preserve">, M., Khan, K., </w:t>
      </w:r>
      <w:proofErr w:type="spellStart"/>
      <w:r w:rsidRPr="007F4A4A">
        <w:t>Keers</w:t>
      </w:r>
      <w:proofErr w:type="spellEnd"/>
      <w:r w:rsidRPr="007F4A4A">
        <w:t xml:space="preserve">, R., </w:t>
      </w:r>
      <w:proofErr w:type="spellStart"/>
      <w:r w:rsidRPr="007F4A4A">
        <w:t>Abuzour</w:t>
      </w:r>
      <w:proofErr w:type="spellEnd"/>
      <w:r w:rsidRPr="007F4A4A">
        <w:t>, A., Phipps, D., Bower, P., Avery, T. and Ashcroft, D. (2017) ‘Preventable Patient Harm across Health Care Services: A systemic review and meta-analysis, A Report for the General Medical Council.</w:t>
      </w:r>
    </w:p>
    <w:p w:rsidR="006E7262" w:rsidRPr="007F4A4A" w:rsidRDefault="006E7262" w:rsidP="00B3605F">
      <w:pPr>
        <w:spacing w:after="0" w:line="240" w:lineRule="auto"/>
        <w:rPr>
          <w:i/>
        </w:rPr>
      </w:pPr>
    </w:p>
    <w:p w:rsidR="00DC5B87" w:rsidRPr="007F4A4A" w:rsidRDefault="00DC5B87" w:rsidP="00B3605F">
      <w:pPr>
        <w:spacing w:after="0" w:line="240" w:lineRule="auto"/>
      </w:pPr>
      <w:r w:rsidRPr="007F4A4A">
        <w:t xml:space="preserve">Pinnock, R., Young, L., Spence, F., Henning, M. and Hazell, W. (2015) ‘Can </w:t>
      </w:r>
      <w:r w:rsidRPr="007F4A4A">
        <w:rPr>
          <w:i/>
        </w:rPr>
        <w:t>think aloud</w:t>
      </w:r>
      <w:r w:rsidR="006E7262" w:rsidRPr="007F4A4A">
        <w:t xml:space="preserve"> be used to </w:t>
      </w:r>
      <w:r w:rsidRPr="007F4A4A">
        <w:t xml:space="preserve">teach and assess clinical reasoning in graduate medical education?’ </w:t>
      </w:r>
      <w:r w:rsidRPr="007F4A4A">
        <w:rPr>
          <w:i/>
        </w:rPr>
        <w:t xml:space="preserve">J Grad Med </w:t>
      </w:r>
      <w:proofErr w:type="spellStart"/>
      <w:r w:rsidRPr="007F4A4A">
        <w:rPr>
          <w:i/>
        </w:rPr>
        <w:t>Educ</w:t>
      </w:r>
      <w:proofErr w:type="spellEnd"/>
      <w:r w:rsidRPr="007F4A4A">
        <w:t>, 7(3): 334-7.</w:t>
      </w:r>
    </w:p>
    <w:p w:rsidR="006E7262" w:rsidRPr="007F4A4A" w:rsidRDefault="006E7262" w:rsidP="00B3605F">
      <w:pPr>
        <w:spacing w:after="0" w:line="240" w:lineRule="auto"/>
      </w:pPr>
    </w:p>
    <w:p w:rsidR="002A20A0" w:rsidRPr="007F4A4A" w:rsidRDefault="002A20A0" w:rsidP="002A20A0">
      <w:pPr>
        <w:spacing w:line="276" w:lineRule="auto"/>
        <w:rPr>
          <w:rFonts w:cs="Arial"/>
        </w:rPr>
      </w:pPr>
      <w:r w:rsidRPr="007F4A4A">
        <w:rPr>
          <w:rFonts w:cs="Arial"/>
        </w:rPr>
        <w:t xml:space="preserve">Quality Assurance Agency for Higher Education (2016). Subject Benchmark Statement- Paramedics. Available at:  </w:t>
      </w:r>
      <w:hyperlink r:id="rId8" w:history="1">
        <w:r w:rsidRPr="007F4A4A">
          <w:rPr>
            <w:rStyle w:val="Hyperlink"/>
            <w:rFonts w:cs="Arial"/>
            <w:color w:val="auto"/>
          </w:rPr>
          <w:t>https://www.qaa.ac.uk/docs/qaa/subject-benchmark-statements/sbs-paramedics-16.pdf?sfvrsn=9594f781_12</w:t>
        </w:r>
      </w:hyperlink>
      <w:r w:rsidRPr="007F4A4A">
        <w:rPr>
          <w:rFonts w:cs="Arial"/>
        </w:rPr>
        <w:t xml:space="preserve"> Accessed: June 2019</w:t>
      </w:r>
    </w:p>
    <w:p w:rsidR="002A20A0" w:rsidRPr="007F4A4A" w:rsidRDefault="002A20A0" w:rsidP="00B3605F">
      <w:pPr>
        <w:spacing w:after="0" w:line="240" w:lineRule="auto"/>
      </w:pPr>
    </w:p>
    <w:p w:rsidR="00E00E54" w:rsidRPr="007F4A4A" w:rsidRDefault="00E00E54" w:rsidP="00B3605F">
      <w:pPr>
        <w:spacing w:after="0" w:line="240" w:lineRule="auto"/>
      </w:pPr>
      <w:r w:rsidRPr="007F4A4A">
        <w:t xml:space="preserve">Simmons, B., </w:t>
      </w:r>
      <w:proofErr w:type="spellStart"/>
      <w:r w:rsidRPr="007F4A4A">
        <w:t>Lanuza</w:t>
      </w:r>
      <w:proofErr w:type="spellEnd"/>
      <w:r w:rsidRPr="007F4A4A">
        <w:t xml:space="preserve">, D., Fonteyn, M., Hicks, F., Holm, K. (2003) ‘Clinical reasoning in experienced nurses’, </w:t>
      </w:r>
      <w:r w:rsidRPr="007F4A4A">
        <w:rPr>
          <w:i/>
        </w:rPr>
        <w:t>Western Journal of Nursing Research</w:t>
      </w:r>
      <w:r w:rsidRPr="007F4A4A">
        <w:t>, 25(6): 701-719.</w:t>
      </w:r>
    </w:p>
    <w:p w:rsidR="006E7262" w:rsidRPr="007F4A4A" w:rsidRDefault="006E7262" w:rsidP="00B3605F">
      <w:pPr>
        <w:spacing w:after="0" w:line="240" w:lineRule="auto"/>
      </w:pPr>
    </w:p>
    <w:p w:rsidR="00144AE5" w:rsidRPr="007F4A4A" w:rsidRDefault="00144AE5" w:rsidP="00B3605F">
      <w:pPr>
        <w:spacing w:after="0" w:line="240" w:lineRule="auto"/>
      </w:pPr>
      <w:r w:rsidRPr="007F4A4A">
        <w:t xml:space="preserve">Trace, C and </w:t>
      </w:r>
      <w:proofErr w:type="spellStart"/>
      <w:r w:rsidRPr="007F4A4A">
        <w:t>Tisdall</w:t>
      </w:r>
      <w:proofErr w:type="spellEnd"/>
      <w:r w:rsidRPr="007F4A4A">
        <w:t>, D. (2018) ‘Virtual case creation to enhanc</w:t>
      </w:r>
      <w:r w:rsidR="006E7262" w:rsidRPr="007F4A4A">
        <w:t xml:space="preserve">e clinical reasoning teaching’, </w:t>
      </w:r>
      <w:r w:rsidRPr="007F4A4A">
        <w:t>Proceedings of the VSC Veterinary Education Symposium (</w:t>
      </w:r>
      <w:proofErr w:type="spellStart"/>
      <w:r w:rsidRPr="007F4A4A">
        <w:t>VetEd</w:t>
      </w:r>
      <w:proofErr w:type="spellEnd"/>
      <w:r w:rsidRPr="007F4A4A">
        <w:t>) 2018 Veterinary Schools Council (VSC).</w:t>
      </w:r>
    </w:p>
    <w:p w:rsidR="006E7262" w:rsidRPr="007F4A4A" w:rsidRDefault="006E7262" w:rsidP="00B3605F">
      <w:pPr>
        <w:spacing w:after="0" w:line="240" w:lineRule="auto"/>
      </w:pPr>
    </w:p>
    <w:p w:rsidR="0008467B" w:rsidRPr="004C10F5" w:rsidRDefault="0008467B" w:rsidP="0008467B">
      <w:r w:rsidRPr="007F4A4A">
        <w:t>University of Surrey (2018,). Ethics Handbook for Teaching and Research. Guildford. Available from: &lt;https://www.surrey.ac.uk/sites/default/files/2018-03/Ethics-Handbook-version-3.2.pdf&gt;. Accessed: 9 July 2019.</w:t>
      </w:r>
    </w:p>
    <w:p w:rsidR="00144AE5" w:rsidRDefault="00144AE5" w:rsidP="00B3605F">
      <w:pPr>
        <w:spacing w:after="0" w:line="240" w:lineRule="auto"/>
      </w:pPr>
    </w:p>
    <w:p w:rsidR="007F4A4A" w:rsidRDefault="007F4A4A" w:rsidP="00B3605F">
      <w:pPr>
        <w:spacing w:after="0" w:line="240" w:lineRule="auto"/>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Default="007F4A4A" w:rsidP="00B3605F">
      <w:pPr>
        <w:spacing w:after="0" w:line="240" w:lineRule="auto"/>
        <w:rPr>
          <w:b/>
          <w:highlight w:val="yellow"/>
          <w:u w:val="single"/>
        </w:rPr>
      </w:pPr>
    </w:p>
    <w:p w:rsidR="007F4A4A" w:rsidRPr="00B04869" w:rsidRDefault="007F4A4A" w:rsidP="00B3605F">
      <w:pPr>
        <w:spacing w:after="0" w:line="240" w:lineRule="auto"/>
        <w:rPr>
          <w:b/>
          <w:u w:val="single"/>
        </w:rPr>
      </w:pPr>
      <w:r w:rsidRPr="00B04869">
        <w:rPr>
          <w:b/>
          <w:u w:val="single"/>
        </w:rPr>
        <w:lastRenderedPageBreak/>
        <w:t xml:space="preserve">Appendix 1- Question Set </w:t>
      </w:r>
    </w:p>
    <w:p w:rsidR="007F4A4A" w:rsidRPr="00B04869" w:rsidRDefault="007F4A4A" w:rsidP="00B3605F">
      <w:pPr>
        <w:spacing w:after="0" w:line="240" w:lineRule="auto"/>
      </w:pPr>
    </w:p>
    <w:p w:rsidR="007F4A4A" w:rsidRPr="00B04869" w:rsidRDefault="007F4A4A" w:rsidP="007F4A4A">
      <w:pPr>
        <w:rPr>
          <w:b/>
          <w:lang w:eastAsia="en-GB"/>
        </w:rPr>
      </w:pPr>
      <w:r w:rsidRPr="00B04869">
        <w:rPr>
          <w:b/>
          <w:lang w:eastAsia="en-GB"/>
        </w:rPr>
        <w:t>All questions aside cohort demographics (Q1 &amp;Q2) permitted free text answers;</w:t>
      </w:r>
    </w:p>
    <w:p w:rsidR="007F4A4A" w:rsidRPr="00B04869" w:rsidRDefault="007F4A4A" w:rsidP="007F4A4A">
      <w:pPr>
        <w:rPr>
          <w:lang w:eastAsia="en-GB"/>
        </w:rPr>
      </w:pPr>
      <w:r w:rsidRPr="00B04869">
        <w:rPr>
          <w:lang w:eastAsia="en-GB"/>
        </w:rPr>
        <w:t>1. Gender of Participant</w:t>
      </w:r>
    </w:p>
    <w:p w:rsidR="007F4A4A" w:rsidRPr="00B04869" w:rsidRDefault="007F4A4A" w:rsidP="007F4A4A">
      <w:pPr>
        <w:rPr>
          <w:lang w:eastAsia="en-GB"/>
        </w:rPr>
      </w:pPr>
      <w:r w:rsidRPr="00B04869">
        <w:rPr>
          <w:lang w:eastAsia="en-GB"/>
        </w:rPr>
        <w:t>2. Age of Participant</w:t>
      </w:r>
    </w:p>
    <w:p w:rsidR="007F4A4A" w:rsidRPr="00B04869" w:rsidRDefault="007F4A4A" w:rsidP="007F4A4A">
      <w:pPr>
        <w:rPr>
          <w:lang w:eastAsia="en-GB"/>
        </w:rPr>
      </w:pPr>
      <w:r w:rsidRPr="00B04869">
        <w:rPr>
          <w:lang w:eastAsia="en-GB"/>
        </w:rPr>
        <w:t>3. Did you enjoy the exercise?</w:t>
      </w:r>
    </w:p>
    <w:p w:rsidR="007F4A4A" w:rsidRPr="00B04869" w:rsidRDefault="007F4A4A" w:rsidP="007F4A4A">
      <w:pPr>
        <w:rPr>
          <w:lang w:eastAsia="en-GB"/>
        </w:rPr>
      </w:pPr>
      <w:r w:rsidRPr="00B04869">
        <w:rPr>
          <w:lang w:eastAsia="en-GB"/>
        </w:rPr>
        <w:t>4. Did you find the exercise and the case easy to navigate?</w:t>
      </w:r>
    </w:p>
    <w:p w:rsidR="007F4A4A" w:rsidRPr="00B04869" w:rsidRDefault="007F4A4A" w:rsidP="007F4A4A">
      <w:pPr>
        <w:rPr>
          <w:lang w:eastAsia="en-GB"/>
        </w:rPr>
      </w:pPr>
      <w:r w:rsidRPr="00B04869">
        <w:rPr>
          <w:lang w:eastAsia="en-GB"/>
        </w:rPr>
        <w:t>5. To what extent did you consciously think of your clinical reasoning prior to this exercise?</w:t>
      </w:r>
    </w:p>
    <w:p w:rsidR="007F4A4A" w:rsidRPr="00B04869" w:rsidRDefault="007F4A4A" w:rsidP="007F4A4A">
      <w:pPr>
        <w:rPr>
          <w:lang w:eastAsia="en-GB"/>
        </w:rPr>
      </w:pPr>
      <w:r w:rsidRPr="00B04869">
        <w:rPr>
          <w:lang w:eastAsia="en-GB"/>
        </w:rPr>
        <w:t>6. To what extent do you agree with the statement "this exercise has developed my awareness of how information and cues affect my clinical reasoning during patient encounters"?</w:t>
      </w:r>
    </w:p>
    <w:p w:rsidR="007F4A4A" w:rsidRPr="00B04869" w:rsidRDefault="007F4A4A" w:rsidP="007F4A4A">
      <w:pPr>
        <w:rPr>
          <w:color w:val="333E48"/>
          <w:sz w:val="24"/>
          <w:szCs w:val="24"/>
          <w:lang w:eastAsia="en-GB"/>
        </w:rPr>
      </w:pPr>
      <w:r w:rsidRPr="00B04869">
        <w:rPr>
          <w:lang w:eastAsia="en-GB"/>
        </w:rPr>
        <w:t>7. In what way did the exercise allow you to explore your clinical reasoning and thought processes as you looked at the case?</w:t>
      </w:r>
    </w:p>
    <w:p w:rsidR="007F4A4A" w:rsidRPr="00B04869" w:rsidRDefault="007F4A4A" w:rsidP="007F4A4A">
      <w:pPr>
        <w:rPr>
          <w:color w:val="333E48"/>
          <w:sz w:val="24"/>
          <w:szCs w:val="24"/>
          <w:lang w:eastAsia="en-GB"/>
        </w:rPr>
      </w:pPr>
      <w:r w:rsidRPr="00B04869">
        <w:rPr>
          <w:lang w:eastAsia="en-GB"/>
        </w:rPr>
        <w:t>8. Do you feel that the exercise allowed you to develop an awareness of your own potential bias or anchoring points within a patient encounter? If so how?</w:t>
      </w:r>
      <w:r w:rsidRPr="00B04869">
        <w:rPr>
          <w:color w:val="333E48"/>
          <w:sz w:val="24"/>
          <w:szCs w:val="24"/>
          <w:lang w:eastAsia="en-GB"/>
        </w:rPr>
        <w:t xml:space="preserve"> </w:t>
      </w:r>
    </w:p>
    <w:p w:rsidR="007F4A4A" w:rsidRPr="00B04869" w:rsidRDefault="007F4A4A" w:rsidP="007F4A4A">
      <w:pPr>
        <w:rPr>
          <w:color w:val="333E48"/>
          <w:sz w:val="24"/>
          <w:szCs w:val="24"/>
          <w:lang w:eastAsia="en-GB"/>
        </w:rPr>
      </w:pPr>
      <w:r w:rsidRPr="00B04869">
        <w:rPr>
          <w:lang w:eastAsia="en-GB"/>
        </w:rPr>
        <w:t>9. Do you feel that repeating this exercise at multiple stages within your course would be beneficial?</w:t>
      </w:r>
      <w:r w:rsidRPr="00B04869">
        <w:rPr>
          <w:color w:val="333E48"/>
          <w:sz w:val="24"/>
          <w:szCs w:val="24"/>
          <w:lang w:eastAsia="en-GB"/>
        </w:rPr>
        <w:t xml:space="preserve"> </w:t>
      </w:r>
    </w:p>
    <w:p w:rsidR="007F4A4A" w:rsidRPr="006F33B3" w:rsidRDefault="007F4A4A" w:rsidP="007F4A4A">
      <w:pPr>
        <w:rPr>
          <w:color w:val="000000"/>
          <w:sz w:val="24"/>
          <w:szCs w:val="24"/>
          <w:lang w:eastAsia="en-GB"/>
        </w:rPr>
      </w:pPr>
      <w:r w:rsidRPr="00B04869">
        <w:rPr>
          <w:lang w:eastAsia="en-GB"/>
        </w:rPr>
        <w:t>10. What would change or adapt about the exercise?</w:t>
      </w:r>
      <w:bookmarkStart w:id="0" w:name="_GoBack"/>
      <w:bookmarkEnd w:id="0"/>
    </w:p>
    <w:p w:rsidR="007F4A4A" w:rsidRDefault="007F4A4A" w:rsidP="00B3605F">
      <w:pPr>
        <w:spacing w:after="0" w:line="240" w:lineRule="auto"/>
      </w:pPr>
    </w:p>
    <w:p w:rsidR="007F4A4A" w:rsidRPr="00130CDA" w:rsidRDefault="007F4A4A" w:rsidP="00B3605F">
      <w:pPr>
        <w:spacing w:after="0" w:line="240" w:lineRule="auto"/>
      </w:pPr>
    </w:p>
    <w:sectPr w:rsidR="007F4A4A" w:rsidRPr="00130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923A4"/>
    <w:multiLevelType w:val="hybridMultilevel"/>
    <w:tmpl w:val="F632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456311"/>
    <w:multiLevelType w:val="multilevel"/>
    <w:tmpl w:val="BDF4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26F83"/>
    <w:multiLevelType w:val="hybridMultilevel"/>
    <w:tmpl w:val="A47E2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40"/>
    <w:rsid w:val="000215BC"/>
    <w:rsid w:val="00026AAB"/>
    <w:rsid w:val="0005396F"/>
    <w:rsid w:val="00055CB7"/>
    <w:rsid w:val="0008467B"/>
    <w:rsid w:val="00091E40"/>
    <w:rsid w:val="000E25A3"/>
    <w:rsid w:val="00101636"/>
    <w:rsid w:val="00125E9B"/>
    <w:rsid w:val="00130CDA"/>
    <w:rsid w:val="00140649"/>
    <w:rsid w:val="00144AE5"/>
    <w:rsid w:val="001774D9"/>
    <w:rsid w:val="0018301D"/>
    <w:rsid w:val="001A5E8C"/>
    <w:rsid w:val="001D6055"/>
    <w:rsid w:val="001F5BCD"/>
    <w:rsid w:val="002024B4"/>
    <w:rsid w:val="00223415"/>
    <w:rsid w:val="00227819"/>
    <w:rsid w:val="002513E1"/>
    <w:rsid w:val="002A20A0"/>
    <w:rsid w:val="002A604D"/>
    <w:rsid w:val="00301A13"/>
    <w:rsid w:val="003365AC"/>
    <w:rsid w:val="00346673"/>
    <w:rsid w:val="00350424"/>
    <w:rsid w:val="003606DC"/>
    <w:rsid w:val="003A48C5"/>
    <w:rsid w:val="003C774C"/>
    <w:rsid w:val="003E0CF8"/>
    <w:rsid w:val="003E7362"/>
    <w:rsid w:val="003F7B8E"/>
    <w:rsid w:val="0041127C"/>
    <w:rsid w:val="0042059C"/>
    <w:rsid w:val="00420B25"/>
    <w:rsid w:val="00425ACE"/>
    <w:rsid w:val="00426470"/>
    <w:rsid w:val="0048792E"/>
    <w:rsid w:val="0049043F"/>
    <w:rsid w:val="004A3EC9"/>
    <w:rsid w:val="004C10F5"/>
    <w:rsid w:val="00511891"/>
    <w:rsid w:val="00541AB3"/>
    <w:rsid w:val="005B2953"/>
    <w:rsid w:val="005E335C"/>
    <w:rsid w:val="006343F8"/>
    <w:rsid w:val="006462C3"/>
    <w:rsid w:val="00665769"/>
    <w:rsid w:val="00666073"/>
    <w:rsid w:val="00693A8E"/>
    <w:rsid w:val="006A514A"/>
    <w:rsid w:val="006D139E"/>
    <w:rsid w:val="006E7262"/>
    <w:rsid w:val="006F512B"/>
    <w:rsid w:val="007015BE"/>
    <w:rsid w:val="007618F3"/>
    <w:rsid w:val="007D71CD"/>
    <w:rsid w:val="007E08C7"/>
    <w:rsid w:val="007F4A4A"/>
    <w:rsid w:val="0087592A"/>
    <w:rsid w:val="0088004B"/>
    <w:rsid w:val="00880CA1"/>
    <w:rsid w:val="008978D2"/>
    <w:rsid w:val="008F7B81"/>
    <w:rsid w:val="009749DB"/>
    <w:rsid w:val="00982EEF"/>
    <w:rsid w:val="00995F3B"/>
    <w:rsid w:val="009B0FBC"/>
    <w:rsid w:val="00A10FDC"/>
    <w:rsid w:val="00A544EB"/>
    <w:rsid w:val="00A605C9"/>
    <w:rsid w:val="00AA3B2C"/>
    <w:rsid w:val="00AB3E06"/>
    <w:rsid w:val="00AD6619"/>
    <w:rsid w:val="00AF4214"/>
    <w:rsid w:val="00B04869"/>
    <w:rsid w:val="00B20E8A"/>
    <w:rsid w:val="00B3605F"/>
    <w:rsid w:val="00B404E5"/>
    <w:rsid w:val="00B55DCE"/>
    <w:rsid w:val="00B65AC4"/>
    <w:rsid w:val="00B718E4"/>
    <w:rsid w:val="00C05EBD"/>
    <w:rsid w:val="00C87B34"/>
    <w:rsid w:val="00C97A9F"/>
    <w:rsid w:val="00CD451F"/>
    <w:rsid w:val="00D03E50"/>
    <w:rsid w:val="00D35F8F"/>
    <w:rsid w:val="00D50001"/>
    <w:rsid w:val="00D9731D"/>
    <w:rsid w:val="00DC5B87"/>
    <w:rsid w:val="00DD3E2E"/>
    <w:rsid w:val="00DF3E63"/>
    <w:rsid w:val="00E00E54"/>
    <w:rsid w:val="00E24965"/>
    <w:rsid w:val="00E475A2"/>
    <w:rsid w:val="00E8429D"/>
    <w:rsid w:val="00E91099"/>
    <w:rsid w:val="00EC7101"/>
    <w:rsid w:val="00F3428B"/>
    <w:rsid w:val="00F77C62"/>
    <w:rsid w:val="00FB3330"/>
    <w:rsid w:val="00FB650E"/>
    <w:rsid w:val="00FF1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ABEC0-A87C-416B-9344-68311B9F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4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aliases w:val="Heading C"/>
    <w:basedOn w:val="Normal"/>
    <w:next w:val="Normal"/>
    <w:link w:val="Heading3Char"/>
    <w:unhideWhenUsed/>
    <w:qFormat/>
    <w:rsid w:val="00FB3330"/>
    <w:pPr>
      <w:keepNext/>
      <w:keepLines/>
      <w:spacing w:before="200" w:after="0" w:line="300" w:lineRule="exact"/>
      <w:outlineLvl w:val="2"/>
    </w:pPr>
    <w:rPr>
      <w:rFonts w:asciiTheme="majorHAnsi" w:eastAsiaTheme="majorEastAsia" w:hAnsiTheme="majorHAnsi" w:cstheme="majorBidi"/>
      <w:b/>
      <w:bCs/>
      <w:color w:val="332A86"/>
      <w:szCs w:val="24"/>
    </w:rPr>
  </w:style>
  <w:style w:type="paragraph" w:styleId="Heading4">
    <w:name w:val="heading 4"/>
    <w:basedOn w:val="Normal"/>
    <w:next w:val="Normal"/>
    <w:link w:val="Heading4Char"/>
    <w:uiPriority w:val="9"/>
    <w:semiHidden/>
    <w:unhideWhenUsed/>
    <w:qFormat/>
    <w:rsid w:val="004264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514A"/>
    <w:rPr>
      <w:sz w:val="16"/>
      <w:szCs w:val="16"/>
    </w:rPr>
  </w:style>
  <w:style w:type="paragraph" w:styleId="CommentText">
    <w:name w:val="annotation text"/>
    <w:basedOn w:val="Normal"/>
    <w:link w:val="CommentTextChar"/>
    <w:unhideWhenUsed/>
    <w:rsid w:val="006A514A"/>
    <w:pPr>
      <w:spacing w:line="240" w:lineRule="auto"/>
    </w:pPr>
    <w:rPr>
      <w:sz w:val="20"/>
      <w:szCs w:val="20"/>
    </w:rPr>
  </w:style>
  <w:style w:type="character" w:customStyle="1" w:styleId="CommentTextChar">
    <w:name w:val="Comment Text Char"/>
    <w:basedOn w:val="DefaultParagraphFont"/>
    <w:link w:val="CommentText"/>
    <w:rsid w:val="006A514A"/>
    <w:rPr>
      <w:sz w:val="20"/>
      <w:szCs w:val="20"/>
    </w:rPr>
  </w:style>
  <w:style w:type="paragraph" w:styleId="CommentSubject">
    <w:name w:val="annotation subject"/>
    <w:basedOn w:val="CommentText"/>
    <w:next w:val="CommentText"/>
    <w:link w:val="CommentSubjectChar"/>
    <w:uiPriority w:val="99"/>
    <w:semiHidden/>
    <w:unhideWhenUsed/>
    <w:rsid w:val="006A514A"/>
    <w:rPr>
      <w:b/>
      <w:bCs/>
    </w:rPr>
  </w:style>
  <w:style w:type="character" w:customStyle="1" w:styleId="CommentSubjectChar">
    <w:name w:val="Comment Subject Char"/>
    <w:basedOn w:val="CommentTextChar"/>
    <w:link w:val="CommentSubject"/>
    <w:uiPriority w:val="99"/>
    <w:semiHidden/>
    <w:rsid w:val="006A514A"/>
    <w:rPr>
      <w:b/>
      <w:bCs/>
      <w:sz w:val="20"/>
      <w:szCs w:val="20"/>
    </w:rPr>
  </w:style>
  <w:style w:type="paragraph" w:styleId="BalloonText">
    <w:name w:val="Balloon Text"/>
    <w:basedOn w:val="Normal"/>
    <w:link w:val="BalloonTextChar"/>
    <w:uiPriority w:val="99"/>
    <w:semiHidden/>
    <w:unhideWhenUsed/>
    <w:rsid w:val="006A5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14A"/>
    <w:rPr>
      <w:rFonts w:ascii="Segoe UI" w:hAnsi="Segoe UI" w:cs="Segoe UI"/>
      <w:sz w:val="18"/>
      <w:szCs w:val="18"/>
    </w:rPr>
  </w:style>
  <w:style w:type="paragraph" w:styleId="ListParagraph">
    <w:name w:val="List Paragraph"/>
    <w:basedOn w:val="Normal"/>
    <w:uiPriority w:val="34"/>
    <w:qFormat/>
    <w:rsid w:val="00FB3330"/>
    <w:pPr>
      <w:spacing w:after="200" w:line="276" w:lineRule="auto"/>
      <w:ind w:left="720"/>
      <w:contextualSpacing/>
    </w:pPr>
  </w:style>
  <w:style w:type="character" w:customStyle="1" w:styleId="Heading3Char">
    <w:name w:val="Heading 3 Char"/>
    <w:aliases w:val="Heading C Char"/>
    <w:basedOn w:val="DefaultParagraphFont"/>
    <w:link w:val="Heading3"/>
    <w:rsid w:val="00FB3330"/>
    <w:rPr>
      <w:rFonts w:asciiTheme="majorHAnsi" w:eastAsiaTheme="majorEastAsia" w:hAnsiTheme="majorHAnsi" w:cstheme="majorBidi"/>
      <w:b/>
      <w:bCs/>
      <w:color w:val="332A86"/>
      <w:szCs w:val="24"/>
    </w:rPr>
  </w:style>
  <w:style w:type="character" w:styleId="Hyperlink">
    <w:name w:val="Hyperlink"/>
    <w:basedOn w:val="DefaultParagraphFont"/>
    <w:uiPriority w:val="99"/>
    <w:unhideWhenUsed/>
    <w:rsid w:val="00426470"/>
    <w:rPr>
      <w:color w:val="0000FF"/>
      <w:u w:val="single"/>
    </w:rPr>
  </w:style>
  <w:style w:type="character" w:customStyle="1" w:styleId="Heading1Char">
    <w:name w:val="Heading 1 Char"/>
    <w:basedOn w:val="DefaultParagraphFont"/>
    <w:link w:val="Heading1"/>
    <w:uiPriority w:val="9"/>
    <w:rsid w:val="0042647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426470"/>
    <w:rPr>
      <w:rFonts w:asciiTheme="majorHAnsi" w:eastAsiaTheme="majorEastAsia" w:hAnsiTheme="majorHAnsi" w:cstheme="majorBidi"/>
      <w:i/>
      <w:iCs/>
      <w:color w:val="2E74B5" w:themeColor="accent1" w:themeShade="BF"/>
    </w:rPr>
  </w:style>
  <w:style w:type="character" w:customStyle="1" w:styleId="ui-ncbitoggler-master-text">
    <w:name w:val="ui-ncbitoggler-master-text"/>
    <w:basedOn w:val="DefaultParagraphFont"/>
    <w:rsid w:val="00426470"/>
  </w:style>
  <w:style w:type="character" w:customStyle="1" w:styleId="font-italic">
    <w:name w:val="font-italic"/>
    <w:basedOn w:val="DefaultParagraphFont"/>
    <w:rsid w:val="0049043F"/>
  </w:style>
  <w:style w:type="table" w:styleId="TableGrid">
    <w:name w:val="Table Grid"/>
    <w:basedOn w:val="TableNormal"/>
    <w:uiPriority w:val="39"/>
    <w:rsid w:val="00301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982EEF"/>
    <w:pPr>
      <w:widowControl w:val="0"/>
      <w:autoSpaceDE w:val="0"/>
      <w:autoSpaceDN w:val="0"/>
      <w:adjustRightInd w:val="0"/>
      <w:spacing w:after="0" w:line="240" w:lineRule="auto"/>
    </w:pPr>
    <w:rPr>
      <w:rFonts w:ascii="Arial" w:hAnsi="Arial" w:cs="Arial"/>
      <w:sz w:val="24"/>
      <w:szCs w:val="24"/>
    </w:rPr>
  </w:style>
  <w:style w:type="paragraph" w:styleId="NoSpacing">
    <w:name w:val="No Spacing"/>
    <w:uiPriority w:val="1"/>
    <w:qFormat/>
    <w:rsid w:val="006E7262"/>
    <w:pPr>
      <w:spacing w:after="0" w:line="240" w:lineRule="auto"/>
    </w:pPr>
  </w:style>
  <w:style w:type="character" w:styleId="Emphasis">
    <w:name w:val="Emphasis"/>
    <w:basedOn w:val="DefaultParagraphFont"/>
    <w:uiPriority w:val="20"/>
    <w:qFormat/>
    <w:rsid w:val="00D35F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768125">
      <w:bodyDiv w:val="1"/>
      <w:marLeft w:val="0"/>
      <w:marRight w:val="0"/>
      <w:marTop w:val="0"/>
      <w:marBottom w:val="0"/>
      <w:divBdr>
        <w:top w:val="none" w:sz="0" w:space="0" w:color="auto"/>
        <w:left w:val="none" w:sz="0" w:space="0" w:color="auto"/>
        <w:bottom w:val="none" w:sz="0" w:space="0" w:color="auto"/>
        <w:right w:val="none" w:sz="0" w:space="0" w:color="auto"/>
      </w:divBdr>
    </w:div>
    <w:div w:id="1187333855">
      <w:bodyDiv w:val="1"/>
      <w:marLeft w:val="0"/>
      <w:marRight w:val="0"/>
      <w:marTop w:val="0"/>
      <w:marBottom w:val="0"/>
      <w:divBdr>
        <w:top w:val="none" w:sz="0" w:space="0" w:color="auto"/>
        <w:left w:val="none" w:sz="0" w:space="0" w:color="auto"/>
        <w:bottom w:val="none" w:sz="0" w:space="0" w:color="auto"/>
        <w:right w:val="none" w:sz="0" w:space="0" w:color="auto"/>
      </w:divBdr>
      <w:divsChild>
        <w:div w:id="1403330804">
          <w:marLeft w:val="0"/>
          <w:marRight w:val="0"/>
          <w:marTop w:val="120"/>
          <w:marBottom w:val="360"/>
          <w:divBdr>
            <w:top w:val="none" w:sz="0" w:space="0" w:color="auto"/>
            <w:left w:val="none" w:sz="0" w:space="0" w:color="auto"/>
            <w:bottom w:val="none" w:sz="0" w:space="0" w:color="auto"/>
            <w:right w:val="none" w:sz="0" w:space="0" w:color="auto"/>
          </w:divBdr>
          <w:divsChild>
            <w:div w:id="1293829958">
              <w:marLeft w:val="0"/>
              <w:marRight w:val="0"/>
              <w:marTop w:val="0"/>
              <w:marBottom w:val="0"/>
              <w:divBdr>
                <w:top w:val="none" w:sz="0" w:space="0" w:color="auto"/>
                <w:left w:val="none" w:sz="0" w:space="0" w:color="auto"/>
                <w:bottom w:val="none" w:sz="0" w:space="0" w:color="auto"/>
                <w:right w:val="none" w:sz="0" w:space="0" w:color="auto"/>
              </w:divBdr>
            </w:div>
            <w:div w:id="2022926524">
              <w:marLeft w:val="0"/>
              <w:marRight w:val="0"/>
              <w:marTop w:val="0"/>
              <w:marBottom w:val="0"/>
              <w:divBdr>
                <w:top w:val="none" w:sz="0" w:space="0" w:color="auto"/>
                <w:left w:val="none" w:sz="0" w:space="0" w:color="auto"/>
                <w:bottom w:val="none" w:sz="0" w:space="0" w:color="auto"/>
                <w:right w:val="none" w:sz="0" w:space="0" w:color="auto"/>
              </w:divBdr>
            </w:div>
            <w:div w:id="277377424">
              <w:marLeft w:val="0"/>
              <w:marRight w:val="0"/>
              <w:marTop w:val="0"/>
              <w:marBottom w:val="0"/>
              <w:divBdr>
                <w:top w:val="none" w:sz="0" w:space="0" w:color="auto"/>
                <w:left w:val="none" w:sz="0" w:space="0" w:color="auto"/>
                <w:bottom w:val="none" w:sz="0" w:space="0" w:color="auto"/>
                <w:right w:val="none" w:sz="0" w:space="0" w:color="auto"/>
              </w:divBdr>
            </w:div>
            <w:div w:id="173300654">
              <w:marLeft w:val="0"/>
              <w:marRight w:val="0"/>
              <w:marTop w:val="264"/>
              <w:marBottom w:val="0"/>
              <w:divBdr>
                <w:top w:val="none" w:sz="0" w:space="0" w:color="auto"/>
                <w:left w:val="none" w:sz="0" w:space="0" w:color="auto"/>
                <w:bottom w:val="none" w:sz="0" w:space="0" w:color="auto"/>
                <w:right w:val="none" w:sz="0" w:space="0" w:color="auto"/>
              </w:divBdr>
            </w:div>
          </w:divsChild>
        </w:div>
      </w:divsChild>
    </w:div>
    <w:div w:id="169361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aa.ac.uk/docs/qaa/subject-benchmark-statements/sbs-paramedics-16.pdf?sfvrsn=9594f781_12" TargetMode="External"/><Relationship Id="rId3" Type="http://schemas.openxmlformats.org/officeDocument/2006/relationships/styles" Target="styles.xml"/><Relationship Id="rId7" Type="http://schemas.openxmlformats.org/officeDocument/2006/relationships/hyperlink" Target="https://www.hcpc-uk.org/assets/documents/10001A9DStandardsofeducationa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77%2F10497323930030040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EB3AC-E093-44E1-AF9B-48BE6F80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3288</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 Amy Dr (Sch of Health Sci);Downs S  Mr (Sch of Health Sci)</dc:creator>
  <cp:keywords/>
  <dc:description/>
  <cp:lastModifiedBy>Simon De Montfalcon</cp:lastModifiedBy>
  <cp:revision>3</cp:revision>
  <dcterms:created xsi:type="dcterms:W3CDTF">2020-11-10T10:43:00Z</dcterms:created>
  <dcterms:modified xsi:type="dcterms:W3CDTF">2020-11-10T10:45:00Z</dcterms:modified>
</cp:coreProperties>
</file>