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F0" w:rsidRPr="00304E0E" w:rsidRDefault="003F58F0" w:rsidP="003F58F0">
      <w:pPr>
        <w:spacing w:line="480" w:lineRule="auto"/>
        <w:jc w:val="both"/>
        <w:rPr>
          <w:b/>
          <w:sz w:val="32"/>
          <w:szCs w:val="32"/>
        </w:rPr>
      </w:pPr>
      <w:r w:rsidRPr="00304E0E">
        <w:rPr>
          <w:b/>
          <w:sz w:val="32"/>
          <w:szCs w:val="32"/>
        </w:rPr>
        <w:t xml:space="preserve">Impact of a </w:t>
      </w:r>
      <w:r w:rsidR="00E222DA">
        <w:rPr>
          <w:b/>
          <w:sz w:val="32"/>
          <w:szCs w:val="32"/>
        </w:rPr>
        <w:t xml:space="preserve">routine </w:t>
      </w:r>
      <w:r w:rsidRPr="00304E0E">
        <w:rPr>
          <w:b/>
          <w:sz w:val="32"/>
          <w:szCs w:val="32"/>
        </w:rPr>
        <w:t>molecular point-of-care ‘test and treat’ strategy for in</w:t>
      </w:r>
      <w:r w:rsidR="00126978">
        <w:rPr>
          <w:b/>
          <w:sz w:val="32"/>
          <w:szCs w:val="32"/>
        </w:rPr>
        <w:t>fluenza in hospitalised</w:t>
      </w:r>
      <w:r w:rsidR="00126978" w:rsidRPr="00126978">
        <w:t xml:space="preserve"> </w:t>
      </w:r>
      <w:r w:rsidR="00126978" w:rsidRPr="00126978">
        <w:rPr>
          <w:b/>
          <w:sz w:val="32"/>
          <w:szCs w:val="32"/>
        </w:rPr>
        <w:t>adults</w:t>
      </w:r>
      <w:r w:rsidRPr="00304E0E">
        <w:rPr>
          <w:b/>
          <w:sz w:val="32"/>
          <w:szCs w:val="32"/>
        </w:rPr>
        <w:t xml:space="preserve">: a </w:t>
      </w:r>
      <w:r w:rsidR="0080769F" w:rsidRPr="00304E0E">
        <w:rPr>
          <w:b/>
          <w:sz w:val="32"/>
          <w:szCs w:val="32"/>
        </w:rPr>
        <w:t xml:space="preserve">multi-centre, </w:t>
      </w:r>
      <w:r w:rsidRPr="00304E0E">
        <w:rPr>
          <w:b/>
          <w:sz w:val="32"/>
          <w:szCs w:val="32"/>
        </w:rPr>
        <w:t xml:space="preserve">randomised controlled trial (FluPOC) </w:t>
      </w:r>
    </w:p>
    <w:p w:rsidR="00B8008B" w:rsidRPr="003F58F0" w:rsidRDefault="00304E0E" w:rsidP="003F58F0">
      <w:pPr>
        <w:spacing w:line="480" w:lineRule="auto"/>
        <w:rPr>
          <w:sz w:val="24"/>
          <w:szCs w:val="24"/>
        </w:rPr>
      </w:pPr>
      <w:r w:rsidRPr="00304E0E">
        <w:rPr>
          <w:sz w:val="24"/>
          <w:szCs w:val="24"/>
        </w:rPr>
        <w:t>Tristan W Clark</w:t>
      </w:r>
      <w:r w:rsidR="00B8008B">
        <w:rPr>
          <w:sz w:val="24"/>
          <w:szCs w:val="24"/>
          <w:vertAlign w:val="superscript"/>
        </w:rPr>
        <w:t>1,2,3,4</w:t>
      </w:r>
      <w:r w:rsidRPr="00304E0E">
        <w:rPr>
          <w:sz w:val="24"/>
          <w:szCs w:val="24"/>
        </w:rPr>
        <w:t>*</w:t>
      </w:r>
      <w:r>
        <w:rPr>
          <w:sz w:val="24"/>
          <w:szCs w:val="24"/>
        </w:rPr>
        <w:t xml:space="preserve">, </w:t>
      </w:r>
      <w:r w:rsidR="003F58F0" w:rsidRPr="003F58F0">
        <w:rPr>
          <w:sz w:val="24"/>
          <w:szCs w:val="24"/>
        </w:rPr>
        <w:t>Kate R Beard</w:t>
      </w:r>
      <w:r w:rsidR="0080769F">
        <w:rPr>
          <w:sz w:val="24"/>
          <w:szCs w:val="24"/>
          <w:vertAlign w:val="superscript"/>
        </w:rPr>
        <w:t>1</w:t>
      </w:r>
      <w:r w:rsidR="003F58F0" w:rsidRPr="003F58F0">
        <w:rPr>
          <w:sz w:val="24"/>
          <w:szCs w:val="24"/>
        </w:rPr>
        <w:t xml:space="preserve">, </w:t>
      </w:r>
      <w:r w:rsidR="004064DB">
        <w:rPr>
          <w:sz w:val="24"/>
          <w:szCs w:val="24"/>
        </w:rPr>
        <w:t>Nathan J Brendish</w:t>
      </w:r>
      <w:r w:rsidR="004064DB" w:rsidRPr="004064DB">
        <w:rPr>
          <w:sz w:val="24"/>
          <w:szCs w:val="24"/>
          <w:vertAlign w:val="superscript"/>
        </w:rPr>
        <w:t>1, 2</w:t>
      </w:r>
      <w:r w:rsidR="004064DB">
        <w:rPr>
          <w:sz w:val="24"/>
          <w:szCs w:val="24"/>
        </w:rPr>
        <w:t xml:space="preserve">, </w:t>
      </w:r>
      <w:r w:rsidR="004064DB" w:rsidRPr="004064DB">
        <w:rPr>
          <w:sz w:val="24"/>
          <w:szCs w:val="24"/>
        </w:rPr>
        <w:t>Ahalya K Malachira</w:t>
      </w:r>
      <w:r w:rsidR="004064DB" w:rsidRPr="004064DB">
        <w:rPr>
          <w:sz w:val="24"/>
          <w:szCs w:val="24"/>
          <w:vertAlign w:val="superscript"/>
        </w:rPr>
        <w:t>2</w:t>
      </w:r>
      <w:r w:rsidR="004064DB">
        <w:rPr>
          <w:sz w:val="24"/>
          <w:szCs w:val="24"/>
        </w:rPr>
        <w:t xml:space="preserve">, </w:t>
      </w:r>
      <w:r w:rsidR="003F58F0" w:rsidRPr="003F58F0">
        <w:rPr>
          <w:sz w:val="24"/>
          <w:szCs w:val="24"/>
        </w:rPr>
        <w:t>Samuel Mills</w:t>
      </w:r>
      <w:r w:rsidR="003F58F0" w:rsidRPr="002743D8">
        <w:rPr>
          <w:sz w:val="24"/>
          <w:szCs w:val="24"/>
          <w:vertAlign w:val="superscript"/>
        </w:rPr>
        <w:t>2</w:t>
      </w:r>
      <w:r w:rsidR="003F58F0" w:rsidRPr="003F58F0">
        <w:rPr>
          <w:sz w:val="24"/>
          <w:szCs w:val="24"/>
        </w:rPr>
        <w:t>, Cathleen Chan</w:t>
      </w:r>
      <w:r w:rsidR="003F58F0" w:rsidRPr="002743D8">
        <w:rPr>
          <w:sz w:val="24"/>
          <w:szCs w:val="24"/>
          <w:vertAlign w:val="superscript"/>
        </w:rPr>
        <w:t>2</w:t>
      </w:r>
      <w:r w:rsidR="003F58F0" w:rsidRPr="003F58F0">
        <w:rPr>
          <w:sz w:val="24"/>
          <w:szCs w:val="24"/>
        </w:rPr>
        <w:t>, Stephen Poole</w:t>
      </w:r>
      <w:r w:rsidR="003F58F0" w:rsidRPr="002743D8">
        <w:rPr>
          <w:sz w:val="24"/>
          <w:szCs w:val="24"/>
          <w:vertAlign w:val="superscript"/>
        </w:rPr>
        <w:t>1,2</w:t>
      </w:r>
      <w:r w:rsidR="0080769F">
        <w:rPr>
          <w:sz w:val="24"/>
          <w:szCs w:val="24"/>
          <w:vertAlign w:val="superscript"/>
        </w:rPr>
        <w:t>,3</w:t>
      </w:r>
      <w:r w:rsidR="003F58F0" w:rsidRPr="003F58F0">
        <w:rPr>
          <w:sz w:val="24"/>
          <w:szCs w:val="24"/>
        </w:rPr>
        <w:t>, Sean Ewings</w:t>
      </w:r>
      <w:r w:rsidR="00B8008B">
        <w:rPr>
          <w:sz w:val="24"/>
          <w:szCs w:val="24"/>
          <w:vertAlign w:val="superscript"/>
        </w:rPr>
        <w:t>5</w:t>
      </w:r>
      <w:r w:rsidR="003F58F0" w:rsidRPr="003F58F0">
        <w:rPr>
          <w:sz w:val="24"/>
          <w:szCs w:val="24"/>
        </w:rPr>
        <w:t xml:space="preserve">, </w:t>
      </w:r>
      <w:r w:rsidR="00B17D13">
        <w:rPr>
          <w:sz w:val="24"/>
          <w:szCs w:val="24"/>
        </w:rPr>
        <w:t>Nick</w:t>
      </w:r>
      <w:r w:rsidR="00B8008B">
        <w:rPr>
          <w:sz w:val="24"/>
          <w:szCs w:val="24"/>
        </w:rPr>
        <w:t xml:space="preserve"> Cortes</w:t>
      </w:r>
      <w:r w:rsidR="00B8008B" w:rsidRPr="00B8008B">
        <w:rPr>
          <w:sz w:val="24"/>
          <w:szCs w:val="24"/>
          <w:vertAlign w:val="superscript"/>
        </w:rPr>
        <w:t>6</w:t>
      </w:r>
      <w:r w:rsidR="00B17D13">
        <w:rPr>
          <w:sz w:val="24"/>
          <w:szCs w:val="24"/>
        </w:rPr>
        <w:t xml:space="preserve">, </w:t>
      </w:r>
      <w:r w:rsidR="00B8008B" w:rsidRPr="00B8008B">
        <w:rPr>
          <w:sz w:val="24"/>
          <w:szCs w:val="24"/>
        </w:rPr>
        <w:t>Esther Nyimbili</w:t>
      </w:r>
      <w:r w:rsidR="00B8008B" w:rsidRPr="00B8008B">
        <w:rPr>
          <w:sz w:val="24"/>
          <w:szCs w:val="24"/>
          <w:vertAlign w:val="superscript"/>
        </w:rPr>
        <w:t>3</w:t>
      </w:r>
      <w:r w:rsidR="00B8008B">
        <w:rPr>
          <w:sz w:val="24"/>
          <w:szCs w:val="24"/>
        </w:rPr>
        <w:t xml:space="preserve"> and </w:t>
      </w:r>
      <w:r w:rsidR="00582336">
        <w:rPr>
          <w:sz w:val="24"/>
          <w:szCs w:val="24"/>
        </w:rPr>
        <w:t xml:space="preserve">Laura </w:t>
      </w:r>
      <w:r w:rsidR="003F58F0" w:rsidRPr="003F58F0">
        <w:rPr>
          <w:sz w:val="24"/>
          <w:szCs w:val="24"/>
        </w:rPr>
        <w:t>Presland</w:t>
      </w:r>
      <w:r w:rsidR="0080769F">
        <w:rPr>
          <w:sz w:val="24"/>
          <w:szCs w:val="24"/>
          <w:vertAlign w:val="superscript"/>
        </w:rPr>
        <w:t>3</w:t>
      </w:r>
    </w:p>
    <w:p w:rsidR="00BA77D9" w:rsidRPr="00D03127" w:rsidRDefault="0080769F" w:rsidP="00C95138">
      <w:pPr>
        <w:spacing w:line="480" w:lineRule="auto"/>
      </w:pPr>
      <w:r>
        <w:t>1</w:t>
      </w:r>
      <w:r w:rsidR="00C95138" w:rsidRPr="00D03127">
        <w:t xml:space="preserve">. </w:t>
      </w:r>
      <w:r>
        <w:t xml:space="preserve">School of </w:t>
      </w:r>
      <w:r w:rsidR="00C95138" w:rsidRPr="00D03127">
        <w:t>Clinical and Experimental Sciences, Faculty of Medicine, University of Southampton, Southampton, UK</w:t>
      </w:r>
    </w:p>
    <w:p w:rsidR="00BA77D9" w:rsidRPr="00D03127" w:rsidRDefault="0080769F" w:rsidP="00B14A68">
      <w:pPr>
        <w:spacing w:line="480" w:lineRule="auto"/>
      </w:pPr>
      <w:r>
        <w:t>2</w:t>
      </w:r>
      <w:r w:rsidR="00C95138" w:rsidRPr="00D03127">
        <w:t xml:space="preserve">. Department of Infection, </w:t>
      </w:r>
      <w:r w:rsidR="00BA77D9" w:rsidRPr="00D03127">
        <w:t xml:space="preserve">University Hospital Southampton NHS </w:t>
      </w:r>
      <w:r w:rsidR="00D074F0" w:rsidRPr="00D03127">
        <w:t xml:space="preserve">Foundation </w:t>
      </w:r>
      <w:r w:rsidR="00BA77D9" w:rsidRPr="00D03127">
        <w:t>Trust, Southampton, UK</w:t>
      </w:r>
      <w:r w:rsidR="00C95138" w:rsidRPr="00D03127">
        <w:t>.</w:t>
      </w:r>
    </w:p>
    <w:p w:rsidR="00BA77D9" w:rsidRPr="00D03127" w:rsidRDefault="0080769F" w:rsidP="002813F2">
      <w:pPr>
        <w:spacing w:line="480" w:lineRule="auto"/>
      </w:pPr>
      <w:r>
        <w:t>3</w:t>
      </w:r>
      <w:r w:rsidR="00CA1850">
        <w:t xml:space="preserve">. NIHR Southampton </w:t>
      </w:r>
      <w:r w:rsidR="00C95138" w:rsidRPr="00D03127">
        <w:t>Biomedical</w:t>
      </w:r>
      <w:r w:rsidR="002813F2" w:rsidRPr="00D03127">
        <w:t xml:space="preserve"> </w:t>
      </w:r>
      <w:r w:rsidR="00CA1850">
        <w:t xml:space="preserve">Research </w:t>
      </w:r>
      <w:r w:rsidR="002813F2" w:rsidRPr="00D03127">
        <w:t>Centre</w:t>
      </w:r>
      <w:r w:rsidR="00C95138" w:rsidRPr="00D03127">
        <w:t>, University Hospital Southampton NHS Foundation Trust, Southampton, UK</w:t>
      </w:r>
    </w:p>
    <w:p w:rsidR="006A7C6B" w:rsidRDefault="00B8008B" w:rsidP="00B14A68">
      <w:pPr>
        <w:spacing w:line="480" w:lineRule="auto"/>
      </w:pPr>
      <w:r>
        <w:t>4</w:t>
      </w:r>
      <w:r w:rsidR="006A7C6B" w:rsidRPr="00D03127">
        <w:t xml:space="preserve">. NIHR </w:t>
      </w:r>
      <w:r w:rsidR="002813F2" w:rsidRPr="00D03127">
        <w:t xml:space="preserve">Post Doctoral </w:t>
      </w:r>
      <w:r w:rsidR="006A7C6B" w:rsidRPr="00D03127">
        <w:t>Fellowship Programme, UK</w:t>
      </w:r>
    </w:p>
    <w:p w:rsidR="00B8008B" w:rsidRDefault="00B8008B" w:rsidP="00B14A68">
      <w:pPr>
        <w:spacing w:line="480" w:lineRule="auto"/>
      </w:pPr>
      <w:r>
        <w:t>5</w:t>
      </w:r>
      <w:r w:rsidRPr="00B8008B">
        <w:t>.</w:t>
      </w:r>
      <w:r>
        <w:t xml:space="preserve"> School of Primary Care and Population Sciences</w:t>
      </w:r>
      <w:r w:rsidRPr="00B8008B">
        <w:t>, University of Southampton, Southampton UK</w:t>
      </w:r>
    </w:p>
    <w:p w:rsidR="00B8008B" w:rsidRPr="00D03127" w:rsidRDefault="00B8008B" w:rsidP="00B14A68">
      <w:pPr>
        <w:spacing w:line="480" w:lineRule="auto"/>
      </w:pPr>
      <w:r>
        <w:t>6. Department of Microbiology, Hampshire Hospitals Foundation NHS Trust, Winchester, UK</w:t>
      </w:r>
    </w:p>
    <w:p w:rsidR="009251AE" w:rsidRPr="00D03127" w:rsidRDefault="009251AE"/>
    <w:p w:rsidR="009251AE" w:rsidRPr="00D03127" w:rsidRDefault="009251AE" w:rsidP="009251AE">
      <w:r w:rsidRPr="00D03127">
        <w:t>*Corresponding author</w:t>
      </w:r>
    </w:p>
    <w:p w:rsidR="006A7C6B" w:rsidRPr="00D03127" w:rsidRDefault="009251AE" w:rsidP="006A7C6B">
      <w:r w:rsidRPr="00D03127">
        <w:t>Dr Tristan William Clark, Associate Professor and Co</w:t>
      </w:r>
      <w:r w:rsidR="006A7C6B" w:rsidRPr="00D03127">
        <w:t xml:space="preserve">nsultant in Infectious Diseases. </w:t>
      </w:r>
    </w:p>
    <w:p w:rsidR="006A7C6B" w:rsidRPr="00D03127" w:rsidRDefault="006A7C6B" w:rsidP="006A7C6B">
      <w:r w:rsidRPr="00D03127">
        <w:t xml:space="preserve">NIHR Post-doctoral Fellow. </w:t>
      </w:r>
    </w:p>
    <w:p w:rsidR="009251AE" w:rsidRPr="00D03127" w:rsidRDefault="009251AE" w:rsidP="006A7C6B">
      <w:r w:rsidRPr="00D03127">
        <w:t>Address: LF101, South Academic block, Southampton General Hospital, Southampton, SO16 6YD.</w:t>
      </w:r>
    </w:p>
    <w:p w:rsidR="006A7C6B" w:rsidRDefault="009251AE" w:rsidP="006A7C6B">
      <w:pPr>
        <w:rPr>
          <w:rStyle w:val="Hyperlink"/>
          <w:color w:val="auto"/>
        </w:rPr>
      </w:pPr>
      <w:r w:rsidRPr="00D03127">
        <w:t>Tel: 0044(0)23818410</w:t>
      </w:r>
      <w:r w:rsidRPr="00D03127">
        <w:tab/>
        <w:t xml:space="preserve">E-mail address: </w:t>
      </w:r>
      <w:hyperlink r:id="rId7" w:history="1">
        <w:r w:rsidR="006A7C6B" w:rsidRPr="00D03127">
          <w:rPr>
            <w:rStyle w:val="Hyperlink"/>
            <w:color w:val="auto"/>
          </w:rPr>
          <w:t>T.W.Clark@soton.ac.uk</w:t>
        </w:r>
      </w:hyperlink>
    </w:p>
    <w:p w:rsidR="0080769F" w:rsidRDefault="0080769F" w:rsidP="006A7C6B">
      <w:pPr>
        <w:rPr>
          <w:rStyle w:val="Hyperlink"/>
          <w:color w:val="auto"/>
        </w:rPr>
      </w:pPr>
    </w:p>
    <w:p w:rsidR="009251AE" w:rsidRPr="00474463" w:rsidRDefault="0082718B" w:rsidP="006A7C6B">
      <w:pPr>
        <w:rPr>
          <w:sz w:val="24"/>
          <w:szCs w:val="24"/>
        </w:rPr>
      </w:pPr>
      <w:r w:rsidRPr="00D03127">
        <w:rPr>
          <w:b/>
          <w:bCs/>
          <w:sz w:val="32"/>
          <w:szCs w:val="32"/>
        </w:rPr>
        <w:lastRenderedPageBreak/>
        <w:t>Summary</w:t>
      </w:r>
    </w:p>
    <w:p w:rsidR="009251AE" w:rsidRPr="00283AD8" w:rsidRDefault="0082718B" w:rsidP="00704D66">
      <w:pPr>
        <w:spacing w:line="480" w:lineRule="auto"/>
        <w:jc w:val="both"/>
        <w:rPr>
          <w:bCs/>
        </w:rPr>
      </w:pPr>
      <w:r w:rsidRPr="00D03127">
        <w:rPr>
          <w:b/>
          <w:bCs/>
        </w:rPr>
        <w:t>Background</w:t>
      </w:r>
      <w:r w:rsidR="00C51C28" w:rsidRPr="001132FC">
        <w:rPr>
          <w:bCs/>
        </w:rPr>
        <w:t xml:space="preserve"> </w:t>
      </w:r>
      <w:r w:rsidR="008E4C85">
        <w:rPr>
          <w:bCs/>
        </w:rPr>
        <w:t xml:space="preserve">The diagnosis of Influenza in </w:t>
      </w:r>
      <w:r w:rsidR="00EA6BE4" w:rsidRPr="00EA6BE4">
        <w:rPr>
          <w:bCs/>
        </w:rPr>
        <w:t>hospital</w:t>
      </w:r>
      <w:r w:rsidR="004A3949">
        <w:rPr>
          <w:bCs/>
        </w:rPr>
        <w:t>ised patients</w:t>
      </w:r>
      <w:r w:rsidR="008E4C85">
        <w:rPr>
          <w:bCs/>
        </w:rPr>
        <w:t xml:space="preserve"> is delayed due to long turnaround times </w:t>
      </w:r>
      <w:r w:rsidR="00F74F9E" w:rsidRPr="00A56829">
        <w:rPr>
          <w:bCs/>
        </w:rPr>
        <w:t xml:space="preserve">with </w:t>
      </w:r>
      <w:r w:rsidR="008E4C85" w:rsidRPr="00A56829">
        <w:rPr>
          <w:bCs/>
        </w:rPr>
        <w:t xml:space="preserve">laboratory testing, </w:t>
      </w:r>
      <w:r w:rsidR="00283AD8" w:rsidRPr="00A56829">
        <w:rPr>
          <w:bCs/>
        </w:rPr>
        <w:t xml:space="preserve">leading to </w:t>
      </w:r>
      <w:r w:rsidR="002C0250" w:rsidRPr="00A56829">
        <w:rPr>
          <w:bCs/>
        </w:rPr>
        <w:t>inappropriate and late antiviral</w:t>
      </w:r>
      <w:r w:rsidR="00283AD8" w:rsidRPr="00A56829">
        <w:rPr>
          <w:bCs/>
        </w:rPr>
        <w:t xml:space="preserve"> and isolation facility use</w:t>
      </w:r>
      <w:r w:rsidR="00EA6BE4" w:rsidRPr="00A56829">
        <w:rPr>
          <w:bCs/>
        </w:rPr>
        <w:t xml:space="preserve">. </w:t>
      </w:r>
      <w:r w:rsidR="004A3949" w:rsidRPr="00A56829">
        <w:rPr>
          <w:bCs/>
        </w:rPr>
        <w:t>M</w:t>
      </w:r>
      <w:r w:rsidR="00EA6BE4" w:rsidRPr="00A56829">
        <w:rPr>
          <w:bCs/>
        </w:rPr>
        <w:t xml:space="preserve">olecular </w:t>
      </w:r>
      <w:r w:rsidR="00100A5C" w:rsidRPr="00A56829">
        <w:rPr>
          <w:bCs/>
        </w:rPr>
        <w:t xml:space="preserve">point-of-care test (mPOCT) </w:t>
      </w:r>
      <w:r w:rsidR="002C0250" w:rsidRPr="00A56829">
        <w:rPr>
          <w:bCs/>
        </w:rPr>
        <w:t>are highly accurate, easy to use and</w:t>
      </w:r>
      <w:r w:rsidR="00EA6BE4" w:rsidRPr="00A56829">
        <w:rPr>
          <w:bCs/>
        </w:rPr>
        <w:t xml:space="preserve"> ge</w:t>
      </w:r>
      <w:r w:rsidR="00F01AFE" w:rsidRPr="00A56829">
        <w:rPr>
          <w:bCs/>
        </w:rPr>
        <w:t>nerate</w:t>
      </w:r>
      <w:r w:rsidR="00EA6BE4" w:rsidRPr="00A56829">
        <w:rPr>
          <w:bCs/>
        </w:rPr>
        <w:t xml:space="preserve"> result</w:t>
      </w:r>
      <w:r w:rsidR="00F01AFE" w:rsidRPr="00A56829">
        <w:rPr>
          <w:bCs/>
        </w:rPr>
        <w:t>s</w:t>
      </w:r>
      <w:r w:rsidR="00EA6BE4" w:rsidRPr="00A56829">
        <w:rPr>
          <w:bCs/>
        </w:rPr>
        <w:t xml:space="preserve"> in under 1 hour</w:t>
      </w:r>
      <w:r w:rsidR="00100A5C" w:rsidRPr="00A56829">
        <w:rPr>
          <w:bCs/>
        </w:rPr>
        <w:t xml:space="preserve"> but h</w:t>
      </w:r>
      <w:r w:rsidR="00EA6BE4" w:rsidRPr="00A56829">
        <w:rPr>
          <w:bCs/>
        </w:rPr>
        <w:t>igh quality evidence for the</w:t>
      </w:r>
      <w:r w:rsidR="00100A5C" w:rsidRPr="00A56829">
        <w:rPr>
          <w:bCs/>
        </w:rPr>
        <w:t>ir clinical</w:t>
      </w:r>
      <w:r w:rsidR="00EA6BE4" w:rsidRPr="00A56829">
        <w:rPr>
          <w:bCs/>
        </w:rPr>
        <w:t xml:space="preserve"> impact </w:t>
      </w:r>
      <w:r w:rsidR="004A3949" w:rsidRPr="00A56829">
        <w:rPr>
          <w:bCs/>
        </w:rPr>
        <w:t xml:space="preserve">is </w:t>
      </w:r>
      <w:r w:rsidR="00EA6BE4" w:rsidRPr="00A56829">
        <w:rPr>
          <w:bCs/>
        </w:rPr>
        <w:t>lacking</w:t>
      </w:r>
      <w:r w:rsidR="00B17D13" w:rsidRPr="00A56829">
        <w:rPr>
          <w:bCs/>
        </w:rPr>
        <w:t>.</w:t>
      </w:r>
      <w:r w:rsidR="00EA6BE4" w:rsidRPr="00A56829">
        <w:rPr>
          <w:bCs/>
        </w:rPr>
        <w:t xml:space="preserve"> </w:t>
      </w:r>
      <w:r w:rsidR="00E03787" w:rsidRPr="00A56829">
        <w:rPr>
          <w:bCs/>
        </w:rPr>
        <w:t>The aim of this study was to evaluate the clinical impact of routine mPOCT on influenza detection, antiviral use, infection control measures and clinical outcome</w:t>
      </w:r>
      <w:r w:rsidR="00B5366C" w:rsidRPr="00A56829">
        <w:rPr>
          <w:bCs/>
        </w:rPr>
        <w:t xml:space="preserve">, in adults hospitalised with acute respiratory illness. </w:t>
      </w:r>
      <w:r w:rsidR="00E03787" w:rsidRPr="00A56829">
        <w:rPr>
          <w:bCs/>
        </w:rPr>
        <w:t xml:space="preserve"> </w:t>
      </w:r>
    </w:p>
    <w:p w:rsidR="009251AE" w:rsidRPr="00EA6BE4" w:rsidRDefault="009251AE" w:rsidP="002813F2">
      <w:pPr>
        <w:spacing w:line="480" w:lineRule="auto"/>
        <w:jc w:val="both"/>
      </w:pPr>
      <w:r w:rsidRPr="00D03127">
        <w:rPr>
          <w:b/>
          <w:bCs/>
        </w:rPr>
        <w:t>Methods</w:t>
      </w:r>
      <w:r w:rsidR="00C51C28" w:rsidRPr="00D03127">
        <w:rPr>
          <w:b/>
          <w:bCs/>
        </w:rPr>
        <w:t xml:space="preserve"> </w:t>
      </w:r>
      <w:r w:rsidR="008A5607" w:rsidRPr="00D03127">
        <w:t xml:space="preserve">In this </w:t>
      </w:r>
      <w:r w:rsidR="00D65474">
        <w:t xml:space="preserve">multicentre, </w:t>
      </w:r>
      <w:r w:rsidR="002373BD" w:rsidRPr="00D03127">
        <w:t xml:space="preserve">randomised </w:t>
      </w:r>
      <w:r w:rsidR="00246FB7" w:rsidRPr="00D03127">
        <w:t>controlled</w:t>
      </w:r>
      <w:r w:rsidR="00683CEB" w:rsidRPr="00D03127">
        <w:t xml:space="preserve"> trial </w:t>
      </w:r>
      <w:r w:rsidR="008A5607" w:rsidRPr="00D03127">
        <w:t xml:space="preserve">we enrolled </w:t>
      </w:r>
      <w:r w:rsidR="00683CEB" w:rsidRPr="00D03127">
        <w:t>adults hospital</w:t>
      </w:r>
      <w:r w:rsidR="004A3949">
        <w:t>ised</w:t>
      </w:r>
      <w:r w:rsidR="008A5607" w:rsidRPr="00D03127">
        <w:t xml:space="preserve"> </w:t>
      </w:r>
      <w:r w:rsidR="004064DB">
        <w:t>with acute respiratory illness during influenza season</w:t>
      </w:r>
      <w:r w:rsidR="00B17D13">
        <w:t>s</w:t>
      </w:r>
      <w:r w:rsidR="008A5607" w:rsidRPr="00D03127">
        <w:t xml:space="preserve">. Patients were </w:t>
      </w:r>
      <w:r w:rsidR="00EA6BE4">
        <w:t>randomised</w:t>
      </w:r>
      <w:r w:rsidR="002373BD" w:rsidRPr="00D03127">
        <w:t xml:space="preserve"> (</w:t>
      </w:r>
      <w:r w:rsidR="00EB54C1" w:rsidRPr="00D03127">
        <w:t>1:1</w:t>
      </w:r>
      <w:r w:rsidR="002373BD" w:rsidRPr="00D03127">
        <w:t>)</w:t>
      </w:r>
      <w:r w:rsidR="00EC71B2" w:rsidRPr="00D03127">
        <w:t xml:space="preserve"> to </w:t>
      </w:r>
      <w:r w:rsidR="008A5607" w:rsidRPr="00D03127">
        <w:t xml:space="preserve">receive </w:t>
      </w:r>
      <w:r w:rsidR="00E42196" w:rsidRPr="00D03127">
        <w:t>m</w:t>
      </w:r>
      <w:r w:rsidR="008A5607" w:rsidRPr="00D03127">
        <w:t xml:space="preserve">POCT for </w:t>
      </w:r>
      <w:r w:rsidR="00D65474">
        <w:t xml:space="preserve">influenza </w:t>
      </w:r>
      <w:r w:rsidR="008A5607" w:rsidRPr="00D03127">
        <w:t>or routine clinical care</w:t>
      </w:r>
      <w:r w:rsidR="000C1CBA">
        <w:t>.</w:t>
      </w:r>
      <w:r w:rsidR="00100A5C">
        <w:t xml:space="preserve"> </w:t>
      </w:r>
      <w:r w:rsidR="00FC0D16" w:rsidRPr="002743D8">
        <w:t xml:space="preserve">The primary outcome </w:t>
      </w:r>
      <w:r w:rsidR="005637BC" w:rsidRPr="002743D8">
        <w:t xml:space="preserve">was </w:t>
      </w:r>
      <w:r w:rsidR="0082718B" w:rsidRPr="002743D8">
        <w:t xml:space="preserve">the proportion of </w:t>
      </w:r>
      <w:r w:rsidR="000E1CCA">
        <w:t>influenza-</w:t>
      </w:r>
      <w:r w:rsidR="00EA6BE4">
        <w:t xml:space="preserve">infected </w:t>
      </w:r>
      <w:r w:rsidR="0082718B" w:rsidRPr="002743D8">
        <w:t xml:space="preserve">patients </w:t>
      </w:r>
      <w:r w:rsidR="008A5607" w:rsidRPr="002743D8">
        <w:t xml:space="preserve">who received </w:t>
      </w:r>
      <w:r w:rsidR="00100A5C">
        <w:t>antivirals</w:t>
      </w:r>
      <w:r w:rsidR="002743D8" w:rsidRPr="002743D8">
        <w:t xml:space="preserve">. </w:t>
      </w:r>
      <w:r w:rsidR="002F7020" w:rsidRPr="002743D8">
        <w:t>S</w:t>
      </w:r>
      <w:r w:rsidR="009E777C" w:rsidRPr="002743D8">
        <w:t xml:space="preserve">econdary outcomes </w:t>
      </w:r>
      <w:r w:rsidR="004A3949">
        <w:t>included</w:t>
      </w:r>
      <w:r w:rsidR="00E44D2C">
        <w:t xml:space="preserve"> </w:t>
      </w:r>
      <w:r w:rsidR="00EA6BE4">
        <w:t>time to antivirals</w:t>
      </w:r>
      <w:r w:rsidR="002743D8">
        <w:t xml:space="preserve">, </w:t>
      </w:r>
      <w:r w:rsidR="002743D8" w:rsidRPr="002743D8">
        <w:t>isolation facility use,</w:t>
      </w:r>
      <w:r w:rsidR="008E4C85">
        <w:t xml:space="preserve"> and</w:t>
      </w:r>
      <w:r w:rsidR="00F01AFE">
        <w:t xml:space="preserve"> clinical outcome</w:t>
      </w:r>
      <w:r w:rsidR="00B5366C">
        <w:t>s</w:t>
      </w:r>
      <w:r w:rsidR="00100A5C">
        <w:t xml:space="preserve">. </w:t>
      </w:r>
      <w:r w:rsidR="00BC21C5" w:rsidRPr="00D03127">
        <w:t>This study is registered with I</w:t>
      </w:r>
      <w:r w:rsidR="00F74F9E">
        <w:t>SRCTN</w:t>
      </w:r>
      <w:r w:rsidR="00126978">
        <w:t>:</w:t>
      </w:r>
      <w:r w:rsidR="003F58F0" w:rsidRPr="003F58F0">
        <w:t>17197293</w:t>
      </w:r>
      <w:r w:rsidR="00F74F9E">
        <w:t xml:space="preserve"> </w:t>
      </w:r>
      <w:r w:rsidR="002813F2" w:rsidRPr="00D03127">
        <w:t>and has completed.</w:t>
      </w:r>
    </w:p>
    <w:p w:rsidR="00C13541" w:rsidRDefault="0082718B" w:rsidP="000274C0">
      <w:pPr>
        <w:spacing w:line="480" w:lineRule="auto"/>
        <w:jc w:val="both"/>
      </w:pPr>
      <w:r w:rsidRPr="00D03127">
        <w:rPr>
          <w:b/>
          <w:bCs/>
        </w:rPr>
        <w:t>Findings</w:t>
      </w:r>
      <w:r w:rsidR="00C51C28" w:rsidRPr="00D03127">
        <w:rPr>
          <w:b/>
          <w:bCs/>
        </w:rPr>
        <w:t xml:space="preserve"> </w:t>
      </w:r>
      <w:r w:rsidR="00126978" w:rsidRPr="00126978">
        <w:rPr>
          <w:bCs/>
        </w:rPr>
        <w:t xml:space="preserve">Between </w:t>
      </w:r>
      <w:r w:rsidR="00126978">
        <w:rPr>
          <w:bCs/>
        </w:rPr>
        <w:t xml:space="preserve">December </w:t>
      </w:r>
      <w:r w:rsidR="00126978" w:rsidRPr="00126978">
        <w:rPr>
          <w:bCs/>
        </w:rPr>
        <w:t>20</w:t>
      </w:r>
      <w:r w:rsidR="00126978">
        <w:rPr>
          <w:bCs/>
        </w:rPr>
        <w:t>1</w:t>
      </w:r>
      <w:r w:rsidR="00126978" w:rsidRPr="00126978">
        <w:rPr>
          <w:bCs/>
        </w:rPr>
        <w:t>7 and May 2019</w:t>
      </w:r>
      <w:r w:rsidR="00126978">
        <w:rPr>
          <w:bCs/>
        </w:rPr>
        <w:t>,</w:t>
      </w:r>
      <w:r w:rsidR="00126978">
        <w:rPr>
          <w:b/>
          <w:bCs/>
        </w:rPr>
        <w:t xml:space="preserve"> </w:t>
      </w:r>
      <w:r w:rsidR="00126978">
        <w:t>613</w:t>
      </w:r>
      <w:r w:rsidR="007B27A8" w:rsidRPr="002743D8">
        <w:t xml:space="preserve"> </w:t>
      </w:r>
      <w:r w:rsidR="008E4C85">
        <w:t xml:space="preserve">patients were </w:t>
      </w:r>
      <w:r w:rsidR="00126978">
        <w:t>enrolled (307</w:t>
      </w:r>
      <w:r w:rsidR="00246FB7" w:rsidRPr="002743D8">
        <w:t xml:space="preserve"> </w:t>
      </w:r>
      <w:r w:rsidR="00126978">
        <w:t xml:space="preserve">assigned </w:t>
      </w:r>
      <w:r w:rsidR="00246FB7" w:rsidRPr="002743D8">
        <w:t xml:space="preserve">to </w:t>
      </w:r>
      <w:r w:rsidR="00126978">
        <w:t xml:space="preserve">mPOCT and 306 to </w:t>
      </w:r>
      <w:r w:rsidR="00246FB7" w:rsidRPr="002743D8">
        <w:t>routine care</w:t>
      </w:r>
      <w:r w:rsidR="00126978">
        <w:t>)</w:t>
      </w:r>
      <w:r w:rsidR="00511115">
        <w:t xml:space="preserve"> and a</w:t>
      </w:r>
      <w:r w:rsidR="004064DB">
        <w:t xml:space="preserve">ll </w:t>
      </w:r>
      <w:r w:rsidR="000C1CBA">
        <w:t xml:space="preserve">were </w:t>
      </w:r>
      <w:r w:rsidR="00126978">
        <w:t>analysed</w:t>
      </w:r>
      <w:r w:rsidR="00511115">
        <w:t xml:space="preserve">. </w:t>
      </w:r>
      <w:r w:rsidR="00446F84">
        <w:t>100</w:t>
      </w:r>
      <w:r w:rsidR="008A2262">
        <w:t xml:space="preserve"> </w:t>
      </w:r>
      <w:r w:rsidR="00446F84">
        <w:t xml:space="preserve">(33%) of </w:t>
      </w:r>
      <w:r w:rsidR="000C1CBA">
        <w:t>307</w:t>
      </w:r>
      <w:r w:rsidR="000C15E5" w:rsidRPr="000C15E5">
        <w:t xml:space="preserve"> patient</w:t>
      </w:r>
      <w:r w:rsidR="000C15E5">
        <w:t>s</w:t>
      </w:r>
      <w:r w:rsidR="000C1CBA" w:rsidRPr="000C1CBA">
        <w:t xml:space="preserve"> in the </w:t>
      </w:r>
      <w:r w:rsidR="004A3949">
        <w:t>m</w:t>
      </w:r>
      <w:r w:rsidR="000C1CBA" w:rsidRPr="000C1CBA">
        <w:t>POCT group</w:t>
      </w:r>
      <w:r w:rsidR="000C15E5" w:rsidRPr="000C15E5">
        <w:t xml:space="preserve"> and </w:t>
      </w:r>
      <w:r w:rsidR="000143D6">
        <w:t>10</w:t>
      </w:r>
      <w:r w:rsidR="000C1CBA">
        <w:t>2</w:t>
      </w:r>
      <w:r w:rsidR="008A2262">
        <w:t xml:space="preserve"> </w:t>
      </w:r>
      <w:r w:rsidR="00446F84">
        <w:t xml:space="preserve">(33%) of </w:t>
      </w:r>
      <w:r w:rsidR="00EE4380">
        <w:t>306</w:t>
      </w:r>
      <w:r w:rsidR="00446F84">
        <w:t xml:space="preserve"> </w:t>
      </w:r>
      <w:r w:rsidR="000143D6">
        <w:t xml:space="preserve">in the control group </w:t>
      </w:r>
      <w:r w:rsidR="00864E84">
        <w:t>had influenza</w:t>
      </w:r>
      <w:r w:rsidR="00511115">
        <w:t xml:space="preserve">. </w:t>
      </w:r>
      <w:r w:rsidR="00446F84">
        <w:t>100</w:t>
      </w:r>
      <w:r w:rsidR="008A2262">
        <w:t xml:space="preserve"> </w:t>
      </w:r>
      <w:r w:rsidR="00446F84" w:rsidRPr="00446F84">
        <w:t xml:space="preserve">(100%) </w:t>
      </w:r>
      <w:r w:rsidR="00446F84">
        <w:t xml:space="preserve">of </w:t>
      </w:r>
      <w:r w:rsidR="002C0250">
        <w:t xml:space="preserve">100 </w:t>
      </w:r>
      <w:r w:rsidR="000E1CCA">
        <w:t>influenza-</w:t>
      </w:r>
      <w:r w:rsidR="00AE111B">
        <w:t xml:space="preserve">infected patients </w:t>
      </w:r>
      <w:r w:rsidR="007B2B5B" w:rsidRPr="007B2B5B">
        <w:t>we</w:t>
      </w:r>
      <w:r w:rsidR="002C0250">
        <w:t xml:space="preserve">re </w:t>
      </w:r>
      <w:r w:rsidR="00AE111B">
        <w:t xml:space="preserve">diagnosed in the </w:t>
      </w:r>
      <w:r w:rsidR="004A3949">
        <w:t>m</w:t>
      </w:r>
      <w:r w:rsidR="00AE111B">
        <w:t xml:space="preserve">POCT group </w:t>
      </w:r>
      <w:r w:rsidR="00446F84">
        <w:t xml:space="preserve">and </w:t>
      </w:r>
      <w:r w:rsidR="008E4C85">
        <w:t>6</w:t>
      </w:r>
      <w:r w:rsidR="00446F84">
        <w:t>0</w:t>
      </w:r>
      <w:r w:rsidR="008A2262">
        <w:t xml:space="preserve"> </w:t>
      </w:r>
      <w:r w:rsidR="00446F84">
        <w:t xml:space="preserve">(59%) of 102 </w:t>
      </w:r>
      <w:r w:rsidR="007B2B5B" w:rsidRPr="007B2B5B">
        <w:t>were diagnosed though</w:t>
      </w:r>
      <w:r w:rsidR="00446F84">
        <w:t xml:space="preserve"> routine clinical care (relative risk 1</w:t>
      </w:r>
      <w:r w:rsidR="008A2262">
        <w:rPr>
          <w:rFonts w:cstheme="minorHAnsi"/>
        </w:rPr>
        <w:t>·</w:t>
      </w:r>
      <w:r w:rsidR="00446F84">
        <w:t>7,</w:t>
      </w:r>
      <w:r w:rsidR="008A2262">
        <w:t xml:space="preserve"> </w:t>
      </w:r>
      <w:r w:rsidR="00AF7C1A">
        <w:t>95%CI 1</w:t>
      </w:r>
      <w:r w:rsidR="008A2262">
        <w:rPr>
          <w:rFonts w:cstheme="minorHAnsi"/>
        </w:rPr>
        <w:t>·</w:t>
      </w:r>
      <w:r w:rsidR="00AF7C1A">
        <w:t>7 to 1</w:t>
      </w:r>
      <w:r w:rsidR="008A2262">
        <w:rPr>
          <w:rFonts w:cstheme="minorHAnsi"/>
        </w:rPr>
        <w:t>·</w:t>
      </w:r>
      <w:r w:rsidR="00AF7C1A">
        <w:t>7</w:t>
      </w:r>
      <w:r w:rsidR="00446F84">
        <w:t>;</w:t>
      </w:r>
      <w:r w:rsidR="00C57199">
        <w:t xml:space="preserve"> </w:t>
      </w:r>
      <w:r w:rsidR="007B2B5B" w:rsidRPr="007B2B5B">
        <w:t>p&lt;0</w:t>
      </w:r>
      <w:r w:rsidR="008A2262">
        <w:rPr>
          <w:rFonts w:cstheme="minorHAnsi"/>
        </w:rPr>
        <w:t>·</w:t>
      </w:r>
      <w:r w:rsidR="007B2B5B" w:rsidRPr="007B2B5B">
        <w:t>0001</w:t>
      </w:r>
      <w:r w:rsidR="00446F84">
        <w:t>)</w:t>
      </w:r>
      <w:r w:rsidR="007B2B5B">
        <w:t xml:space="preserve">. </w:t>
      </w:r>
      <w:r w:rsidR="00446F84">
        <w:t>99</w:t>
      </w:r>
      <w:r w:rsidR="008A2262">
        <w:t xml:space="preserve"> </w:t>
      </w:r>
      <w:r w:rsidR="00446F84">
        <w:t xml:space="preserve">(99%) of </w:t>
      </w:r>
      <w:r w:rsidR="00EE4380">
        <w:t>100</w:t>
      </w:r>
      <w:r w:rsidR="000143D6">
        <w:t xml:space="preserve"> </w:t>
      </w:r>
      <w:r w:rsidR="000E1CCA">
        <w:t>influenza-</w:t>
      </w:r>
      <w:r w:rsidR="00C13541">
        <w:t xml:space="preserve">infected </w:t>
      </w:r>
      <w:r w:rsidR="00EE4380" w:rsidRPr="00EE4380">
        <w:t xml:space="preserve">patients </w:t>
      </w:r>
      <w:r w:rsidR="00EE4380">
        <w:t xml:space="preserve">received </w:t>
      </w:r>
      <w:r w:rsidR="004A3949">
        <w:t xml:space="preserve">antivirals </w:t>
      </w:r>
      <w:r w:rsidR="00EE4380">
        <w:t xml:space="preserve">in the </w:t>
      </w:r>
      <w:r w:rsidR="004A3949">
        <w:t>m</w:t>
      </w:r>
      <w:r w:rsidR="00EE4380">
        <w:t xml:space="preserve">POCT group versus </w:t>
      </w:r>
      <w:r w:rsidR="00446F84">
        <w:t>63</w:t>
      </w:r>
      <w:r w:rsidR="008A2262">
        <w:t xml:space="preserve"> </w:t>
      </w:r>
      <w:r w:rsidR="00446F84">
        <w:t xml:space="preserve">(62%) </w:t>
      </w:r>
      <w:r w:rsidR="00AF7C1A">
        <w:t xml:space="preserve">102 </w:t>
      </w:r>
      <w:r w:rsidR="00446F84">
        <w:t>in the control group (relative risk 1</w:t>
      </w:r>
      <w:r w:rsidR="008A2262">
        <w:rPr>
          <w:rFonts w:cstheme="minorHAnsi"/>
        </w:rPr>
        <w:t>·</w:t>
      </w:r>
      <w:r w:rsidR="00446F84">
        <w:t>6,</w:t>
      </w:r>
      <w:r w:rsidR="008A2262">
        <w:t xml:space="preserve"> </w:t>
      </w:r>
      <w:r w:rsidR="00446F84">
        <w:t>95%CI 1</w:t>
      </w:r>
      <w:r w:rsidR="008A2262">
        <w:rPr>
          <w:rFonts w:cstheme="minorHAnsi"/>
        </w:rPr>
        <w:t>·</w:t>
      </w:r>
      <w:r w:rsidR="00446F84">
        <w:t>4 to 1</w:t>
      </w:r>
      <w:r w:rsidR="008A2262">
        <w:rPr>
          <w:rFonts w:cstheme="minorHAnsi"/>
        </w:rPr>
        <w:t>·</w:t>
      </w:r>
      <w:r w:rsidR="00446F84">
        <w:t>9;</w:t>
      </w:r>
      <w:r w:rsidR="00C57199">
        <w:t xml:space="preserve"> </w:t>
      </w:r>
      <w:r w:rsidR="00C13541">
        <w:t>p&lt;0</w:t>
      </w:r>
      <w:r w:rsidR="008A2262">
        <w:rPr>
          <w:rFonts w:cstheme="minorHAnsi"/>
        </w:rPr>
        <w:t>·</w:t>
      </w:r>
      <w:r w:rsidR="00C13541">
        <w:t>0001</w:t>
      </w:r>
      <w:r w:rsidR="00446F84">
        <w:t>)</w:t>
      </w:r>
      <w:r w:rsidR="004064DB">
        <w:t xml:space="preserve">. </w:t>
      </w:r>
      <w:bookmarkStart w:id="0" w:name="OLE_LINK1"/>
      <w:r w:rsidR="004064DB">
        <w:t>Median</w:t>
      </w:r>
      <w:r w:rsidR="004064DB" w:rsidRPr="004064DB">
        <w:t xml:space="preserve"> time to </w:t>
      </w:r>
      <w:r w:rsidR="004A3949">
        <w:t xml:space="preserve">antivirals </w:t>
      </w:r>
      <w:r w:rsidR="00C13541">
        <w:t>was 1</w:t>
      </w:r>
      <w:r w:rsidR="008A2262">
        <w:rPr>
          <w:rFonts w:cstheme="minorHAnsi"/>
        </w:rPr>
        <w:t>·</w:t>
      </w:r>
      <w:r w:rsidR="00AF7C1A">
        <w:t>0</w:t>
      </w:r>
      <w:r w:rsidR="00446F84">
        <w:t xml:space="preserve"> </w:t>
      </w:r>
      <w:r w:rsidR="00C13541">
        <w:t>hour</w:t>
      </w:r>
      <w:r w:rsidR="004064DB" w:rsidRPr="004064DB">
        <w:t xml:space="preserve"> in </w:t>
      </w:r>
      <w:r w:rsidR="004A3949">
        <w:t>the mPOCT group versus 6</w:t>
      </w:r>
      <w:r w:rsidR="008A2262">
        <w:rPr>
          <w:rFonts w:cstheme="minorHAnsi"/>
        </w:rPr>
        <w:t>·</w:t>
      </w:r>
      <w:r w:rsidR="00AF7C1A">
        <w:t>0</w:t>
      </w:r>
      <w:r w:rsidR="001132FC">
        <w:t xml:space="preserve"> </w:t>
      </w:r>
      <w:r w:rsidR="004064DB" w:rsidRPr="004064DB">
        <w:t xml:space="preserve">hours in the control </w:t>
      </w:r>
      <w:r w:rsidR="00446F84">
        <w:t>group (</w:t>
      </w:r>
      <w:r w:rsidR="004A3949">
        <w:t>difference of 5</w:t>
      </w:r>
      <w:r w:rsidR="008A2262">
        <w:rPr>
          <w:rFonts w:cstheme="minorHAnsi"/>
        </w:rPr>
        <w:t>·</w:t>
      </w:r>
      <w:r w:rsidR="008E4C85">
        <w:t>0</w:t>
      </w:r>
      <w:r w:rsidR="00446F84">
        <w:t xml:space="preserve"> hours,</w:t>
      </w:r>
      <w:r w:rsidR="008A2262">
        <w:t xml:space="preserve"> </w:t>
      </w:r>
      <w:r w:rsidR="001132FC">
        <w:t xml:space="preserve">95%CI </w:t>
      </w:r>
      <w:r w:rsidR="00C13541">
        <w:t xml:space="preserve">0 </w:t>
      </w:r>
      <w:r w:rsidR="001132FC">
        <w:t xml:space="preserve">to </w:t>
      </w:r>
      <w:r w:rsidR="008E4C85">
        <w:t>6</w:t>
      </w:r>
      <w:r w:rsidR="008A2262">
        <w:rPr>
          <w:rFonts w:cstheme="minorHAnsi"/>
        </w:rPr>
        <w:t>·</w:t>
      </w:r>
      <w:r w:rsidR="008E4C85">
        <w:t>0</w:t>
      </w:r>
      <w:r w:rsidR="00446F84">
        <w:t>;</w:t>
      </w:r>
      <w:r w:rsidR="00C57199">
        <w:t xml:space="preserve"> </w:t>
      </w:r>
      <w:r w:rsidR="00223D11">
        <w:t>p</w:t>
      </w:r>
      <w:r w:rsidR="00910021">
        <w:t>=</w:t>
      </w:r>
      <w:r w:rsidR="008E4C85">
        <w:t>0</w:t>
      </w:r>
      <w:r w:rsidR="008A2262">
        <w:rPr>
          <w:rFonts w:cstheme="minorHAnsi"/>
        </w:rPr>
        <w:t>·</w:t>
      </w:r>
      <w:r w:rsidR="008E4C85">
        <w:t>004</w:t>
      </w:r>
      <w:r w:rsidR="00446F84">
        <w:t>)</w:t>
      </w:r>
      <w:r w:rsidR="00C13541">
        <w:t>.</w:t>
      </w:r>
      <w:bookmarkEnd w:id="0"/>
      <w:r w:rsidR="00100A5C">
        <w:t xml:space="preserve"> </w:t>
      </w:r>
      <w:r w:rsidR="00446F84">
        <w:t>70</w:t>
      </w:r>
      <w:r w:rsidR="008A2262">
        <w:t xml:space="preserve"> </w:t>
      </w:r>
      <w:r w:rsidR="00446F84">
        <w:t>(70%) of 100</w:t>
      </w:r>
      <w:r w:rsidR="000E1CCA">
        <w:t xml:space="preserve"> influenza-</w:t>
      </w:r>
      <w:r w:rsidR="00C13541">
        <w:t xml:space="preserve">infected </w:t>
      </w:r>
      <w:r w:rsidR="008E4C85">
        <w:t xml:space="preserve">patients in the </w:t>
      </w:r>
      <w:r w:rsidR="004A3949">
        <w:t>m</w:t>
      </w:r>
      <w:r w:rsidR="008E4C85">
        <w:t>P</w:t>
      </w:r>
      <w:r w:rsidR="000143D6">
        <w:t>OC</w:t>
      </w:r>
      <w:r w:rsidR="00C13541">
        <w:t>T group were</w:t>
      </w:r>
      <w:r w:rsidR="00CF3BE4">
        <w:t xml:space="preserve"> nursed</w:t>
      </w:r>
      <w:r w:rsidR="00C13541">
        <w:t xml:space="preserve"> in single ro</w:t>
      </w:r>
      <w:r w:rsidR="00446F84">
        <w:t>om accommodation versus 39</w:t>
      </w:r>
      <w:r w:rsidR="008A2262">
        <w:t xml:space="preserve"> </w:t>
      </w:r>
      <w:r w:rsidR="00446F84">
        <w:t xml:space="preserve">(38%) of </w:t>
      </w:r>
      <w:r w:rsidR="00C13541">
        <w:t xml:space="preserve">102 </w:t>
      </w:r>
      <w:r w:rsidR="00446F84">
        <w:t>in the control group (relative risk 1</w:t>
      </w:r>
      <w:r w:rsidR="008A2262">
        <w:rPr>
          <w:rFonts w:cstheme="minorHAnsi"/>
        </w:rPr>
        <w:t>·</w:t>
      </w:r>
      <w:r w:rsidR="00446F84">
        <w:t>8,</w:t>
      </w:r>
      <w:r w:rsidR="008A2262">
        <w:t xml:space="preserve"> </w:t>
      </w:r>
      <w:r w:rsidR="00446F84">
        <w:t>95%CI 1</w:t>
      </w:r>
      <w:r w:rsidR="008A2262">
        <w:rPr>
          <w:rFonts w:cstheme="minorHAnsi"/>
        </w:rPr>
        <w:t>·</w:t>
      </w:r>
      <w:r w:rsidR="00446F84">
        <w:t>4 to 2</w:t>
      </w:r>
      <w:r w:rsidR="008A2262">
        <w:rPr>
          <w:rFonts w:cstheme="minorHAnsi"/>
        </w:rPr>
        <w:t>·</w:t>
      </w:r>
      <w:r w:rsidR="00446F84">
        <w:t>4;</w:t>
      </w:r>
      <w:r w:rsidR="00C57199">
        <w:t xml:space="preserve"> </w:t>
      </w:r>
      <w:r w:rsidR="00C13541">
        <w:t>p&lt;0</w:t>
      </w:r>
      <w:r w:rsidR="008A2262">
        <w:rPr>
          <w:rFonts w:cstheme="minorHAnsi"/>
        </w:rPr>
        <w:t>·</w:t>
      </w:r>
      <w:r w:rsidR="00C13541">
        <w:t>0001</w:t>
      </w:r>
      <w:r w:rsidR="00446F84">
        <w:t>)</w:t>
      </w:r>
      <w:r w:rsidR="00432CA7">
        <w:t>.</w:t>
      </w:r>
      <w:r w:rsidR="00910021">
        <w:t xml:space="preserve"> </w:t>
      </w:r>
    </w:p>
    <w:p w:rsidR="000C15E5" w:rsidRPr="00A56829" w:rsidRDefault="0082718B" w:rsidP="008336DB">
      <w:pPr>
        <w:spacing w:line="480" w:lineRule="auto"/>
        <w:jc w:val="both"/>
        <w:rPr>
          <w:b/>
          <w:bCs/>
        </w:rPr>
      </w:pPr>
      <w:r w:rsidRPr="00A56829">
        <w:rPr>
          <w:b/>
          <w:bCs/>
        </w:rPr>
        <w:t>Interpretation</w:t>
      </w:r>
      <w:r w:rsidR="00C51C28" w:rsidRPr="00A56829">
        <w:rPr>
          <w:b/>
          <w:bCs/>
        </w:rPr>
        <w:t xml:space="preserve"> </w:t>
      </w:r>
      <w:r w:rsidR="00446F84" w:rsidRPr="00A56829">
        <w:rPr>
          <w:bCs/>
        </w:rPr>
        <w:t>R</w:t>
      </w:r>
      <w:r w:rsidR="00E44D2C" w:rsidRPr="00A56829">
        <w:rPr>
          <w:bCs/>
        </w:rPr>
        <w:t xml:space="preserve">outine </w:t>
      </w:r>
      <w:r w:rsidR="004A3949" w:rsidRPr="00A56829">
        <w:rPr>
          <w:bCs/>
        </w:rPr>
        <w:t xml:space="preserve">mPOCT </w:t>
      </w:r>
      <w:r w:rsidR="000C15E5" w:rsidRPr="00A56829">
        <w:rPr>
          <w:bCs/>
        </w:rPr>
        <w:t xml:space="preserve">for influenza was associated with </w:t>
      </w:r>
      <w:r w:rsidR="00C57199" w:rsidRPr="00A56829">
        <w:rPr>
          <w:bCs/>
        </w:rPr>
        <w:t xml:space="preserve">improved </w:t>
      </w:r>
      <w:r w:rsidR="008E4C85" w:rsidRPr="00A56829">
        <w:rPr>
          <w:bCs/>
        </w:rPr>
        <w:t>influenza</w:t>
      </w:r>
      <w:r w:rsidR="000C15E5" w:rsidRPr="00A56829">
        <w:rPr>
          <w:bCs/>
        </w:rPr>
        <w:t xml:space="preserve"> </w:t>
      </w:r>
      <w:r w:rsidR="00F01AFE" w:rsidRPr="00A56829">
        <w:rPr>
          <w:bCs/>
        </w:rPr>
        <w:t xml:space="preserve">detection </w:t>
      </w:r>
      <w:r w:rsidR="00126978" w:rsidRPr="00A56829">
        <w:rPr>
          <w:bCs/>
        </w:rPr>
        <w:t xml:space="preserve">and </w:t>
      </w:r>
      <w:r w:rsidR="000143D6" w:rsidRPr="00A56829">
        <w:rPr>
          <w:bCs/>
        </w:rPr>
        <w:t>improvements in</w:t>
      </w:r>
      <w:r w:rsidR="00973849" w:rsidRPr="00A56829">
        <w:rPr>
          <w:bCs/>
        </w:rPr>
        <w:t xml:space="preserve"> appropriate </w:t>
      </w:r>
      <w:r w:rsidR="000143D6" w:rsidRPr="00A56829">
        <w:rPr>
          <w:bCs/>
        </w:rPr>
        <w:t xml:space="preserve">and timely </w:t>
      </w:r>
      <w:r w:rsidR="004A3949" w:rsidRPr="00A56829">
        <w:rPr>
          <w:bCs/>
        </w:rPr>
        <w:t>antiv</w:t>
      </w:r>
      <w:r w:rsidR="00126978" w:rsidRPr="00A56829">
        <w:rPr>
          <w:bCs/>
        </w:rPr>
        <w:t>i</w:t>
      </w:r>
      <w:r w:rsidR="00E03787" w:rsidRPr="00A56829">
        <w:rPr>
          <w:bCs/>
        </w:rPr>
        <w:t xml:space="preserve">ral and isolation facility use. </w:t>
      </w:r>
      <w:r w:rsidR="003065A5" w:rsidRPr="00A56829">
        <w:rPr>
          <w:bCs/>
        </w:rPr>
        <w:t xml:space="preserve">Routine </w:t>
      </w:r>
      <w:r w:rsidR="00E03787" w:rsidRPr="00A56829">
        <w:rPr>
          <w:bCs/>
        </w:rPr>
        <w:t>mPOCT should replace laboratory based diagnostics for acute admission</w:t>
      </w:r>
      <w:r w:rsidR="00AA0091" w:rsidRPr="00A56829">
        <w:rPr>
          <w:bCs/>
        </w:rPr>
        <w:t>s</w:t>
      </w:r>
      <w:r w:rsidR="00E03787" w:rsidRPr="00A56829">
        <w:rPr>
          <w:bCs/>
        </w:rPr>
        <w:t xml:space="preserve"> to hospital</w:t>
      </w:r>
      <w:r w:rsidR="003065A5" w:rsidRPr="00A56829">
        <w:rPr>
          <w:bCs/>
        </w:rPr>
        <w:t xml:space="preserve"> during influenza season</w:t>
      </w:r>
      <w:r w:rsidR="00E03787" w:rsidRPr="00A56829">
        <w:rPr>
          <w:bCs/>
        </w:rPr>
        <w:t xml:space="preserve">.  </w:t>
      </w:r>
    </w:p>
    <w:p w:rsidR="00723421" w:rsidRDefault="00723421" w:rsidP="007574C0">
      <w:pPr>
        <w:spacing w:line="480" w:lineRule="auto"/>
        <w:jc w:val="both"/>
      </w:pPr>
      <w:r w:rsidRPr="00D03127">
        <w:rPr>
          <w:b/>
          <w:bCs/>
        </w:rPr>
        <w:lastRenderedPageBreak/>
        <w:t>Funding</w:t>
      </w:r>
      <w:r w:rsidR="00C51C28" w:rsidRPr="00D03127">
        <w:rPr>
          <w:b/>
          <w:bCs/>
        </w:rPr>
        <w:t xml:space="preserve"> </w:t>
      </w:r>
      <w:r w:rsidR="003F58F0" w:rsidRPr="003F58F0">
        <w:t xml:space="preserve">NIHR </w:t>
      </w:r>
    </w:p>
    <w:p w:rsidR="00F01AFE" w:rsidRDefault="00F01AFE"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C57199" w:rsidRDefault="00C57199" w:rsidP="007574C0">
      <w:pPr>
        <w:spacing w:line="480" w:lineRule="auto"/>
        <w:jc w:val="both"/>
      </w:pPr>
    </w:p>
    <w:p w:rsidR="0091644D" w:rsidRPr="00D03127" w:rsidRDefault="0091644D" w:rsidP="00723421">
      <w:pPr>
        <w:rPr>
          <w:sz w:val="32"/>
          <w:szCs w:val="32"/>
        </w:rPr>
      </w:pPr>
      <w:r w:rsidRPr="00D03127">
        <w:rPr>
          <w:b/>
          <w:bCs/>
          <w:sz w:val="32"/>
          <w:szCs w:val="32"/>
        </w:rPr>
        <w:lastRenderedPageBreak/>
        <w:t>Introduction</w:t>
      </w:r>
    </w:p>
    <w:p w:rsidR="00304E0E" w:rsidRDefault="00856366" w:rsidP="001132FC">
      <w:pPr>
        <w:pStyle w:val="BodyText"/>
        <w:spacing w:line="480" w:lineRule="auto"/>
        <w:ind w:left="0" w:right="198"/>
        <w:jc w:val="both"/>
        <w:rPr>
          <w:rFonts w:asciiTheme="minorHAnsi" w:hAnsiTheme="minorHAnsi"/>
          <w:spacing w:val="-1"/>
          <w:sz w:val="22"/>
          <w:szCs w:val="22"/>
        </w:rPr>
      </w:pPr>
      <w:r w:rsidRPr="00864E84">
        <w:rPr>
          <w:rFonts w:asciiTheme="minorHAnsi" w:hAnsiTheme="minorHAnsi"/>
          <w:spacing w:val="-1"/>
          <w:sz w:val="22"/>
          <w:szCs w:val="22"/>
        </w:rPr>
        <w:t xml:space="preserve">The influenza virus causes seasonal epidemics </w:t>
      </w:r>
      <w:r w:rsidR="00553429" w:rsidRPr="00864E84">
        <w:rPr>
          <w:rFonts w:asciiTheme="minorHAnsi" w:hAnsiTheme="minorHAnsi"/>
          <w:spacing w:val="-1"/>
          <w:sz w:val="22"/>
          <w:szCs w:val="22"/>
        </w:rPr>
        <w:t xml:space="preserve">every winter in temperate climates </w:t>
      </w:r>
      <w:r w:rsidRPr="00864E84">
        <w:rPr>
          <w:rFonts w:asciiTheme="minorHAnsi" w:hAnsiTheme="minorHAnsi"/>
          <w:spacing w:val="-1"/>
          <w:sz w:val="22"/>
          <w:szCs w:val="22"/>
        </w:rPr>
        <w:t xml:space="preserve">leading to </w:t>
      </w:r>
      <w:r w:rsidR="00864E84" w:rsidRPr="00864E84">
        <w:rPr>
          <w:rFonts w:asciiTheme="minorHAnsi" w:hAnsiTheme="minorHAnsi"/>
          <w:spacing w:val="-1"/>
          <w:sz w:val="22"/>
          <w:szCs w:val="22"/>
        </w:rPr>
        <w:t>large numbers of hospital</w:t>
      </w:r>
      <w:r w:rsidR="002B1C7A">
        <w:rPr>
          <w:rFonts w:asciiTheme="minorHAnsi" w:hAnsiTheme="minorHAnsi"/>
          <w:spacing w:val="-1"/>
          <w:sz w:val="22"/>
          <w:szCs w:val="22"/>
        </w:rPr>
        <w:t>isations, principally in adults</w:t>
      </w:r>
      <w:r w:rsidRPr="00864E84">
        <w:rPr>
          <w:rFonts w:asciiTheme="minorHAnsi" w:hAnsiTheme="minorHAnsi"/>
          <w:spacing w:val="-1"/>
          <w:sz w:val="22"/>
          <w:szCs w:val="22"/>
        </w:rPr>
        <w:t>.</w:t>
      </w:r>
      <w:r w:rsidR="002B1C7A" w:rsidRPr="002B1C7A">
        <w:rPr>
          <w:rFonts w:asciiTheme="minorHAnsi" w:hAnsiTheme="minorHAnsi"/>
          <w:spacing w:val="-1"/>
          <w:sz w:val="22"/>
          <w:szCs w:val="22"/>
          <w:vertAlign w:val="superscript"/>
        </w:rPr>
        <w:t>1-4</w:t>
      </w:r>
      <w:r w:rsidRPr="00864E84">
        <w:rPr>
          <w:rFonts w:asciiTheme="minorHAnsi" w:hAnsiTheme="minorHAnsi"/>
          <w:spacing w:val="-1"/>
          <w:sz w:val="22"/>
          <w:szCs w:val="22"/>
        </w:rPr>
        <w:t xml:space="preserve"> </w:t>
      </w:r>
      <w:r w:rsidR="00B31814" w:rsidRPr="00864E84">
        <w:rPr>
          <w:rFonts w:asciiTheme="minorHAnsi" w:hAnsiTheme="minorHAnsi"/>
          <w:spacing w:val="-1"/>
          <w:sz w:val="22"/>
          <w:szCs w:val="22"/>
        </w:rPr>
        <w:t>A</w:t>
      </w:r>
      <w:r w:rsidRPr="00864E84">
        <w:rPr>
          <w:rFonts w:asciiTheme="minorHAnsi" w:hAnsiTheme="minorHAnsi"/>
          <w:spacing w:val="-1"/>
          <w:sz w:val="22"/>
          <w:szCs w:val="22"/>
        </w:rPr>
        <w:t>dult</w:t>
      </w:r>
      <w:r w:rsidR="00B31814" w:rsidRPr="00864E84">
        <w:rPr>
          <w:rFonts w:asciiTheme="minorHAnsi" w:hAnsiTheme="minorHAnsi"/>
          <w:spacing w:val="-1"/>
          <w:sz w:val="22"/>
          <w:szCs w:val="22"/>
        </w:rPr>
        <w:t xml:space="preserve">s hospitalised with influenza </w:t>
      </w:r>
      <w:r w:rsidRPr="00864E84">
        <w:rPr>
          <w:rFonts w:asciiTheme="minorHAnsi" w:hAnsiTheme="minorHAnsi"/>
          <w:spacing w:val="-1"/>
          <w:sz w:val="22"/>
          <w:szCs w:val="22"/>
        </w:rPr>
        <w:t xml:space="preserve">are </w:t>
      </w:r>
      <w:r w:rsidR="00B31814" w:rsidRPr="00864E84">
        <w:rPr>
          <w:rFonts w:asciiTheme="minorHAnsi" w:hAnsiTheme="minorHAnsi"/>
          <w:spacing w:val="-1"/>
          <w:sz w:val="22"/>
          <w:szCs w:val="22"/>
        </w:rPr>
        <w:t xml:space="preserve">frequently </w:t>
      </w:r>
      <w:r w:rsidRPr="00864E84">
        <w:rPr>
          <w:rFonts w:asciiTheme="minorHAnsi" w:hAnsiTheme="minorHAnsi"/>
          <w:spacing w:val="-1"/>
          <w:sz w:val="22"/>
          <w:szCs w:val="22"/>
        </w:rPr>
        <w:t>admitted to critical care units and 3-15% will die</w:t>
      </w:r>
      <w:r w:rsidR="002B1C7A">
        <w:rPr>
          <w:rFonts w:asciiTheme="minorHAnsi" w:hAnsiTheme="minorHAnsi"/>
          <w:spacing w:val="-1"/>
          <w:sz w:val="22"/>
          <w:szCs w:val="22"/>
        </w:rPr>
        <w:t xml:space="preserve"> in hospital.</w:t>
      </w:r>
      <w:r w:rsidR="002B1C7A" w:rsidRPr="002B1C7A">
        <w:rPr>
          <w:rFonts w:asciiTheme="minorHAnsi" w:hAnsiTheme="minorHAnsi"/>
          <w:spacing w:val="-1"/>
          <w:sz w:val="22"/>
          <w:szCs w:val="22"/>
          <w:vertAlign w:val="superscript"/>
        </w:rPr>
        <w:t>5</w:t>
      </w:r>
      <w:r w:rsidRPr="00856366">
        <w:rPr>
          <w:rFonts w:asciiTheme="minorHAnsi" w:hAnsiTheme="minorHAnsi"/>
          <w:spacing w:val="-1"/>
          <w:sz w:val="22"/>
          <w:szCs w:val="22"/>
        </w:rPr>
        <w:t xml:space="preserve"> </w:t>
      </w:r>
      <w:r>
        <w:rPr>
          <w:rFonts w:asciiTheme="minorHAnsi" w:hAnsiTheme="minorHAnsi"/>
          <w:spacing w:val="-1"/>
          <w:sz w:val="22"/>
          <w:szCs w:val="22"/>
        </w:rPr>
        <w:t xml:space="preserve">Influenza often remains </w:t>
      </w:r>
      <w:r w:rsidR="00304E0E" w:rsidRPr="00304E0E">
        <w:rPr>
          <w:rFonts w:asciiTheme="minorHAnsi" w:hAnsiTheme="minorHAnsi"/>
          <w:spacing w:val="-1"/>
          <w:sz w:val="22"/>
          <w:szCs w:val="22"/>
        </w:rPr>
        <w:t xml:space="preserve">undiagnosed in patients admitted to hospital due to </w:t>
      </w:r>
      <w:r>
        <w:rPr>
          <w:rFonts w:asciiTheme="minorHAnsi" w:hAnsiTheme="minorHAnsi"/>
          <w:spacing w:val="-1"/>
          <w:sz w:val="22"/>
          <w:szCs w:val="22"/>
        </w:rPr>
        <w:t xml:space="preserve">a </w:t>
      </w:r>
      <w:r w:rsidR="00304E0E" w:rsidRPr="00304E0E">
        <w:rPr>
          <w:rFonts w:asciiTheme="minorHAnsi" w:hAnsiTheme="minorHAnsi"/>
          <w:spacing w:val="-1"/>
          <w:sz w:val="22"/>
          <w:szCs w:val="22"/>
        </w:rPr>
        <w:t>lack of routine testing</w:t>
      </w:r>
      <w:r w:rsidR="00B17D13">
        <w:rPr>
          <w:rFonts w:asciiTheme="minorHAnsi" w:hAnsiTheme="minorHAnsi"/>
          <w:spacing w:val="-1"/>
          <w:sz w:val="22"/>
          <w:szCs w:val="22"/>
        </w:rPr>
        <w:t xml:space="preserve"> </w:t>
      </w:r>
      <w:r w:rsidR="00B31814">
        <w:rPr>
          <w:rFonts w:asciiTheme="minorHAnsi" w:hAnsiTheme="minorHAnsi"/>
          <w:spacing w:val="-1"/>
          <w:sz w:val="22"/>
          <w:szCs w:val="22"/>
        </w:rPr>
        <w:t>and the inaccur</w:t>
      </w:r>
      <w:r w:rsidR="0049641D">
        <w:rPr>
          <w:rFonts w:asciiTheme="minorHAnsi" w:hAnsiTheme="minorHAnsi"/>
          <w:spacing w:val="-1"/>
          <w:sz w:val="22"/>
          <w:szCs w:val="22"/>
        </w:rPr>
        <w:t xml:space="preserve">acy </w:t>
      </w:r>
      <w:r w:rsidR="00AF7C1A" w:rsidRPr="00AF7C1A">
        <w:rPr>
          <w:rFonts w:asciiTheme="minorHAnsi" w:hAnsiTheme="minorHAnsi"/>
          <w:spacing w:val="-1"/>
          <w:sz w:val="22"/>
          <w:szCs w:val="22"/>
        </w:rPr>
        <w:t>of test</w:t>
      </w:r>
      <w:r w:rsidR="002B1C7A">
        <w:rPr>
          <w:rFonts w:asciiTheme="minorHAnsi" w:hAnsiTheme="minorHAnsi"/>
          <w:spacing w:val="-1"/>
          <w:sz w:val="22"/>
          <w:szCs w:val="22"/>
        </w:rPr>
        <w:t>ing based on clinical suspicion</w:t>
      </w:r>
      <w:r>
        <w:rPr>
          <w:rFonts w:asciiTheme="minorHAnsi" w:hAnsiTheme="minorHAnsi"/>
          <w:spacing w:val="-1"/>
          <w:sz w:val="22"/>
          <w:szCs w:val="22"/>
        </w:rPr>
        <w:t>.</w:t>
      </w:r>
      <w:r w:rsidR="002B1C7A">
        <w:rPr>
          <w:rFonts w:asciiTheme="minorHAnsi" w:hAnsiTheme="minorHAnsi"/>
          <w:spacing w:val="-1"/>
          <w:sz w:val="22"/>
          <w:szCs w:val="22"/>
          <w:vertAlign w:val="superscript"/>
        </w:rPr>
        <w:t>6</w:t>
      </w:r>
      <w:r>
        <w:rPr>
          <w:rFonts w:asciiTheme="minorHAnsi" w:hAnsiTheme="minorHAnsi"/>
          <w:spacing w:val="-1"/>
          <w:sz w:val="22"/>
          <w:szCs w:val="22"/>
        </w:rPr>
        <w:t xml:space="preserve"> </w:t>
      </w:r>
      <w:r w:rsidR="00B31814">
        <w:rPr>
          <w:rFonts w:asciiTheme="minorHAnsi" w:hAnsiTheme="minorHAnsi"/>
          <w:spacing w:val="-1"/>
          <w:sz w:val="22"/>
          <w:szCs w:val="22"/>
        </w:rPr>
        <w:t xml:space="preserve">Many </w:t>
      </w:r>
      <w:r w:rsidR="0049641D">
        <w:rPr>
          <w:rFonts w:asciiTheme="minorHAnsi" w:hAnsiTheme="minorHAnsi"/>
          <w:spacing w:val="-1"/>
          <w:sz w:val="22"/>
          <w:szCs w:val="22"/>
        </w:rPr>
        <w:t>influenza-</w:t>
      </w:r>
      <w:r w:rsidR="00B31814">
        <w:rPr>
          <w:rFonts w:asciiTheme="minorHAnsi" w:hAnsiTheme="minorHAnsi"/>
          <w:spacing w:val="-1"/>
          <w:sz w:val="22"/>
          <w:szCs w:val="22"/>
        </w:rPr>
        <w:t>i</w:t>
      </w:r>
      <w:r>
        <w:rPr>
          <w:rFonts w:asciiTheme="minorHAnsi" w:hAnsiTheme="minorHAnsi"/>
          <w:spacing w:val="-1"/>
          <w:sz w:val="22"/>
          <w:szCs w:val="22"/>
        </w:rPr>
        <w:t xml:space="preserve">nfected patients are therefore not </w:t>
      </w:r>
      <w:r w:rsidR="00E222DA">
        <w:rPr>
          <w:rFonts w:asciiTheme="minorHAnsi" w:hAnsiTheme="minorHAnsi"/>
          <w:spacing w:val="-1"/>
          <w:sz w:val="22"/>
          <w:szCs w:val="22"/>
        </w:rPr>
        <w:t xml:space="preserve">identified and </w:t>
      </w:r>
      <w:r>
        <w:rPr>
          <w:rFonts w:asciiTheme="minorHAnsi" w:hAnsiTheme="minorHAnsi"/>
          <w:spacing w:val="-1"/>
          <w:sz w:val="22"/>
          <w:szCs w:val="22"/>
        </w:rPr>
        <w:t>treated appropriately with antiviral agents or isolated correct</w:t>
      </w:r>
      <w:r w:rsidR="00E222DA">
        <w:rPr>
          <w:rFonts w:asciiTheme="minorHAnsi" w:hAnsiTheme="minorHAnsi"/>
          <w:spacing w:val="-1"/>
          <w:sz w:val="22"/>
          <w:szCs w:val="22"/>
        </w:rPr>
        <w:t xml:space="preserve">ly in single room accommodation, </w:t>
      </w:r>
      <w:r>
        <w:rPr>
          <w:rFonts w:asciiTheme="minorHAnsi" w:hAnsiTheme="minorHAnsi"/>
          <w:spacing w:val="-1"/>
          <w:sz w:val="22"/>
          <w:szCs w:val="22"/>
        </w:rPr>
        <w:t>to prevent the spread of influenza to others</w:t>
      </w:r>
      <w:r w:rsidR="00304E0E" w:rsidRPr="00304E0E">
        <w:rPr>
          <w:rFonts w:asciiTheme="minorHAnsi" w:hAnsiTheme="minorHAnsi"/>
          <w:spacing w:val="-1"/>
          <w:sz w:val="22"/>
          <w:szCs w:val="22"/>
        </w:rPr>
        <w:t xml:space="preserve">. </w:t>
      </w:r>
      <w:r>
        <w:rPr>
          <w:rFonts w:asciiTheme="minorHAnsi" w:hAnsiTheme="minorHAnsi"/>
          <w:spacing w:val="-1"/>
          <w:sz w:val="22"/>
          <w:szCs w:val="22"/>
        </w:rPr>
        <w:t>Even w</w:t>
      </w:r>
      <w:r w:rsidR="00304E0E" w:rsidRPr="00304E0E">
        <w:rPr>
          <w:rFonts w:asciiTheme="minorHAnsi" w:hAnsiTheme="minorHAnsi"/>
          <w:spacing w:val="-1"/>
          <w:sz w:val="22"/>
          <w:szCs w:val="22"/>
        </w:rPr>
        <w:t xml:space="preserve">hen </w:t>
      </w:r>
      <w:r>
        <w:rPr>
          <w:rFonts w:asciiTheme="minorHAnsi" w:hAnsiTheme="minorHAnsi"/>
          <w:spacing w:val="-1"/>
          <w:sz w:val="22"/>
          <w:szCs w:val="22"/>
        </w:rPr>
        <w:t xml:space="preserve">patients are </w:t>
      </w:r>
      <w:r w:rsidR="00304E0E" w:rsidRPr="00304E0E">
        <w:rPr>
          <w:rFonts w:asciiTheme="minorHAnsi" w:hAnsiTheme="minorHAnsi"/>
          <w:spacing w:val="-1"/>
          <w:sz w:val="22"/>
          <w:szCs w:val="22"/>
        </w:rPr>
        <w:t>tested for</w:t>
      </w:r>
      <w:r>
        <w:rPr>
          <w:rFonts w:asciiTheme="minorHAnsi" w:hAnsiTheme="minorHAnsi"/>
          <w:spacing w:val="-1"/>
          <w:sz w:val="22"/>
          <w:szCs w:val="22"/>
        </w:rPr>
        <w:t xml:space="preserve"> influenza</w:t>
      </w:r>
      <w:r w:rsidR="00AF7C1A">
        <w:rPr>
          <w:rFonts w:asciiTheme="minorHAnsi" w:hAnsiTheme="minorHAnsi"/>
          <w:spacing w:val="-1"/>
          <w:sz w:val="22"/>
          <w:szCs w:val="22"/>
        </w:rPr>
        <w:t>, the diagnosis</w:t>
      </w:r>
      <w:r w:rsidR="00304E0E" w:rsidRPr="00304E0E">
        <w:rPr>
          <w:rFonts w:asciiTheme="minorHAnsi" w:hAnsiTheme="minorHAnsi"/>
          <w:spacing w:val="-1"/>
          <w:sz w:val="22"/>
          <w:szCs w:val="22"/>
        </w:rPr>
        <w:t xml:space="preserve"> i</w:t>
      </w:r>
      <w:r w:rsidR="00B17D13">
        <w:rPr>
          <w:rFonts w:asciiTheme="minorHAnsi" w:hAnsiTheme="minorHAnsi"/>
          <w:spacing w:val="-1"/>
          <w:sz w:val="22"/>
          <w:szCs w:val="22"/>
        </w:rPr>
        <w:t xml:space="preserve">s delayed due to the long </w:t>
      </w:r>
      <w:r w:rsidR="00304E0E" w:rsidRPr="00304E0E">
        <w:rPr>
          <w:rFonts w:asciiTheme="minorHAnsi" w:hAnsiTheme="minorHAnsi"/>
          <w:spacing w:val="-1"/>
          <w:sz w:val="22"/>
          <w:szCs w:val="22"/>
        </w:rPr>
        <w:t>turnaround times of cen</w:t>
      </w:r>
      <w:r w:rsidR="00B17D13">
        <w:rPr>
          <w:rFonts w:asciiTheme="minorHAnsi" w:hAnsiTheme="minorHAnsi"/>
          <w:spacing w:val="-1"/>
          <w:sz w:val="22"/>
          <w:szCs w:val="22"/>
        </w:rPr>
        <w:t>trali</w:t>
      </w:r>
      <w:r w:rsidR="002B1C7A">
        <w:rPr>
          <w:rFonts w:asciiTheme="minorHAnsi" w:hAnsiTheme="minorHAnsi"/>
          <w:spacing w:val="-1"/>
          <w:sz w:val="22"/>
          <w:szCs w:val="22"/>
        </w:rPr>
        <w:t xml:space="preserve">sed laboratory </w:t>
      </w:r>
      <w:r w:rsidR="006B6C33" w:rsidRPr="006B6C33">
        <w:rPr>
          <w:rFonts w:asciiTheme="minorHAnsi" w:hAnsiTheme="minorHAnsi"/>
          <w:spacing w:val="-1"/>
          <w:sz w:val="22"/>
          <w:szCs w:val="22"/>
        </w:rPr>
        <w:t>polymerase chain reaction (</w:t>
      </w:r>
      <w:r w:rsidR="002B1C7A">
        <w:rPr>
          <w:rFonts w:asciiTheme="minorHAnsi" w:hAnsiTheme="minorHAnsi"/>
          <w:spacing w:val="-1"/>
          <w:sz w:val="22"/>
          <w:szCs w:val="22"/>
        </w:rPr>
        <w:t>PCR</w:t>
      </w:r>
      <w:r w:rsidR="006B6C33">
        <w:rPr>
          <w:rFonts w:asciiTheme="minorHAnsi" w:hAnsiTheme="minorHAnsi"/>
          <w:spacing w:val="-1"/>
          <w:sz w:val="22"/>
          <w:szCs w:val="22"/>
        </w:rPr>
        <w:t>)</w:t>
      </w:r>
      <w:r w:rsidR="002B1C7A">
        <w:rPr>
          <w:rFonts w:asciiTheme="minorHAnsi" w:hAnsiTheme="minorHAnsi"/>
          <w:spacing w:val="-1"/>
          <w:sz w:val="22"/>
          <w:szCs w:val="22"/>
        </w:rPr>
        <w:t xml:space="preserve"> testing.</w:t>
      </w:r>
      <w:r w:rsidR="002B1C7A" w:rsidRPr="002B1C7A">
        <w:rPr>
          <w:rFonts w:asciiTheme="minorHAnsi" w:hAnsiTheme="minorHAnsi"/>
          <w:spacing w:val="-1"/>
          <w:sz w:val="22"/>
          <w:szCs w:val="22"/>
          <w:vertAlign w:val="superscript"/>
        </w:rPr>
        <w:t>7</w:t>
      </w:r>
      <w:r w:rsidR="002B1C7A">
        <w:rPr>
          <w:rFonts w:asciiTheme="minorHAnsi" w:hAnsiTheme="minorHAnsi"/>
          <w:spacing w:val="-1"/>
          <w:sz w:val="22"/>
          <w:szCs w:val="22"/>
        </w:rPr>
        <w:t xml:space="preserve"> </w:t>
      </w:r>
      <w:r>
        <w:rPr>
          <w:rFonts w:asciiTheme="minorHAnsi" w:hAnsiTheme="minorHAnsi"/>
          <w:spacing w:val="-1"/>
          <w:sz w:val="22"/>
          <w:szCs w:val="22"/>
        </w:rPr>
        <w:t>This delay</w:t>
      </w:r>
      <w:r w:rsidR="00B17D13">
        <w:rPr>
          <w:rFonts w:asciiTheme="minorHAnsi" w:hAnsiTheme="minorHAnsi"/>
          <w:spacing w:val="-1"/>
          <w:sz w:val="22"/>
          <w:szCs w:val="22"/>
        </w:rPr>
        <w:t xml:space="preserve"> </w:t>
      </w:r>
      <w:r w:rsidR="00B31814">
        <w:rPr>
          <w:rFonts w:asciiTheme="minorHAnsi" w:hAnsiTheme="minorHAnsi"/>
          <w:spacing w:val="-1"/>
          <w:sz w:val="22"/>
          <w:szCs w:val="22"/>
        </w:rPr>
        <w:t xml:space="preserve">also contributes </w:t>
      </w:r>
      <w:r w:rsidR="00864E84">
        <w:rPr>
          <w:rFonts w:asciiTheme="minorHAnsi" w:hAnsiTheme="minorHAnsi"/>
          <w:spacing w:val="-1"/>
          <w:sz w:val="22"/>
          <w:szCs w:val="22"/>
        </w:rPr>
        <w:t>to the</w:t>
      </w:r>
      <w:r w:rsidR="00B31814">
        <w:rPr>
          <w:rFonts w:asciiTheme="minorHAnsi" w:hAnsiTheme="minorHAnsi"/>
          <w:spacing w:val="-1"/>
          <w:sz w:val="22"/>
          <w:szCs w:val="22"/>
        </w:rPr>
        <w:t xml:space="preserve"> </w:t>
      </w:r>
      <w:r w:rsidR="00304E0E" w:rsidRPr="00304E0E">
        <w:rPr>
          <w:rFonts w:asciiTheme="minorHAnsi" w:hAnsiTheme="minorHAnsi"/>
          <w:spacing w:val="-1"/>
          <w:sz w:val="22"/>
          <w:szCs w:val="22"/>
        </w:rPr>
        <w:t xml:space="preserve">inappropriate and late </w:t>
      </w:r>
      <w:r>
        <w:rPr>
          <w:rFonts w:asciiTheme="minorHAnsi" w:hAnsiTheme="minorHAnsi"/>
          <w:spacing w:val="-1"/>
          <w:sz w:val="22"/>
          <w:szCs w:val="22"/>
        </w:rPr>
        <w:t xml:space="preserve">use of antivirals use and </w:t>
      </w:r>
      <w:r w:rsidR="00B31814">
        <w:rPr>
          <w:rFonts w:asciiTheme="minorHAnsi" w:hAnsiTheme="minorHAnsi"/>
          <w:spacing w:val="-1"/>
          <w:sz w:val="22"/>
          <w:szCs w:val="22"/>
        </w:rPr>
        <w:t>i</w:t>
      </w:r>
      <w:r w:rsidR="0020630A">
        <w:rPr>
          <w:rFonts w:asciiTheme="minorHAnsi" w:hAnsiTheme="minorHAnsi"/>
          <w:spacing w:val="-1"/>
          <w:sz w:val="22"/>
          <w:szCs w:val="22"/>
        </w:rPr>
        <w:t>solation facilities and impairs</w:t>
      </w:r>
      <w:r>
        <w:rPr>
          <w:rFonts w:asciiTheme="minorHAnsi" w:hAnsiTheme="minorHAnsi"/>
          <w:spacing w:val="-1"/>
          <w:sz w:val="22"/>
          <w:szCs w:val="22"/>
        </w:rPr>
        <w:t xml:space="preserve"> patient</w:t>
      </w:r>
      <w:r w:rsidR="00304E0E">
        <w:rPr>
          <w:rFonts w:asciiTheme="minorHAnsi" w:hAnsiTheme="minorHAnsi"/>
          <w:spacing w:val="-1"/>
          <w:sz w:val="22"/>
          <w:szCs w:val="22"/>
        </w:rPr>
        <w:t xml:space="preserve"> flow </w:t>
      </w:r>
      <w:r w:rsidR="00304E0E" w:rsidRPr="00E222DA">
        <w:rPr>
          <w:rFonts w:asciiTheme="minorHAnsi" w:hAnsiTheme="minorHAnsi" w:cstheme="minorHAnsi"/>
          <w:spacing w:val="-1"/>
          <w:sz w:val="22"/>
          <w:szCs w:val="22"/>
        </w:rPr>
        <w:t>though acute areas</w:t>
      </w:r>
      <w:r w:rsidR="00E222DA" w:rsidRPr="00E222DA">
        <w:rPr>
          <w:rFonts w:asciiTheme="minorHAnsi" w:hAnsiTheme="minorHAnsi" w:cstheme="minorHAnsi"/>
        </w:rPr>
        <w:t xml:space="preserve"> reducing </w:t>
      </w:r>
      <w:r w:rsidR="00E222DA" w:rsidRPr="00E222DA">
        <w:rPr>
          <w:rFonts w:asciiTheme="minorHAnsi" w:hAnsiTheme="minorHAnsi" w:cstheme="minorHAnsi"/>
          <w:spacing w:val="-1"/>
          <w:sz w:val="22"/>
          <w:szCs w:val="22"/>
        </w:rPr>
        <w:t>hospital operational capacity.</w:t>
      </w:r>
      <w:r w:rsidR="00E222DA">
        <w:rPr>
          <w:rFonts w:asciiTheme="minorHAnsi" w:hAnsiTheme="minorHAnsi"/>
          <w:spacing w:val="-1"/>
          <w:sz w:val="22"/>
          <w:szCs w:val="22"/>
        </w:rPr>
        <w:t xml:space="preserve"> </w:t>
      </w:r>
    </w:p>
    <w:p w:rsidR="00304E0E" w:rsidRDefault="00304E0E" w:rsidP="001132FC">
      <w:pPr>
        <w:pStyle w:val="BodyText"/>
        <w:spacing w:line="480" w:lineRule="auto"/>
        <w:ind w:left="0" w:right="198"/>
        <w:jc w:val="both"/>
        <w:rPr>
          <w:rFonts w:asciiTheme="minorHAnsi" w:hAnsiTheme="minorHAnsi"/>
          <w:spacing w:val="-1"/>
          <w:sz w:val="22"/>
          <w:szCs w:val="22"/>
        </w:rPr>
      </w:pPr>
    </w:p>
    <w:p w:rsidR="00D25270" w:rsidRDefault="00AF7C1A" w:rsidP="001132FC">
      <w:pPr>
        <w:pStyle w:val="BodyText"/>
        <w:spacing w:line="480" w:lineRule="auto"/>
        <w:ind w:left="0" w:right="198"/>
        <w:jc w:val="both"/>
        <w:rPr>
          <w:rFonts w:asciiTheme="minorHAnsi" w:hAnsiTheme="minorHAnsi"/>
          <w:spacing w:val="-1"/>
          <w:sz w:val="22"/>
          <w:szCs w:val="22"/>
        </w:rPr>
      </w:pPr>
      <w:r w:rsidRPr="00AF7C1A">
        <w:rPr>
          <w:rFonts w:asciiTheme="minorHAnsi" w:hAnsiTheme="minorHAnsi"/>
          <w:spacing w:val="-1"/>
          <w:sz w:val="22"/>
          <w:szCs w:val="22"/>
        </w:rPr>
        <w:t xml:space="preserve">Antiviral treatment with neuraminidase inhibitors (NAIs) is recommended for all hospitalised patients with </w:t>
      </w:r>
      <w:r w:rsidR="0020630A">
        <w:rPr>
          <w:rFonts w:asciiTheme="minorHAnsi" w:hAnsiTheme="minorHAnsi"/>
          <w:spacing w:val="-1"/>
          <w:sz w:val="22"/>
          <w:szCs w:val="22"/>
        </w:rPr>
        <w:t xml:space="preserve">suspected </w:t>
      </w:r>
      <w:r w:rsidR="00773657">
        <w:rPr>
          <w:rFonts w:asciiTheme="minorHAnsi" w:hAnsiTheme="minorHAnsi"/>
          <w:spacing w:val="-1"/>
          <w:sz w:val="22"/>
          <w:szCs w:val="22"/>
        </w:rPr>
        <w:t xml:space="preserve">and proven </w:t>
      </w:r>
      <w:r w:rsidRPr="00AF7C1A">
        <w:rPr>
          <w:rFonts w:asciiTheme="minorHAnsi" w:hAnsiTheme="minorHAnsi"/>
          <w:spacing w:val="-1"/>
          <w:sz w:val="22"/>
          <w:szCs w:val="22"/>
        </w:rPr>
        <w:t>influenza by UK and</w:t>
      </w:r>
      <w:r w:rsidR="002B1C7A">
        <w:rPr>
          <w:rFonts w:asciiTheme="minorHAnsi" w:hAnsiTheme="minorHAnsi"/>
          <w:spacing w:val="-1"/>
          <w:sz w:val="22"/>
          <w:szCs w:val="22"/>
        </w:rPr>
        <w:t xml:space="preserve"> US national guidelines</w:t>
      </w:r>
      <w:r w:rsidR="002B1C7A" w:rsidRPr="002B1C7A">
        <w:rPr>
          <w:rFonts w:asciiTheme="minorHAnsi" w:hAnsiTheme="minorHAnsi"/>
          <w:spacing w:val="-1"/>
          <w:sz w:val="22"/>
          <w:szCs w:val="22"/>
          <w:vertAlign w:val="superscript"/>
        </w:rPr>
        <w:t>8,</w:t>
      </w:r>
      <w:r w:rsidR="002B1C7A">
        <w:rPr>
          <w:rFonts w:asciiTheme="minorHAnsi" w:hAnsiTheme="minorHAnsi"/>
          <w:spacing w:val="-1"/>
          <w:sz w:val="22"/>
          <w:szCs w:val="22"/>
          <w:vertAlign w:val="superscript"/>
        </w:rPr>
        <w:t xml:space="preserve"> </w:t>
      </w:r>
      <w:r w:rsidR="002B1C7A" w:rsidRPr="002B1C7A">
        <w:rPr>
          <w:rFonts w:asciiTheme="minorHAnsi" w:hAnsiTheme="minorHAnsi"/>
          <w:spacing w:val="-1"/>
          <w:sz w:val="22"/>
          <w:szCs w:val="22"/>
          <w:vertAlign w:val="superscript"/>
        </w:rPr>
        <w:t xml:space="preserve">9 </w:t>
      </w:r>
      <w:r w:rsidRPr="00AF7C1A">
        <w:rPr>
          <w:rFonts w:asciiTheme="minorHAnsi" w:hAnsiTheme="minorHAnsi"/>
          <w:spacing w:val="-1"/>
          <w:sz w:val="22"/>
          <w:szCs w:val="22"/>
        </w:rPr>
        <w:t>and evidence suggests that earlier use is associat</w:t>
      </w:r>
      <w:r w:rsidR="002B1C7A">
        <w:rPr>
          <w:rFonts w:asciiTheme="minorHAnsi" w:hAnsiTheme="minorHAnsi"/>
          <w:spacing w:val="-1"/>
          <w:sz w:val="22"/>
          <w:szCs w:val="22"/>
        </w:rPr>
        <w:t>ed with better outcomes.</w:t>
      </w:r>
      <w:r w:rsidR="002B1C7A" w:rsidRPr="002B1C7A">
        <w:rPr>
          <w:rFonts w:asciiTheme="minorHAnsi" w:hAnsiTheme="minorHAnsi"/>
          <w:spacing w:val="-1"/>
          <w:sz w:val="22"/>
          <w:szCs w:val="22"/>
          <w:vertAlign w:val="superscript"/>
        </w:rPr>
        <w:t>10, 11</w:t>
      </w:r>
      <w:r>
        <w:rPr>
          <w:rFonts w:asciiTheme="minorHAnsi" w:hAnsiTheme="minorHAnsi"/>
          <w:spacing w:val="-1"/>
          <w:sz w:val="22"/>
          <w:szCs w:val="22"/>
        </w:rPr>
        <w:t xml:space="preserve"> </w:t>
      </w:r>
      <w:r w:rsidR="00D25270">
        <w:rPr>
          <w:rFonts w:asciiTheme="minorHAnsi" w:hAnsiTheme="minorHAnsi"/>
          <w:spacing w:val="-1"/>
          <w:sz w:val="22"/>
          <w:szCs w:val="22"/>
        </w:rPr>
        <w:t>New rapid molecular</w:t>
      </w:r>
      <w:r w:rsidR="00304E0E" w:rsidRPr="00304E0E">
        <w:rPr>
          <w:rFonts w:asciiTheme="minorHAnsi" w:hAnsiTheme="minorHAnsi"/>
          <w:spacing w:val="-1"/>
          <w:sz w:val="22"/>
          <w:szCs w:val="22"/>
        </w:rPr>
        <w:t xml:space="preserve"> </w:t>
      </w:r>
      <w:r>
        <w:rPr>
          <w:rFonts w:asciiTheme="minorHAnsi" w:hAnsiTheme="minorHAnsi"/>
          <w:spacing w:val="-1"/>
          <w:sz w:val="22"/>
          <w:szCs w:val="22"/>
        </w:rPr>
        <w:t xml:space="preserve">point-of-care tests (mPOCT) for influenza are </w:t>
      </w:r>
      <w:r w:rsidR="00304E0E" w:rsidRPr="00304E0E">
        <w:rPr>
          <w:rFonts w:asciiTheme="minorHAnsi" w:hAnsiTheme="minorHAnsi"/>
          <w:spacing w:val="-1"/>
          <w:sz w:val="22"/>
          <w:szCs w:val="22"/>
        </w:rPr>
        <w:t xml:space="preserve">highly accurate, easy to use and can generate a </w:t>
      </w:r>
      <w:r w:rsidR="002B1C7A">
        <w:rPr>
          <w:rFonts w:asciiTheme="minorHAnsi" w:hAnsiTheme="minorHAnsi"/>
          <w:spacing w:val="-1"/>
          <w:sz w:val="22"/>
          <w:szCs w:val="22"/>
        </w:rPr>
        <w:t>result in under 1 hour.</w:t>
      </w:r>
      <w:r w:rsidR="002B1C7A">
        <w:rPr>
          <w:rFonts w:asciiTheme="minorHAnsi" w:hAnsiTheme="minorHAnsi"/>
          <w:spacing w:val="-1"/>
          <w:sz w:val="22"/>
          <w:szCs w:val="22"/>
          <w:vertAlign w:val="superscript"/>
        </w:rPr>
        <w:t xml:space="preserve">12-15 </w:t>
      </w:r>
      <w:r w:rsidR="00D25270" w:rsidRPr="002B1C7A">
        <w:rPr>
          <w:rFonts w:asciiTheme="minorHAnsi" w:hAnsiTheme="minorHAnsi"/>
          <w:spacing w:val="-1"/>
          <w:sz w:val="22"/>
          <w:szCs w:val="22"/>
        </w:rPr>
        <w:t>Routinely</w:t>
      </w:r>
      <w:r w:rsidR="00D25270" w:rsidRPr="002B1C7A">
        <w:rPr>
          <w:rFonts w:asciiTheme="minorHAnsi" w:hAnsiTheme="minorHAnsi"/>
          <w:spacing w:val="-1"/>
          <w:sz w:val="22"/>
          <w:szCs w:val="22"/>
          <w:vertAlign w:val="superscript"/>
        </w:rPr>
        <w:t xml:space="preserve"> </w:t>
      </w:r>
      <w:r w:rsidR="00D25270">
        <w:rPr>
          <w:rFonts w:asciiTheme="minorHAnsi" w:hAnsiTheme="minorHAnsi"/>
          <w:spacing w:val="-1"/>
          <w:sz w:val="22"/>
          <w:szCs w:val="22"/>
        </w:rPr>
        <w:t>testing patient for influenza at the point-of-care may improve influenza detection, the use of antivira</w:t>
      </w:r>
      <w:r w:rsidR="00E222DA">
        <w:rPr>
          <w:rFonts w:asciiTheme="minorHAnsi" w:hAnsiTheme="minorHAnsi"/>
          <w:spacing w:val="-1"/>
          <w:sz w:val="22"/>
          <w:szCs w:val="22"/>
        </w:rPr>
        <w:t xml:space="preserve">ls </w:t>
      </w:r>
      <w:r>
        <w:rPr>
          <w:rFonts w:asciiTheme="minorHAnsi" w:hAnsiTheme="minorHAnsi"/>
          <w:spacing w:val="-1"/>
          <w:sz w:val="22"/>
          <w:szCs w:val="22"/>
        </w:rPr>
        <w:t>and isolation facilities</w:t>
      </w:r>
      <w:r w:rsidR="0020630A">
        <w:rPr>
          <w:rFonts w:asciiTheme="minorHAnsi" w:hAnsiTheme="minorHAnsi"/>
          <w:spacing w:val="-1"/>
          <w:sz w:val="22"/>
          <w:szCs w:val="22"/>
        </w:rPr>
        <w:t xml:space="preserve"> </w:t>
      </w:r>
      <w:r w:rsidR="00275327">
        <w:rPr>
          <w:rFonts w:asciiTheme="minorHAnsi" w:hAnsiTheme="minorHAnsi"/>
          <w:spacing w:val="-1"/>
          <w:sz w:val="22"/>
          <w:szCs w:val="22"/>
        </w:rPr>
        <w:t>by allowing confident</w:t>
      </w:r>
      <w:r w:rsidR="0020630A">
        <w:rPr>
          <w:rFonts w:asciiTheme="minorHAnsi" w:hAnsiTheme="minorHAnsi"/>
          <w:spacing w:val="-1"/>
          <w:sz w:val="22"/>
          <w:szCs w:val="22"/>
        </w:rPr>
        <w:t>,</w:t>
      </w:r>
      <w:r w:rsidR="00275327">
        <w:rPr>
          <w:rFonts w:asciiTheme="minorHAnsi" w:hAnsiTheme="minorHAnsi"/>
          <w:spacing w:val="-1"/>
          <w:sz w:val="22"/>
          <w:szCs w:val="22"/>
        </w:rPr>
        <w:t xml:space="preserve"> real-</w:t>
      </w:r>
      <w:r w:rsidR="00D25270">
        <w:rPr>
          <w:rFonts w:asciiTheme="minorHAnsi" w:hAnsiTheme="minorHAnsi"/>
          <w:spacing w:val="-1"/>
          <w:sz w:val="22"/>
          <w:szCs w:val="22"/>
        </w:rPr>
        <w:t>time decision making</w:t>
      </w:r>
      <w:r w:rsidR="002B1C7A">
        <w:rPr>
          <w:rFonts w:asciiTheme="minorHAnsi" w:hAnsiTheme="minorHAnsi"/>
          <w:spacing w:val="-1"/>
          <w:sz w:val="22"/>
          <w:szCs w:val="22"/>
        </w:rPr>
        <w:t>.</w:t>
      </w:r>
      <w:r w:rsidR="002B1C7A">
        <w:rPr>
          <w:rFonts w:asciiTheme="minorHAnsi" w:hAnsiTheme="minorHAnsi"/>
          <w:spacing w:val="-1"/>
          <w:sz w:val="22"/>
          <w:szCs w:val="22"/>
          <w:vertAlign w:val="superscript"/>
        </w:rPr>
        <w:t>7</w:t>
      </w:r>
      <w:r w:rsidR="002B1C7A" w:rsidRPr="002B1C7A">
        <w:rPr>
          <w:rFonts w:asciiTheme="minorHAnsi" w:hAnsiTheme="minorHAnsi"/>
          <w:spacing w:val="-1"/>
          <w:sz w:val="22"/>
          <w:szCs w:val="22"/>
          <w:vertAlign w:val="superscript"/>
        </w:rPr>
        <w:t>, 16-20</w:t>
      </w:r>
    </w:p>
    <w:p w:rsidR="00FB7015" w:rsidRDefault="00FB7015" w:rsidP="001132FC">
      <w:pPr>
        <w:pStyle w:val="BodyText"/>
        <w:spacing w:line="480" w:lineRule="auto"/>
        <w:ind w:left="0" w:right="198"/>
        <w:jc w:val="both"/>
        <w:rPr>
          <w:rFonts w:asciiTheme="minorHAnsi" w:hAnsiTheme="minorHAnsi"/>
          <w:spacing w:val="-1"/>
          <w:sz w:val="22"/>
          <w:szCs w:val="22"/>
        </w:rPr>
      </w:pPr>
    </w:p>
    <w:p w:rsidR="00BE581A" w:rsidRDefault="00171CC4" w:rsidP="00BE581A">
      <w:pPr>
        <w:pStyle w:val="BodyText"/>
        <w:spacing w:line="480" w:lineRule="auto"/>
        <w:ind w:left="0" w:right="198"/>
        <w:jc w:val="both"/>
        <w:rPr>
          <w:rFonts w:asciiTheme="minorHAnsi" w:hAnsiTheme="minorHAnsi"/>
          <w:spacing w:val="-1"/>
          <w:sz w:val="22"/>
          <w:szCs w:val="22"/>
        </w:rPr>
      </w:pPr>
      <w:r>
        <w:rPr>
          <w:rFonts w:asciiTheme="minorHAnsi" w:hAnsiTheme="minorHAnsi"/>
          <w:spacing w:val="-1"/>
          <w:sz w:val="22"/>
          <w:szCs w:val="22"/>
        </w:rPr>
        <w:t>Our p</w:t>
      </w:r>
      <w:r w:rsidR="00C33D9A">
        <w:rPr>
          <w:rFonts w:asciiTheme="minorHAnsi" w:hAnsiTheme="minorHAnsi"/>
          <w:spacing w:val="-1"/>
          <w:sz w:val="22"/>
          <w:szCs w:val="22"/>
        </w:rPr>
        <w:t>revious</w:t>
      </w:r>
      <w:r w:rsidR="00275327">
        <w:rPr>
          <w:rFonts w:asciiTheme="minorHAnsi" w:hAnsiTheme="minorHAnsi"/>
          <w:spacing w:val="-1"/>
          <w:sz w:val="22"/>
          <w:szCs w:val="22"/>
        </w:rPr>
        <w:t xml:space="preserve"> trial</w:t>
      </w:r>
      <w:r w:rsidR="00D25270">
        <w:rPr>
          <w:rFonts w:asciiTheme="minorHAnsi" w:hAnsiTheme="minorHAnsi"/>
          <w:spacing w:val="-1"/>
          <w:sz w:val="22"/>
          <w:szCs w:val="22"/>
        </w:rPr>
        <w:t xml:space="preserve"> s</w:t>
      </w:r>
      <w:r w:rsidR="00304E0E" w:rsidRPr="00304E0E">
        <w:rPr>
          <w:rFonts w:asciiTheme="minorHAnsi" w:hAnsiTheme="minorHAnsi"/>
          <w:spacing w:val="-1"/>
          <w:sz w:val="22"/>
          <w:szCs w:val="22"/>
        </w:rPr>
        <w:t>uggest</w:t>
      </w:r>
      <w:r w:rsidR="00D25270">
        <w:rPr>
          <w:rFonts w:asciiTheme="minorHAnsi" w:hAnsiTheme="minorHAnsi"/>
          <w:spacing w:val="-1"/>
          <w:sz w:val="22"/>
          <w:szCs w:val="22"/>
        </w:rPr>
        <w:t>ed</w:t>
      </w:r>
      <w:r w:rsidR="00304E0E" w:rsidRPr="00304E0E">
        <w:rPr>
          <w:rFonts w:asciiTheme="minorHAnsi" w:hAnsiTheme="minorHAnsi"/>
          <w:spacing w:val="-1"/>
          <w:sz w:val="22"/>
          <w:szCs w:val="22"/>
        </w:rPr>
        <w:t xml:space="preserve"> that </w:t>
      </w:r>
      <w:r w:rsidR="00275327">
        <w:rPr>
          <w:rFonts w:asciiTheme="minorHAnsi" w:hAnsiTheme="minorHAnsi"/>
          <w:spacing w:val="-1"/>
          <w:sz w:val="22"/>
          <w:szCs w:val="22"/>
        </w:rPr>
        <w:t xml:space="preserve">the use of </w:t>
      </w:r>
      <w:r w:rsidR="00D25270">
        <w:rPr>
          <w:rFonts w:asciiTheme="minorHAnsi" w:hAnsiTheme="minorHAnsi"/>
          <w:spacing w:val="-1"/>
          <w:sz w:val="22"/>
          <w:szCs w:val="22"/>
        </w:rPr>
        <w:t xml:space="preserve">routine molecular </w:t>
      </w:r>
      <w:r w:rsidR="00DC4FE9">
        <w:rPr>
          <w:rFonts w:asciiTheme="minorHAnsi" w:hAnsiTheme="minorHAnsi"/>
          <w:spacing w:val="-1"/>
          <w:sz w:val="22"/>
          <w:szCs w:val="22"/>
        </w:rPr>
        <w:t xml:space="preserve">point-of-care testing </w:t>
      </w:r>
      <w:r w:rsidR="00D25270">
        <w:rPr>
          <w:rFonts w:asciiTheme="minorHAnsi" w:hAnsiTheme="minorHAnsi"/>
          <w:spacing w:val="-1"/>
          <w:sz w:val="22"/>
          <w:szCs w:val="22"/>
        </w:rPr>
        <w:t xml:space="preserve">for respiratory viruses </w:t>
      </w:r>
      <w:r w:rsidR="00275327">
        <w:rPr>
          <w:rFonts w:asciiTheme="minorHAnsi" w:hAnsiTheme="minorHAnsi"/>
          <w:spacing w:val="-1"/>
          <w:sz w:val="22"/>
          <w:szCs w:val="22"/>
        </w:rPr>
        <w:t xml:space="preserve">improves the </w:t>
      </w:r>
      <w:r w:rsidR="00304E0E" w:rsidRPr="00304E0E">
        <w:rPr>
          <w:rFonts w:asciiTheme="minorHAnsi" w:hAnsiTheme="minorHAnsi"/>
          <w:spacing w:val="-1"/>
          <w:sz w:val="22"/>
          <w:szCs w:val="22"/>
        </w:rPr>
        <w:t xml:space="preserve">use of </w:t>
      </w:r>
      <w:r w:rsidR="009D154E">
        <w:rPr>
          <w:rFonts w:asciiTheme="minorHAnsi" w:hAnsiTheme="minorHAnsi"/>
          <w:spacing w:val="-1"/>
          <w:sz w:val="22"/>
          <w:szCs w:val="22"/>
        </w:rPr>
        <w:t xml:space="preserve">antivirals </w:t>
      </w:r>
      <w:r w:rsidR="00304E0E" w:rsidRPr="00304E0E">
        <w:rPr>
          <w:rFonts w:asciiTheme="minorHAnsi" w:hAnsiTheme="minorHAnsi"/>
          <w:spacing w:val="-1"/>
          <w:sz w:val="22"/>
          <w:szCs w:val="22"/>
        </w:rPr>
        <w:t>and isolation f</w:t>
      </w:r>
      <w:r w:rsidR="009D154E">
        <w:rPr>
          <w:rFonts w:asciiTheme="minorHAnsi" w:hAnsiTheme="minorHAnsi"/>
          <w:spacing w:val="-1"/>
          <w:sz w:val="22"/>
          <w:szCs w:val="22"/>
        </w:rPr>
        <w:t>acilities</w:t>
      </w:r>
      <w:r w:rsidR="00304E0E" w:rsidRPr="00304E0E">
        <w:rPr>
          <w:rFonts w:asciiTheme="minorHAnsi" w:hAnsiTheme="minorHAnsi"/>
          <w:spacing w:val="-1"/>
          <w:sz w:val="22"/>
          <w:szCs w:val="22"/>
        </w:rPr>
        <w:t xml:space="preserve"> </w:t>
      </w:r>
      <w:r w:rsidR="0020630A">
        <w:rPr>
          <w:rFonts w:asciiTheme="minorHAnsi" w:hAnsiTheme="minorHAnsi"/>
          <w:spacing w:val="-1"/>
          <w:sz w:val="22"/>
          <w:szCs w:val="22"/>
        </w:rPr>
        <w:t xml:space="preserve">for influenza, </w:t>
      </w:r>
      <w:r w:rsidR="00304E0E" w:rsidRPr="00304E0E">
        <w:rPr>
          <w:rFonts w:asciiTheme="minorHAnsi" w:hAnsiTheme="minorHAnsi"/>
          <w:spacing w:val="-1"/>
          <w:sz w:val="22"/>
          <w:szCs w:val="22"/>
        </w:rPr>
        <w:t xml:space="preserve">but </w:t>
      </w:r>
      <w:r w:rsidR="00D25270">
        <w:rPr>
          <w:rFonts w:asciiTheme="minorHAnsi" w:hAnsiTheme="minorHAnsi"/>
          <w:spacing w:val="-1"/>
          <w:sz w:val="22"/>
          <w:szCs w:val="22"/>
        </w:rPr>
        <w:t xml:space="preserve">was </w:t>
      </w:r>
      <w:r w:rsidR="00304E0E" w:rsidRPr="00304E0E">
        <w:rPr>
          <w:rFonts w:asciiTheme="minorHAnsi" w:hAnsiTheme="minorHAnsi"/>
          <w:spacing w:val="-1"/>
          <w:sz w:val="22"/>
          <w:szCs w:val="22"/>
        </w:rPr>
        <w:t>hampered by small numbers of influenza positive patients</w:t>
      </w:r>
      <w:r w:rsidR="00C33D9A">
        <w:rPr>
          <w:rFonts w:asciiTheme="minorHAnsi" w:hAnsiTheme="minorHAnsi"/>
          <w:spacing w:val="-1"/>
          <w:sz w:val="22"/>
          <w:szCs w:val="22"/>
        </w:rPr>
        <w:t xml:space="preserve"> and </w:t>
      </w:r>
      <w:r w:rsidR="005F0442">
        <w:rPr>
          <w:rFonts w:asciiTheme="minorHAnsi" w:hAnsiTheme="minorHAnsi"/>
          <w:spacing w:val="-1"/>
          <w:sz w:val="22"/>
          <w:szCs w:val="22"/>
        </w:rPr>
        <w:t>a lack</w:t>
      </w:r>
      <w:r w:rsidR="00C33D9A">
        <w:rPr>
          <w:rFonts w:asciiTheme="minorHAnsi" w:hAnsiTheme="minorHAnsi"/>
          <w:spacing w:val="-1"/>
          <w:sz w:val="22"/>
          <w:szCs w:val="22"/>
        </w:rPr>
        <w:t xml:space="preserve"> of </w:t>
      </w:r>
      <w:r w:rsidR="00A933B1">
        <w:rPr>
          <w:rFonts w:asciiTheme="minorHAnsi" w:hAnsiTheme="minorHAnsi"/>
          <w:spacing w:val="-1"/>
          <w:sz w:val="22"/>
          <w:szCs w:val="22"/>
        </w:rPr>
        <w:t xml:space="preserve">universal </w:t>
      </w:r>
      <w:r w:rsidR="00275327">
        <w:rPr>
          <w:rFonts w:asciiTheme="minorHAnsi" w:hAnsiTheme="minorHAnsi"/>
          <w:spacing w:val="-1"/>
          <w:sz w:val="22"/>
          <w:szCs w:val="22"/>
        </w:rPr>
        <w:t xml:space="preserve">viral </w:t>
      </w:r>
      <w:r w:rsidR="00C33D9A">
        <w:rPr>
          <w:rFonts w:asciiTheme="minorHAnsi" w:hAnsiTheme="minorHAnsi"/>
          <w:spacing w:val="-1"/>
          <w:sz w:val="22"/>
          <w:szCs w:val="22"/>
        </w:rPr>
        <w:t>testing in the control group</w:t>
      </w:r>
      <w:r w:rsidR="00A933B1">
        <w:rPr>
          <w:rFonts w:asciiTheme="minorHAnsi" w:hAnsiTheme="minorHAnsi"/>
          <w:spacing w:val="-1"/>
          <w:sz w:val="22"/>
          <w:szCs w:val="22"/>
        </w:rPr>
        <w:t>.</w:t>
      </w:r>
      <w:r w:rsidR="002B1C7A">
        <w:rPr>
          <w:rFonts w:asciiTheme="minorHAnsi" w:hAnsiTheme="minorHAnsi"/>
          <w:spacing w:val="-1"/>
          <w:sz w:val="22"/>
          <w:szCs w:val="22"/>
          <w:vertAlign w:val="superscript"/>
        </w:rPr>
        <w:t>7</w:t>
      </w:r>
      <w:r w:rsidR="00A933B1">
        <w:rPr>
          <w:rFonts w:asciiTheme="minorHAnsi" w:hAnsiTheme="minorHAnsi"/>
          <w:spacing w:val="-1"/>
          <w:sz w:val="22"/>
          <w:szCs w:val="22"/>
        </w:rPr>
        <w:t xml:space="preserve"> </w:t>
      </w:r>
      <w:r w:rsidR="005F0442">
        <w:rPr>
          <w:rFonts w:asciiTheme="minorHAnsi" w:hAnsiTheme="minorHAnsi"/>
          <w:spacing w:val="-1"/>
          <w:sz w:val="22"/>
          <w:szCs w:val="22"/>
        </w:rPr>
        <w:t xml:space="preserve">Several </w:t>
      </w:r>
      <w:r w:rsidR="006B6C33">
        <w:rPr>
          <w:rFonts w:asciiTheme="minorHAnsi" w:hAnsiTheme="minorHAnsi"/>
          <w:spacing w:val="-1"/>
          <w:sz w:val="22"/>
          <w:szCs w:val="22"/>
        </w:rPr>
        <w:t xml:space="preserve">retrospective </w:t>
      </w:r>
      <w:r w:rsidR="005F0442">
        <w:rPr>
          <w:rFonts w:asciiTheme="minorHAnsi" w:hAnsiTheme="minorHAnsi"/>
          <w:spacing w:val="-1"/>
          <w:sz w:val="22"/>
          <w:szCs w:val="22"/>
        </w:rPr>
        <w:t>o</w:t>
      </w:r>
      <w:r w:rsidR="005F0442" w:rsidRPr="00304E0E">
        <w:rPr>
          <w:rFonts w:asciiTheme="minorHAnsi" w:hAnsiTheme="minorHAnsi"/>
          <w:spacing w:val="-1"/>
          <w:sz w:val="22"/>
          <w:szCs w:val="22"/>
        </w:rPr>
        <w:t xml:space="preserve">bservational studies </w:t>
      </w:r>
      <w:r w:rsidR="006B6C33">
        <w:rPr>
          <w:rFonts w:asciiTheme="minorHAnsi" w:hAnsiTheme="minorHAnsi"/>
          <w:spacing w:val="-1"/>
          <w:sz w:val="22"/>
          <w:szCs w:val="22"/>
        </w:rPr>
        <w:t xml:space="preserve">have </w:t>
      </w:r>
      <w:r w:rsidR="005F0442">
        <w:rPr>
          <w:rFonts w:asciiTheme="minorHAnsi" w:hAnsiTheme="minorHAnsi"/>
          <w:spacing w:val="-1"/>
          <w:sz w:val="22"/>
          <w:szCs w:val="22"/>
        </w:rPr>
        <w:t xml:space="preserve">also </w:t>
      </w:r>
      <w:r w:rsidR="005F0442" w:rsidRPr="00304E0E">
        <w:rPr>
          <w:rFonts w:asciiTheme="minorHAnsi" w:hAnsiTheme="minorHAnsi"/>
          <w:spacing w:val="-1"/>
          <w:sz w:val="22"/>
          <w:szCs w:val="22"/>
        </w:rPr>
        <w:t>suggest</w:t>
      </w:r>
      <w:r w:rsidR="006B6C33">
        <w:rPr>
          <w:rFonts w:asciiTheme="minorHAnsi" w:hAnsiTheme="minorHAnsi"/>
          <w:spacing w:val="-1"/>
          <w:sz w:val="22"/>
          <w:szCs w:val="22"/>
        </w:rPr>
        <w:t>ed</w:t>
      </w:r>
      <w:r w:rsidR="005F0442" w:rsidRPr="00304E0E">
        <w:rPr>
          <w:rFonts w:asciiTheme="minorHAnsi" w:hAnsiTheme="minorHAnsi"/>
          <w:spacing w:val="-1"/>
          <w:sz w:val="22"/>
          <w:szCs w:val="22"/>
        </w:rPr>
        <w:t xml:space="preserve"> </w:t>
      </w:r>
      <w:r w:rsidR="00275327">
        <w:rPr>
          <w:rFonts w:asciiTheme="minorHAnsi" w:hAnsiTheme="minorHAnsi"/>
          <w:spacing w:val="-1"/>
          <w:sz w:val="22"/>
          <w:szCs w:val="22"/>
        </w:rPr>
        <w:t xml:space="preserve">that </w:t>
      </w:r>
      <w:r w:rsidR="00672506">
        <w:rPr>
          <w:rFonts w:asciiTheme="minorHAnsi" w:hAnsiTheme="minorHAnsi"/>
          <w:spacing w:val="-1"/>
          <w:sz w:val="22"/>
          <w:szCs w:val="22"/>
        </w:rPr>
        <w:t>m</w:t>
      </w:r>
      <w:r w:rsidR="005F0442">
        <w:rPr>
          <w:rFonts w:asciiTheme="minorHAnsi" w:hAnsiTheme="minorHAnsi"/>
          <w:spacing w:val="-1"/>
          <w:sz w:val="22"/>
          <w:szCs w:val="22"/>
        </w:rPr>
        <w:t xml:space="preserve">POCT may improve the </w:t>
      </w:r>
      <w:r w:rsidR="009D154E">
        <w:rPr>
          <w:rFonts w:asciiTheme="minorHAnsi" w:hAnsiTheme="minorHAnsi"/>
          <w:spacing w:val="-1"/>
          <w:sz w:val="22"/>
          <w:szCs w:val="22"/>
        </w:rPr>
        <w:t xml:space="preserve">detection of influenza, the use of influenza antivirals and </w:t>
      </w:r>
      <w:r w:rsidR="00B40936">
        <w:rPr>
          <w:rFonts w:asciiTheme="minorHAnsi" w:hAnsiTheme="minorHAnsi"/>
          <w:spacing w:val="-1"/>
          <w:sz w:val="22"/>
          <w:szCs w:val="22"/>
        </w:rPr>
        <w:t xml:space="preserve">isolation facilities and </w:t>
      </w:r>
      <w:r w:rsidR="0020630A">
        <w:rPr>
          <w:rFonts w:asciiTheme="minorHAnsi" w:hAnsiTheme="minorHAnsi"/>
          <w:spacing w:val="-1"/>
          <w:sz w:val="22"/>
          <w:szCs w:val="22"/>
        </w:rPr>
        <w:t xml:space="preserve">may </w:t>
      </w:r>
      <w:r w:rsidR="00B40936">
        <w:rPr>
          <w:rFonts w:asciiTheme="minorHAnsi" w:hAnsiTheme="minorHAnsi"/>
          <w:spacing w:val="-1"/>
          <w:sz w:val="22"/>
          <w:szCs w:val="22"/>
        </w:rPr>
        <w:t>reduce nosocomial transmission</w:t>
      </w:r>
      <w:r w:rsidR="002B1C7A" w:rsidRPr="002B1C7A">
        <w:rPr>
          <w:rFonts w:asciiTheme="minorHAnsi" w:hAnsiTheme="minorHAnsi"/>
          <w:spacing w:val="-1"/>
          <w:sz w:val="22"/>
          <w:szCs w:val="22"/>
          <w:vertAlign w:val="superscript"/>
        </w:rPr>
        <w:t>15-19</w:t>
      </w:r>
      <w:r w:rsidR="00B40936">
        <w:rPr>
          <w:rFonts w:asciiTheme="minorHAnsi" w:hAnsiTheme="minorHAnsi"/>
          <w:spacing w:val="-1"/>
          <w:sz w:val="22"/>
          <w:szCs w:val="22"/>
        </w:rPr>
        <w:t>,</w:t>
      </w:r>
      <w:r w:rsidR="0038006E">
        <w:rPr>
          <w:rFonts w:asciiTheme="minorHAnsi" w:hAnsiTheme="minorHAnsi"/>
          <w:spacing w:val="-1"/>
          <w:sz w:val="22"/>
          <w:szCs w:val="22"/>
        </w:rPr>
        <w:t xml:space="preserve"> </w:t>
      </w:r>
      <w:r w:rsidR="005F0442">
        <w:rPr>
          <w:rFonts w:asciiTheme="minorHAnsi" w:hAnsiTheme="minorHAnsi"/>
          <w:spacing w:val="-1"/>
          <w:sz w:val="22"/>
          <w:szCs w:val="22"/>
        </w:rPr>
        <w:t>however these studies are highly prone to b</w:t>
      </w:r>
      <w:r w:rsidR="006B6C33">
        <w:rPr>
          <w:rFonts w:asciiTheme="minorHAnsi" w:hAnsiTheme="minorHAnsi"/>
          <w:spacing w:val="-1"/>
          <w:sz w:val="22"/>
          <w:szCs w:val="22"/>
        </w:rPr>
        <w:t xml:space="preserve">ias. As mPOCT for influenza is now starting to be used in some NHS hospitals, </w:t>
      </w:r>
      <w:r w:rsidR="005F0442">
        <w:rPr>
          <w:rFonts w:asciiTheme="minorHAnsi" w:hAnsiTheme="minorHAnsi"/>
          <w:spacing w:val="-1"/>
          <w:sz w:val="22"/>
          <w:szCs w:val="22"/>
        </w:rPr>
        <w:t xml:space="preserve">high quality evidence for </w:t>
      </w:r>
      <w:r w:rsidR="006B6C33">
        <w:rPr>
          <w:rFonts w:asciiTheme="minorHAnsi" w:hAnsiTheme="minorHAnsi"/>
          <w:spacing w:val="-1"/>
          <w:sz w:val="22"/>
          <w:szCs w:val="22"/>
        </w:rPr>
        <w:t xml:space="preserve">its </w:t>
      </w:r>
      <w:r w:rsidR="005F0442">
        <w:rPr>
          <w:rFonts w:asciiTheme="minorHAnsi" w:hAnsiTheme="minorHAnsi"/>
          <w:spacing w:val="-1"/>
          <w:sz w:val="22"/>
          <w:szCs w:val="22"/>
        </w:rPr>
        <w:t>clinical impact</w:t>
      </w:r>
      <w:r w:rsidR="009D154E">
        <w:rPr>
          <w:rFonts w:asciiTheme="minorHAnsi" w:hAnsiTheme="minorHAnsi"/>
          <w:spacing w:val="-1"/>
          <w:sz w:val="22"/>
          <w:szCs w:val="22"/>
        </w:rPr>
        <w:t xml:space="preserve"> is </w:t>
      </w:r>
      <w:r w:rsidR="009D154E">
        <w:rPr>
          <w:rFonts w:asciiTheme="minorHAnsi" w:hAnsiTheme="minorHAnsi"/>
          <w:spacing w:val="-1"/>
          <w:sz w:val="22"/>
          <w:szCs w:val="22"/>
        </w:rPr>
        <w:lastRenderedPageBreak/>
        <w:t xml:space="preserve">urgently needed. </w:t>
      </w:r>
      <w:r w:rsidR="005F0442">
        <w:rPr>
          <w:rFonts w:asciiTheme="minorHAnsi" w:hAnsiTheme="minorHAnsi"/>
          <w:spacing w:val="-1"/>
          <w:sz w:val="22"/>
          <w:szCs w:val="22"/>
        </w:rPr>
        <w:t xml:space="preserve"> </w:t>
      </w:r>
      <w:r w:rsidR="00BE581A">
        <w:rPr>
          <w:rFonts w:asciiTheme="minorHAnsi" w:hAnsiTheme="minorHAnsi"/>
          <w:spacing w:val="-1"/>
          <w:sz w:val="22"/>
          <w:szCs w:val="22"/>
        </w:rPr>
        <w:t xml:space="preserve">The aim of the study was to </w:t>
      </w:r>
      <w:r w:rsidR="00BE581A" w:rsidRPr="00BE581A">
        <w:rPr>
          <w:rFonts w:asciiTheme="minorHAnsi" w:hAnsiTheme="minorHAnsi"/>
          <w:spacing w:val="-1"/>
          <w:sz w:val="22"/>
          <w:szCs w:val="22"/>
        </w:rPr>
        <w:t xml:space="preserve">prospectively evaluate the impact of a routine </w:t>
      </w:r>
      <w:r w:rsidR="00BE581A">
        <w:rPr>
          <w:rFonts w:asciiTheme="minorHAnsi" w:hAnsiTheme="minorHAnsi"/>
          <w:spacing w:val="-1"/>
          <w:sz w:val="22"/>
          <w:szCs w:val="22"/>
        </w:rPr>
        <w:t xml:space="preserve">molecular </w:t>
      </w:r>
      <w:r w:rsidR="0020630A">
        <w:rPr>
          <w:rFonts w:asciiTheme="minorHAnsi" w:hAnsiTheme="minorHAnsi"/>
          <w:spacing w:val="-1"/>
          <w:sz w:val="22"/>
          <w:szCs w:val="22"/>
        </w:rPr>
        <w:t>point-of-c</w:t>
      </w:r>
      <w:r w:rsidR="00BE581A" w:rsidRPr="00BE581A">
        <w:rPr>
          <w:rFonts w:asciiTheme="minorHAnsi" w:hAnsiTheme="minorHAnsi"/>
          <w:spacing w:val="-1"/>
          <w:sz w:val="22"/>
          <w:szCs w:val="22"/>
        </w:rPr>
        <w:t>are ‘test and treat’ strategy for influenza in adults hospitalised with acute respiratory illness</w:t>
      </w:r>
      <w:r w:rsidR="0020630A">
        <w:rPr>
          <w:rFonts w:asciiTheme="minorHAnsi" w:hAnsiTheme="minorHAnsi"/>
          <w:spacing w:val="-1"/>
          <w:sz w:val="22"/>
          <w:szCs w:val="22"/>
        </w:rPr>
        <w:t>,</w:t>
      </w:r>
      <w:r w:rsidR="00BE581A" w:rsidRPr="00BE581A">
        <w:rPr>
          <w:rFonts w:asciiTheme="minorHAnsi" w:hAnsiTheme="minorHAnsi"/>
          <w:spacing w:val="-1"/>
          <w:sz w:val="22"/>
          <w:szCs w:val="22"/>
        </w:rPr>
        <w:t xml:space="preserve"> </w:t>
      </w:r>
      <w:r w:rsidR="00AF7C1A">
        <w:rPr>
          <w:rFonts w:asciiTheme="minorHAnsi" w:hAnsiTheme="minorHAnsi"/>
          <w:spacing w:val="-1"/>
          <w:sz w:val="22"/>
          <w:szCs w:val="22"/>
        </w:rPr>
        <w:t xml:space="preserve">on clinical management and </w:t>
      </w:r>
      <w:r w:rsidR="00864E84">
        <w:rPr>
          <w:rFonts w:asciiTheme="minorHAnsi" w:hAnsiTheme="minorHAnsi"/>
          <w:spacing w:val="-1"/>
          <w:sz w:val="22"/>
          <w:szCs w:val="22"/>
        </w:rPr>
        <w:t xml:space="preserve">patient </w:t>
      </w:r>
      <w:r w:rsidR="00AF7C1A">
        <w:rPr>
          <w:rFonts w:asciiTheme="minorHAnsi" w:hAnsiTheme="minorHAnsi"/>
          <w:spacing w:val="-1"/>
          <w:sz w:val="22"/>
          <w:szCs w:val="22"/>
        </w:rPr>
        <w:t>outcome.</w:t>
      </w:r>
    </w:p>
    <w:p w:rsidR="001132FC" w:rsidRPr="001132FC" w:rsidRDefault="001132FC" w:rsidP="001132FC">
      <w:pPr>
        <w:pStyle w:val="BodyText"/>
        <w:spacing w:line="480" w:lineRule="auto"/>
        <w:ind w:left="0" w:right="198"/>
        <w:jc w:val="both"/>
        <w:rPr>
          <w:rFonts w:asciiTheme="minorHAnsi" w:hAnsiTheme="minorHAnsi"/>
          <w:spacing w:val="-1"/>
          <w:sz w:val="22"/>
          <w:szCs w:val="22"/>
        </w:rPr>
      </w:pPr>
    </w:p>
    <w:p w:rsidR="00D279AC" w:rsidRPr="00D03127" w:rsidRDefault="00C35C8F" w:rsidP="007B27A8">
      <w:pPr>
        <w:rPr>
          <w:rFonts w:eastAsia="Times New Roman" w:cs="Times New Roman"/>
          <w:b/>
          <w:bCs/>
          <w:sz w:val="32"/>
          <w:szCs w:val="32"/>
          <w:lang w:eastAsia="en-GB"/>
        </w:rPr>
      </w:pPr>
      <w:r w:rsidRPr="00D03127">
        <w:rPr>
          <w:rFonts w:eastAsia="Times New Roman" w:cs="Times New Roman"/>
          <w:b/>
          <w:bCs/>
          <w:sz w:val="32"/>
          <w:szCs w:val="32"/>
          <w:lang w:eastAsia="en-GB"/>
        </w:rPr>
        <w:t>Methods</w:t>
      </w:r>
    </w:p>
    <w:p w:rsidR="00C35C8F" w:rsidRPr="00D03127" w:rsidRDefault="00C35C8F" w:rsidP="00C51C28">
      <w:pPr>
        <w:spacing w:after="0" w:line="480" w:lineRule="auto"/>
        <w:rPr>
          <w:b/>
          <w:bCs/>
          <w:sz w:val="24"/>
          <w:szCs w:val="24"/>
        </w:rPr>
      </w:pPr>
      <w:r w:rsidRPr="00D03127">
        <w:rPr>
          <w:b/>
          <w:bCs/>
          <w:sz w:val="24"/>
          <w:szCs w:val="24"/>
        </w:rPr>
        <w:t>Study design and participants</w:t>
      </w:r>
    </w:p>
    <w:p w:rsidR="009D154E" w:rsidRDefault="000F5FB5" w:rsidP="00B1404A">
      <w:pPr>
        <w:spacing w:after="0" w:line="480" w:lineRule="auto"/>
        <w:jc w:val="both"/>
      </w:pPr>
      <w:r w:rsidRPr="00D03127">
        <w:t>We performed a</w:t>
      </w:r>
      <w:r w:rsidR="003F58F0">
        <w:t xml:space="preserve"> multicentre,</w:t>
      </w:r>
      <w:r w:rsidRPr="00D03127">
        <w:t xml:space="preserve"> </w:t>
      </w:r>
      <w:r w:rsidR="00C35C8F" w:rsidRPr="00D03127">
        <w:t>pragmatic</w:t>
      </w:r>
      <w:r w:rsidR="00483376" w:rsidRPr="00D03127">
        <w:t xml:space="preserve">, parallel group, open-label, </w:t>
      </w:r>
      <w:r w:rsidR="004C46E9" w:rsidRPr="00D03127">
        <w:t xml:space="preserve">randomised </w:t>
      </w:r>
      <w:r w:rsidR="00C35C8F" w:rsidRPr="00D03127">
        <w:t xml:space="preserve">controlled </w:t>
      </w:r>
      <w:r w:rsidR="00F743F1" w:rsidRPr="00D03127">
        <w:t xml:space="preserve">superiority </w:t>
      </w:r>
      <w:r w:rsidR="00C35C8F" w:rsidRPr="00D03127">
        <w:t>trial</w:t>
      </w:r>
      <w:r w:rsidR="00275327">
        <w:t xml:space="preserve"> with 1:1 allocation to intervention and control groups,</w:t>
      </w:r>
      <w:r w:rsidR="00C35C8F" w:rsidRPr="00D03127">
        <w:t xml:space="preserve"> </w:t>
      </w:r>
      <w:r w:rsidR="003F58F0">
        <w:t>in two</w:t>
      </w:r>
      <w:r w:rsidR="004B3784" w:rsidRPr="00D03127">
        <w:t xml:space="preserve"> </w:t>
      </w:r>
      <w:r w:rsidR="00483376" w:rsidRPr="00D03127">
        <w:t>acute hospital</w:t>
      </w:r>
      <w:r w:rsidR="003F58F0">
        <w:t>s in Hampshire,</w:t>
      </w:r>
      <w:r w:rsidR="00483376" w:rsidRPr="00D03127">
        <w:t xml:space="preserve"> UK.</w:t>
      </w:r>
      <w:r w:rsidR="00C51C28" w:rsidRPr="00D03127">
        <w:t xml:space="preserve">  The trial </w:t>
      </w:r>
      <w:r w:rsidRPr="00D03127">
        <w:t>took place over two s</w:t>
      </w:r>
      <w:r w:rsidR="003F58F0">
        <w:t>uccessive winter seasons in 2017/18 and 2018</w:t>
      </w:r>
      <w:r w:rsidR="0024524B">
        <w:t xml:space="preserve">/19 when influenza was circulating according to national </w:t>
      </w:r>
      <w:r w:rsidR="00461417">
        <w:t>(Public Health England) surveillance systems</w:t>
      </w:r>
      <w:r w:rsidR="00E222DA">
        <w:t xml:space="preserve">. </w:t>
      </w:r>
      <w:r w:rsidR="00483376" w:rsidRPr="00D03127">
        <w:t>A</w:t>
      </w:r>
      <w:r w:rsidR="00C51C28" w:rsidRPr="00D03127">
        <w:t>ll p</w:t>
      </w:r>
      <w:r w:rsidR="00C35C8F" w:rsidRPr="00D03127">
        <w:t xml:space="preserve">atients were recruited from the Acute Medical Unit </w:t>
      </w:r>
      <w:r w:rsidRPr="00D03127">
        <w:t xml:space="preserve">(AMU) </w:t>
      </w:r>
      <w:r w:rsidR="00C35C8F" w:rsidRPr="00D03127">
        <w:t xml:space="preserve">and Emergency Department </w:t>
      </w:r>
      <w:r w:rsidRPr="00D03127">
        <w:t xml:space="preserve">(ED) </w:t>
      </w:r>
      <w:r w:rsidR="00C35C8F" w:rsidRPr="00D03127">
        <w:t>o</w:t>
      </w:r>
      <w:r w:rsidR="0024524B">
        <w:t>f Southampton General Hospital (</w:t>
      </w:r>
      <w:r w:rsidR="000777C3" w:rsidRPr="00D03127">
        <w:t xml:space="preserve">a large </w:t>
      </w:r>
      <w:r w:rsidR="00F62903" w:rsidRPr="00D03127">
        <w:t xml:space="preserve">acute </w:t>
      </w:r>
      <w:r w:rsidR="000777C3" w:rsidRPr="00D03127">
        <w:t>teaching hospital in the South of the UK serving a population of 650,00</w:t>
      </w:r>
      <w:r w:rsidR="00F743F1" w:rsidRPr="00D03127">
        <w:t>0</w:t>
      </w:r>
      <w:r w:rsidR="0024524B">
        <w:t xml:space="preserve"> for secondary care) </w:t>
      </w:r>
      <w:r w:rsidR="000777C3" w:rsidRPr="00D03127">
        <w:t xml:space="preserve">run by </w:t>
      </w:r>
      <w:r w:rsidR="00C35C8F" w:rsidRPr="00D03127">
        <w:t xml:space="preserve">University Hospital Southampton Foundation </w:t>
      </w:r>
      <w:r w:rsidR="00AF2144" w:rsidRPr="00D03127">
        <w:t xml:space="preserve">NHS </w:t>
      </w:r>
      <w:r w:rsidR="0024524B">
        <w:t xml:space="preserve">Trust </w:t>
      </w:r>
      <w:r w:rsidR="00424174" w:rsidRPr="00D03127">
        <w:t>(</w:t>
      </w:r>
      <w:r w:rsidR="00BE1B98" w:rsidRPr="00D03127">
        <w:t>who were the sponsor for the trial</w:t>
      </w:r>
      <w:r w:rsidR="00424174" w:rsidRPr="00D03127">
        <w:t>)</w:t>
      </w:r>
      <w:r w:rsidR="00D65474">
        <w:t xml:space="preserve"> and from Hampshire County Hospital</w:t>
      </w:r>
      <w:r w:rsidR="00461417">
        <w:t>,</w:t>
      </w:r>
      <w:r w:rsidR="00D65474">
        <w:t xml:space="preserve"> a large district general hospital in Hampshire run by Hampshire Hospitals Foundation NHS Trust. </w:t>
      </w:r>
      <w:r w:rsidR="00483376" w:rsidRPr="00D03127">
        <w:t xml:space="preserve">The study was approved by </w:t>
      </w:r>
      <w:r w:rsidR="00D65474">
        <w:t xml:space="preserve">the </w:t>
      </w:r>
      <w:r w:rsidR="00D65474" w:rsidRPr="00D65474">
        <w:t>South Central - Hampshire A Research Ethics Committee</w:t>
      </w:r>
      <w:r w:rsidR="00D65474">
        <w:t>: REC reference</w:t>
      </w:r>
      <w:r w:rsidR="00D65474" w:rsidRPr="00D65474">
        <w:t xml:space="preserve"> 17/SC/0368</w:t>
      </w:r>
      <w:r w:rsidR="00D65474">
        <w:t>, approved on the 7</w:t>
      </w:r>
      <w:r w:rsidR="00D65474" w:rsidRPr="00D65474">
        <w:rPr>
          <w:vertAlign w:val="superscript"/>
        </w:rPr>
        <w:t>th</w:t>
      </w:r>
      <w:r w:rsidR="00D65474">
        <w:t xml:space="preserve"> September 2017. </w:t>
      </w:r>
      <w:r w:rsidR="003248F7" w:rsidRPr="00D03127">
        <w:t>The protocol is</w:t>
      </w:r>
      <w:r w:rsidR="009D154E">
        <w:t xml:space="preserve"> published and freely available at: </w:t>
      </w:r>
    </w:p>
    <w:p w:rsidR="00BE581A" w:rsidRDefault="0084461E" w:rsidP="00B1404A">
      <w:pPr>
        <w:spacing w:after="0" w:line="480" w:lineRule="auto"/>
        <w:jc w:val="both"/>
      </w:pPr>
      <w:hyperlink r:id="rId8" w:history="1">
        <w:r w:rsidR="002B1C7A" w:rsidRPr="008723FA">
          <w:rPr>
            <w:rStyle w:val="Hyperlink"/>
          </w:rPr>
          <w:t>https://bmjopen.bmj.com/content/9/12/e031674.long.</w:t>
        </w:r>
        <w:r w:rsidR="002B1C7A" w:rsidRPr="008723FA">
          <w:rPr>
            <w:rStyle w:val="Hyperlink"/>
            <w:vertAlign w:val="superscript"/>
          </w:rPr>
          <w:t>20</w:t>
        </w:r>
      </w:hyperlink>
      <w:r w:rsidR="002B1C7A">
        <w:t xml:space="preserve"> </w:t>
      </w:r>
      <w:r w:rsidR="00841582">
        <w:t>The p</w:t>
      </w:r>
      <w:r w:rsidR="00BE581A">
        <w:t xml:space="preserve">rotocol </w:t>
      </w:r>
      <w:r w:rsidR="00CE1DB8">
        <w:t xml:space="preserve">was amended a single time </w:t>
      </w:r>
      <w:r w:rsidR="00841582">
        <w:t>on the 23</w:t>
      </w:r>
      <w:r w:rsidR="00841582" w:rsidRPr="00841582">
        <w:rPr>
          <w:vertAlign w:val="superscript"/>
        </w:rPr>
        <w:t>rd</w:t>
      </w:r>
      <w:r w:rsidR="00841582">
        <w:t xml:space="preserve"> November 2017 to allow the inclusion of a second study site (Hampshire Hospitals Foundation NHS Trust) </w:t>
      </w:r>
      <w:r w:rsidR="00B13E39">
        <w:t xml:space="preserve">and </w:t>
      </w:r>
      <w:r w:rsidR="009D154E">
        <w:t xml:space="preserve">this </w:t>
      </w:r>
      <w:r w:rsidR="00B13E39">
        <w:t>was communicated to the tria</w:t>
      </w:r>
      <w:r w:rsidR="00841582">
        <w:t xml:space="preserve">l registry.  </w:t>
      </w:r>
    </w:p>
    <w:p w:rsidR="003248F7" w:rsidRPr="00D03127" w:rsidRDefault="003248F7" w:rsidP="003248F7">
      <w:pPr>
        <w:spacing w:after="0" w:line="480" w:lineRule="auto"/>
        <w:jc w:val="both"/>
      </w:pPr>
    </w:p>
    <w:p w:rsidR="00F62903" w:rsidRPr="00D03127" w:rsidRDefault="000F5FB5" w:rsidP="001D0EE0">
      <w:pPr>
        <w:spacing w:after="0" w:line="480" w:lineRule="auto"/>
        <w:jc w:val="both"/>
      </w:pPr>
      <w:r w:rsidRPr="00D03127">
        <w:rPr>
          <w:lang w:bidi="en-US"/>
        </w:rPr>
        <w:t xml:space="preserve">Eligible patients </w:t>
      </w:r>
      <w:r w:rsidR="004B3784" w:rsidRPr="00D03127">
        <w:rPr>
          <w:lang w:bidi="en-US"/>
        </w:rPr>
        <w:t>were:</w:t>
      </w:r>
      <w:r w:rsidR="00AF2144" w:rsidRPr="00D03127">
        <w:rPr>
          <w:lang w:bidi="en-US"/>
        </w:rPr>
        <w:t xml:space="preserve"> </w:t>
      </w:r>
      <w:r w:rsidR="00AF2144" w:rsidRPr="00D03127">
        <w:t>a</w:t>
      </w:r>
      <w:r w:rsidR="00C35C8F" w:rsidRPr="00D03127">
        <w:t>ged 18 years or over</w:t>
      </w:r>
      <w:r w:rsidR="00AF2144" w:rsidRPr="00D03127">
        <w:t>; h</w:t>
      </w:r>
      <w:r w:rsidRPr="00D03127">
        <w:t>ad</w:t>
      </w:r>
      <w:r w:rsidR="00C35C8F" w:rsidRPr="00D03127">
        <w:t xml:space="preserve"> the capacity to give informed, </w:t>
      </w:r>
      <w:r w:rsidR="00D65474" w:rsidRPr="00D65474">
        <w:t>written consent or where capacity was lacking consultee assent was obtained</w:t>
      </w:r>
      <w:r w:rsidRPr="00D65474">
        <w:t>;</w:t>
      </w:r>
      <w:r w:rsidRPr="00D03127">
        <w:t xml:space="preserve"> were</w:t>
      </w:r>
      <w:r w:rsidR="00C35C8F" w:rsidRPr="00D03127">
        <w:t xml:space="preserve"> a patient </w:t>
      </w:r>
      <w:r w:rsidR="00D65474">
        <w:t xml:space="preserve">admitted to the hospital </w:t>
      </w:r>
      <w:r w:rsidR="00461417">
        <w:t xml:space="preserve">and physically </w:t>
      </w:r>
      <w:r w:rsidR="00C35C8F" w:rsidRPr="00D03127">
        <w:t xml:space="preserve">in </w:t>
      </w:r>
      <w:r w:rsidR="00461417">
        <w:t xml:space="preserve">either </w:t>
      </w:r>
      <w:r w:rsidR="00976AB7" w:rsidRPr="00D03127">
        <w:t xml:space="preserve">the </w:t>
      </w:r>
      <w:r w:rsidR="00C35C8F" w:rsidRPr="00D03127">
        <w:t>AMU or ED</w:t>
      </w:r>
      <w:r w:rsidR="00AF2144" w:rsidRPr="00D03127">
        <w:rPr>
          <w:lang w:bidi="en-US"/>
        </w:rPr>
        <w:t xml:space="preserve">; </w:t>
      </w:r>
      <w:r w:rsidRPr="00D03127">
        <w:t xml:space="preserve">could </w:t>
      </w:r>
      <w:r w:rsidR="00C35C8F" w:rsidRPr="00D03127">
        <w:t>be recruited</w:t>
      </w:r>
      <w:r w:rsidR="00D65474">
        <w:t xml:space="preserve"> to the study within a 16</w:t>
      </w:r>
      <w:r w:rsidR="00976AB7" w:rsidRPr="00D03127">
        <w:t xml:space="preserve"> hours </w:t>
      </w:r>
      <w:r w:rsidR="00C35C8F" w:rsidRPr="00D03127">
        <w:t xml:space="preserve">of </w:t>
      </w:r>
      <w:r w:rsidR="00D65474">
        <w:t xml:space="preserve">admission; </w:t>
      </w:r>
      <w:r w:rsidR="00AF2144" w:rsidRPr="00D03127">
        <w:t>h</w:t>
      </w:r>
      <w:r w:rsidRPr="00D03127">
        <w:t>ad</w:t>
      </w:r>
      <w:r w:rsidR="004B3784" w:rsidRPr="00D03127">
        <w:t xml:space="preserve"> an acute respiratory illness</w:t>
      </w:r>
      <w:r w:rsidR="00AF2144" w:rsidRPr="00D03127">
        <w:rPr>
          <w:lang w:bidi="en-US"/>
        </w:rPr>
        <w:t xml:space="preserve">; </w:t>
      </w:r>
      <w:r w:rsidR="004B3784" w:rsidRPr="00D03127">
        <w:rPr>
          <w:lang w:bidi="en-US"/>
        </w:rPr>
        <w:t xml:space="preserve">and </w:t>
      </w:r>
      <w:r w:rsidR="00F9344B" w:rsidRPr="00D03127">
        <w:rPr>
          <w:lang w:bidi="en-US"/>
        </w:rPr>
        <w:t xml:space="preserve">had a </w:t>
      </w:r>
      <w:r w:rsidR="00AF2144" w:rsidRPr="00D03127">
        <w:t>d</w:t>
      </w:r>
      <w:r w:rsidR="00C35C8F" w:rsidRPr="00D03127">
        <w:t>uration of</w:t>
      </w:r>
      <w:r w:rsidR="00D65474">
        <w:t xml:space="preserve"> illness less than or equal to 10</w:t>
      </w:r>
      <w:r w:rsidR="00C35C8F" w:rsidRPr="00D03127">
        <w:t xml:space="preserve"> days</w:t>
      </w:r>
      <w:r w:rsidR="00D65474">
        <w:t xml:space="preserve"> prior to hospitalisation</w:t>
      </w:r>
      <w:r w:rsidR="00AF2144" w:rsidRPr="00D03127">
        <w:t xml:space="preserve">. </w:t>
      </w:r>
      <w:r w:rsidR="00C35C8F" w:rsidRPr="00D03127">
        <w:t>An episod</w:t>
      </w:r>
      <w:r w:rsidR="00BC21C5" w:rsidRPr="00D03127">
        <w:t>e of acute respiratory illness wa</w:t>
      </w:r>
      <w:r w:rsidR="00C35C8F" w:rsidRPr="00D03127">
        <w:t>s defined</w:t>
      </w:r>
      <w:r w:rsidR="0024524B">
        <w:t xml:space="preserve"> as a provisional diagnosis of </w:t>
      </w:r>
      <w:r w:rsidR="00424174" w:rsidRPr="00D03127">
        <w:t xml:space="preserve"> acute </w:t>
      </w:r>
      <w:r w:rsidR="00424174" w:rsidRPr="00D03127">
        <w:lastRenderedPageBreak/>
        <w:t xml:space="preserve">pulmonary illness </w:t>
      </w:r>
      <w:r w:rsidR="00C35C8F" w:rsidRPr="00D03127">
        <w:t>including pneumonia, bronchitis</w:t>
      </w:r>
      <w:r w:rsidR="00424174" w:rsidRPr="00D03127">
        <w:t xml:space="preserve"> (non-pneumonic lower respiratory tract infection - NPLRTI) and influenza-like illness (ILI), </w:t>
      </w:r>
      <w:r w:rsidR="00C35C8F" w:rsidRPr="00D03127">
        <w:t>or an acute exacerbation of a chronic respiratory illness (including exacerbation of COPD, asthma or bronchiectasis).</w:t>
      </w:r>
      <w:r w:rsidR="004B3784" w:rsidRPr="00D03127">
        <w:t xml:space="preserve"> The exclusion criteria were:</w:t>
      </w:r>
      <w:r w:rsidR="00AF2144" w:rsidRPr="00D03127">
        <w:t xml:space="preserve"> p</w:t>
      </w:r>
      <w:r w:rsidR="00C35C8F" w:rsidRPr="00D03127">
        <w:t>atients not fulfilling inclusion criteria</w:t>
      </w:r>
      <w:r w:rsidR="00AF2144" w:rsidRPr="00D03127">
        <w:t xml:space="preserve">; a </w:t>
      </w:r>
      <w:r w:rsidR="00C35C8F" w:rsidRPr="00D03127">
        <w:t>palliative approach being taken by the treating clinicians</w:t>
      </w:r>
      <w:r w:rsidR="00AF2144" w:rsidRPr="00D03127">
        <w:t>; patient d</w:t>
      </w:r>
      <w:r w:rsidR="006A7C6B" w:rsidRPr="00D03127">
        <w:t>eclines nasal/</w:t>
      </w:r>
      <w:r w:rsidR="00C35C8F" w:rsidRPr="00D03127">
        <w:t>pharyngeal swabbing</w:t>
      </w:r>
      <w:r w:rsidR="00D65474">
        <w:t>; p</w:t>
      </w:r>
      <w:r w:rsidR="00D65474" w:rsidRPr="00D65474">
        <w:t>reviously included in this study and re-presenting within the last 30 days after hospital discharge</w:t>
      </w:r>
      <w:r w:rsidR="00D65474">
        <w:t>; or</w:t>
      </w:r>
      <w:r w:rsidR="00D65474" w:rsidRPr="00D65474">
        <w:t xml:space="preserve"> </w:t>
      </w:r>
      <w:r w:rsidR="00D65474">
        <w:t>c</w:t>
      </w:r>
      <w:r w:rsidR="00461417">
        <w:t>onsent declined or consultee as</w:t>
      </w:r>
      <w:r w:rsidR="00D65474" w:rsidRPr="00D65474">
        <w:t>sent declined</w:t>
      </w:r>
      <w:r w:rsidR="00D40089">
        <w:t>.</w:t>
      </w:r>
    </w:p>
    <w:p w:rsidR="00C9278B" w:rsidRPr="00D03127" w:rsidRDefault="00C9278B" w:rsidP="006F5E09">
      <w:pPr>
        <w:spacing w:after="0" w:line="480" w:lineRule="auto"/>
        <w:jc w:val="both"/>
      </w:pPr>
    </w:p>
    <w:p w:rsidR="00C9278B" w:rsidRPr="00D03127" w:rsidRDefault="00E5002D" w:rsidP="00E5002D">
      <w:pPr>
        <w:spacing w:after="0" w:line="480" w:lineRule="auto"/>
        <w:rPr>
          <w:b/>
          <w:bCs/>
          <w:sz w:val="24"/>
          <w:szCs w:val="24"/>
        </w:rPr>
      </w:pPr>
      <w:r w:rsidRPr="00D03127">
        <w:rPr>
          <w:b/>
          <w:bCs/>
          <w:sz w:val="24"/>
          <w:szCs w:val="24"/>
        </w:rPr>
        <w:t xml:space="preserve">Randomisation and </w:t>
      </w:r>
      <w:r w:rsidR="00C9278B" w:rsidRPr="00D03127">
        <w:rPr>
          <w:b/>
          <w:bCs/>
          <w:sz w:val="24"/>
          <w:szCs w:val="24"/>
        </w:rPr>
        <w:t>masking</w:t>
      </w:r>
    </w:p>
    <w:p w:rsidR="00C9278B" w:rsidRPr="00D03127" w:rsidRDefault="006811DF" w:rsidP="002813F2">
      <w:pPr>
        <w:spacing w:after="0" w:line="480" w:lineRule="auto"/>
        <w:jc w:val="both"/>
      </w:pPr>
      <w:r w:rsidRPr="00D03127">
        <w:t>P</w:t>
      </w:r>
      <w:r w:rsidR="00C9278B" w:rsidRPr="00D03127">
        <w:t xml:space="preserve">atient </w:t>
      </w:r>
      <w:r w:rsidRPr="00D03127">
        <w:t xml:space="preserve">were </w:t>
      </w:r>
      <w:r w:rsidR="00E65462" w:rsidRPr="00D03127">
        <w:t xml:space="preserve">consecutively </w:t>
      </w:r>
      <w:r w:rsidR="00976AB7" w:rsidRPr="00D03127">
        <w:t xml:space="preserve">assigned </w:t>
      </w:r>
      <w:r w:rsidR="00CB5F82" w:rsidRPr="00D03127">
        <w:t>a</w:t>
      </w:r>
      <w:r w:rsidR="00976AB7" w:rsidRPr="00D03127">
        <w:t xml:space="preserve"> unique</w:t>
      </w:r>
      <w:r w:rsidR="00C9278B" w:rsidRPr="00D03127">
        <w:t xml:space="preserve"> participant ide</w:t>
      </w:r>
      <w:r w:rsidR="002813F2" w:rsidRPr="00D03127">
        <w:t>ntification number by s</w:t>
      </w:r>
      <w:r w:rsidR="00C9278B" w:rsidRPr="00D03127">
        <w:t>t</w:t>
      </w:r>
      <w:r w:rsidR="00E65462" w:rsidRPr="00D03127">
        <w:t>udy team member</w:t>
      </w:r>
      <w:r w:rsidR="00C839E6" w:rsidRPr="00D03127">
        <w:t>s</w:t>
      </w:r>
      <w:r w:rsidR="00E65462" w:rsidRPr="00D03127">
        <w:t xml:space="preserve"> </w:t>
      </w:r>
      <w:r w:rsidR="002813F2" w:rsidRPr="00D03127">
        <w:t xml:space="preserve">who then </w:t>
      </w:r>
      <w:r w:rsidR="00E65462" w:rsidRPr="00D03127">
        <w:t>used an</w:t>
      </w:r>
      <w:r w:rsidR="00C9278B" w:rsidRPr="00D03127">
        <w:t xml:space="preserve"> internet-based randomisat</w:t>
      </w:r>
      <w:r w:rsidR="00976AB7" w:rsidRPr="00D03127">
        <w:t>i</w:t>
      </w:r>
      <w:r w:rsidRPr="00D03127">
        <w:t>o</w:t>
      </w:r>
      <w:r w:rsidR="00CC1D6B" w:rsidRPr="00D03127">
        <w:t xml:space="preserve">n service (sealedenvelope.com, </w:t>
      </w:r>
      <w:r w:rsidR="00C9278B" w:rsidRPr="00D03127">
        <w:t>which uses random pe</w:t>
      </w:r>
      <w:r w:rsidR="00976AB7" w:rsidRPr="00D03127">
        <w:t>rmuted blocks of varying sizes</w:t>
      </w:r>
      <w:r w:rsidR="00353190" w:rsidRPr="00D03127">
        <w:t>; 4, 6 and 8</w:t>
      </w:r>
      <w:r w:rsidRPr="00D03127">
        <w:t>)</w:t>
      </w:r>
      <w:r w:rsidR="00976AB7" w:rsidRPr="00D03127">
        <w:t xml:space="preserve"> </w:t>
      </w:r>
      <w:r w:rsidR="00C9278B" w:rsidRPr="00D03127">
        <w:t xml:space="preserve">to </w:t>
      </w:r>
      <w:r w:rsidR="002813F2" w:rsidRPr="00D03127">
        <w:t>generate the allocation sequence</w:t>
      </w:r>
      <w:r w:rsidR="0024524B">
        <w:t>,</w:t>
      </w:r>
      <w:r w:rsidR="002813F2" w:rsidRPr="00D03127">
        <w:t xml:space="preserve"> and </w:t>
      </w:r>
      <w:r w:rsidR="00C9278B" w:rsidRPr="00D03127">
        <w:t>assig</w:t>
      </w:r>
      <w:r w:rsidR="002813F2" w:rsidRPr="00D03127">
        <w:t xml:space="preserve">ned </w:t>
      </w:r>
      <w:r w:rsidR="00C839E6" w:rsidRPr="00D03127">
        <w:t xml:space="preserve">the participants </w:t>
      </w:r>
      <w:r w:rsidR="00424174" w:rsidRPr="00D03127">
        <w:t xml:space="preserve">to </w:t>
      </w:r>
      <w:r w:rsidR="00C9278B" w:rsidRPr="00D03127">
        <w:t>the group</w:t>
      </w:r>
      <w:r w:rsidR="0002047E">
        <w:t>s</w:t>
      </w:r>
      <w:r w:rsidR="005F371F">
        <w:t xml:space="preserve"> in a 1:1 ratio</w:t>
      </w:r>
      <w:r w:rsidR="00C9278B" w:rsidRPr="00D03127">
        <w:t xml:space="preserve">. Patients assigned to the intervention group were </w:t>
      </w:r>
      <w:r w:rsidR="00C839E6" w:rsidRPr="00D03127">
        <w:t xml:space="preserve">immediately </w:t>
      </w:r>
      <w:r w:rsidR="00C9278B" w:rsidRPr="00D03127">
        <w:t>swabbed and tested as detailed</w:t>
      </w:r>
      <w:r w:rsidR="00976AB7" w:rsidRPr="00D03127">
        <w:t xml:space="preserve"> below</w:t>
      </w:r>
      <w:r w:rsidR="00C9278B" w:rsidRPr="00D03127">
        <w:t xml:space="preserve">. No attempt at blinding trial participants, research staff or </w:t>
      </w:r>
      <w:r w:rsidR="002813F2" w:rsidRPr="00D03127">
        <w:t xml:space="preserve">clinical </w:t>
      </w:r>
      <w:r w:rsidR="00C9278B" w:rsidRPr="00D03127">
        <w:t xml:space="preserve">care providers was made. Data analysts </w:t>
      </w:r>
      <w:r w:rsidR="00461417">
        <w:t xml:space="preserve">and statisticians </w:t>
      </w:r>
      <w:r w:rsidR="00C9278B" w:rsidRPr="00D03127">
        <w:t>were blinded to group allocation.</w:t>
      </w:r>
    </w:p>
    <w:p w:rsidR="004B3784" w:rsidRPr="00D03127" w:rsidRDefault="004B3784" w:rsidP="006811DF">
      <w:pPr>
        <w:spacing w:after="0" w:line="480" w:lineRule="auto"/>
        <w:jc w:val="both"/>
      </w:pPr>
    </w:p>
    <w:p w:rsidR="00AF2144" w:rsidRPr="00D03127" w:rsidRDefault="0018178F" w:rsidP="0018178F">
      <w:pPr>
        <w:spacing w:after="0" w:line="480" w:lineRule="auto"/>
        <w:jc w:val="both"/>
        <w:rPr>
          <w:b/>
          <w:bCs/>
          <w:sz w:val="24"/>
          <w:szCs w:val="24"/>
        </w:rPr>
      </w:pPr>
      <w:r w:rsidRPr="00D03127">
        <w:rPr>
          <w:b/>
          <w:bCs/>
          <w:sz w:val="24"/>
          <w:szCs w:val="24"/>
        </w:rPr>
        <w:t>Procedures</w:t>
      </w:r>
      <w:r w:rsidR="00AF2144" w:rsidRPr="00D03127">
        <w:rPr>
          <w:b/>
          <w:bCs/>
          <w:sz w:val="24"/>
          <w:szCs w:val="24"/>
        </w:rPr>
        <w:t xml:space="preserve"> </w:t>
      </w:r>
    </w:p>
    <w:p w:rsidR="0019759F" w:rsidRPr="00D03127" w:rsidRDefault="004B3784" w:rsidP="005923B0">
      <w:pPr>
        <w:spacing w:after="0" w:line="480" w:lineRule="auto"/>
        <w:jc w:val="both"/>
      </w:pPr>
      <w:r w:rsidRPr="00D03127">
        <w:t>Participants</w:t>
      </w:r>
      <w:r w:rsidR="000F5FB5" w:rsidRPr="00D03127">
        <w:t xml:space="preserve"> randomised to the intervention </w:t>
      </w:r>
      <w:r w:rsidR="00E222DA">
        <w:t xml:space="preserve">(mPOCT) </w:t>
      </w:r>
      <w:r w:rsidR="000F5FB5" w:rsidRPr="00D03127">
        <w:t xml:space="preserve">group had a </w:t>
      </w:r>
      <w:r w:rsidR="00D40089">
        <w:t xml:space="preserve">combined </w:t>
      </w:r>
      <w:r w:rsidR="000F5FB5" w:rsidRPr="00D03127">
        <w:t xml:space="preserve">nose and throat swab </w:t>
      </w:r>
      <w:r w:rsidR="002D2F35">
        <w:t>sample (</w:t>
      </w:r>
      <w:r w:rsidR="00F71E8E">
        <w:t xml:space="preserve">and sputum </w:t>
      </w:r>
      <w:r w:rsidR="002D2F35">
        <w:t xml:space="preserve">samples </w:t>
      </w:r>
      <w:r w:rsidR="00F71E8E">
        <w:t>where available</w:t>
      </w:r>
      <w:r w:rsidR="002D2F35">
        <w:t>)</w:t>
      </w:r>
      <w:r w:rsidR="00F71E8E">
        <w:t xml:space="preserve"> </w:t>
      </w:r>
      <w:r w:rsidR="000F5FB5" w:rsidRPr="00D03127">
        <w:t>taken by research staff according to standard protocol</w:t>
      </w:r>
      <w:r w:rsidR="003248F7" w:rsidRPr="00D03127">
        <w:t xml:space="preserve">s </w:t>
      </w:r>
      <w:r w:rsidR="000F5FB5" w:rsidRPr="00D03127">
        <w:t xml:space="preserve">and </w:t>
      </w:r>
      <w:r w:rsidR="003248F7" w:rsidRPr="00D03127">
        <w:t xml:space="preserve">then </w:t>
      </w:r>
      <w:r w:rsidR="000F5FB5" w:rsidRPr="00D03127">
        <w:t xml:space="preserve">analysed immediately using the FilmArray Respiratory </w:t>
      </w:r>
      <w:r w:rsidR="000F5FB5" w:rsidRPr="005B06E0">
        <w:t>Panel</w:t>
      </w:r>
      <w:r w:rsidR="00F71E8E" w:rsidRPr="005B06E0">
        <w:t xml:space="preserve"> 2</w:t>
      </w:r>
      <w:r w:rsidR="000F5FB5" w:rsidRPr="005B06E0">
        <w:t>.</w:t>
      </w:r>
      <w:r w:rsidR="005B06E0" w:rsidRPr="005B06E0">
        <w:t xml:space="preserve"> </w:t>
      </w:r>
      <w:r w:rsidR="003248F7" w:rsidRPr="005B06E0">
        <w:t>T</w:t>
      </w:r>
      <w:r w:rsidRPr="005B06E0">
        <w:t>he testing</w:t>
      </w:r>
      <w:r w:rsidRPr="00D03127">
        <w:t xml:space="preserve"> units were located</w:t>
      </w:r>
      <w:r w:rsidR="000F5FB5" w:rsidRPr="00D03127">
        <w:t xml:space="preserve"> in the AMU</w:t>
      </w:r>
      <w:r w:rsidR="00F71E8E">
        <w:t>s</w:t>
      </w:r>
      <w:r w:rsidR="00F74F9E">
        <w:t xml:space="preserve"> and the test took </w:t>
      </w:r>
      <w:r w:rsidR="005F371F">
        <w:t xml:space="preserve">around 45 minutes to generate a result. </w:t>
      </w:r>
      <w:r w:rsidR="00F71E8E">
        <w:t xml:space="preserve">The </w:t>
      </w:r>
      <w:r w:rsidR="003248F7" w:rsidRPr="00D03127">
        <w:t>clinical and infection control teams were</w:t>
      </w:r>
      <w:r w:rsidR="000F5FB5" w:rsidRPr="00D03127">
        <w:t xml:space="preserve"> </w:t>
      </w:r>
      <w:r w:rsidR="00F71E8E">
        <w:t>informed directly of</w:t>
      </w:r>
      <w:r w:rsidR="000F5FB5" w:rsidRPr="00D03127">
        <w:t xml:space="preserve"> all results </w:t>
      </w:r>
      <w:r w:rsidR="00CB5F82" w:rsidRPr="00D03127">
        <w:t>(positive and negative</w:t>
      </w:r>
      <w:r w:rsidR="006811DF" w:rsidRPr="00D03127">
        <w:t>)</w:t>
      </w:r>
      <w:r w:rsidR="000F5FB5" w:rsidRPr="00D03127">
        <w:t xml:space="preserve">. </w:t>
      </w:r>
      <w:r w:rsidR="003248F7" w:rsidRPr="00D03127">
        <w:t xml:space="preserve">Patients randomised to the control group were managed according to routine clinical care </w:t>
      </w:r>
      <w:r w:rsidR="002D2F35">
        <w:t xml:space="preserve">where </w:t>
      </w:r>
      <w:r w:rsidR="003248F7" w:rsidRPr="00D03127">
        <w:t>testing for respirat</w:t>
      </w:r>
      <w:r w:rsidR="00483376" w:rsidRPr="00D03127">
        <w:t xml:space="preserve">ory viruses </w:t>
      </w:r>
      <w:r w:rsidR="00461417">
        <w:t>was</w:t>
      </w:r>
      <w:r w:rsidR="004A392A" w:rsidRPr="00D03127">
        <w:t xml:space="preserve"> </w:t>
      </w:r>
      <w:r w:rsidR="003248F7" w:rsidRPr="00D03127">
        <w:t>at the discretion</w:t>
      </w:r>
      <w:r w:rsidR="005B06E0">
        <w:t xml:space="preserve"> of the responsible clinical team</w:t>
      </w:r>
      <w:r w:rsidR="00E222DA">
        <w:t xml:space="preserve"> and was </w:t>
      </w:r>
      <w:r w:rsidR="002C372D">
        <w:t>performed</w:t>
      </w:r>
      <w:r w:rsidR="00E222DA">
        <w:t xml:space="preserve"> using </w:t>
      </w:r>
      <w:r w:rsidR="00F74F9E">
        <w:t>l</w:t>
      </w:r>
      <w:r w:rsidR="00B50ACF" w:rsidRPr="00D03127">
        <w:t>aboratory PCR</w:t>
      </w:r>
      <w:r w:rsidR="002C372D">
        <w:t xml:space="preserve"> by</w:t>
      </w:r>
      <w:r w:rsidR="0066259A" w:rsidRPr="00D03127">
        <w:t xml:space="preserve"> conventional methods</w:t>
      </w:r>
      <w:r w:rsidR="002C372D">
        <w:t>,</w:t>
      </w:r>
      <w:r w:rsidR="0066259A" w:rsidRPr="00D03127">
        <w:t xml:space="preserve"> </w:t>
      </w:r>
      <w:r w:rsidR="00865BA1" w:rsidRPr="00D03127">
        <w:t xml:space="preserve">in the </w:t>
      </w:r>
      <w:r w:rsidR="002C372D">
        <w:t xml:space="preserve">on-site </w:t>
      </w:r>
      <w:r w:rsidR="0066259A" w:rsidRPr="00D03127">
        <w:t>laboratory</w:t>
      </w:r>
      <w:r w:rsidR="002C372D">
        <w:t xml:space="preserve"> facilities</w:t>
      </w:r>
      <w:r w:rsidR="005B06E0">
        <w:t>.</w:t>
      </w:r>
      <w:r w:rsidR="005F371F">
        <w:t xml:space="preserve"> Patients in the control group</w:t>
      </w:r>
      <w:r w:rsidR="002C372D">
        <w:t xml:space="preserve"> also</w:t>
      </w:r>
      <w:r w:rsidR="005F371F">
        <w:t xml:space="preserve"> had a nose and throat swab obtain</w:t>
      </w:r>
      <w:r w:rsidR="00D40089">
        <w:t>ed</w:t>
      </w:r>
      <w:r w:rsidR="005F371F">
        <w:t xml:space="preserve"> at enrolment and stored for subsequent analysis </w:t>
      </w:r>
      <w:r w:rsidR="00E222DA">
        <w:t xml:space="preserve">(using the </w:t>
      </w:r>
      <w:r w:rsidR="00E222DA" w:rsidRPr="00E222DA">
        <w:t xml:space="preserve">FilmArray </w:t>
      </w:r>
      <w:r w:rsidR="00E222DA" w:rsidRPr="00E222DA">
        <w:lastRenderedPageBreak/>
        <w:t>Respiratory Panel 2</w:t>
      </w:r>
      <w:r w:rsidR="00E222DA">
        <w:t xml:space="preserve">) </w:t>
      </w:r>
      <w:r w:rsidR="005F371F">
        <w:t>to allow subsequent assessment of missed diagnoses</w:t>
      </w:r>
      <w:r w:rsidR="00E222DA">
        <w:t>, at least 30 days post enrolment</w:t>
      </w:r>
      <w:r w:rsidR="005F371F">
        <w:t xml:space="preserve">. </w:t>
      </w:r>
      <w:r w:rsidR="005B06E0">
        <w:t xml:space="preserve"> </w:t>
      </w:r>
      <w:r w:rsidR="00483376" w:rsidRPr="002D2F35">
        <w:t>Clinical management decisions were made independently b</w:t>
      </w:r>
      <w:r w:rsidR="002D2F35">
        <w:t>y t</w:t>
      </w:r>
      <w:r w:rsidR="009D154E">
        <w:t>he responsible clinical team and</w:t>
      </w:r>
      <w:r w:rsidR="002D2F35">
        <w:t xml:space="preserve"> where influenza was detected by </w:t>
      </w:r>
      <w:r w:rsidR="00DC4FE9">
        <w:t>m</w:t>
      </w:r>
      <w:r w:rsidR="002D2F35">
        <w:t>POCT</w:t>
      </w:r>
      <w:r w:rsidR="005B06E0">
        <w:t>,</w:t>
      </w:r>
      <w:r w:rsidR="00D40089">
        <w:t xml:space="preserve"> research teams </w:t>
      </w:r>
      <w:r w:rsidR="002C372D">
        <w:t xml:space="preserve">signposted </w:t>
      </w:r>
      <w:r w:rsidR="00E222DA" w:rsidRPr="00E222DA">
        <w:t xml:space="preserve">national guidelines </w:t>
      </w:r>
      <w:r w:rsidR="00E222DA">
        <w:t xml:space="preserve">for the </w:t>
      </w:r>
      <w:r w:rsidR="002D2F35">
        <w:t xml:space="preserve">treatment </w:t>
      </w:r>
      <w:r w:rsidR="00E222DA">
        <w:t xml:space="preserve">of influenza </w:t>
      </w:r>
      <w:r w:rsidR="009D154E">
        <w:t>[9</w:t>
      </w:r>
      <w:r w:rsidR="00B13E39">
        <w:t>]</w:t>
      </w:r>
      <w:r w:rsidR="002D2F35">
        <w:t>.</w:t>
      </w:r>
      <w:r w:rsidR="00483376" w:rsidRPr="00D03127">
        <w:t xml:space="preserve">  Demographic</w:t>
      </w:r>
      <w:r w:rsidR="003248F7" w:rsidRPr="00D03127">
        <w:t xml:space="preserve"> and clinical</w:t>
      </w:r>
      <w:r w:rsidR="000F5FB5" w:rsidRPr="00D03127">
        <w:t xml:space="preserve"> data </w:t>
      </w:r>
      <w:r w:rsidR="003248F7" w:rsidRPr="00D03127">
        <w:t xml:space="preserve">were collected </w:t>
      </w:r>
      <w:r w:rsidR="000F5FB5" w:rsidRPr="00D03127">
        <w:t>at recruit</w:t>
      </w:r>
      <w:r w:rsidR="003248F7" w:rsidRPr="00D03127">
        <w:t xml:space="preserve">ment and outcome data </w:t>
      </w:r>
      <w:r w:rsidR="00483376" w:rsidRPr="00D03127">
        <w:t xml:space="preserve">was </w:t>
      </w:r>
      <w:r w:rsidR="003248F7" w:rsidRPr="00D03127">
        <w:t>collected r</w:t>
      </w:r>
      <w:r w:rsidR="000F5FB5" w:rsidRPr="00D03127">
        <w:t>etrospective</w:t>
      </w:r>
      <w:r w:rsidR="00CB5F82" w:rsidRPr="00D03127">
        <w:t>ly f</w:t>
      </w:r>
      <w:r w:rsidR="003248F7" w:rsidRPr="00D03127">
        <w:t>r</w:t>
      </w:r>
      <w:r w:rsidR="00CB5F82" w:rsidRPr="00D03127">
        <w:t>o</w:t>
      </w:r>
      <w:r w:rsidR="003248F7" w:rsidRPr="00D03127">
        <w:t>m</w:t>
      </w:r>
      <w:r w:rsidR="00CB5F82" w:rsidRPr="00D03127">
        <w:t xml:space="preserve"> paper case-</w:t>
      </w:r>
      <w:r w:rsidR="00483376" w:rsidRPr="00D03127">
        <w:t>notes,</w:t>
      </w:r>
      <w:r w:rsidR="000F5FB5" w:rsidRPr="00D03127">
        <w:t xml:space="preserve"> electronic medical records </w:t>
      </w:r>
      <w:r w:rsidR="003248F7" w:rsidRPr="00D03127">
        <w:t xml:space="preserve">and </w:t>
      </w:r>
      <w:r w:rsidR="000F5FB5" w:rsidRPr="00D03127">
        <w:t xml:space="preserve">electronic prescribing </w:t>
      </w:r>
      <w:r w:rsidR="003248F7" w:rsidRPr="00D03127">
        <w:t>systems. All data w</w:t>
      </w:r>
      <w:r w:rsidR="000814DC" w:rsidRPr="00D03127">
        <w:t>ere</w:t>
      </w:r>
      <w:r w:rsidR="003248F7" w:rsidRPr="00D03127">
        <w:t xml:space="preserve"> collected on a standard</w:t>
      </w:r>
      <w:r w:rsidR="00E222DA">
        <w:t>ised</w:t>
      </w:r>
      <w:r w:rsidR="003248F7" w:rsidRPr="00D03127">
        <w:t xml:space="preserve"> case report form. </w:t>
      </w:r>
    </w:p>
    <w:p w:rsidR="0019759F" w:rsidRPr="00D03127" w:rsidRDefault="0019759F" w:rsidP="006F5E09">
      <w:pPr>
        <w:spacing w:after="0" w:line="480" w:lineRule="auto"/>
        <w:jc w:val="both"/>
      </w:pPr>
    </w:p>
    <w:p w:rsidR="0019759F" w:rsidRPr="00D03127" w:rsidRDefault="00AF2144" w:rsidP="0018178F">
      <w:pPr>
        <w:spacing w:after="0" w:line="480" w:lineRule="auto"/>
        <w:jc w:val="both"/>
        <w:rPr>
          <w:sz w:val="24"/>
          <w:szCs w:val="24"/>
        </w:rPr>
      </w:pPr>
      <w:r w:rsidRPr="00D03127">
        <w:rPr>
          <w:b/>
          <w:bCs/>
          <w:sz w:val="24"/>
          <w:szCs w:val="24"/>
        </w:rPr>
        <w:t xml:space="preserve">Outcomes </w:t>
      </w:r>
    </w:p>
    <w:p w:rsidR="003248F7" w:rsidRDefault="0065746D" w:rsidP="00AD6B09">
      <w:pPr>
        <w:spacing w:after="0" w:line="480" w:lineRule="auto"/>
        <w:jc w:val="both"/>
      </w:pPr>
      <w:r>
        <w:t>The primary outcome measure was</w:t>
      </w:r>
      <w:r w:rsidR="00773657">
        <w:t xml:space="preserve"> the</w:t>
      </w:r>
      <w:r w:rsidR="009D154E">
        <w:t xml:space="preserve"> proportion of influenza-infected </w:t>
      </w:r>
      <w:r w:rsidR="00F71E8E" w:rsidRPr="00F71E8E">
        <w:t xml:space="preserve">patients treated with </w:t>
      </w:r>
      <w:r w:rsidR="009D154E">
        <w:t xml:space="preserve">antivirals </w:t>
      </w:r>
      <w:r w:rsidR="00F71E8E" w:rsidRPr="00F71E8E">
        <w:t>(NAI</w:t>
      </w:r>
      <w:r w:rsidR="009D154E">
        <w:t>s</w:t>
      </w:r>
      <w:r w:rsidR="00F71E8E" w:rsidRPr="00F71E8E">
        <w:t>) during their hospital st</w:t>
      </w:r>
      <w:r w:rsidR="00F71E8E">
        <w:t>ay, within 5 days of admission.</w:t>
      </w:r>
      <w:r w:rsidR="00B118B2" w:rsidRPr="00D03127">
        <w:t xml:space="preserve"> This was </w:t>
      </w:r>
      <w:r>
        <w:t xml:space="preserve">selected </w:t>
      </w:r>
      <w:r w:rsidR="00F71E8E">
        <w:t xml:space="preserve">as </w:t>
      </w:r>
      <w:r w:rsidR="00F71E8E" w:rsidRPr="00F71E8E">
        <w:t xml:space="preserve">Public Health England guidelines recommend that all adults requiring hospital admission for influenza should </w:t>
      </w:r>
      <w:r w:rsidR="00F71E8E" w:rsidRPr="00A56829">
        <w:t>receive</w:t>
      </w:r>
      <w:r w:rsidR="005B06E0" w:rsidRPr="00A56829">
        <w:t xml:space="preserve"> NAIs</w:t>
      </w:r>
      <w:r w:rsidR="00F71E8E" w:rsidRPr="00A56829">
        <w:t xml:space="preserve">. This </w:t>
      </w:r>
      <w:r w:rsidRPr="00A56829">
        <w:t xml:space="preserve">guidance </w:t>
      </w:r>
      <w:r w:rsidR="00570636" w:rsidRPr="00A56829">
        <w:t xml:space="preserve">is consistent with </w:t>
      </w:r>
      <w:r w:rsidR="002B1C7A" w:rsidRPr="00A56829">
        <w:t xml:space="preserve">those of </w:t>
      </w:r>
      <w:r w:rsidR="002C372D" w:rsidRPr="00A56829">
        <w:t xml:space="preserve">several </w:t>
      </w:r>
      <w:r w:rsidR="002B1C7A" w:rsidRPr="00A56829">
        <w:t>other countries.</w:t>
      </w:r>
      <w:r w:rsidR="002B1C7A" w:rsidRPr="00A56829">
        <w:rPr>
          <w:vertAlign w:val="superscript"/>
        </w:rPr>
        <w:t>8, 9</w:t>
      </w:r>
      <w:r w:rsidR="00570636" w:rsidRPr="00A56829">
        <w:t xml:space="preserve"> </w:t>
      </w:r>
      <w:r w:rsidR="003065A5" w:rsidRPr="00A56829">
        <w:t>Although no placebo controlled trials of NAIs have ever been performed in hospitalized adults, there is a large body of observational evidence demonstrating that NAI use is associated with improvements in clinical outcome in this group</w:t>
      </w:r>
      <w:r w:rsidR="00A56829">
        <w:t xml:space="preserve">. </w:t>
      </w:r>
      <w:r w:rsidR="00A56829" w:rsidRPr="00A56829">
        <w:rPr>
          <w:vertAlign w:val="superscript"/>
        </w:rPr>
        <w:t>10,</w:t>
      </w:r>
      <w:r w:rsidR="00A56829">
        <w:rPr>
          <w:vertAlign w:val="superscript"/>
        </w:rPr>
        <w:t xml:space="preserve"> </w:t>
      </w:r>
      <w:r w:rsidR="00A56829" w:rsidRPr="00A56829">
        <w:rPr>
          <w:vertAlign w:val="superscript"/>
        </w:rPr>
        <w:t>11,</w:t>
      </w:r>
      <w:r w:rsidR="00A56829">
        <w:rPr>
          <w:vertAlign w:val="superscript"/>
        </w:rPr>
        <w:t xml:space="preserve"> </w:t>
      </w:r>
      <w:r w:rsidR="00A56829" w:rsidRPr="00A56829">
        <w:rPr>
          <w:vertAlign w:val="superscript"/>
        </w:rPr>
        <w:t>26-28</w:t>
      </w:r>
    </w:p>
    <w:p w:rsidR="00F71E8E" w:rsidRDefault="00F71E8E" w:rsidP="00AD6B09">
      <w:pPr>
        <w:spacing w:after="0" w:line="480" w:lineRule="auto"/>
        <w:jc w:val="both"/>
      </w:pPr>
    </w:p>
    <w:p w:rsidR="00F71E8E" w:rsidRDefault="00F71E8E" w:rsidP="00F71E8E">
      <w:pPr>
        <w:spacing w:after="0" w:line="480" w:lineRule="auto"/>
        <w:jc w:val="both"/>
      </w:pPr>
      <w:r>
        <w:t xml:space="preserve">Secondary outcomes were: </w:t>
      </w:r>
      <w:r w:rsidR="002C372D">
        <w:t>The proportion of influenza-</w:t>
      </w:r>
      <w:r w:rsidR="005B06E0">
        <w:t xml:space="preserve">infected </w:t>
      </w:r>
      <w:r w:rsidR="002C372D">
        <w:t xml:space="preserve">(PCR positive) </w:t>
      </w:r>
      <w:r w:rsidR="005B06E0">
        <w:t>patients identified</w:t>
      </w:r>
      <w:r w:rsidR="002C372D">
        <w:t xml:space="preserve"> during hospitalisation</w:t>
      </w:r>
      <w:r w:rsidR="005B06E0">
        <w:t>, turnaround time for respiratory virus testing, p</w:t>
      </w:r>
      <w:r w:rsidR="00773657">
        <w:t>roportion of all antiviral</w:t>
      </w:r>
      <w:r>
        <w:t xml:space="preserve"> use occurring i</w:t>
      </w:r>
      <w:r w:rsidR="005B06E0">
        <w:t>n</w:t>
      </w:r>
      <w:r w:rsidR="00773657">
        <w:t xml:space="preserve"> influenza-infected patients</w:t>
      </w:r>
      <w:r w:rsidR="005B06E0">
        <w:t>, t</w:t>
      </w:r>
      <w:r w:rsidR="00773657">
        <w:t>ime to antiviral</w:t>
      </w:r>
      <w:r>
        <w:t xml:space="preserve"> commenceme</w:t>
      </w:r>
      <w:r w:rsidR="00773657">
        <w:t xml:space="preserve">nt, </w:t>
      </w:r>
      <w:r w:rsidR="005B06E0">
        <w:t>d</w:t>
      </w:r>
      <w:r w:rsidR="00773657">
        <w:t>uration of antiviral</w:t>
      </w:r>
      <w:r>
        <w:t xml:space="preserve"> use </w:t>
      </w:r>
      <w:r w:rsidR="00773657">
        <w:t xml:space="preserve">in influenza-infected </w:t>
      </w:r>
      <w:r w:rsidR="005B06E0">
        <w:t>patients, d</w:t>
      </w:r>
      <w:r>
        <w:t xml:space="preserve">uration of </w:t>
      </w:r>
      <w:r w:rsidR="00773657">
        <w:t xml:space="preserve">antiviral </w:t>
      </w:r>
      <w:r>
        <w:t xml:space="preserve">use </w:t>
      </w:r>
      <w:r w:rsidR="005B06E0">
        <w:t xml:space="preserve">in influenza </w:t>
      </w:r>
      <w:r w:rsidR="00773657">
        <w:t xml:space="preserve">uninfected </w:t>
      </w:r>
      <w:r w:rsidR="005B06E0">
        <w:t xml:space="preserve"> patients, p</w:t>
      </w:r>
      <w:r>
        <w:t>roportion of pati</w:t>
      </w:r>
      <w:r w:rsidR="005B06E0">
        <w:t>ents treated with antibiotics, p</w:t>
      </w:r>
      <w:r>
        <w:t xml:space="preserve">roportion of patients treated with single doses or brief courses </w:t>
      </w:r>
      <w:r w:rsidR="003230B4">
        <w:t xml:space="preserve">(less than </w:t>
      </w:r>
      <w:r w:rsidR="00461417">
        <w:t xml:space="preserve">24 hours) </w:t>
      </w:r>
      <w:r w:rsidR="005B06E0">
        <w:t>of antibiotics, duration of antibiotic use,  p</w:t>
      </w:r>
      <w:r>
        <w:t>roportion of pat</w:t>
      </w:r>
      <w:r w:rsidR="005B06E0">
        <w:t>ients isolated in a side room, d</w:t>
      </w:r>
      <w:r>
        <w:t>urat</w:t>
      </w:r>
      <w:r w:rsidR="005B06E0">
        <w:t>ion of isolation facility use, p</w:t>
      </w:r>
      <w:r>
        <w:t>roportion o</w:t>
      </w:r>
      <w:r w:rsidR="00773657">
        <w:t>f influenza-</w:t>
      </w:r>
      <w:r w:rsidR="005F371F">
        <w:t>infected patients isolated, t</w:t>
      </w:r>
      <w:r>
        <w:t xml:space="preserve">ime </w:t>
      </w:r>
      <w:r w:rsidR="005F371F">
        <w:t>to isolation for</w:t>
      </w:r>
      <w:r>
        <w:t xml:space="preserve"> influenza</w:t>
      </w:r>
      <w:r w:rsidR="00773657">
        <w:t>-</w:t>
      </w:r>
      <w:r w:rsidR="005F371F">
        <w:t>infected patients, t</w:t>
      </w:r>
      <w:r>
        <w:t xml:space="preserve">ime from admission to de-isolation of influenza negative </w:t>
      </w:r>
      <w:r w:rsidR="005F371F">
        <w:t>patients, d</w:t>
      </w:r>
      <w:r>
        <w:t>ur</w:t>
      </w:r>
      <w:r w:rsidR="00973849">
        <w:t xml:space="preserve">ation of hospitalisation, </w:t>
      </w:r>
      <w:r w:rsidR="005F371F">
        <w:t>t</w:t>
      </w:r>
      <w:r>
        <w:t xml:space="preserve">ime </w:t>
      </w:r>
      <w:r w:rsidR="005F371F">
        <w:t>on supplementary oxygen</w:t>
      </w:r>
      <w:r w:rsidR="00170040">
        <w:t xml:space="preserve">, time to </w:t>
      </w:r>
      <w:r w:rsidR="00BD4A53">
        <w:t xml:space="preserve">clinical </w:t>
      </w:r>
      <w:r w:rsidR="007C191D">
        <w:t>improvement</w:t>
      </w:r>
      <w:r w:rsidR="00E41340">
        <w:t>*</w:t>
      </w:r>
      <w:r w:rsidR="007C191D">
        <w:t xml:space="preserve">, </w:t>
      </w:r>
      <w:r w:rsidR="00773657">
        <w:t xml:space="preserve">median </w:t>
      </w:r>
      <w:r w:rsidR="00BD4A53">
        <w:t>hospital recovery score (HRS) at day 4 and 7</w:t>
      </w:r>
      <w:r w:rsidR="00E41340">
        <w:t xml:space="preserve">**, </w:t>
      </w:r>
      <w:r w:rsidR="005F371F">
        <w:t>p</w:t>
      </w:r>
      <w:r>
        <w:t>roportion of patie</w:t>
      </w:r>
      <w:r w:rsidR="005F371F">
        <w:t xml:space="preserve">nts </w:t>
      </w:r>
      <w:r w:rsidR="00170040" w:rsidRPr="00A56829">
        <w:t>requiring</w:t>
      </w:r>
      <w:r w:rsidR="0086659A" w:rsidRPr="00A56829">
        <w:t xml:space="preserve"> intensive care unit </w:t>
      </w:r>
      <w:r w:rsidR="0086659A" w:rsidRPr="00A56829">
        <w:lastRenderedPageBreak/>
        <w:t>(</w:t>
      </w:r>
      <w:r w:rsidR="005F371F" w:rsidRPr="00A56829">
        <w:t>ICU</w:t>
      </w:r>
      <w:r w:rsidR="0086659A" w:rsidRPr="00A56829">
        <w:t>)</w:t>
      </w:r>
      <w:r w:rsidR="005F371F" w:rsidRPr="00A56829">
        <w:t xml:space="preserve"> or </w:t>
      </w:r>
      <w:r w:rsidR="0086659A" w:rsidRPr="00A56829">
        <w:t>high dependency unit (</w:t>
      </w:r>
      <w:r w:rsidR="005F371F" w:rsidRPr="00A56829">
        <w:t>HDU</w:t>
      </w:r>
      <w:r w:rsidR="0086659A" w:rsidRPr="00A56829">
        <w:t>)</w:t>
      </w:r>
      <w:r w:rsidR="005F371F" w:rsidRPr="00A56829">
        <w:t xml:space="preserve"> admission</w:t>
      </w:r>
      <w:r w:rsidR="005F371F">
        <w:t>, p</w:t>
      </w:r>
      <w:r>
        <w:t>roportion re-presenting t</w:t>
      </w:r>
      <w:r w:rsidR="005F371F">
        <w:t>o hospital within 30 days , p</w:t>
      </w:r>
      <w:r>
        <w:t>roportion readmitt</w:t>
      </w:r>
      <w:r w:rsidR="005F371F">
        <w:t>ed to hospital within 30 days, in-</w:t>
      </w:r>
      <w:r>
        <w:t>hos</w:t>
      </w:r>
      <w:r w:rsidR="00BD4A53">
        <w:t>pital and</w:t>
      </w:r>
      <w:r w:rsidR="005F371F">
        <w:t xml:space="preserve"> 30 day mortality. </w:t>
      </w:r>
    </w:p>
    <w:p w:rsidR="00F71E8E" w:rsidRDefault="00F71E8E" w:rsidP="00F71E8E">
      <w:pPr>
        <w:spacing w:after="0" w:line="480" w:lineRule="auto"/>
        <w:jc w:val="both"/>
      </w:pPr>
    </w:p>
    <w:p w:rsidR="00F71E8E" w:rsidRDefault="007C191D" w:rsidP="00F71E8E">
      <w:pPr>
        <w:spacing w:after="0" w:line="480" w:lineRule="auto"/>
        <w:jc w:val="both"/>
      </w:pPr>
      <w:r>
        <w:t>All outcomes were</w:t>
      </w:r>
      <w:r w:rsidR="00F71E8E">
        <w:t xml:space="preserve"> measured for the duration of hospitalisation</w:t>
      </w:r>
      <w:r w:rsidR="00170040">
        <w:t xml:space="preserve"> or up to 30 days (whichever was </w:t>
      </w:r>
      <w:r w:rsidR="00F71E8E">
        <w:t xml:space="preserve">shortest) unless specified otherwise and </w:t>
      </w:r>
      <w:r>
        <w:t xml:space="preserve">the </w:t>
      </w:r>
      <w:r w:rsidR="00BD4A53">
        <w:t xml:space="preserve">duration of antimicrobials includes </w:t>
      </w:r>
      <w:r w:rsidR="00F71E8E">
        <w:t>medication (antibio</w:t>
      </w:r>
      <w:r w:rsidR="00773657">
        <w:t>tics and antivirals</w:t>
      </w:r>
      <w:r>
        <w:t>) that patients were</w:t>
      </w:r>
      <w:r w:rsidR="00F71E8E">
        <w:t xml:space="preserve"> discharged home with. </w:t>
      </w:r>
    </w:p>
    <w:p w:rsidR="00764D4B" w:rsidRDefault="00764D4B" w:rsidP="00F71E8E">
      <w:pPr>
        <w:spacing w:after="0" w:line="480" w:lineRule="auto"/>
        <w:jc w:val="both"/>
      </w:pPr>
    </w:p>
    <w:p w:rsidR="00E41340" w:rsidRPr="0084461E" w:rsidRDefault="00E41340" w:rsidP="00F71E8E">
      <w:pPr>
        <w:spacing w:after="0" w:line="480" w:lineRule="auto"/>
        <w:jc w:val="both"/>
        <w:rPr>
          <w:rFonts w:cstheme="minorHAnsi"/>
        </w:rPr>
      </w:pPr>
      <w:r>
        <w:t>*</w:t>
      </w:r>
      <w:r w:rsidR="00773657">
        <w:t xml:space="preserve">The outcome measure </w:t>
      </w:r>
      <w:bookmarkStart w:id="1" w:name="_GoBack"/>
      <w:r w:rsidR="00773657" w:rsidRPr="0084461E">
        <w:t>t</w:t>
      </w:r>
      <w:r w:rsidR="007C191D" w:rsidRPr="0084461E">
        <w:t>ime to clinical s</w:t>
      </w:r>
      <w:r w:rsidR="00764D4B" w:rsidRPr="0084461E">
        <w:t xml:space="preserve">tability </w:t>
      </w:r>
      <w:r w:rsidR="007C191D" w:rsidRPr="0084461E">
        <w:t>(</w:t>
      </w:r>
      <w:r w:rsidR="00764D4B" w:rsidRPr="0084461E">
        <w:t xml:space="preserve">definition in the </w:t>
      </w:r>
      <w:r w:rsidR="007C191D" w:rsidRPr="0084461E">
        <w:t xml:space="preserve">published </w:t>
      </w:r>
      <w:r w:rsidR="00764D4B" w:rsidRPr="0084461E">
        <w:t>protocol</w:t>
      </w:r>
      <w:r w:rsidR="007C191D" w:rsidRPr="0084461E">
        <w:t>)</w:t>
      </w:r>
      <w:r w:rsidR="00764D4B" w:rsidRPr="0084461E">
        <w:t xml:space="preserve"> </w:t>
      </w:r>
      <w:r w:rsidR="007C191D" w:rsidRPr="0084461E">
        <w:t xml:space="preserve">was </w:t>
      </w:r>
      <w:r w:rsidR="00C93994" w:rsidRPr="0084461E">
        <w:t xml:space="preserve">subsequently </w:t>
      </w:r>
      <w:r w:rsidR="007C191D" w:rsidRPr="0084461E">
        <w:t xml:space="preserve">changed </w:t>
      </w:r>
      <w:r w:rsidR="00764D4B" w:rsidRPr="0084461E">
        <w:t xml:space="preserve">to </w:t>
      </w:r>
      <w:r w:rsidR="007C191D" w:rsidRPr="0084461E">
        <w:t>time to clinical improvement</w:t>
      </w:r>
      <w:r w:rsidR="00C93994" w:rsidRPr="0084461E">
        <w:t xml:space="preserve"> (TCCI)</w:t>
      </w:r>
      <w:r w:rsidR="007C191D" w:rsidRPr="0084461E">
        <w:t xml:space="preserve">, </w:t>
      </w:r>
      <w:r w:rsidR="002C372D" w:rsidRPr="0084461E">
        <w:rPr>
          <w:rFonts w:cstheme="minorHAnsi"/>
        </w:rPr>
        <w:t>a recently developed</w:t>
      </w:r>
      <w:r w:rsidR="00764D4B" w:rsidRPr="0084461E">
        <w:rPr>
          <w:rFonts w:cstheme="minorHAnsi"/>
        </w:rPr>
        <w:t xml:space="preserve"> outcome measure for tri</w:t>
      </w:r>
      <w:r w:rsidR="00773657" w:rsidRPr="0084461E">
        <w:rPr>
          <w:rFonts w:cstheme="minorHAnsi"/>
        </w:rPr>
        <w:t xml:space="preserve">als of </w:t>
      </w:r>
      <w:r w:rsidR="002C372D" w:rsidRPr="0084461E">
        <w:rPr>
          <w:rFonts w:cstheme="minorHAnsi"/>
        </w:rPr>
        <w:t xml:space="preserve">influenza </w:t>
      </w:r>
      <w:r w:rsidR="00773657" w:rsidRPr="0084461E">
        <w:rPr>
          <w:rFonts w:cstheme="minorHAnsi"/>
        </w:rPr>
        <w:t>antivirals</w:t>
      </w:r>
      <w:r w:rsidR="00C93994" w:rsidRPr="0084461E">
        <w:rPr>
          <w:rFonts w:cstheme="minorHAnsi"/>
        </w:rPr>
        <w:t>. Full details and reference</w:t>
      </w:r>
      <w:r w:rsidR="002B1C7A" w:rsidRPr="0084461E">
        <w:rPr>
          <w:rFonts w:cstheme="minorHAnsi"/>
        </w:rPr>
        <w:t>s</w:t>
      </w:r>
      <w:r w:rsidR="00C93994" w:rsidRPr="0084461E">
        <w:rPr>
          <w:rFonts w:cstheme="minorHAnsi"/>
        </w:rPr>
        <w:t xml:space="preserve"> for TCCI are provided in the appendix</w:t>
      </w:r>
      <w:r w:rsidR="001D62B2" w:rsidRPr="0084461E">
        <w:rPr>
          <w:rFonts w:cstheme="minorHAnsi"/>
        </w:rPr>
        <w:t xml:space="preserve"> p2</w:t>
      </w:r>
      <w:r w:rsidR="002B1C7A" w:rsidRPr="0084461E">
        <w:rPr>
          <w:rFonts w:cstheme="minorHAnsi"/>
        </w:rPr>
        <w:t>.</w:t>
      </w:r>
    </w:p>
    <w:p w:rsidR="002C372D" w:rsidRPr="0084461E" w:rsidRDefault="002C372D" w:rsidP="00F71E8E">
      <w:pPr>
        <w:spacing w:after="0" w:line="480" w:lineRule="auto"/>
        <w:jc w:val="both"/>
        <w:rPr>
          <w:rFonts w:cstheme="minorHAnsi"/>
        </w:rPr>
      </w:pPr>
    </w:p>
    <w:p w:rsidR="00764D4B" w:rsidRPr="0084461E" w:rsidRDefault="00E41340" w:rsidP="00F71E8E">
      <w:pPr>
        <w:spacing w:after="0" w:line="480" w:lineRule="auto"/>
        <w:jc w:val="both"/>
      </w:pPr>
      <w:r w:rsidRPr="0084461E">
        <w:rPr>
          <w:rFonts w:cstheme="minorHAnsi"/>
        </w:rPr>
        <w:t xml:space="preserve">** Hospital Recovery Scale (HRS) is a 6 point ordinal scale </w:t>
      </w:r>
      <w:r w:rsidR="002C372D" w:rsidRPr="0084461E">
        <w:rPr>
          <w:rFonts w:cstheme="minorHAnsi"/>
        </w:rPr>
        <w:t xml:space="preserve">developed </w:t>
      </w:r>
      <w:r w:rsidRPr="0084461E">
        <w:rPr>
          <w:rFonts w:cstheme="minorHAnsi"/>
        </w:rPr>
        <w:t>as an outcome measure for trials of</w:t>
      </w:r>
      <w:r w:rsidR="007C4BEE" w:rsidRPr="0084461E">
        <w:rPr>
          <w:rFonts w:cstheme="minorHAnsi"/>
        </w:rPr>
        <w:t xml:space="preserve"> influe</w:t>
      </w:r>
      <w:r w:rsidR="002B1C7A" w:rsidRPr="0084461E">
        <w:rPr>
          <w:rFonts w:cstheme="minorHAnsi"/>
        </w:rPr>
        <w:t>nza therapeutics. F</w:t>
      </w:r>
      <w:r w:rsidRPr="0084461E">
        <w:rPr>
          <w:rFonts w:cstheme="minorHAnsi"/>
        </w:rPr>
        <w:t xml:space="preserve">ull details </w:t>
      </w:r>
      <w:r w:rsidR="00C93994" w:rsidRPr="0084461E">
        <w:rPr>
          <w:rFonts w:cstheme="minorHAnsi"/>
        </w:rPr>
        <w:t xml:space="preserve">and references </w:t>
      </w:r>
      <w:r w:rsidR="002B1C7A" w:rsidRPr="0084461E">
        <w:rPr>
          <w:rFonts w:cstheme="minorHAnsi"/>
        </w:rPr>
        <w:t xml:space="preserve">for HRS </w:t>
      </w:r>
      <w:r w:rsidR="00773657" w:rsidRPr="0084461E">
        <w:rPr>
          <w:rFonts w:cstheme="minorHAnsi"/>
        </w:rPr>
        <w:t>are provided</w:t>
      </w:r>
      <w:r w:rsidR="003A08D7" w:rsidRPr="0084461E">
        <w:rPr>
          <w:rFonts w:cstheme="minorHAnsi"/>
        </w:rPr>
        <w:t xml:space="preserve"> in </w:t>
      </w:r>
      <w:r w:rsidR="00773657" w:rsidRPr="0084461E">
        <w:rPr>
          <w:rFonts w:cstheme="minorHAnsi"/>
        </w:rPr>
        <w:t xml:space="preserve">the </w:t>
      </w:r>
      <w:r w:rsidR="003A08D7" w:rsidRPr="0084461E">
        <w:rPr>
          <w:rFonts w:cstheme="minorHAnsi"/>
        </w:rPr>
        <w:t>appendix</w:t>
      </w:r>
      <w:r w:rsidR="001D62B2" w:rsidRPr="0084461E">
        <w:rPr>
          <w:rFonts w:cstheme="minorHAnsi"/>
        </w:rPr>
        <w:t xml:space="preserve"> p2</w:t>
      </w:r>
      <w:r w:rsidRPr="0084461E">
        <w:rPr>
          <w:rFonts w:cstheme="minorHAnsi"/>
        </w:rPr>
        <w:t xml:space="preserve">. </w:t>
      </w:r>
    </w:p>
    <w:bookmarkEnd w:id="1"/>
    <w:p w:rsidR="006F5E09" w:rsidRPr="00D03127" w:rsidRDefault="006F5E09" w:rsidP="006F5E09">
      <w:pPr>
        <w:spacing w:after="0" w:line="480" w:lineRule="auto"/>
        <w:jc w:val="both"/>
      </w:pPr>
    </w:p>
    <w:p w:rsidR="00AF2144" w:rsidRPr="00D03127" w:rsidRDefault="0018178F" w:rsidP="0018178F">
      <w:pPr>
        <w:jc w:val="both"/>
        <w:rPr>
          <w:b/>
          <w:bCs/>
          <w:sz w:val="24"/>
          <w:szCs w:val="24"/>
        </w:rPr>
      </w:pPr>
      <w:r w:rsidRPr="00D03127">
        <w:rPr>
          <w:b/>
          <w:bCs/>
          <w:sz w:val="24"/>
          <w:szCs w:val="24"/>
        </w:rPr>
        <w:t>Statistical analysis</w:t>
      </w:r>
    </w:p>
    <w:p w:rsidR="00D56DE9" w:rsidRPr="00D03127" w:rsidRDefault="006811DF" w:rsidP="006A7C6B">
      <w:pPr>
        <w:spacing w:after="0" w:line="480" w:lineRule="auto"/>
        <w:jc w:val="both"/>
      </w:pPr>
      <w:r w:rsidRPr="00D03127">
        <w:t xml:space="preserve">Sample size was based upon the primary outcome measure of </w:t>
      </w:r>
      <w:r w:rsidR="00D56DE9" w:rsidRPr="00D03127">
        <w:t xml:space="preserve">the </w:t>
      </w:r>
      <w:r w:rsidRPr="00D03127">
        <w:t xml:space="preserve">proportion of </w:t>
      </w:r>
      <w:r w:rsidR="003F58F0">
        <w:t xml:space="preserve">influenza positive </w:t>
      </w:r>
      <w:r w:rsidRPr="00D03127">
        <w:t>patients treated with</w:t>
      </w:r>
      <w:r w:rsidR="003F58F0">
        <w:t xml:space="preserve"> </w:t>
      </w:r>
      <w:r w:rsidR="00BD6EB0">
        <w:t xml:space="preserve">NAIs </w:t>
      </w:r>
      <w:r w:rsidR="00973849">
        <w:t xml:space="preserve">(within 5 days of hospital admission). </w:t>
      </w:r>
      <w:r w:rsidR="00F71E8E">
        <w:t>The study initially aimed to</w:t>
      </w:r>
      <w:r w:rsidR="00F71E8E" w:rsidRPr="00F71E8E">
        <w:t xml:space="preserve"> recruit a tot</w:t>
      </w:r>
      <w:r w:rsidR="00973849">
        <w:t xml:space="preserve">al of </w:t>
      </w:r>
      <w:r w:rsidR="00BD6EB0">
        <w:t xml:space="preserve">up to </w:t>
      </w:r>
      <w:r w:rsidR="00973849">
        <w:t>840 patient-participants (</w:t>
      </w:r>
      <w:r w:rsidR="00F71E8E">
        <w:t>420 patients per group</w:t>
      </w:r>
      <w:r w:rsidR="00973849">
        <w:t>)</w:t>
      </w:r>
      <w:r w:rsidR="00F71E8E">
        <w:t xml:space="preserve"> over up to 3 influenza season</w:t>
      </w:r>
      <w:r w:rsidR="00973849">
        <w:t>s</w:t>
      </w:r>
      <w:r w:rsidR="00F71E8E">
        <w:t>, on</w:t>
      </w:r>
      <w:r w:rsidR="00F71E8E" w:rsidRPr="00F71E8E">
        <w:t xml:space="preserve"> the </w:t>
      </w:r>
      <w:r w:rsidR="00F71E8E" w:rsidRPr="00A56829">
        <w:t>conservative assumption of a 25% positivity rate for influenza during influenza seasons</w:t>
      </w:r>
      <w:r w:rsidR="009D445C" w:rsidRPr="00A56829">
        <w:t xml:space="preserve"> (based on our previous locally conducted studies over several seasons), </w:t>
      </w:r>
      <w:r w:rsidR="00FC7827" w:rsidRPr="00A56829">
        <w:t xml:space="preserve">i.e. </w:t>
      </w:r>
      <w:r w:rsidR="00FC7827">
        <w:t>~</w:t>
      </w:r>
      <w:r w:rsidR="00F71E8E" w:rsidRPr="00F71E8E">
        <w:t xml:space="preserve">100 influenza </w:t>
      </w:r>
      <w:r w:rsidR="009D445C">
        <w:t>positive patients in each group. T</w:t>
      </w:r>
      <w:r w:rsidR="00F71E8E" w:rsidRPr="00F71E8E">
        <w:t>he</w:t>
      </w:r>
      <w:r w:rsidR="009D445C">
        <w:t>se</w:t>
      </w:r>
      <w:r w:rsidR="00F71E8E" w:rsidRPr="00F71E8E">
        <w:t xml:space="preserve"> group sizes would give a 90% power at a 0.05 significance level to detect a difference of 20% in neuraminidase inhibitor use</w:t>
      </w:r>
      <w:r w:rsidR="003A08D7">
        <w:t xml:space="preserve"> for influenza-infected</w:t>
      </w:r>
      <w:r w:rsidR="00F71E8E">
        <w:t xml:space="preserve"> patients </w:t>
      </w:r>
      <w:r w:rsidR="00F71E8E" w:rsidRPr="00F71E8E">
        <w:t>(</w:t>
      </w:r>
      <w:r w:rsidR="00F71E8E">
        <w:t>from 65% to 85%)</w:t>
      </w:r>
      <w:r w:rsidR="00864E84">
        <w:t xml:space="preserve"> [8</w:t>
      </w:r>
      <w:r w:rsidR="003230B4">
        <w:t>]</w:t>
      </w:r>
      <w:r w:rsidR="00F71E8E">
        <w:t xml:space="preserve">. </w:t>
      </w:r>
      <w:r w:rsidR="000C1CBA">
        <w:t>As</w:t>
      </w:r>
      <w:r w:rsidR="00F71E8E">
        <w:t xml:space="preserve"> 100 patients </w:t>
      </w:r>
      <w:r w:rsidR="000C1CBA">
        <w:t xml:space="preserve">or greater </w:t>
      </w:r>
      <w:r w:rsidR="00F71E8E">
        <w:t xml:space="preserve">with </w:t>
      </w:r>
      <w:r w:rsidR="00FC7827">
        <w:t xml:space="preserve">confirmed </w:t>
      </w:r>
      <w:r w:rsidR="00F71E8E">
        <w:t xml:space="preserve">influenza were recruited </w:t>
      </w:r>
      <w:r w:rsidR="000C1CBA">
        <w:t xml:space="preserve">to each group </w:t>
      </w:r>
      <w:r w:rsidR="00F71E8E">
        <w:t>by the end of the second season the</w:t>
      </w:r>
      <w:r w:rsidR="00FC7827">
        <w:t xml:space="preserve"> trial was stopped at this point</w:t>
      </w:r>
      <w:r w:rsidR="000C1CBA">
        <w:t xml:space="preserve"> having recruited 613</w:t>
      </w:r>
      <w:r w:rsidR="00F71E8E">
        <w:t xml:space="preserve"> patients</w:t>
      </w:r>
      <w:r w:rsidR="000C1CBA">
        <w:t xml:space="preserve"> in total</w:t>
      </w:r>
      <w:r w:rsidR="00FC7827">
        <w:t xml:space="preserve">. </w:t>
      </w:r>
    </w:p>
    <w:p w:rsidR="00D56DE9" w:rsidRPr="00D03127" w:rsidRDefault="00D56DE9" w:rsidP="00D56DE9">
      <w:pPr>
        <w:spacing w:after="0" w:line="480" w:lineRule="auto"/>
        <w:jc w:val="both"/>
      </w:pPr>
    </w:p>
    <w:p w:rsidR="00D56DE9" w:rsidRPr="00FC7827" w:rsidRDefault="00D56DE9" w:rsidP="00A4355F">
      <w:pPr>
        <w:spacing w:after="0" w:line="480" w:lineRule="auto"/>
        <w:jc w:val="both"/>
      </w:pPr>
      <w:r w:rsidRPr="00A56829">
        <w:lastRenderedPageBreak/>
        <w:t>Analys</w:t>
      </w:r>
      <w:r w:rsidR="00135088" w:rsidRPr="00A56829">
        <w:t>i</w:t>
      </w:r>
      <w:r w:rsidRPr="00A56829">
        <w:t>s w</w:t>
      </w:r>
      <w:r w:rsidR="00135088" w:rsidRPr="00A56829">
        <w:t>as</w:t>
      </w:r>
      <w:r w:rsidRPr="00A56829">
        <w:t xml:space="preserve"> by intention</w:t>
      </w:r>
      <w:r w:rsidR="003B00DE" w:rsidRPr="00A56829">
        <w:t>-</w:t>
      </w:r>
      <w:r w:rsidRPr="00A56829">
        <w:t>to</w:t>
      </w:r>
      <w:r w:rsidR="00D47897" w:rsidRPr="00A56829">
        <w:t>-</w:t>
      </w:r>
      <w:r w:rsidRPr="00A56829">
        <w:t>treat</w:t>
      </w:r>
      <w:r w:rsidR="005923B0" w:rsidRPr="00A56829">
        <w:t xml:space="preserve"> and </w:t>
      </w:r>
      <w:r w:rsidR="00170040" w:rsidRPr="00A56829">
        <w:t>the frame work was</w:t>
      </w:r>
      <w:r w:rsidR="00BD6EB0" w:rsidRPr="00A56829">
        <w:t xml:space="preserve"> superiority. Analysis was</w:t>
      </w:r>
      <w:r w:rsidRPr="00A56829">
        <w:t xml:space="preserve"> </w:t>
      </w:r>
      <w:r w:rsidR="00BD6EB0" w:rsidRPr="00A56829">
        <w:t>perfor</w:t>
      </w:r>
      <w:r w:rsidR="00862264" w:rsidRPr="00A56829">
        <w:t>med by a</w:t>
      </w:r>
      <w:r w:rsidR="00474A82" w:rsidRPr="00A56829">
        <w:t xml:space="preserve"> </w:t>
      </w:r>
      <w:r w:rsidR="00862264" w:rsidRPr="00A56829">
        <w:t xml:space="preserve">dedicated </w:t>
      </w:r>
      <w:r w:rsidR="00474A82" w:rsidRPr="00A56829">
        <w:t>statistician</w:t>
      </w:r>
      <w:r w:rsidR="00BD6EB0" w:rsidRPr="00A56829">
        <w:t xml:space="preserve"> from the University of Southampton </w:t>
      </w:r>
      <w:r w:rsidR="00474A82" w:rsidRPr="00A56829">
        <w:t xml:space="preserve">who was blinded to group allocation. </w:t>
      </w:r>
      <w:r w:rsidR="00862264" w:rsidRPr="00A56829">
        <w:t>Analysis</w:t>
      </w:r>
      <w:r w:rsidR="00BD6EB0" w:rsidRPr="00A56829">
        <w:t xml:space="preserve"> was conducted using Prism version 7</w:t>
      </w:r>
      <w:r w:rsidR="005E7700" w:rsidRPr="00A56829">
        <w:t>·</w:t>
      </w:r>
      <w:r w:rsidRPr="00A56829">
        <w:t>0 (GraphPad Software Inc; La Jolla, C</w:t>
      </w:r>
      <w:r w:rsidR="00810CB6" w:rsidRPr="00A56829">
        <w:t>alifornia) and Stata version 16</w:t>
      </w:r>
      <w:r w:rsidR="005E7700" w:rsidRPr="00A56829">
        <w:t>·</w:t>
      </w:r>
      <w:r w:rsidR="00810CB6" w:rsidRPr="00A56829">
        <w:t>0</w:t>
      </w:r>
      <w:r w:rsidRPr="00A56829">
        <w:t xml:space="preserve"> (StataCorp, College Station, Texas). </w:t>
      </w:r>
      <w:r w:rsidR="00BD6EB0" w:rsidRPr="00A56829">
        <w:t>Data for the primary outcome was complete and missing d</w:t>
      </w:r>
      <w:r w:rsidR="009D154E" w:rsidRPr="00A56829">
        <w:t>ata was minimal (&lt;1%) overall</w:t>
      </w:r>
      <w:r w:rsidR="00511115" w:rsidRPr="00A56829">
        <w:t>. The primary outcome (proportion of influenza infected patients treated with NAIs) was measured only in influenza</w:t>
      </w:r>
      <w:r w:rsidR="00810CB6" w:rsidRPr="00A56829">
        <w:t>-infected patients</w:t>
      </w:r>
      <w:r w:rsidR="00511115" w:rsidRPr="00A56829">
        <w:t>, i</w:t>
      </w:r>
      <w:r w:rsidR="00810CB6" w:rsidRPr="00A56829">
        <w:t>.</w:t>
      </w:r>
      <w:r w:rsidR="00511115" w:rsidRPr="00A56829">
        <w:t>e</w:t>
      </w:r>
      <w:r w:rsidR="00810CB6" w:rsidRPr="00A56829">
        <w:t>.</w:t>
      </w:r>
      <w:r w:rsidR="00511115" w:rsidRPr="00A56829">
        <w:t xml:space="preserve"> the intention-to-treat </w:t>
      </w:r>
      <w:r w:rsidR="003A08D7" w:rsidRPr="00A56829">
        <w:t>influenza-</w:t>
      </w:r>
      <w:r w:rsidR="00511115" w:rsidRPr="00A56829">
        <w:t xml:space="preserve">infected (ITTI) population. Difference in proportions </w:t>
      </w:r>
      <w:r w:rsidR="00511115" w:rsidRPr="00511115">
        <w:t xml:space="preserve">and </w:t>
      </w:r>
      <w:r w:rsidR="0033196B">
        <w:t xml:space="preserve">unadjusted risk </w:t>
      </w:r>
      <w:r w:rsidR="00511115" w:rsidRPr="00547BB3">
        <w:t xml:space="preserve">ratios </w:t>
      </w:r>
      <w:r w:rsidR="0033196B">
        <w:t xml:space="preserve">(relative risk) </w:t>
      </w:r>
      <w:r w:rsidR="00511115" w:rsidRPr="00547BB3">
        <w:t>were</w:t>
      </w:r>
      <w:r w:rsidR="00511115">
        <w:t xml:space="preserve"> </w:t>
      </w:r>
      <w:r w:rsidR="00511115" w:rsidRPr="00511115">
        <w:t xml:space="preserve">used to compare the groups. </w:t>
      </w:r>
      <w:r w:rsidR="0033196B" w:rsidRPr="0033196B">
        <w:t>The pre-specified plan was to analyse antiviral use in a logistic regression</w:t>
      </w:r>
      <w:r w:rsidR="00E46468">
        <w:t xml:space="preserve"> model</w:t>
      </w:r>
      <w:r w:rsidR="0033196B" w:rsidRPr="0033196B">
        <w:t>; however, the model could not be fit</w:t>
      </w:r>
      <w:r w:rsidR="0033196B">
        <w:t>ted</w:t>
      </w:r>
      <w:r w:rsidR="0033196B" w:rsidRPr="0033196B">
        <w:t xml:space="preserve"> due to separation, at least partly as a result of only </w:t>
      </w:r>
      <w:r w:rsidR="0033196B">
        <w:t xml:space="preserve">one </w:t>
      </w:r>
      <w:r w:rsidR="0033196B" w:rsidRPr="0033196B">
        <w:t xml:space="preserve">person in the mPOCT not receiving antivirals. No further multivariable analyses were attempted given the strong signal. </w:t>
      </w:r>
      <w:r w:rsidR="00BD4A53">
        <w:t>S</w:t>
      </w:r>
      <w:r w:rsidR="00511115" w:rsidRPr="00511115">
        <w:t xml:space="preserve">econdary outcome measures </w:t>
      </w:r>
      <w:r w:rsidR="00511115">
        <w:t xml:space="preserve">were </w:t>
      </w:r>
      <w:r w:rsidR="00511115" w:rsidRPr="00511115">
        <w:t xml:space="preserve">measured both in </w:t>
      </w:r>
      <w:r w:rsidR="00810CB6">
        <w:t xml:space="preserve">all patients </w:t>
      </w:r>
      <w:r w:rsidR="00511115" w:rsidRPr="00511115">
        <w:t>(ITT population) and</w:t>
      </w:r>
      <w:r w:rsidR="00170040">
        <w:t xml:space="preserve"> also</w:t>
      </w:r>
      <w:r w:rsidR="003A08D7">
        <w:t xml:space="preserve"> in influenza-</w:t>
      </w:r>
      <w:r w:rsidR="00511115" w:rsidRPr="00511115">
        <w:t>infected (</w:t>
      </w:r>
      <w:r w:rsidR="00511115">
        <w:t xml:space="preserve">ie </w:t>
      </w:r>
      <w:r w:rsidR="00511115" w:rsidRPr="00511115">
        <w:t xml:space="preserve">the ITTI population). </w:t>
      </w:r>
      <w:r w:rsidRPr="00FC7827">
        <w:t xml:space="preserve">For secondary outcomes, the intervention and control groups were compared </w:t>
      </w:r>
      <w:r w:rsidR="00511115">
        <w:t xml:space="preserve">for </w:t>
      </w:r>
      <w:r w:rsidR="00511115" w:rsidRPr="00511115">
        <w:t>equality of</w:t>
      </w:r>
      <w:r w:rsidR="00511115">
        <w:t xml:space="preserve"> proportions for binary data and t-tests or </w:t>
      </w:r>
      <w:r w:rsidRPr="00FC7827">
        <w:t xml:space="preserve">Mann-Whitney U tests for continuous data (e.g. turnaround time), as appropriate; the choice between the latter two was based on the distribution of the observed data and the sample size. </w:t>
      </w:r>
      <w:r w:rsidR="005621A2" w:rsidRPr="00FC7827">
        <w:t>Where 95% confidence intervals</w:t>
      </w:r>
      <w:r w:rsidR="00810CB6">
        <w:t xml:space="preserve"> are presented, Stata version 16.0</w:t>
      </w:r>
      <w:r w:rsidR="005621A2" w:rsidRPr="00FC7827">
        <w:t xml:space="preserve"> defaults are used.</w:t>
      </w:r>
    </w:p>
    <w:p w:rsidR="00511115" w:rsidRPr="00D03127" w:rsidRDefault="00511115" w:rsidP="00511115">
      <w:pPr>
        <w:snapToGrid w:val="0"/>
        <w:spacing w:after="0" w:line="480" w:lineRule="auto"/>
        <w:jc w:val="both"/>
      </w:pPr>
    </w:p>
    <w:p w:rsidR="00F66C82" w:rsidRPr="00D03127" w:rsidRDefault="00C9278B" w:rsidP="00F96EC1">
      <w:pPr>
        <w:snapToGrid w:val="0"/>
        <w:spacing w:after="0" w:line="480" w:lineRule="auto"/>
        <w:jc w:val="both"/>
      </w:pPr>
      <w:r w:rsidRPr="00D03127">
        <w:t>This study wa</w:t>
      </w:r>
      <w:r w:rsidR="00E5002D" w:rsidRPr="00D03127">
        <w:t>s pro</w:t>
      </w:r>
      <w:r w:rsidR="00CA1850">
        <w:t>spectively registered</w:t>
      </w:r>
      <w:r w:rsidR="0080769F">
        <w:t xml:space="preserve"> with the </w:t>
      </w:r>
      <w:r w:rsidR="003F58F0" w:rsidRPr="003F58F0">
        <w:t>ISRCTN</w:t>
      </w:r>
      <w:r w:rsidR="00474463">
        <w:t xml:space="preserve"> </w:t>
      </w:r>
      <w:r w:rsidR="003F58F0" w:rsidRPr="003F58F0">
        <w:t>17197293</w:t>
      </w:r>
      <w:r w:rsidR="00474463">
        <w:t>,</w:t>
      </w:r>
      <w:r w:rsidR="0080769F">
        <w:t xml:space="preserve"> on the</w:t>
      </w:r>
      <w:r w:rsidR="003F58F0" w:rsidRPr="003F58F0">
        <w:t xml:space="preserve"> </w:t>
      </w:r>
      <w:r w:rsidR="0080769F">
        <w:t>13</w:t>
      </w:r>
      <w:r w:rsidR="0080769F" w:rsidRPr="0080769F">
        <w:rPr>
          <w:vertAlign w:val="superscript"/>
        </w:rPr>
        <w:t>th</w:t>
      </w:r>
      <w:r w:rsidR="0080769F">
        <w:t xml:space="preserve"> November 2017</w:t>
      </w:r>
      <w:r w:rsidRPr="00D03127">
        <w:t>.</w:t>
      </w:r>
    </w:p>
    <w:p w:rsidR="00F96EC1" w:rsidRPr="00D03127" w:rsidRDefault="00F96EC1" w:rsidP="00F96EC1">
      <w:pPr>
        <w:snapToGrid w:val="0"/>
        <w:spacing w:after="0" w:line="480" w:lineRule="auto"/>
        <w:jc w:val="both"/>
      </w:pPr>
    </w:p>
    <w:p w:rsidR="007D6B2B" w:rsidRPr="00D03127" w:rsidRDefault="007D6B2B" w:rsidP="00F96EC1">
      <w:pPr>
        <w:snapToGrid w:val="0"/>
        <w:spacing w:after="0" w:line="480" w:lineRule="auto"/>
        <w:jc w:val="both"/>
      </w:pPr>
      <w:r w:rsidRPr="00D03127">
        <w:rPr>
          <w:b/>
          <w:bCs/>
          <w:sz w:val="24"/>
          <w:szCs w:val="24"/>
        </w:rPr>
        <w:t>Role of funding source</w:t>
      </w:r>
    </w:p>
    <w:p w:rsidR="007D6B2B" w:rsidRDefault="007D6B2B" w:rsidP="002813F2">
      <w:pPr>
        <w:spacing w:after="0" w:line="480" w:lineRule="auto"/>
        <w:jc w:val="both"/>
      </w:pPr>
      <w:r w:rsidRPr="00D03127">
        <w:t xml:space="preserve">This study was funded by </w:t>
      </w:r>
      <w:r w:rsidR="003F58F0" w:rsidRPr="003F58F0">
        <w:t xml:space="preserve">the NIHR Post Doctoral Fellowship Programme </w:t>
      </w:r>
      <w:r w:rsidRPr="00D03127">
        <w:t xml:space="preserve">and was supported by the NIHR </w:t>
      </w:r>
      <w:r w:rsidR="0002047E">
        <w:t xml:space="preserve">Southampton </w:t>
      </w:r>
      <w:r w:rsidRPr="00D03127">
        <w:t xml:space="preserve">Respiratory Biomedical Research </w:t>
      </w:r>
      <w:r w:rsidR="003F58F0">
        <w:t xml:space="preserve">Centre and </w:t>
      </w:r>
      <w:r w:rsidRPr="00D03127">
        <w:t>the NIHR Clinical Research Network</w:t>
      </w:r>
      <w:r w:rsidR="003F58F0">
        <w:t>, Wessex</w:t>
      </w:r>
      <w:r w:rsidRPr="00D03127">
        <w:t xml:space="preserve">. </w:t>
      </w:r>
      <w:r w:rsidR="0080769F">
        <w:t>The molecular</w:t>
      </w:r>
      <w:r w:rsidR="00FF574C" w:rsidRPr="00D03127">
        <w:t xml:space="preserve"> analyser</w:t>
      </w:r>
      <w:r w:rsidR="00CC1D6B" w:rsidRPr="00D03127">
        <w:t>s were</w:t>
      </w:r>
      <w:r w:rsidR="00FF574C" w:rsidRPr="00D03127">
        <w:t xml:space="preserve"> leased and the test kits purchased independently from the UK distributer bioMérieux UK ltd. The manufactures of the molecular test platform</w:t>
      </w:r>
      <w:r w:rsidR="00E5002D" w:rsidRPr="00D03127">
        <w:t xml:space="preserve"> </w:t>
      </w:r>
      <w:r w:rsidR="0080769F">
        <w:t>(BioF</w:t>
      </w:r>
      <w:r w:rsidR="00E5002D" w:rsidRPr="00D03127">
        <w:t>ire</w:t>
      </w:r>
      <w:r w:rsidR="003230B4">
        <w:t xml:space="preserve"> diagnostics, a</w:t>
      </w:r>
      <w:r w:rsidR="003F58F0">
        <w:t xml:space="preserve"> </w:t>
      </w:r>
      <w:r w:rsidR="003F58F0" w:rsidRPr="00D03127">
        <w:t>bioMérieux</w:t>
      </w:r>
      <w:r w:rsidR="003F58F0">
        <w:t xml:space="preserve"> company</w:t>
      </w:r>
      <w:r w:rsidR="00E5002D" w:rsidRPr="00D03127">
        <w:t>, Salt Lake City, Utah</w:t>
      </w:r>
      <w:r w:rsidR="003F58F0">
        <w:t>, US</w:t>
      </w:r>
      <w:r w:rsidR="00FF574C" w:rsidRPr="00D03127">
        <w:t xml:space="preserve">) had no role in the study conception, design, data </w:t>
      </w:r>
      <w:r w:rsidR="00FF574C" w:rsidRPr="00D03127">
        <w:lastRenderedPageBreak/>
        <w:t>analysis or manuscript preparation.</w:t>
      </w:r>
      <w:r w:rsidR="002813F2" w:rsidRPr="00D03127">
        <w:t xml:space="preserve"> The corresponding author had full access to all of the data and the final responsibility to submit for publication.</w:t>
      </w:r>
    </w:p>
    <w:p w:rsidR="00DC4FE9" w:rsidRDefault="00DC4FE9" w:rsidP="002813F2">
      <w:pPr>
        <w:spacing w:after="0" w:line="480" w:lineRule="auto"/>
        <w:jc w:val="both"/>
      </w:pPr>
    </w:p>
    <w:p w:rsidR="00CE0089" w:rsidRPr="00D03127" w:rsidRDefault="0091644D" w:rsidP="00864E84">
      <w:pPr>
        <w:rPr>
          <w:b/>
          <w:bCs/>
          <w:sz w:val="32"/>
          <w:szCs w:val="32"/>
        </w:rPr>
      </w:pPr>
      <w:r w:rsidRPr="00D03127">
        <w:rPr>
          <w:b/>
          <w:bCs/>
          <w:sz w:val="32"/>
          <w:szCs w:val="32"/>
        </w:rPr>
        <w:t>Results</w:t>
      </w:r>
    </w:p>
    <w:p w:rsidR="005B06E0" w:rsidRDefault="005B06E0" w:rsidP="00864E84">
      <w:pPr>
        <w:spacing w:line="480" w:lineRule="auto"/>
        <w:jc w:val="both"/>
      </w:pPr>
      <w:r>
        <w:t>Between 12</w:t>
      </w:r>
      <w:r w:rsidRPr="002743D8">
        <w:rPr>
          <w:vertAlign w:val="superscript"/>
        </w:rPr>
        <w:t>th</w:t>
      </w:r>
      <w:r w:rsidRPr="002743D8">
        <w:t xml:space="preserve"> </w:t>
      </w:r>
      <w:r>
        <w:t xml:space="preserve">December </w:t>
      </w:r>
      <w:r w:rsidRPr="002743D8">
        <w:t>2017</w:t>
      </w:r>
      <w:r>
        <w:t xml:space="preserve"> and 3</w:t>
      </w:r>
      <w:r w:rsidRPr="000C1CBA">
        <w:rPr>
          <w:vertAlign w:val="superscript"/>
        </w:rPr>
        <w:t>rd</w:t>
      </w:r>
      <w:r>
        <w:t xml:space="preserve"> May</w:t>
      </w:r>
      <w:r>
        <w:rPr>
          <w:vertAlign w:val="superscript"/>
        </w:rPr>
        <w:t xml:space="preserve"> </w:t>
      </w:r>
      <w:r w:rsidRPr="002743D8">
        <w:t xml:space="preserve">2019, </w:t>
      </w:r>
      <w:r>
        <w:t>613</w:t>
      </w:r>
      <w:r w:rsidRPr="002743D8">
        <w:t xml:space="preserve"> patients were rand</w:t>
      </w:r>
      <w:r w:rsidR="00BD4A53">
        <w:t xml:space="preserve">omised during </w:t>
      </w:r>
      <w:r w:rsidR="00841582">
        <w:t xml:space="preserve">2 </w:t>
      </w:r>
      <w:r w:rsidR="00BD4A53">
        <w:t>influenza season</w:t>
      </w:r>
      <w:r w:rsidR="00841582">
        <w:t>s (2017/18 and 2018/19)</w:t>
      </w:r>
      <w:r w:rsidR="00BD4A53">
        <w:t xml:space="preserve">, </w:t>
      </w:r>
      <w:r w:rsidRPr="002743D8">
        <w:t>3</w:t>
      </w:r>
      <w:r>
        <w:t>07</w:t>
      </w:r>
      <w:r w:rsidRPr="002743D8">
        <w:t xml:space="preserve"> to </w:t>
      </w:r>
      <w:r w:rsidR="00BD4A53">
        <w:t xml:space="preserve">the </w:t>
      </w:r>
      <w:r w:rsidR="00DC4FE9">
        <w:t>m</w:t>
      </w:r>
      <w:r w:rsidRPr="002743D8">
        <w:t>POCT</w:t>
      </w:r>
      <w:r w:rsidR="00BD4A53">
        <w:t xml:space="preserve"> group</w:t>
      </w:r>
      <w:r w:rsidRPr="002743D8">
        <w:t xml:space="preserve"> </w:t>
      </w:r>
      <w:r>
        <w:t>and 306</w:t>
      </w:r>
      <w:r w:rsidRPr="002743D8">
        <w:t xml:space="preserve"> </w:t>
      </w:r>
      <w:r w:rsidR="00BD4A53">
        <w:t>to the control group</w:t>
      </w:r>
      <w:r w:rsidRPr="002743D8">
        <w:t xml:space="preserve">. </w:t>
      </w:r>
      <w:r w:rsidR="00841582" w:rsidRPr="00841582">
        <w:t xml:space="preserve">As 100 patients or greater with confirmed influenza were recruited to each group by the end of the second season, the trial was stopped at this point, having recruited 613 patients in total. </w:t>
      </w:r>
      <w:r>
        <w:t xml:space="preserve">All </w:t>
      </w:r>
      <w:r w:rsidR="00252B12">
        <w:t xml:space="preserve">patients </w:t>
      </w:r>
      <w:r>
        <w:t xml:space="preserve">were </w:t>
      </w:r>
      <w:r w:rsidRPr="002743D8">
        <w:t xml:space="preserve">analysed in the intention-to-treat </w:t>
      </w:r>
      <w:r>
        <w:t xml:space="preserve">(ITT) </w:t>
      </w:r>
      <w:r w:rsidRPr="000C15E5">
        <w:t>analysis</w:t>
      </w:r>
      <w:r w:rsidR="00252B12">
        <w:t xml:space="preserve"> and all influenza-</w:t>
      </w:r>
      <w:r>
        <w:t>infected patients were analysed in the intention-to-treat infected (ITTI) analysis</w:t>
      </w:r>
      <w:r w:rsidRPr="000C15E5">
        <w:t>.</w:t>
      </w:r>
      <w:r>
        <w:t xml:space="preserve"> </w:t>
      </w:r>
    </w:p>
    <w:p w:rsidR="002C372D" w:rsidRDefault="00810CB6" w:rsidP="00810CB6">
      <w:pPr>
        <w:spacing w:after="0" w:line="480" w:lineRule="auto"/>
        <w:jc w:val="both"/>
        <w:rPr>
          <w:b/>
        </w:rPr>
      </w:pPr>
      <w:r w:rsidRPr="00810CB6">
        <w:rPr>
          <w:b/>
        </w:rPr>
        <w:t xml:space="preserve">All patients </w:t>
      </w:r>
      <w:r>
        <w:rPr>
          <w:b/>
        </w:rPr>
        <w:t xml:space="preserve">(ITT) </w:t>
      </w:r>
    </w:p>
    <w:p w:rsidR="005B06E0" w:rsidRPr="002C372D" w:rsidRDefault="00252B12" w:rsidP="00810CB6">
      <w:pPr>
        <w:spacing w:after="0" w:line="480" w:lineRule="auto"/>
        <w:jc w:val="both"/>
        <w:rPr>
          <w:b/>
        </w:rPr>
      </w:pPr>
      <w:r>
        <w:t xml:space="preserve">The median (IQR) </w:t>
      </w:r>
      <w:r w:rsidR="005B06E0">
        <w:t>turnaround time for results was 1</w:t>
      </w:r>
      <w:r w:rsidR="003230B4">
        <w:rPr>
          <w:rFonts w:cstheme="minorHAnsi"/>
        </w:rPr>
        <w:t>·</w:t>
      </w:r>
      <w:r w:rsidR="005B06E0">
        <w:t>2</w:t>
      </w:r>
      <w:r>
        <w:t xml:space="preserve"> (1</w:t>
      </w:r>
      <w:r w:rsidR="003230B4">
        <w:rPr>
          <w:rFonts w:cstheme="minorHAnsi"/>
        </w:rPr>
        <w:t>·</w:t>
      </w:r>
      <w:r>
        <w:t>1 to 1</w:t>
      </w:r>
      <w:r w:rsidR="003230B4">
        <w:rPr>
          <w:rFonts w:cstheme="minorHAnsi"/>
        </w:rPr>
        <w:t>·</w:t>
      </w:r>
      <w:r>
        <w:t xml:space="preserve">4) </w:t>
      </w:r>
      <w:r w:rsidR="005B06E0">
        <w:t>hours in</w:t>
      </w:r>
      <w:r w:rsidR="001C7D2C">
        <w:t xml:space="preserve"> the </w:t>
      </w:r>
      <w:r>
        <w:t>m</w:t>
      </w:r>
      <w:r w:rsidR="001C7D2C">
        <w:t>POCT group and 22.6 [16</w:t>
      </w:r>
      <w:r w:rsidR="003230B4">
        <w:rPr>
          <w:rFonts w:cstheme="minorHAnsi"/>
        </w:rPr>
        <w:t>·</w:t>
      </w:r>
      <w:r w:rsidR="001C7D2C">
        <w:t>0 to 28</w:t>
      </w:r>
      <w:r w:rsidR="003230B4">
        <w:rPr>
          <w:rFonts w:cstheme="minorHAnsi"/>
        </w:rPr>
        <w:t>·</w:t>
      </w:r>
      <w:r w:rsidR="001C7D2C">
        <w:t>7</w:t>
      </w:r>
      <w:r w:rsidR="005B06E0">
        <w:t>] hours i</w:t>
      </w:r>
      <w:r>
        <w:t>n the control group (difference of 21</w:t>
      </w:r>
      <w:r w:rsidR="003230B4">
        <w:rPr>
          <w:rFonts w:cstheme="minorHAnsi"/>
        </w:rPr>
        <w:t>·</w:t>
      </w:r>
      <w:r>
        <w:t>4</w:t>
      </w:r>
      <w:r w:rsidR="006F5AB1">
        <w:t xml:space="preserve"> hours</w:t>
      </w:r>
      <w:r>
        <w:t xml:space="preserve">, 95%CI </w:t>
      </w:r>
      <w:r w:rsidR="006F5AB1">
        <w:t>20</w:t>
      </w:r>
      <w:r w:rsidR="003230B4">
        <w:rPr>
          <w:rFonts w:cstheme="minorHAnsi"/>
        </w:rPr>
        <w:t>·</w:t>
      </w:r>
      <w:r w:rsidR="006F5AB1">
        <w:t>6 to 22</w:t>
      </w:r>
      <w:r w:rsidR="003230B4">
        <w:rPr>
          <w:rFonts w:cstheme="minorHAnsi"/>
        </w:rPr>
        <w:t>·</w:t>
      </w:r>
      <w:r w:rsidR="006F5AB1">
        <w:t>4</w:t>
      </w:r>
      <w:r>
        <w:t xml:space="preserve">; </w:t>
      </w:r>
      <w:r w:rsidR="00810CB6">
        <w:t>p&lt;0</w:t>
      </w:r>
      <w:r w:rsidR="003230B4">
        <w:rPr>
          <w:rFonts w:cstheme="minorHAnsi"/>
        </w:rPr>
        <w:t>·</w:t>
      </w:r>
      <w:r w:rsidR="00810CB6">
        <w:t>0001</w:t>
      </w:r>
      <w:r>
        <w:t>; table2)</w:t>
      </w:r>
      <w:r w:rsidR="00810CB6">
        <w:t xml:space="preserve">. </w:t>
      </w:r>
      <w:r w:rsidR="00D314A1">
        <w:t>All antiviral use was with the NAI oseltamivir and t</w:t>
      </w:r>
      <w:r w:rsidR="006929E6">
        <w:t xml:space="preserve">here was no difference in the proportion of patients receiving </w:t>
      </w:r>
      <w:r w:rsidR="001C7D2C">
        <w:t xml:space="preserve">antivirals </w:t>
      </w:r>
      <w:r w:rsidR="006929E6">
        <w:t xml:space="preserve">between the groups; </w:t>
      </w:r>
      <w:r w:rsidR="00D314A1">
        <w:t>139 (45%) of 307</w:t>
      </w:r>
      <w:r w:rsidR="005B06E0">
        <w:t xml:space="preserve"> in t</w:t>
      </w:r>
      <w:r w:rsidR="006F5AB1">
        <w:t>he m</w:t>
      </w:r>
      <w:r w:rsidR="00D314A1">
        <w:t xml:space="preserve">POCT group versus 130 (43%) 306 </w:t>
      </w:r>
      <w:r w:rsidR="005B06E0">
        <w:t>in t</w:t>
      </w:r>
      <w:r>
        <w:t>he control group (relative risk 1</w:t>
      </w:r>
      <w:r w:rsidR="003230B4">
        <w:rPr>
          <w:rFonts w:cstheme="minorHAnsi"/>
        </w:rPr>
        <w:t>·</w:t>
      </w:r>
      <w:r>
        <w:t xml:space="preserve">1 , </w:t>
      </w:r>
      <w:r w:rsidR="005B06E0">
        <w:t>95% CI 0</w:t>
      </w:r>
      <w:r w:rsidR="003230B4">
        <w:rPr>
          <w:rFonts w:cstheme="minorHAnsi"/>
        </w:rPr>
        <w:t>·</w:t>
      </w:r>
      <w:r w:rsidR="005B06E0">
        <w:t>9 to 1</w:t>
      </w:r>
      <w:r w:rsidR="003230B4">
        <w:rPr>
          <w:rFonts w:cstheme="minorHAnsi"/>
        </w:rPr>
        <w:t>·</w:t>
      </w:r>
      <w:r>
        <w:t>3;</w:t>
      </w:r>
      <w:r w:rsidR="001C7D2C">
        <w:t xml:space="preserve"> p=0</w:t>
      </w:r>
      <w:r w:rsidR="003230B4">
        <w:rPr>
          <w:rFonts w:cstheme="minorHAnsi"/>
        </w:rPr>
        <w:t>·</w:t>
      </w:r>
      <w:r w:rsidR="001C7D2C">
        <w:t>49</w:t>
      </w:r>
      <w:r w:rsidR="006F5AB1">
        <w:t>; table 2</w:t>
      </w:r>
      <w:r>
        <w:t>)</w:t>
      </w:r>
      <w:r w:rsidR="002C372D">
        <w:t xml:space="preserve"> </w:t>
      </w:r>
      <w:r w:rsidR="00F7225C">
        <w:t>however</w:t>
      </w:r>
      <w:r w:rsidR="002C372D">
        <w:t>,</w:t>
      </w:r>
      <w:r w:rsidR="00F7225C">
        <w:t xml:space="preserve"> </w:t>
      </w:r>
      <w:r w:rsidR="001C7D2C">
        <w:t>more antiviral-</w:t>
      </w:r>
      <w:r w:rsidR="006929E6">
        <w:t xml:space="preserve">treated patients </w:t>
      </w:r>
      <w:r w:rsidR="006929E6" w:rsidRPr="006929E6">
        <w:t>in the</w:t>
      </w:r>
      <w:r w:rsidR="001C7D2C">
        <w:t xml:space="preserve"> mPOCT </w:t>
      </w:r>
      <w:r w:rsidR="006929E6" w:rsidRPr="006929E6">
        <w:t xml:space="preserve"> group </w:t>
      </w:r>
      <w:r w:rsidR="003A08D7">
        <w:t>were</w:t>
      </w:r>
      <w:r w:rsidR="006929E6">
        <w:t xml:space="preserve"> influenza</w:t>
      </w:r>
      <w:r w:rsidR="003A08D7">
        <w:t>-infected</w:t>
      </w:r>
      <w:r w:rsidR="006F5AB1">
        <w:t xml:space="preserve">; 99 (71%) of 139 </w:t>
      </w:r>
      <w:r w:rsidR="005B06E0">
        <w:t xml:space="preserve">versus </w:t>
      </w:r>
      <w:r w:rsidR="006F5AB1">
        <w:t>63 (49%) of 130</w:t>
      </w:r>
      <w:r w:rsidR="006929E6" w:rsidRPr="006929E6">
        <w:t xml:space="preserve"> </w:t>
      </w:r>
      <w:r>
        <w:t xml:space="preserve">in the </w:t>
      </w:r>
      <w:r w:rsidR="00D314A1">
        <w:t xml:space="preserve">control </w:t>
      </w:r>
      <w:r>
        <w:t>group (relative risk 1</w:t>
      </w:r>
      <w:r w:rsidR="003230B4">
        <w:rPr>
          <w:rFonts w:cstheme="minorHAnsi"/>
        </w:rPr>
        <w:t>·</w:t>
      </w:r>
      <w:r>
        <w:t>5, 95%CI 1</w:t>
      </w:r>
      <w:r w:rsidR="003230B4">
        <w:rPr>
          <w:rFonts w:cstheme="minorHAnsi"/>
        </w:rPr>
        <w:t>·</w:t>
      </w:r>
      <w:r>
        <w:t>2 to 1</w:t>
      </w:r>
      <w:r w:rsidR="003230B4">
        <w:rPr>
          <w:rFonts w:cstheme="minorHAnsi"/>
        </w:rPr>
        <w:t>·</w:t>
      </w:r>
      <w:r>
        <w:t>8; p&lt;</w:t>
      </w:r>
      <w:r w:rsidR="00810CB6">
        <w:t>0</w:t>
      </w:r>
      <w:r w:rsidR="003230B4">
        <w:rPr>
          <w:rFonts w:cstheme="minorHAnsi"/>
        </w:rPr>
        <w:t>·</w:t>
      </w:r>
      <w:r w:rsidR="00810CB6">
        <w:t>0001</w:t>
      </w:r>
      <w:r w:rsidR="006F5AB1">
        <w:t>; table 2</w:t>
      </w:r>
      <w:r>
        <w:t>)</w:t>
      </w:r>
      <w:r w:rsidR="005B06E0">
        <w:t>. Influ</w:t>
      </w:r>
      <w:r w:rsidR="00810CB6">
        <w:t>enza-</w:t>
      </w:r>
      <w:r w:rsidR="005B06E0">
        <w:t xml:space="preserve">uninfected patients </w:t>
      </w:r>
      <w:r w:rsidR="00810CB6">
        <w:t xml:space="preserve">receiving antivirals </w:t>
      </w:r>
      <w:r w:rsidR="006F5AB1">
        <w:t>had a median (IQR) course length of 0</w:t>
      </w:r>
      <w:r w:rsidR="003230B4">
        <w:rPr>
          <w:rFonts w:cstheme="minorHAnsi"/>
        </w:rPr>
        <w:t>·</w:t>
      </w:r>
      <w:r w:rsidR="006F5AB1">
        <w:t>1 (0 to 0</w:t>
      </w:r>
      <w:r w:rsidR="003230B4">
        <w:rPr>
          <w:rFonts w:cstheme="minorHAnsi"/>
        </w:rPr>
        <w:t>·</w:t>
      </w:r>
      <w:r w:rsidR="006F5AB1">
        <w:t>5)</w:t>
      </w:r>
      <w:r w:rsidR="005B06E0">
        <w:t xml:space="preserve"> days (i</w:t>
      </w:r>
      <w:r w:rsidR="00C93994">
        <w:t>.</w:t>
      </w:r>
      <w:r w:rsidR="005B06E0">
        <w:t>e</w:t>
      </w:r>
      <w:r w:rsidR="00C93994">
        <w:t>.</w:t>
      </w:r>
      <w:r w:rsidR="005B06E0">
        <w:t xml:space="preserve"> a single dose</w:t>
      </w:r>
      <w:r w:rsidR="006F5AB1">
        <w:t>) in the mPOCT group versus 1</w:t>
      </w:r>
      <w:r w:rsidR="003230B4">
        <w:rPr>
          <w:rFonts w:cstheme="minorHAnsi"/>
        </w:rPr>
        <w:t>·</w:t>
      </w:r>
      <w:r w:rsidR="006F5AB1">
        <w:t>5 (0</w:t>
      </w:r>
      <w:r w:rsidR="003230B4">
        <w:rPr>
          <w:rFonts w:cstheme="minorHAnsi"/>
        </w:rPr>
        <w:t>·</w:t>
      </w:r>
      <w:r w:rsidR="006F5AB1">
        <w:t>5 to 4</w:t>
      </w:r>
      <w:r w:rsidR="003230B4">
        <w:rPr>
          <w:rFonts w:cstheme="minorHAnsi"/>
        </w:rPr>
        <w:t>·</w:t>
      </w:r>
      <w:r w:rsidR="006F5AB1">
        <w:t>5) days in the control group (difference of 1</w:t>
      </w:r>
      <w:r w:rsidR="003230B4">
        <w:rPr>
          <w:rFonts w:cstheme="minorHAnsi"/>
        </w:rPr>
        <w:t>·</w:t>
      </w:r>
      <w:r w:rsidR="006F5AB1">
        <w:t>4 days, 95% CI 0</w:t>
      </w:r>
      <w:r w:rsidR="003230B4">
        <w:rPr>
          <w:rFonts w:cstheme="minorHAnsi"/>
        </w:rPr>
        <w:t>·</w:t>
      </w:r>
      <w:r w:rsidR="006F5AB1">
        <w:t>7 to 2</w:t>
      </w:r>
      <w:r w:rsidR="003230B4">
        <w:rPr>
          <w:rFonts w:cstheme="minorHAnsi"/>
        </w:rPr>
        <w:t>·</w:t>
      </w:r>
      <w:r w:rsidR="006F5AB1">
        <w:t>1;</w:t>
      </w:r>
      <w:r w:rsidR="005B06E0">
        <w:t xml:space="preserve"> p&lt;0</w:t>
      </w:r>
      <w:r w:rsidR="003230B4">
        <w:rPr>
          <w:rFonts w:cstheme="minorHAnsi"/>
        </w:rPr>
        <w:t>·</w:t>
      </w:r>
      <w:r w:rsidR="005B06E0">
        <w:t>0001</w:t>
      </w:r>
      <w:r w:rsidR="006F5AB1">
        <w:t>; table 2)</w:t>
      </w:r>
      <w:r w:rsidR="005B06E0">
        <w:t>.</w:t>
      </w:r>
      <w:r w:rsidR="00810CB6">
        <w:t xml:space="preserve"> </w:t>
      </w:r>
      <w:r w:rsidR="006F5AB1">
        <w:t xml:space="preserve">More </w:t>
      </w:r>
      <w:r w:rsidR="005B06E0">
        <w:t xml:space="preserve">patients in the </w:t>
      </w:r>
      <w:r w:rsidR="006F5AB1">
        <w:t xml:space="preserve">mPOCT group; 106 (35%) of 307, </w:t>
      </w:r>
      <w:r w:rsidR="005B06E0">
        <w:t>were isolated in sing</w:t>
      </w:r>
      <w:r w:rsidR="006F5AB1">
        <w:t>le room accommodation versus 67 (22%) of 306 in the control group (relative risk 1</w:t>
      </w:r>
      <w:r w:rsidR="003230B4">
        <w:rPr>
          <w:rFonts w:cstheme="minorHAnsi"/>
        </w:rPr>
        <w:t>·</w:t>
      </w:r>
      <w:r w:rsidR="006F5AB1">
        <w:t>6, 95%CI 1</w:t>
      </w:r>
      <w:r w:rsidR="003230B4">
        <w:rPr>
          <w:rFonts w:cstheme="minorHAnsi"/>
        </w:rPr>
        <w:t>·</w:t>
      </w:r>
      <w:r w:rsidR="006F5AB1">
        <w:t>2 to 2</w:t>
      </w:r>
      <w:r w:rsidR="003230B4">
        <w:rPr>
          <w:rFonts w:cstheme="minorHAnsi"/>
        </w:rPr>
        <w:t>·</w:t>
      </w:r>
      <w:r w:rsidR="006F5AB1">
        <w:t>1;</w:t>
      </w:r>
      <w:r w:rsidR="005B06E0">
        <w:t xml:space="preserve"> p=0</w:t>
      </w:r>
      <w:r w:rsidR="003230B4">
        <w:rPr>
          <w:rFonts w:cstheme="minorHAnsi"/>
        </w:rPr>
        <w:t>·</w:t>
      </w:r>
      <w:r w:rsidR="005B06E0">
        <w:t>0006</w:t>
      </w:r>
      <w:r w:rsidR="006F5AB1">
        <w:t xml:space="preserve">; table 2). </w:t>
      </w:r>
    </w:p>
    <w:p w:rsidR="00810CB6" w:rsidRDefault="00810CB6" w:rsidP="00810CB6">
      <w:pPr>
        <w:spacing w:after="0" w:line="480" w:lineRule="auto"/>
        <w:jc w:val="both"/>
      </w:pPr>
    </w:p>
    <w:p w:rsidR="005B06E0" w:rsidRPr="00810CB6" w:rsidRDefault="00810CB6" w:rsidP="00810CB6">
      <w:pPr>
        <w:spacing w:after="0" w:line="480" w:lineRule="auto"/>
        <w:jc w:val="both"/>
      </w:pPr>
      <w:r w:rsidRPr="00810CB6">
        <w:rPr>
          <w:b/>
        </w:rPr>
        <w:t xml:space="preserve">Influenza infected patients (ITTI) </w:t>
      </w:r>
    </w:p>
    <w:p w:rsidR="005B06E0" w:rsidRDefault="002C372D" w:rsidP="00810CB6">
      <w:pPr>
        <w:spacing w:after="0" w:line="480" w:lineRule="auto"/>
        <w:jc w:val="both"/>
      </w:pPr>
      <w:r w:rsidRPr="002C372D">
        <w:lastRenderedPageBreak/>
        <w:t>100 (33%) of 307 patients in the mPOCT group and 102 (33%) of 306 patients in the control group w</w:t>
      </w:r>
      <w:r>
        <w:t xml:space="preserve">ere influenza infected. </w:t>
      </w:r>
      <w:r w:rsidR="00D314A1">
        <w:t xml:space="preserve">100 (100%) of </w:t>
      </w:r>
      <w:r w:rsidR="00F55815">
        <w:t xml:space="preserve">100 </w:t>
      </w:r>
      <w:r w:rsidR="003A08D7">
        <w:t>influenza-</w:t>
      </w:r>
      <w:r w:rsidR="005B06E0">
        <w:t xml:space="preserve">infected patients </w:t>
      </w:r>
      <w:r w:rsidR="005B06E0" w:rsidRPr="007B2B5B">
        <w:t>we</w:t>
      </w:r>
      <w:r w:rsidR="00F55815">
        <w:t xml:space="preserve">re </w:t>
      </w:r>
      <w:r w:rsidR="005B06E0">
        <w:t xml:space="preserve">diagnosed </w:t>
      </w:r>
      <w:r w:rsidR="00D314A1">
        <w:t xml:space="preserve">with influenza </w:t>
      </w:r>
      <w:r w:rsidR="001C7D2C">
        <w:t xml:space="preserve">whilst </w:t>
      </w:r>
      <w:r w:rsidR="005B06E0">
        <w:t xml:space="preserve">in </w:t>
      </w:r>
      <w:r w:rsidR="001C7D2C">
        <w:t xml:space="preserve">hospital in </w:t>
      </w:r>
      <w:r w:rsidR="005B06E0">
        <w:t xml:space="preserve">the </w:t>
      </w:r>
      <w:r w:rsidR="001C7D2C">
        <w:t>m</w:t>
      </w:r>
      <w:r w:rsidR="005B06E0">
        <w:t xml:space="preserve">POCT group </w:t>
      </w:r>
      <w:r w:rsidR="00D314A1" w:rsidRPr="00D314A1">
        <w:t>(al</w:t>
      </w:r>
      <w:r w:rsidR="00F7225C">
        <w:t>l</w:t>
      </w:r>
      <w:r w:rsidR="00D314A1">
        <w:t xml:space="preserve"> by PCR</w:t>
      </w:r>
      <w:r w:rsidR="009B160E">
        <w:t xml:space="preserve"> testing</w:t>
      </w:r>
      <w:r w:rsidR="00D314A1" w:rsidRPr="00D314A1">
        <w:t xml:space="preserve">) </w:t>
      </w:r>
      <w:r w:rsidR="006929E6">
        <w:t xml:space="preserve">but only </w:t>
      </w:r>
      <w:r w:rsidR="00D314A1">
        <w:t xml:space="preserve">60 (59%) </w:t>
      </w:r>
      <w:r w:rsidR="009B160E">
        <w:t xml:space="preserve">of </w:t>
      </w:r>
      <w:r w:rsidR="00D314A1">
        <w:t>102</w:t>
      </w:r>
      <w:r w:rsidR="00F55815">
        <w:t xml:space="preserve"> were </w:t>
      </w:r>
      <w:r w:rsidR="005B06E0" w:rsidRPr="007B2B5B">
        <w:t xml:space="preserve">diagnosed </w:t>
      </w:r>
      <w:r w:rsidR="001C7D2C">
        <w:t>in the co</w:t>
      </w:r>
      <w:r w:rsidR="00D314A1">
        <w:t xml:space="preserve">ntrol group, </w:t>
      </w:r>
      <w:r w:rsidR="001C7D2C">
        <w:t xml:space="preserve">55 </w:t>
      </w:r>
      <w:r w:rsidR="00D314A1">
        <w:t xml:space="preserve">were </w:t>
      </w:r>
      <w:r w:rsidR="001C7D2C">
        <w:t xml:space="preserve">PCR positive and 5 </w:t>
      </w:r>
      <w:r w:rsidR="00D314A1">
        <w:t xml:space="preserve">had </w:t>
      </w:r>
      <w:r w:rsidR="001C7D2C">
        <w:t>a cli</w:t>
      </w:r>
      <w:r w:rsidR="00D314A1">
        <w:t xml:space="preserve">nical diagnosis of influenza but </w:t>
      </w:r>
      <w:r w:rsidR="009B160E">
        <w:t xml:space="preserve">had </w:t>
      </w:r>
      <w:r w:rsidR="00D314A1">
        <w:t>no confirmatory test performed (</w:t>
      </w:r>
      <w:r w:rsidR="005B06E0">
        <w:t>rel</w:t>
      </w:r>
      <w:r w:rsidR="00D314A1">
        <w:t>ative risk 1</w:t>
      </w:r>
      <w:r w:rsidR="009B160E">
        <w:rPr>
          <w:rFonts w:cstheme="minorHAnsi"/>
        </w:rPr>
        <w:t>·</w:t>
      </w:r>
      <w:r w:rsidR="00D314A1">
        <w:t xml:space="preserve">7, </w:t>
      </w:r>
      <w:r w:rsidR="001C7D2C">
        <w:t>95%CI 1</w:t>
      </w:r>
      <w:r w:rsidR="009B160E">
        <w:rPr>
          <w:rFonts w:cstheme="minorHAnsi"/>
        </w:rPr>
        <w:t>·</w:t>
      </w:r>
      <w:r w:rsidR="001C7D2C">
        <w:t>7 to 1</w:t>
      </w:r>
      <w:r w:rsidR="009B160E">
        <w:rPr>
          <w:rFonts w:cstheme="minorHAnsi"/>
        </w:rPr>
        <w:t>·</w:t>
      </w:r>
      <w:r w:rsidR="001C7D2C">
        <w:t>7</w:t>
      </w:r>
      <w:r w:rsidR="00D314A1">
        <w:t xml:space="preserve">; </w:t>
      </w:r>
      <w:r w:rsidR="005B06E0" w:rsidRPr="007B2B5B">
        <w:t>p&lt;0</w:t>
      </w:r>
      <w:r w:rsidR="009B160E">
        <w:rPr>
          <w:rFonts w:cstheme="minorHAnsi"/>
        </w:rPr>
        <w:t>·</w:t>
      </w:r>
      <w:r w:rsidR="005B06E0" w:rsidRPr="007B2B5B">
        <w:t>0001</w:t>
      </w:r>
      <w:r w:rsidR="00D314A1">
        <w:t>; table 3)</w:t>
      </w:r>
      <w:r w:rsidR="005B06E0">
        <w:t xml:space="preserve">. </w:t>
      </w:r>
    </w:p>
    <w:p w:rsidR="00810CB6" w:rsidRDefault="00810CB6" w:rsidP="00810CB6">
      <w:pPr>
        <w:spacing w:after="0" w:line="480" w:lineRule="auto"/>
        <w:jc w:val="both"/>
      </w:pPr>
    </w:p>
    <w:p w:rsidR="00810CB6" w:rsidRDefault="00D314A1" w:rsidP="00810CB6">
      <w:pPr>
        <w:spacing w:after="0" w:line="480" w:lineRule="auto"/>
        <w:jc w:val="both"/>
      </w:pPr>
      <w:r>
        <w:t xml:space="preserve">For the primary outcome, 99 (99%) of 100 </w:t>
      </w:r>
      <w:r w:rsidR="003A08D7">
        <w:t>influenza-</w:t>
      </w:r>
      <w:r w:rsidR="005B06E0">
        <w:t xml:space="preserve">infected </w:t>
      </w:r>
      <w:r w:rsidR="005B06E0" w:rsidRPr="00EE4380">
        <w:t xml:space="preserve">patients </w:t>
      </w:r>
      <w:r w:rsidR="005B06E0">
        <w:t xml:space="preserve">received </w:t>
      </w:r>
      <w:r w:rsidR="005B06E0" w:rsidRPr="00EE4380">
        <w:t xml:space="preserve">antiviral treatment </w:t>
      </w:r>
      <w:r w:rsidR="005B06E0">
        <w:t xml:space="preserve">in </w:t>
      </w:r>
      <w:r w:rsidR="008B653E">
        <w:t xml:space="preserve">the </w:t>
      </w:r>
      <w:r w:rsidR="001C7D2C">
        <w:t>m</w:t>
      </w:r>
      <w:r w:rsidR="008B653E">
        <w:t>POCT group versu</w:t>
      </w:r>
      <w:r>
        <w:t>s 63 (62%) 102</w:t>
      </w:r>
      <w:r w:rsidR="005B06E0">
        <w:t xml:space="preserve"> in the </w:t>
      </w:r>
      <w:r>
        <w:t>control group (</w:t>
      </w:r>
      <w:r w:rsidR="008B653E">
        <w:t>relative risk 1</w:t>
      </w:r>
      <w:r w:rsidR="009B160E">
        <w:rPr>
          <w:rFonts w:cstheme="minorHAnsi"/>
        </w:rPr>
        <w:t>·</w:t>
      </w:r>
      <w:r w:rsidR="008B653E">
        <w:t>6</w:t>
      </w:r>
      <w:r>
        <w:t>, 95%CI 1</w:t>
      </w:r>
      <w:r w:rsidR="009B160E">
        <w:rPr>
          <w:rFonts w:cstheme="minorHAnsi"/>
        </w:rPr>
        <w:t>·</w:t>
      </w:r>
      <w:r>
        <w:t>4 to 1</w:t>
      </w:r>
      <w:r w:rsidR="009B160E">
        <w:rPr>
          <w:rFonts w:cstheme="minorHAnsi"/>
        </w:rPr>
        <w:t>·</w:t>
      </w:r>
      <w:r>
        <w:t xml:space="preserve">9; </w:t>
      </w:r>
      <w:r w:rsidR="005B06E0">
        <w:t>p&lt;0</w:t>
      </w:r>
      <w:r w:rsidR="009B160E">
        <w:rPr>
          <w:rFonts w:cstheme="minorHAnsi"/>
        </w:rPr>
        <w:t>·</w:t>
      </w:r>
      <w:r w:rsidR="005B06E0">
        <w:t>0001</w:t>
      </w:r>
      <w:r w:rsidR="00607B30">
        <w:t>; number needed to test</w:t>
      </w:r>
      <w:r w:rsidR="005B06E0">
        <w:t xml:space="preserve"> = 2</w:t>
      </w:r>
      <w:r w:rsidR="009B160E">
        <w:rPr>
          <w:rFonts w:cstheme="minorHAnsi"/>
        </w:rPr>
        <w:t>·</w:t>
      </w:r>
      <w:r w:rsidR="005B06E0">
        <w:t>7</w:t>
      </w:r>
      <w:r w:rsidR="00923AAD">
        <w:t>; table 3</w:t>
      </w:r>
      <w:r>
        <w:t>)</w:t>
      </w:r>
      <w:r w:rsidR="005B06E0">
        <w:t>. Median</w:t>
      </w:r>
      <w:r w:rsidR="005B06E0" w:rsidRPr="004064DB">
        <w:t xml:space="preserve"> </w:t>
      </w:r>
      <w:r>
        <w:t>(IQR)</w:t>
      </w:r>
      <w:r w:rsidR="005B06E0">
        <w:t xml:space="preserve"> </w:t>
      </w:r>
      <w:r w:rsidR="005B06E0" w:rsidRPr="004064DB">
        <w:t xml:space="preserve">time to receipt of </w:t>
      </w:r>
      <w:r>
        <w:t xml:space="preserve">antivirals </w:t>
      </w:r>
      <w:r w:rsidR="003A08D7">
        <w:t>was</w:t>
      </w:r>
      <w:r>
        <w:t xml:space="preserve"> 1</w:t>
      </w:r>
      <w:r w:rsidR="009B160E">
        <w:rPr>
          <w:rFonts w:cstheme="minorHAnsi"/>
        </w:rPr>
        <w:t>·</w:t>
      </w:r>
      <w:r>
        <w:t>0 (</w:t>
      </w:r>
      <w:r w:rsidR="008B653E">
        <w:t>0 to 2</w:t>
      </w:r>
      <w:r w:rsidR="009B160E">
        <w:rPr>
          <w:rFonts w:cstheme="minorHAnsi"/>
        </w:rPr>
        <w:t>·</w:t>
      </w:r>
      <w:r w:rsidR="008B653E">
        <w:t>0</w:t>
      </w:r>
      <w:r>
        <w:t>)</w:t>
      </w:r>
      <w:r w:rsidR="005B06E0">
        <w:t xml:space="preserve"> hour</w:t>
      </w:r>
      <w:r w:rsidR="005B06E0" w:rsidRPr="004064DB">
        <w:t xml:space="preserve"> in </w:t>
      </w:r>
      <w:r w:rsidR="008B653E">
        <w:t>the mPOCT group versus 6</w:t>
      </w:r>
      <w:r w:rsidR="009B160E">
        <w:rPr>
          <w:rFonts w:cstheme="minorHAnsi"/>
        </w:rPr>
        <w:t>·</w:t>
      </w:r>
      <w:r>
        <w:t>0 (</w:t>
      </w:r>
      <w:r w:rsidR="008B653E">
        <w:t>0 to 12</w:t>
      </w:r>
      <w:r w:rsidR="009B160E">
        <w:rPr>
          <w:rFonts w:cstheme="minorHAnsi"/>
        </w:rPr>
        <w:t>·</w:t>
      </w:r>
      <w:r w:rsidR="008B653E">
        <w:t>0</w:t>
      </w:r>
      <w:r>
        <w:t>)</w:t>
      </w:r>
      <w:r w:rsidR="005B06E0" w:rsidRPr="004064DB">
        <w:t xml:space="preserve"> hours in the control </w:t>
      </w:r>
      <w:r>
        <w:t>group (difference of 5</w:t>
      </w:r>
      <w:r w:rsidR="009B160E">
        <w:rPr>
          <w:rFonts w:cstheme="minorHAnsi"/>
        </w:rPr>
        <w:t>·</w:t>
      </w:r>
      <w:r>
        <w:t>0 hours, 95%CI 0 to 6</w:t>
      </w:r>
      <w:r w:rsidR="009B160E">
        <w:rPr>
          <w:rFonts w:cstheme="minorHAnsi"/>
        </w:rPr>
        <w:t>·</w:t>
      </w:r>
      <w:r>
        <w:t xml:space="preserve">0; </w:t>
      </w:r>
      <w:r w:rsidR="008B653E">
        <w:t>p=0</w:t>
      </w:r>
      <w:r w:rsidR="009B160E">
        <w:rPr>
          <w:rFonts w:cstheme="minorHAnsi"/>
        </w:rPr>
        <w:t>·</w:t>
      </w:r>
      <w:r w:rsidR="008B653E">
        <w:t>004</w:t>
      </w:r>
      <w:r>
        <w:t>; table 3 and figure 2)</w:t>
      </w:r>
      <w:r w:rsidR="005B06E0">
        <w:t xml:space="preserve">.  </w:t>
      </w:r>
      <w:r w:rsidR="005B06E0" w:rsidRPr="00E56AC1">
        <w:t xml:space="preserve">Excluding those </w:t>
      </w:r>
      <w:r>
        <w:t xml:space="preserve">patients </w:t>
      </w:r>
      <w:r w:rsidR="005B06E0" w:rsidRPr="00E56AC1">
        <w:t>treated empirically</w:t>
      </w:r>
      <w:r>
        <w:t xml:space="preserve"> </w:t>
      </w:r>
      <w:r w:rsidR="002C372D">
        <w:t>(i.e. before results were available)</w:t>
      </w:r>
      <w:r>
        <w:t xml:space="preserve"> </w:t>
      </w:r>
      <w:r w:rsidR="005B06E0">
        <w:t>the median</w:t>
      </w:r>
      <w:r w:rsidR="005B06E0" w:rsidRPr="004064DB">
        <w:t xml:space="preserve"> </w:t>
      </w:r>
      <w:r>
        <w:t>(IQR)</w:t>
      </w:r>
      <w:r w:rsidR="005B06E0">
        <w:t xml:space="preserve"> </w:t>
      </w:r>
      <w:r w:rsidR="005B06E0" w:rsidRPr="004064DB">
        <w:t xml:space="preserve">time to receipt of </w:t>
      </w:r>
      <w:r>
        <w:t xml:space="preserve">antivirals </w:t>
      </w:r>
      <w:r w:rsidR="005B06E0">
        <w:t>was 2</w:t>
      </w:r>
      <w:r w:rsidR="009B160E">
        <w:rPr>
          <w:rFonts w:cstheme="minorHAnsi"/>
        </w:rPr>
        <w:t>·</w:t>
      </w:r>
      <w:r w:rsidR="001C7D2C">
        <w:t>0</w:t>
      </w:r>
      <w:r w:rsidR="005B06E0">
        <w:t xml:space="preserve"> [1</w:t>
      </w:r>
      <w:r w:rsidR="009B160E">
        <w:rPr>
          <w:rFonts w:cstheme="minorHAnsi"/>
        </w:rPr>
        <w:t>·</w:t>
      </w:r>
      <w:r w:rsidR="008B653E">
        <w:t>0</w:t>
      </w:r>
      <w:r w:rsidR="005B06E0">
        <w:t xml:space="preserve"> to 3</w:t>
      </w:r>
      <w:r w:rsidR="009B160E">
        <w:rPr>
          <w:rFonts w:cstheme="minorHAnsi"/>
        </w:rPr>
        <w:t>·</w:t>
      </w:r>
      <w:r w:rsidR="008B653E">
        <w:t>0</w:t>
      </w:r>
      <w:r w:rsidR="005B06E0">
        <w:t>] hours</w:t>
      </w:r>
      <w:r w:rsidR="005B06E0" w:rsidRPr="004064DB">
        <w:t xml:space="preserve"> in </w:t>
      </w:r>
      <w:r w:rsidR="005B06E0">
        <w:t xml:space="preserve">the </w:t>
      </w:r>
      <w:r w:rsidR="008B653E">
        <w:t>m</w:t>
      </w:r>
      <w:r w:rsidR="001C7D2C">
        <w:t>POCT group versus 30</w:t>
      </w:r>
      <w:r w:rsidR="009B160E">
        <w:rPr>
          <w:rFonts w:cstheme="minorHAnsi"/>
        </w:rPr>
        <w:t>·</w:t>
      </w:r>
      <w:r w:rsidR="001C7D2C">
        <w:t>5 [12</w:t>
      </w:r>
      <w:r w:rsidR="009B160E">
        <w:rPr>
          <w:rFonts w:cstheme="minorHAnsi"/>
        </w:rPr>
        <w:t>·</w:t>
      </w:r>
      <w:r w:rsidR="001C7D2C">
        <w:t>0 to 59</w:t>
      </w:r>
      <w:r w:rsidR="009B160E">
        <w:rPr>
          <w:rFonts w:cstheme="minorHAnsi"/>
        </w:rPr>
        <w:t>·</w:t>
      </w:r>
      <w:r w:rsidR="001C7D2C">
        <w:t>0</w:t>
      </w:r>
      <w:r w:rsidR="005B06E0">
        <w:t>]</w:t>
      </w:r>
      <w:r w:rsidR="005B06E0" w:rsidRPr="004064DB">
        <w:t xml:space="preserve"> hours in the control </w:t>
      </w:r>
      <w:r>
        <w:t>group (difference of 28</w:t>
      </w:r>
      <w:r w:rsidR="009B160E">
        <w:rPr>
          <w:rFonts w:cstheme="minorHAnsi"/>
        </w:rPr>
        <w:t>·</w:t>
      </w:r>
      <w:r>
        <w:t xml:space="preserve">5 hours, </w:t>
      </w:r>
      <w:r w:rsidR="001C7D2C">
        <w:t>95%CI 18</w:t>
      </w:r>
      <w:r w:rsidR="009B160E">
        <w:rPr>
          <w:rFonts w:cstheme="minorHAnsi"/>
        </w:rPr>
        <w:t>·</w:t>
      </w:r>
      <w:r w:rsidR="001C7D2C">
        <w:t>0 to 31</w:t>
      </w:r>
      <w:r w:rsidR="009B160E">
        <w:rPr>
          <w:rFonts w:cstheme="minorHAnsi"/>
        </w:rPr>
        <w:t>·</w:t>
      </w:r>
      <w:r w:rsidR="001C7D2C">
        <w:t>0</w:t>
      </w:r>
      <w:r>
        <w:t>; p&lt;0</w:t>
      </w:r>
      <w:r w:rsidR="009B160E">
        <w:rPr>
          <w:rFonts w:cstheme="minorHAnsi"/>
        </w:rPr>
        <w:t>·</w:t>
      </w:r>
      <w:r>
        <w:t>0001; table 3</w:t>
      </w:r>
      <w:r w:rsidR="007257E3">
        <w:t xml:space="preserve"> </w:t>
      </w:r>
      <w:r w:rsidR="007257E3" w:rsidRPr="00A56829">
        <w:t>and appendix p</w:t>
      </w:r>
      <w:r w:rsidR="001D62B2" w:rsidRPr="00A56829">
        <w:t>6</w:t>
      </w:r>
      <w:r w:rsidRPr="00A56829">
        <w:t xml:space="preserve">) </w:t>
      </w:r>
    </w:p>
    <w:p w:rsidR="00810CB6" w:rsidRDefault="00810CB6" w:rsidP="00810CB6">
      <w:pPr>
        <w:spacing w:after="0" w:line="480" w:lineRule="auto"/>
        <w:jc w:val="both"/>
      </w:pPr>
    </w:p>
    <w:p w:rsidR="005B06E0" w:rsidRDefault="00923AAD" w:rsidP="00810CB6">
      <w:pPr>
        <w:spacing w:after="0" w:line="480" w:lineRule="auto"/>
        <w:jc w:val="both"/>
      </w:pPr>
      <w:r>
        <w:t xml:space="preserve">Very few influenza-infected patients were correctly isolated </w:t>
      </w:r>
      <w:r w:rsidRPr="00923AAD">
        <w:t xml:space="preserve">in single room accommodation </w:t>
      </w:r>
      <w:r w:rsidR="00C93994">
        <w:t>empirically</w:t>
      </w:r>
      <w:r>
        <w:t xml:space="preserve"> </w:t>
      </w:r>
      <w:r w:rsidR="00C93994">
        <w:t>(</w:t>
      </w:r>
      <w:r>
        <w:t xml:space="preserve">i.e. prior to </w:t>
      </w:r>
      <w:r w:rsidR="00C93994">
        <w:t>the result of influenza testing)</w:t>
      </w:r>
      <w:r>
        <w:t xml:space="preserve"> in either group; 10 (10%) of 100 </w:t>
      </w:r>
      <w:r w:rsidR="005A4F04">
        <w:t xml:space="preserve">and </w:t>
      </w:r>
      <w:r>
        <w:t>9 (9%) of 102 (relative risk</w:t>
      </w:r>
      <w:r w:rsidR="005A4F04">
        <w:t xml:space="preserve"> 1</w:t>
      </w:r>
      <w:r w:rsidR="009B160E">
        <w:rPr>
          <w:rFonts w:cstheme="minorHAnsi"/>
        </w:rPr>
        <w:t>·</w:t>
      </w:r>
      <w:r w:rsidR="005A4F04">
        <w:t>1</w:t>
      </w:r>
      <w:r>
        <w:t xml:space="preserve">, 95%CI </w:t>
      </w:r>
      <w:r w:rsidR="005A4F04">
        <w:t>0</w:t>
      </w:r>
      <w:r w:rsidR="009B160E">
        <w:rPr>
          <w:rFonts w:cstheme="minorHAnsi"/>
        </w:rPr>
        <w:t>·</w:t>
      </w:r>
      <w:r w:rsidR="005A4F04">
        <w:t>5 to 2</w:t>
      </w:r>
      <w:r w:rsidR="009B160E">
        <w:rPr>
          <w:rFonts w:cstheme="minorHAnsi"/>
        </w:rPr>
        <w:t>·</w:t>
      </w:r>
      <w:r w:rsidR="005A4F04">
        <w:t>7</w:t>
      </w:r>
      <w:r>
        <w:t>; p=0</w:t>
      </w:r>
      <w:r w:rsidR="009B160E">
        <w:rPr>
          <w:rFonts w:cstheme="minorHAnsi"/>
        </w:rPr>
        <w:t>·</w:t>
      </w:r>
      <w:r>
        <w:t xml:space="preserve">77; table 3).  </w:t>
      </w:r>
      <w:r w:rsidR="00C93994">
        <w:t xml:space="preserve">During hospitalisation, </w:t>
      </w:r>
      <w:r>
        <w:t>70 (70%) of 100</w:t>
      </w:r>
      <w:r w:rsidR="003A08D7">
        <w:t xml:space="preserve"> influenza-</w:t>
      </w:r>
      <w:r w:rsidR="005B06E0">
        <w:t xml:space="preserve">infected patients in the </w:t>
      </w:r>
      <w:r w:rsidR="008B653E">
        <w:t>m</w:t>
      </w:r>
      <w:r w:rsidR="005B06E0">
        <w:t>POCT group were correctly nursed in single roo</w:t>
      </w:r>
      <w:r>
        <w:t>m accommodation versus 39 (38%) of 102 in the control group (relative risk 1</w:t>
      </w:r>
      <w:r w:rsidR="009B160E">
        <w:rPr>
          <w:rFonts w:cstheme="minorHAnsi"/>
        </w:rPr>
        <w:t>·</w:t>
      </w:r>
      <w:r>
        <w:t>8, 95%CI 1</w:t>
      </w:r>
      <w:r w:rsidR="009B160E">
        <w:rPr>
          <w:rFonts w:cstheme="minorHAnsi"/>
        </w:rPr>
        <w:t>·</w:t>
      </w:r>
      <w:r>
        <w:t>4 to 2</w:t>
      </w:r>
      <w:r w:rsidR="009B160E">
        <w:rPr>
          <w:rFonts w:cstheme="minorHAnsi"/>
        </w:rPr>
        <w:t>·</w:t>
      </w:r>
      <w:r>
        <w:t xml:space="preserve">4; </w:t>
      </w:r>
      <w:r w:rsidR="005B06E0">
        <w:t>p&lt;0</w:t>
      </w:r>
      <w:r w:rsidR="009B160E">
        <w:rPr>
          <w:rFonts w:cstheme="minorHAnsi"/>
        </w:rPr>
        <w:t>·</w:t>
      </w:r>
      <w:r w:rsidR="005B06E0">
        <w:t>0001</w:t>
      </w:r>
      <w:r>
        <w:t>; table 3)</w:t>
      </w:r>
      <w:r w:rsidR="005B06E0">
        <w:t>. Excluding those patients rapidly discharged on the same day as admitted or nursed in an area without single room accom</w:t>
      </w:r>
      <w:r>
        <w:t>modation</w:t>
      </w:r>
      <w:r w:rsidR="002C372D">
        <w:t xml:space="preserve"> (such as high dependency areas)</w:t>
      </w:r>
      <w:r>
        <w:t xml:space="preserve">, 70 (92%) of 76 </w:t>
      </w:r>
      <w:r w:rsidR="003A08D7">
        <w:t>influenza-</w:t>
      </w:r>
      <w:r w:rsidR="005B06E0">
        <w:t xml:space="preserve">infected patients in the </w:t>
      </w:r>
      <w:r w:rsidR="008B653E">
        <w:t>m</w:t>
      </w:r>
      <w:r w:rsidR="005B06E0">
        <w:t>POCT group were</w:t>
      </w:r>
      <w:r w:rsidR="005B06E0" w:rsidRPr="00432CA7">
        <w:t xml:space="preserve"> </w:t>
      </w:r>
      <w:r w:rsidR="005B06E0">
        <w:t>correctly nursed</w:t>
      </w:r>
      <w:r w:rsidR="005B06E0" w:rsidRPr="00432CA7">
        <w:t xml:space="preserve"> in single room accommodation</w:t>
      </w:r>
      <w:r>
        <w:t xml:space="preserve"> versus 39 (43%) of 90 in the control group</w:t>
      </w:r>
      <w:r w:rsidR="005B06E0">
        <w:t xml:space="preserve"> </w:t>
      </w:r>
      <w:r>
        <w:t>(relative risk 2</w:t>
      </w:r>
      <w:r w:rsidR="009B160E">
        <w:rPr>
          <w:rFonts w:cstheme="minorHAnsi"/>
        </w:rPr>
        <w:t>·</w:t>
      </w:r>
      <w:r>
        <w:t>1, 95%CI 1</w:t>
      </w:r>
      <w:r w:rsidR="009B160E">
        <w:rPr>
          <w:rFonts w:cstheme="minorHAnsi"/>
        </w:rPr>
        <w:t>·</w:t>
      </w:r>
      <w:r>
        <w:t>7 to 2</w:t>
      </w:r>
      <w:r w:rsidR="009B160E">
        <w:rPr>
          <w:rFonts w:cstheme="minorHAnsi"/>
        </w:rPr>
        <w:t>·</w:t>
      </w:r>
      <w:r>
        <w:t>8;</w:t>
      </w:r>
      <w:r w:rsidR="005B06E0">
        <w:t xml:space="preserve"> p&lt;0</w:t>
      </w:r>
      <w:r w:rsidR="009B160E">
        <w:rPr>
          <w:rFonts w:cstheme="minorHAnsi"/>
        </w:rPr>
        <w:t>·</w:t>
      </w:r>
      <w:r w:rsidR="005B06E0">
        <w:t>0001</w:t>
      </w:r>
      <w:r>
        <w:t>)</w:t>
      </w:r>
      <w:r w:rsidR="005B06E0">
        <w:t>.</w:t>
      </w:r>
      <w:r w:rsidR="00810CB6">
        <w:t xml:space="preserve"> </w:t>
      </w:r>
      <w:r>
        <w:t>P</w:t>
      </w:r>
      <w:r w:rsidR="005B06E0">
        <w:t>atients were is</w:t>
      </w:r>
      <w:r>
        <w:t>olated after a median (IQR) of 4</w:t>
      </w:r>
      <w:r w:rsidR="009B160E">
        <w:rPr>
          <w:rFonts w:cstheme="minorHAnsi"/>
        </w:rPr>
        <w:t>·</w:t>
      </w:r>
      <w:r>
        <w:t>5 (</w:t>
      </w:r>
      <w:r w:rsidR="008B653E">
        <w:t>1</w:t>
      </w:r>
      <w:r w:rsidR="009B160E">
        <w:rPr>
          <w:rFonts w:cstheme="minorHAnsi"/>
        </w:rPr>
        <w:t>·</w:t>
      </w:r>
      <w:r w:rsidR="008B653E">
        <w:t>9 to 9</w:t>
      </w:r>
      <w:r w:rsidR="009B160E">
        <w:rPr>
          <w:rFonts w:cstheme="minorHAnsi"/>
        </w:rPr>
        <w:t>·</w:t>
      </w:r>
      <w:r w:rsidR="008B653E">
        <w:t>8</w:t>
      </w:r>
      <w:r>
        <w:t xml:space="preserve">) </w:t>
      </w:r>
      <w:r w:rsidR="005B06E0">
        <w:t>ho</w:t>
      </w:r>
      <w:r w:rsidR="008B653E">
        <w:t xml:space="preserve">urs </w:t>
      </w:r>
      <w:r>
        <w:t>in the mPOCT group verses 25</w:t>
      </w:r>
      <w:r w:rsidR="009B160E">
        <w:rPr>
          <w:rFonts w:cstheme="minorHAnsi"/>
        </w:rPr>
        <w:t>·</w:t>
      </w:r>
      <w:r>
        <w:t>0 (</w:t>
      </w:r>
      <w:r w:rsidR="008B653E">
        <w:t>3</w:t>
      </w:r>
      <w:r w:rsidR="009B160E">
        <w:rPr>
          <w:rFonts w:cstheme="minorHAnsi"/>
        </w:rPr>
        <w:t>·</w:t>
      </w:r>
      <w:r w:rsidR="008B653E">
        <w:t xml:space="preserve">6 </w:t>
      </w:r>
      <w:r w:rsidR="005B06E0">
        <w:t>to 45</w:t>
      </w:r>
      <w:r w:rsidR="009B160E">
        <w:rPr>
          <w:rFonts w:cstheme="minorHAnsi"/>
        </w:rPr>
        <w:t>·</w:t>
      </w:r>
      <w:r w:rsidR="008B653E">
        <w:t>0</w:t>
      </w:r>
      <w:r>
        <w:t xml:space="preserve">) </w:t>
      </w:r>
      <w:r w:rsidR="005B06E0">
        <w:t xml:space="preserve">hours in the control group, </w:t>
      </w:r>
      <w:r>
        <w:t>(</w:t>
      </w:r>
      <w:r w:rsidR="005B06E0">
        <w:t>difference of 20</w:t>
      </w:r>
      <w:r w:rsidR="009B160E">
        <w:rPr>
          <w:rFonts w:cstheme="minorHAnsi"/>
        </w:rPr>
        <w:t>·</w:t>
      </w:r>
      <w:r w:rsidR="008B653E">
        <w:t>0</w:t>
      </w:r>
      <w:r>
        <w:t xml:space="preserve"> hours, </w:t>
      </w:r>
      <w:r w:rsidR="005B06E0">
        <w:t>95%CI 6</w:t>
      </w:r>
      <w:r w:rsidR="009B160E">
        <w:rPr>
          <w:rFonts w:cstheme="minorHAnsi"/>
        </w:rPr>
        <w:t>·</w:t>
      </w:r>
      <w:r w:rsidR="008B653E">
        <w:t>0</w:t>
      </w:r>
      <w:r w:rsidR="005B06E0">
        <w:t xml:space="preserve"> to 26</w:t>
      </w:r>
      <w:r w:rsidR="009B160E">
        <w:rPr>
          <w:rFonts w:cstheme="minorHAnsi"/>
        </w:rPr>
        <w:t>·</w:t>
      </w:r>
      <w:r w:rsidR="008B653E">
        <w:t>0</w:t>
      </w:r>
      <w:r>
        <w:t xml:space="preserve">; </w:t>
      </w:r>
      <w:r w:rsidR="005B06E0" w:rsidRPr="008B653E">
        <w:t>p=0</w:t>
      </w:r>
      <w:r w:rsidR="009B160E">
        <w:rPr>
          <w:rFonts w:cstheme="minorHAnsi"/>
        </w:rPr>
        <w:t>·</w:t>
      </w:r>
      <w:r w:rsidR="005B06E0" w:rsidRPr="008B653E">
        <w:t>0003</w:t>
      </w:r>
      <w:r>
        <w:t>; table 3 and figure 3). Influenza-</w:t>
      </w:r>
      <w:r w:rsidR="005B06E0" w:rsidRPr="008B653E">
        <w:t xml:space="preserve">infected </w:t>
      </w:r>
      <w:r w:rsidR="005B06E0" w:rsidRPr="008B653E">
        <w:lastRenderedPageBreak/>
        <w:t>patients not initially isol</w:t>
      </w:r>
      <w:r w:rsidR="00F7225C">
        <w:t xml:space="preserve">ated, </w:t>
      </w:r>
      <w:r>
        <w:t>were isolated after a median (IQR) of 5</w:t>
      </w:r>
      <w:r w:rsidR="003230B4">
        <w:rPr>
          <w:rFonts w:cstheme="minorHAnsi"/>
        </w:rPr>
        <w:t>·</w:t>
      </w:r>
      <w:r>
        <w:t>0 (</w:t>
      </w:r>
      <w:r w:rsidR="005B06E0" w:rsidRPr="008B653E">
        <w:t>2</w:t>
      </w:r>
      <w:r w:rsidR="003230B4">
        <w:rPr>
          <w:rFonts w:cstheme="minorHAnsi"/>
        </w:rPr>
        <w:t>·</w:t>
      </w:r>
      <w:r w:rsidR="008B653E" w:rsidRPr="008B653E">
        <w:t>0</w:t>
      </w:r>
      <w:r w:rsidR="005B06E0" w:rsidRPr="008B653E">
        <w:t xml:space="preserve"> to 12</w:t>
      </w:r>
      <w:r w:rsidR="003230B4">
        <w:rPr>
          <w:rFonts w:cstheme="minorHAnsi"/>
        </w:rPr>
        <w:t>·</w:t>
      </w:r>
      <w:r w:rsidR="008B653E" w:rsidRPr="008B653E">
        <w:t>0</w:t>
      </w:r>
      <w:r>
        <w:t>)</w:t>
      </w:r>
      <w:r w:rsidR="005B06E0" w:rsidRPr="008B653E">
        <w:t xml:space="preserve"> hours in the </w:t>
      </w:r>
      <w:r w:rsidR="008B653E">
        <w:t>m</w:t>
      </w:r>
      <w:r w:rsidR="005B06E0" w:rsidRPr="008B653E">
        <w:t>POCT group verses 32</w:t>
      </w:r>
      <w:r w:rsidR="003230B4">
        <w:rPr>
          <w:rFonts w:cstheme="minorHAnsi"/>
        </w:rPr>
        <w:t>·</w:t>
      </w:r>
      <w:r w:rsidR="008B653E" w:rsidRPr="008B653E">
        <w:t>0</w:t>
      </w:r>
      <w:r>
        <w:t xml:space="preserve"> (</w:t>
      </w:r>
      <w:r w:rsidR="005B06E0" w:rsidRPr="008B653E">
        <w:t>16</w:t>
      </w:r>
      <w:r w:rsidR="003230B4">
        <w:rPr>
          <w:rFonts w:cstheme="minorHAnsi"/>
        </w:rPr>
        <w:t>·</w:t>
      </w:r>
      <w:r w:rsidR="008B653E" w:rsidRPr="008B653E">
        <w:t>0</w:t>
      </w:r>
      <w:r w:rsidR="005B06E0" w:rsidRPr="008B653E">
        <w:t xml:space="preserve"> to 55</w:t>
      </w:r>
      <w:r w:rsidR="003230B4">
        <w:rPr>
          <w:rFonts w:cstheme="minorHAnsi"/>
        </w:rPr>
        <w:t>·</w:t>
      </w:r>
      <w:r w:rsidR="008B653E" w:rsidRPr="008B653E">
        <w:t>0</w:t>
      </w:r>
      <w:r>
        <w:t>) hours in the control group</w:t>
      </w:r>
      <w:r w:rsidR="005B06E0" w:rsidRPr="008B653E">
        <w:t xml:space="preserve"> </w:t>
      </w:r>
      <w:r>
        <w:t>(</w:t>
      </w:r>
      <w:r w:rsidR="005B06E0" w:rsidRPr="008B653E">
        <w:t>difference of 27</w:t>
      </w:r>
      <w:r w:rsidR="003230B4">
        <w:rPr>
          <w:rFonts w:cstheme="minorHAnsi"/>
        </w:rPr>
        <w:t>·</w:t>
      </w:r>
      <w:r w:rsidR="008B653E" w:rsidRPr="008B653E">
        <w:t>0</w:t>
      </w:r>
      <w:r>
        <w:t xml:space="preserve"> hours, </w:t>
      </w:r>
      <w:r w:rsidR="005B06E0" w:rsidRPr="008B653E">
        <w:t>95%CI 17</w:t>
      </w:r>
      <w:r w:rsidR="003230B4">
        <w:rPr>
          <w:rFonts w:cstheme="minorHAnsi"/>
        </w:rPr>
        <w:t>·</w:t>
      </w:r>
      <w:r w:rsidR="008B653E" w:rsidRPr="008B653E">
        <w:t>0</w:t>
      </w:r>
      <w:r w:rsidR="005B06E0" w:rsidRPr="008B653E">
        <w:t xml:space="preserve"> to 33</w:t>
      </w:r>
      <w:r w:rsidR="003230B4">
        <w:rPr>
          <w:rFonts w:cstheme="minorHAnsi"/>
        </w:rPr>
        <w:t>·</w:t>
      </w:r>
      <w:r w:rsidR="008B653E" w:rsidRPr="008B653E">
        <w:t>0</w:t>
      </w:r>
      <w:r>
        <w:t xml:space="preserve">; </w:t>
      </w:r>
      <w:r w:rsidR="005B06E0" w:rsidRPr="008B653E">
        <w:t>p&lt;0</w:t>
      </w:r>
      <w:r w:rsidR="003230B4">
        <w:rPr>
          <w:rFonts w:cstheme="minorHAnsi"/>
        </w:rPr>
        <w:t>·</w:t>
      </w:r>
      <w:r w:rsidR="005B06E0" w:rsidRPr="008B653E">
        <w:t>0001</w:t>
      </w:r>
      <w:r>
        <w:t xml:space="preserve">; </w:t>
      </w:r>
      <w:r w:rsidRPr="00A56829">
        <w:t>table 3</w:t>
      </w:r>
      <w:r w:rsidR="007257E3" w:rsidRPr="00A56829">
        <w:t>, appendix p</w:t>
      </w:r>
      <w:r w:rsidR="001D62B2" w:rsidRPr="00A56829">
        <w:t>6</w:t>
      </w:r>
      <w:r w:rsidRPr="00A56829">
        <w:t>)</w:t>
      </w:r>
      <w:r w:rsidR="005B06E0" w:rsidRPr="00A56829">
        <w:t>.</w:t>
      </w:r>
      <w:r w:rsidR="00E814CF" w:rsidRPr="00A56829">
        <w:t xml:space="preserve"> </w:t>
      </w:r>
    </w:p>
    <w:p w:rsidR="00810CB6" w:rsidRDefault="00810CB6" w:rsidP="00810CB6">
      <w:pPr>
        <w:spacing w:after="0" w:line="480" w:lineRule="auto"/>
        <w:jc w:val="both"/>
      </w:pPr>
    </w:p>
    <w:p w:rsidR="00810CB6" w:rsidRDefault="005A4F04" w:rsidP="00810CB6">
      <w:pPr>
        <w:spacing w:after="0" w:line="480" w:lineRule="auto"/>
        <w:jc w:val="both"/>
      </w:pPr>
      <w:r>
        <w:t xml:space="preserve">90 (90%) of 100 </w:t>
      </w:r>
      <w:r w:rsidR="003A08D7">
        <w:t>influenza-</w:t>
      </w:r>
      <w:r w:rsidR="005F0442" w:rsidRPr="005F0442">
        <w:t xml:space="preserve">infected patients received antibiotics in </w:t>
      </w:r>
      <w:r w:rsidR="00741898">
        <w:t xml:space="preserve">the </w:t>
      </w:r>
      <w:r w:rsidR="008B653E">
        <w:t>m</w:t>
      </w:r>
      <w:r>
        <w:t>POCT group versus 98 (96%) of 102</w:t>
      </w:r>
      <w:r w:rsidR="005F0442" w:rsidRPr="005F0442">
        <w:t xml:space="preserve"> in</w:t>
      </w:r>
      <w:r>
        <w:t xml:space="preserve"> the control group (</w:t>
      </w:r>
      <w:r w:rsidR="005F0442" w:rsidRPr="005F0442">
        <w:t>relative risk 0</w:t>
      </w:r>
      <w:r w:rsidR="003230B4">
        <w:rPr>
          <w:rFonts w:cstheme="minorHAnsi"/>
        </w:rPr>
        <w:t>·</w:t>
      </w:r>
      <w:r>
        <w:t>9, 95%CI 0</w:t>
      </w:r>
      <w:r w:rsidR="003230B4">
        <w:rPr>
          <w:rFonts w:cstheme="minorHAnsi"/>
        </w:rPr>
        <w:t>·</w:t>
      </w:r>
      <w:r>
        <w:t>9 to 1</w:t>
      </w:r>
      <w:r w:rsidR="003230B4">
        <w:rPr>
          <w:rFonts w:cstheme="minorHAnsi"/>
        </w:rPr>
        <w:t>·</w:t>
      </w:r>
      <w:r>
        <w:t xml:space="preserve">0; </w:t>
      </w:r>
      <w:r w:rsidR="00741898">
        <w:t>p=0</w:t>
      </w:r>
      <w:r w:rsidR="003230B4">
        <w:rPr>
          <w:rFonts w:cstheme="minorHAnsi"/>
        </w:rPr>
        <w:t>·</w:t>
      </w:r>
      <w:r w:rsidR="00741898">
        <w:t>0</w:t>
      </w:r>
      <w:r>
        <w:t>8</w:t>
      </w:r>
      <w:r w:rsidR="00741898">
        <w:t>9</w:t>
      </w:r>
      <w:r>
        <w:t>; table 3). Patients in the mP</w:t>
      </w:r>
      <w:r w:rsidR="005F0442" w:rsidRPr="005F0442">
        <w:t>OCT g</w:t>
      </w:r>
      <w:r w:rsidR="00741898">
        <w:t>roup received antibiotic</w:t>
      </w:r>
      <w:r>
        <w:t>s</w:t>
      </w:r>
      <w:r w:rsidR="00741898">
        <w:t xml:space="preserve"> for </w:t>
      </w:r>
      <w:r>
        <w:t>a median (IQR) of 6</w:t>
      </w:r>
      <w:r w:rsidR="003230B4">
        <w:rPr>
          <w:rFonts w:cstheme="minorHAnsi"/>
        </w:rPr>
        <w:t>·</w:t>
      </w:r>
      <w:r>
        <w:t>1 (4</w:t>
      </w:r>
      <w:r w:rsidR="003230B4">
        <w:rPr>
          <w:rFonts w:cstheme="minorHAnsi"/>
        </w:rPr>
        <w:t>·</w:t>
      </w:r>
      <w:r>
        <w:t>1 to 7</w:t>
      </w:r>
      <w:r w:rsidR="003230B4">
        <w:rPr>
          <w:rFonts w:cstheme="minorHAnsi"/>
        </w:rPr>
        <w:t>·</w:t>
      </w:r>
      <w:r>
        <w:t>2) days versus 5</w:t>
      </w:r>
      <w:r w:rsidR="003230B4">
        <w:rPr>
          <w:rFonts w:cstheme="minorHAnsi"/>
        </w:rPr>
        <w:t>·</w:t>
      </w:r>
      <w:r>
        <w:t>8 (</w:t>
      </w:r>
      <w:r w:rsidR="00741898">
        <w:t>4</w:t>
      </w:r>
      <w:r w:rsidR="003230B4">
        <w:rPr>
          <w:rFonts w:cstheme="minorHAnsi"/>
        </w:rPr>
        <w:t>·</w:t>
      </w:r>
      <w:r w:rsidR="00741898">
        <w:t>2 to 7</w:t>
      </w:r>
      <w:r w:rsidR="003230B4">
        <w:rPr>
          <w:rFonts w:cstheme="minorHAnsi"/>
        </w:rPr>
        <w:t>·</w:t>
      </w:r>
      <w:r w:rsidR="00741898">
        <w:t>4</w:t>
      </w:r>
      <w:r>
        <w:t>) days in the control group (</w:t>
      </w:r>
      <w:r w:rsidR="005F0442" w:rsidRPr="005F0442">
        <w:t xml:space="preserve">difference </w:t>
      </w:r>
      <w:r>
        <w:t>-0</w:t>
      </w:r>
      <w:r w:rsidR="003230B4">
        <w:rPr>
          <w:rFonts w:cstheme="minorHAnsi"/>
        </w:rPr>
        <w:t>·</w:t>
      </w:r>
      <w:r>
        <w:t>3, 95%CI -0</w:t>
      </w:r>
      <w:r w:rsidR="003230B4">
        <w:rPr>
          <w:rFonts w:cstheme="minorHAnsi"/>
        </w:rPr>
        <w:t>·</w:t>
      </w:r>
      <w:r>
        <w:t>8 to 0</w:t>
      </w:r>
      <w:r w:rsidR="003230B4">
        <w:rPr>
          <w:rFonts w:cstheme="minorHAnsi"/>
        </w:rPr>
        <w:t>·</w:t>
      </w:r>
      <w:r>
        <w:t xml:space="preserve">8; </w:t>
      </w:r>
      <w:r w:rsidR="004B3ED5">
        <w:t>p=0</w:t>
      </w:r>
      <w:r w:rsidR="003230B4">
        <w:rPr>
          <w:rFonts w:cstheme="minorHAnsi"/>
        </w:rPr>
        <w:t>·</w:t>
      </w:r>
      <w:r w:rsidR="004B3ED5">
        <w:t>96</w:t>
      </w:r>
      <w:r>
        <w:t>; table 3). 13 (14%) of 90</w:t>
      </w:r>
      <w:r w:rsidR="005F0442" w:rsidRPr="005F0442">
        <w:t xml:space="preserve"> patients in the </w:t>
      </w:r>
      <w:r w:rsidR="008B653E">
        <w:t>m</w:t>
      </w:r>
      <w:r w:rsidR="005F0442" w:rsidRPr="005F0442">
        <w:t xml:space="preserve">POCT group received antibiotics </w:t>
      </w:r>
      <w:r>
        <w:t>for less than 24 hours versus 7 (7%) of 98 in the control group (</w:t>
      </w:r>
      <w:r w:rsidR="005F0442" w:rsidRPr="005F0442">
        <w:t xml:space="preserve">relative risk </w:t>
      </w:r>
      <w:r>
        <w:t>0</w:t>
      </w:r>
      <w:r w:rsidR="003230B4">
        <w:rPr>
          <w:rFonts w:cstheme="minorHAnsi"/>
        </w:rPr>
        <w:t>·</w:t>
      </w:r>
      <w:r>
        <w:t>9, 95%CI 0</w:t>
      </w:r>
      <w:r w:rsidR="003230B4">
        <w:rPr>
          <w:rFonts w:cstheme="minorHAnsi"/>
        </w:rPr>
        <w:t>·</w:t>
      </w:r>
      <w:r>
        <w:t>8 to 1</w:t>
      </w:r>
      <w:r w:rsidR="003230B4">
        <w:rPr>
          <w:rFonts w:cstheme="minorHAnsi"/>
        </w:rPr>
        <w:t>·</w:t>
      </w:r>
      <w:r>
        <w:t xml:space="preserve">1; </w:t>
      </w:r>
      <w:r w:rsidR="004B3ED5">
        <w:t>p=0</w:t>
      </w:r>
      <w:r w:rsidR="003230B4">
        <w:rPr>
          <w:rFonts w:cstheme="minorHAnsi"/>
        </w:rPr>
        <w:t>·</w:t>
      </w:r>
      <w:r w:rsidR="004B3ED5">
        <w:t>10</w:t>
      </w:r>
      <w:r>
        <w:t>; table 3)</w:t>
      </w:r>
      <w:r w:rsidR="006929E6">
        <w:t>.</w:t>
      </w:r>
    </w:p>
    <w:p w:rsidR="00810CB6" w:rsidRDefault="00810CB6" w:rsidP="00810CB6">
      <w:pPr>
        <w:spacing w:after="0" w:line="480" w:lineRule="auto"/>
        <w:jc w:val="both"/>
      </w:pPr>
    </w:p>
    <w:p w:rsidR="004C35B1" w:rsidRDefault="003A08D7" w:rsidP="005F0442">
      <w:pPr>
        <w:spacing w:after="0" w:line="480" w:lineRule="auto"/>
        <w:jc w:val="both"/>
        <w:rPr>
          <w:rFonts w:cstheme="minorHAnsi"/>
        </w:rPr>
      </w:pPr>
      <w:r>
        <w:t>Influenza-</w:t>
      </w:r>
      <w:r w:rsidR="00267F14">
        <w:t xml:space="preserve">infected patients </w:t>
      </w:r>
      <w:r w:rsidR="004C66C9">
        <w:t xml:space="preserve">were hospitalised </w:t>
      </w:r>
      <w:r w:rsidR="00C93994">
        <w:t>for a median (IQR</w:t>
      </w:r>
      <w:r w:rsidR="005A4F04">
        <w:t>) of 2</w:t>
      </w:r>
      <w:r w:rsidR="003230B4">
        <w:rPr>
          <w:rFonts w:cstheme="minorHAnsi"/>
        </w:rPr>
        <w:t>·</w:t>
      </w:r>
      <w:r w:rsidR="005A4F04">
        <w:t>7 (</w:t>
      </w:r>
      <w:r w:rsidR="004B3ED5">
        <w:t>1</w:t>
      </w:r>
      <w:r w:rsidR="003230B4">
        <w:rPr>
          <w:rFonts w:cstheme="minorHAnsi"/>
        </w:rPr>
        <w:t>·</w:t>
      </w:r>
      <w:r w:rsidR="004B3ED5">
        <w:t>1 to 4</w:t>
      </w:r>
      <w:r w:rsidR="003230B4">
        <w:rPr>
          <w:rFonts w:cstheme="minorHAnsi"/>
        </w:rPr>
        <w:t>·</w:t>
      </w:r>
      <w:r w:rsidR="004B3ED5">
        <w:t>2</w:t>
      </w:r>
      <w:r w:rsidR="005A4F04">
        <w:t>)</w:t>
      </w:r>
      <w:r w:rsidR="00267F14">
        <w:t xml:space="preserve"> d</w:t>
      </w:r>
      <w:r w:rsidR="004B3ED5">
        <w:t xml:space="preserve">ays in the </w:t>
      </w:r>
      <w:r w:rsidR="008B653E">
        <w:t>m</w:t>
      </w:r>
      <w:r w:rsidR="004B3ED5">
        <w:t>P</w:t>
      </w:r>
      <w:r w:rsidR="005A4F04">
        <w:t>OCT group versus 2</w:t>
      </w:r>
      <w:r w:rsidR="003230B4">
        <w:rPr>
          <w:rFonts w:cstheme="minorHAnsi"/>
        </w:rPr>
        <w:t>·</w:t>
      </w:r>
      <w:r w:rsidR="005A4F04">
        <w:t>7 (</w:t>
      </w:r>
      <w:r w:rsidR="004B3ED5">
        <w:t>1</w:t>
      </w:r>
      <w:r w:rsidR="003230B4">
        <w:rPr>
          <w:rFonts w:cstheme="minorHAnsi"/>
        </w:rPr>
        <w:t>·</w:t>
      </w:r>
      <w:r w:rsidR="004B3ED5">
        <w:t>1 to 5</w:t>
      </w:r>
      <w:r w:rsidR="003230B4">
        <w:rPr>
          <w:rFonts w:cstheme="minorHAnsi"/>
        </w:rPr>
        <w:t>·</w:t>
      </w:r>
      <w:r w:rsidR="004B3ED5">
        <w:t>4</w:t>
      </w:r>
      <w:r w:rsidR="005A4F04">
        <w:t>)</w:t>
      </w:r>
      <w:r w:rsidR="00267F14">
        <w:t xml:space="preserve"> days in the c</w:t>
      </w:r>
      <w:r w:rsidR="005A4F04">
        <w:t>ontrol group (difference of 0</w:t>
      </w:r>
      <w:r w:rsidR="003230B4">
        <w:rPr>
          <w:rFonts w:cstheme="minorHAnsi"/>
        </w:rPr>
        <w:t>·</w:t>
      </w:r>
      <w:r w:rsidR="005A4F04">
        <w:t>0 days, 95%CI -0</w:t>
      </w:r>
      <w:r w:rsidR="003230B4">
        <w:rPr>
          <w:rFonts w:cstheme="minorHAnsi"/>
        </w:rPr>
        <w:t>·</w:t>
      </w:r>
      <w:r w:rsidR="005A4F04">
        <w:t>4 to 1</w:t>
      </w:r>
      <w:r w:rsidR="003230B4">
        <w:rPr>
          <w:rFonts w:cstheme="minorHAnsi"/>
        </w:rPr>
        <w:t>·</w:t>
      </w:r>
      <w:r w:rsidR="005A4F04">
        <w:t>0;</w:t>
      </w:r>
      <w:r w:rsidR="004B3ED5">
        <w:t xml:space="preserve"> p=0</w:t>
      </w:r>
      <w:r w:rsidR="003230B4">
        <w:rPr>
          <w:rFonts w:cstheme="minorHAnsi"/>
        </w:rPr>
        <w:t>·</w:t>
      </w:r>
      <w:r w:rsidR="004B3ED5">
        <w:t>37</w:t>
      </w:r>
      <w:r w:rsidR="005A4F04">
        <w:t>; table 3)</w:t>
      </w:r>
      <w:r w:rsidR="00267F14">
        <w:t xml:space="preserve">. </w:t>
      </w:r>
      <w:r w:rsidR="009B160E" w:rsidRPr="009B160E">
        <w:t>The hospital recovery scale (HRS) is an ordinal categorical scale used to assess patient outcome in interventional influenza trials, at various time poin</w:t>
      </w:r>
      <w:r w:rsidR="002555E9">
        <w:t>ts (full details in appendix p2</w:t>
      </w:r>
      <w:r w:rsidR="009B160E" w:rsidRPr="009B160E">
        <w:t xml:space="preserve">) with a higher score denoting a worse outcome. Median HRS score at 7 days post admission was lower in the mPOCT group verses the </w:t>
      </w:r>
      <w:r w:rsidR="009B160E" w:rsidRPr="00A56829">
        <w:t>control group (p=0</w:t>
      </w:r>
      <w:r w:rsidR="003230B4" w:rsidRPr="00A56829">
        <w:rPr>
          <w:rFonts w:cstheme="minorHAnsi"/>
        </w:rPr>
        <w:t>·</w:t>
      </w:r>
      <w:r w:rsidR="001D62B2" w:rsidRPr="00A56829">
        <w:t>045, appendix p7</w:t>
      </w:r>
      <w:r w:rsidR="009B160E" w:rsidRPr="00A56829">
        <w:t xml:space="preserve">). </w:t>
      </w:r>
      <w:r w:rsidR="00E255DA" w:rsidRPr="00A56829">
        <w:t>Median</w:t>
      </w:r>
      <w:r w:rsidR="005A4F04" w:rsidRPr="00A56829">
        <w:t xml:space="preserve"> (IQR)</w:t>
      </w:r>
      <w:r w:rsidR="00E255DA" w:rsidRPr="00A56829">
        <w:t xml:space="preserve"> t</w:t>
      </w:r>
      <w:r w:rsidR="00C431E5" w:rsidRPr="00A56829">
        <w:t>ime to clinical improvement (TTCI</w:t>
      </w:r>
      <w:r w:rsidR="005A4F04" w:rsidRPr="00A56829">
        <w:t xml:space="preserve">, </w:t>
      </w:r>
      <w:r w:rsidR="005F0442" w:rsidRPr="00A56829">
        <w:t xml:space="preserve">defined </w:t>
      </w:r>
      <w:r w:rsidR="002555E9" w:rsidRPr="00A56829">
        <w:t>in the appendix p2</w:t>
      </w:r>
      <w:r w:rsidR="005A4F04" w:rsidRPr="00A56829">
        <w:t xml:space="preserve">) </w:t>
      </w:r>
      <w:r w:rsidR="00C01ADA" w:rsidRPr="00A56829">
        <w:rPr>
          <w:rFonts w:cstheme="minorHAnsi"/>
        </w:rPr>
        <w:t xml:space="preserve">was </w:t>
      </w:r>
      <w:r w:rsidR="00E255DA" w:rsidRPr="00A56829">
        <w:rPr>
          <w:rFonts w:cstheme="minorHAnsi"/>
        </w:rPr>
        <w:t>8</w:t>
      </w:r>
      <w:r w:rsidR="003230B4" w:rsidRPr="00A56829">
        <w:rPr>
          <w:rFonts w:cstheme="minorHAnsi"/>
        </w:rPr>
        <w:t>·</w:t>
      </w:r>
      <w:r w:rsidR="00E255DA" w:rsidRPr="00A56829">
        <w:rPr>
          <w:rFonts w:cstheme="minorHAnsi"/>
        </w:rPr>
        <w:t>8 h</w:t>
      </w:r>
      <w:r w:rsidR="004B3ED5" w:rsidRPr="00A56829">
        <w:rPr>
          <w:rFonts w:cstheme="minorHAnsi"/>
        </w:rPr>
        <w:t xml:space="preserve">ours in the </w:t>
      </w:r>
      <w:r w:rsidR="001C7D2C" w:rsidRPr="00A56829">
        <w:rPr>
          <w:rFonts w:cstheme="minorHAnsi"/>
        </w:rPr>
        <w:t>m</w:t>
      </w:r>
      <w:r w:rsidR="004B3ED5" w:rsidRPr="00A56829">
        <w:rPr>
          <w:rFonts w:cstheme="minorHAnsi"/>
        </w:rPr>
        <w:t>POCT group versus 13</w:t>
      </w:r>
      <w:r w:rsidR="003230B4" w:rsidRPr="00A56829">
        <w:rPr>
          <w:rFonts w:cstheme="minorHAnsi"/>
        </w:rPr>
        <w:t>·</w:t>
      </w:r>
      <w:r w:rsidR="004B3ED5" w:rsidRPr="00A56829">
        <w:rPr>
          <w:rFonts w:cstheme="minorHAnsi"/>
        </w:rPr>
        <w:t>9</w:t>
      </w:r>
      <w:r w:rsidR="005A4F04" w:rsidRPr="00A56829">
        <w:rPr>
          <w:rFonts w:cstheme="minorHAnsi"/>
        </w:rPr>
        <w:t xml:space="preserve"> hours in the control group (</w:t>
      </w:r>
      <w:r w:rsidR="00E255DA" w:rsidRPr="00A56829">
        <w:rPr>
          <w:rFonts w:cstheme="minorHAnsi"/>
        </w:rPr>
        <w:t xml:space="preserve">difference of </w:t>
      </w:r>
      <w:r w:rsidR="00C431E5" w:rsidRPr="00A56829">
        <w:rPr>
          <w:rFonts w:cstheme="minorHAnsi"/>
        </w:rPr>
        <w:t>5</w:t>
      </w:r>
      <w:r w:rsidR="003230B4" w:rsidRPr="00A56829">
        <w:rPr>
          <w:rFonts w:cstheme="minorHAnsi"/>
        </w:rPr>
        <w:t>·</w:t>
      </w:r>
      <w:r w:rsidR="004B3ED5" w:rsidRPr="00A56829">
        <w:rPr>
          <w:rFonts w:cstheme="minorHAnsi"/>
        </w:rPr>
        <w:t>1</w:t>
      </w:r>
      <w:r w:rsidR="005A4F04" w:rsidRPr="00A56829">
        <w:rPr>
          <w:rFonts w:cstheme="minorHAnsi"/>
        </w:rPr>
        <w:t xml:space="preserve"> hours, </w:t>
      </w:r>
      <w:r w:rsidR="00C431E5" w:rsidRPr="00A56829">
        <w:rPr>
          <w:rFonts w:cstheme="minorHAnsi"/>
        </w:rPr>
        <w:t>95</w:t>
      </w:r>
      <w:r w:rsidR="004B3ED5" w:rsidRPr="00A56829">
        <w:rPr>
          <w:rFonts w:cstheme="minorHAnsi"/>
        </w:rPr>
        <w:t>%CI -0</w:t>
      </w:r>
      <w:r w:rsidR="003230B4" w:rsidRPr="00A56829">
        <w:rPr>
          <w:rFonts w:cstheme="minorHAnsi"/>
        </w:rPr>
        <w:t>·</w:t>
      </w:r>
      <w:r w:rsidR="004B3ED5" w:rsidRPr="00A56829">
        <w:rPr>
          <w:rFonts w:cstheme="minorHAnsi"/>
        </w:rPr>
        <w:t>3</w:t>
      </w:r>
      <w:r w:rsidR="005A4F04" w:rsidRPr="00A56829">
        <w:rPr>
          <w:rFonts w:cstheme="minorHAnsi"/>
        </w:rPr>
        <w:t xml:space="preserve"> to 9</w:t>
      </w:r>
      <w:r w:rsidR="003230B4" w:rsidRPr="00A56829">
        <w:rPr>
          <w:rFonts w:cstheme="minorHAnsi"/>
        </w:rPr>
        <w:t>·</w:t>
      </w:r>
      <w:r w:rsidR="005A4F04" w:rsidRPr="00A56829">
        <w:rPr>
          <w:rFonts w:cstheme="minorHAnsi"/>
        </w:rPr>
        <w:t>9;</w:t>
      </w:r>
      <w:r w:rsidR="00C431E5" w:rsidRPr="00A56829">
        <w:rPr>
          <w:rFonts w:cstheme="minorHAnsi"/>
        </w:rPr>
        <w:t xml:space="preserve"> p=0</w:t>
      </w:r>
      <w:r w:rsidR="003230B4" w:rsidRPr="00A56829">
        <w:rPr>
          <w:rFonts w:cstheme="minorHAnsi"/>
        </w:rPr>
        <w:t>·</w:t>
      </w:r>
      <w:r w:rsidR="00C431E5" w:rsidRPr="00A56829">
        <w:rPr>
          <w:rFonts w:cstheme="minorHAnsi"/>
        </w:rPr>
        <w:t>0</w:t>
      </w:r>
      <w:r w:rsidR="005A4F04" w:rsidRPr="00A56829">
        <w:rPr>
          <w:rFonts w:cstheme="minorHAnsi"/>
        </w:rPr>
        <w:t>7</w:t>
      </w:r>
      <w:r w:rsidR="00C431E5" w:rsidRPr="00A56829">
        <w:rPr>
          <w:rFonts w:cstheme="minorHAnsi"/>
        </w:rPr>
        <w:t>8</w:t>
      </w:r>
      <w:r w:rsidR="005A4F04" w:rsidRPr="00A56829">
        <w:rPr>
          <w:rFonts w:cstheme="minorHAnsi"/>
        </w:rPr>
        <w:t>; table 3)</w:t>
      </w:r>
      <w:r w:rsidR="00E255DA" w:rsidRPr="00A56829">
        <w:rPr>
          <w:rFonts w:cstheme="minorHAnsi"/>
        </w:rPr>
        <w:t>. Time to even</w:t>
      </w:r>
      <w:r w:rsidR="00C431E5" w:rsidRPr="00A56829">
        <w:rPr>
          <w:rFonts w:cstheme="minorHAnsi"/>
        </w:rPr>
        <w:t xml:space="preserve">t analysis </w:t>
      </w:r>
      <w:r w:rsidR="00F7225C" w:rsidRPr="00A56829">
        <w:rPr>
          <w:rFonts w:cstheme="minorHAnsi"/>
        </w:rPr>
        <w:t xml:space="preserve">showed a trend towards </w:t>
      </w:r>
      <w:r w:rsidR="00C431E5" w:rsidRPr="00A56829">
        <w:rPr>
          <w:rFonts w:cstheme="minorHAnsi"/>
        </w:rPr>
        <w:t>reduced TTCI</w:t>
      </w:r>
      <w:r w:rsidR="00E255DA" w:rsidRPr="00A56829">
        <w:rPr>
          <w:rFonts w:cstheme="minorHAnsi"/>
        </w:rPr>
        <w:t xml:space="preserve"> in the </w:t>
      </w:r>
      <w:r w:rsidR="001C7D2C" w:rsidRPr="00A56829">
        <w:rPr>
          <w:rFonts w:cstheme="minorHAnsi"/>
        </w:rPr>
        <w:t>m</w:t>
      </w:r>
      <w:r w:rsidR="00E255DA" w:rsidRPr="00A56829">
        <w:rPr>
          <w:rFonts w:cstheme="minorHAnsi"/>
        </w:rPr>
        <w:t>POCT group</w:t>
      </w:r>
      <w:r w:rsidR="004C35B1" w:rsidRPr="00A56829">
        <w:rPr>
          <w:rFonts w:cstheme="minorHAnsi"/>
        </w:rPr>
        <w:t xml:space="preserve"> compared to the control group (</w:t>
      </w:r>
      <w:r w:rsidR="00E255DA" w:rsidRPr="00A56829">
        <w:rPr>
          <w:rFonts w:cstheme="minorHAnsi"/>
        </w:rPr>
        <w:t>Log-rank test p=0</w:t>
      </w:r>
      <w:r w:rsidR="003230B4" w:rsidRPr="00A56829">
        <w:rPr>
          <w:rFonts w:cstheme="minorHAnsi"/>
        </w:rPr>
        <w:t>·</w:t>
      </w:r>
      <w:r w:rsidR="00E255DA" w:rsidRPr="00A56829">
        <w:rPr>
          <w:rFonts w:cstheme="minorHAnsi"/>
        </w:rPr>
        <w:t>05</w:t>
      </w:r>
      <w:r w:rsidR="009B160E" w:rsidRPr="00A56829">
        <w:rPr>
          <w:rFonts w:cstheme="minorHAnsi"/>
        </w:rPr>
        <w:t>6</w:t>
      </w:r>
      <w:r w:rsidR="004C35B1" w:rsidRPr="00A56829">
        <w:rPr>
          <w:rFonts w:cstheme="minorHAnsi"/>
        </w:rPr>
        <w:t>; appendix p</w:t>
      </w:r>
      <w:r w:rsidR="001D62B2" w:rsidRPr="00A56829">
        <w:rPr>
          <w:rFonts w:cstheme="minorHAnsi"/>
        </w:rPr>
        <w:t>8</w:t>
      </w:r>
      <w:r w:rsidR="009B160E" w:rsidRPr="00A56829">
        <w:rPr>
          <w:rFonts w:cstheme="minorHAnsi"/>
        </w:rPr>
        <w:t>)</w:t>
      </w:r>
      <w:r w:rsidR="00E255DA" w:rsidRPr="00A56829">
        <w:rPr>
          <w:rFonts w:cstheme="minorHAnsi"/>
        </w:rPr>
        <w:t xml:space="preserve">. </w:t>
      </w:r>
      <w:r w:rsidR="004B3ED5" w:rsidRPr="00A56829">
        <w:rPr>
          <w:rFonts w:cstheme="minorHAnsi"/>
        </w:rPr>
        <w:t>Influenza-infected patient were treat</w:t>
      </w:r>
      <w:r w:rsidR="00252B12" w:rsidRPr="00A56829">
        <w:rPr>
          <w:rFonts w:cstheme="minorHAnsi"/>
        </w:rPr>
        <w:t>ed with a median (IQR) of 32</w:t>
      </w:r>
      <w:r w:rsidR="003230B4" w:rsidRPr="00A56829">
        <w:rPr>
          <w:rFonts w:cstheme="minorHAnsi"/>
        </w:rPr>
        <w:t>·</w:t>
      </w:r>
      <w:r w:rsidR="00252B12" w:rsidRPr="00A56829">
        <w:rPr>
          <w:rFonts w:cstheme="minorHAnsi"/>
        </w:rPr>
        <w:t>0 (15</w:t>
      </w:r>
      <w:r w:rsidR="003230B4" w:rsidRPr="00A56829">
        <w:rPr>
          <w:rFonts w:cstheme="minorHAnsi"/>
        </w:rPr>
        <w:t>·</w:t>
      </w:r>
      <w:r w:rsidR="00252B12" w:rsidRPr="00A56829">
        <w:rPr>
          <w:rFonts w:cstheme="minorHAnsi"/>
        </w:rPr>
        <w:t>0 to 59</w:t>
      </w:r>
      <w:r w:rsidR="003230B4" w:rsidRPr="00A56829">
        <w:rPr>
          <w:rFonts w:cstheme="minorHAnsi"/>
        </w:rPr>
        <w:t>·</w:t>
      </w:r>
      <w:r w:rsidR="00252B12" w:rsidRPr="00A56829">
        <w:rPr>
          <w:rFonts w:cstheme="minorHAnsi"/>
        </w:rPr>
        <w:t xml:space="preserve">0) </w:t>
      </w:r>
      <w:r w:rsidR="004B3ED5" w:rsidRPr="00A56829">
        <w:rPr>
          <w:rFonts w:cstheme="minorHAnsi"/>
        </w:rPr>
        <w:t>hours of suppl</w:t>
      </w:r>
      <w:r w:rsidR="00252B12" w:rsidRPr="00A56829">
        <w:rPr>
          <w:rFonts w:cstheme="minorHAnsi"/>
        </w:rPr>
        <w:t>ementary oxygen versus 33</w:t>
      </w:r>
      <w:r w:rsidR="003230B4" w:rsidRPr="00A56829">
        <w:rPr>
          <w:rFonts w:cstheme="minorHAnsi"/>
        </w:rPr>
        <w:t>·</w:t>
      </w:r>
      <w:r w:rsidR="00252B12" w:rsidRPr="00A56829">
        <w:rPr>
          <w:rFonts w:cstheme="minorHAnsi"/>
        </w:rPr>
        <w:t>0 (14</w:t>
      </w:r>
      <w:r w:rsidR="003230B4" w:rsidRPr="00A56829">
        <w:rPr>
          <w:rFonts w:cstheme="minorHAnsi"/>
        </w:rPr>
        <w:t>·</w:t>
      </w:r>
      <w:r w:rsidR="00252B12" w:rsidRPr="00A56829">
        <w:rPr>
          <w:rFonts w:cstheme="minorHAnsi"/>
        </w:rPr>
        <w:t>0 to 81.0) hours in the control group (</w:t>
      </w:r>
      <w:r w:rsidR="009B160E" w:rsidRPr="00A56829">
        <w:rPr>
          <w:rFonts w:cstheme="minorHAnsi"/>
        </w:rPr>
        <w:t>difference of 1</w:t>
      </w:r>
      <w:r w:rsidR="003230B4" w:rsidRPr="00A56829">
        <w:rPr>
          <w:rFonts w:cstheme="minorHAnsi"/>
        </w:rPr>
        <w:t>·</w:t>
      </w:r>
      <w:r w:rsidR="009B160E" w:rsidRPr="00A56829">
        <w:rPr>
          <w:rFonts w:cstheme="minorHAnsi"/>
        </w:rPr>
        <w:t>0 hour, 95%CI -8</w:t>
      </w:r>
      <w:r w:rsidR="003230B4" w:rsidRPr="00A56829">
        <w:rPr>
          <w:rFonts w:cstheme="minorHAnsi"/>
        </w:rPr>
        <w:t>·</w:t>
      </w:r>
      <w:r w:rsidR="009B160E" w:rsidRPr="00A56829">
        <w:rPr>
          <w:rFonts w:cstheme="minorHAnsi"/>
        </w:rPr>
        <w:t>0 to 18</w:t>
      </w:r>
      <w:r w:rsidR="003230B4" w:rsidRPr="00A56829">
        <w:rPr>
          <w:rFonts w:cstheme="minorHAnsi"/>
        </w:rPr>
        <w:t>·</w:t>
      </w:r>
      <w:r w:rsidR="009B160E" w:rsidRPr="00A56829">
        <w:rPr>
          <w:rFonts w:cstheme="minorHAnsi"/>
        </w:rPr>
        <w:t xml:space="preserve">0; </w:t>
      </w:r>
      <w:r w:rsidR="004B3ED5" w:rsidRPr="00A56829">
        <w:rPr>
          <w:rFonts w:cstheme="minorHAnsi"/>
        </w:rPr>
        <w:t>p=0</w:t>
      </w:r>
      <w:r w:rsidR="003230B4" w:rsidRPr="00A56829">
        <w:rPr>
          <w:rFonts w:cstheme="minorHAnsi"/>
        </w:rPr>
        <w:t>·</w:t>
      </w:r>
      <w:r w:rsidR="004B3ED5" w:rsidRPr="00A56829">
        <w:rPr>
          <w:rFonts w:cstheme="minorHAnsi"/>
        </w:rPr>
        <w:t>48</w:t>
      </w:r>
      <w:r w:rsidR="001D62B2" w:rsidRPr="00A56829">
        <w:rPr>
          <w:rFonts w:cstheme="minorHAnsi"/>
        </w:rPr>
        <w:t>; table 3 and appendix p9</w:t>
      </w:r>
      <w:r w:rsidR="00252B12" w:rsidRPr="00A56829">
        <w:rPr>
          <w:rFonts w:cstheme="minorHAnsi"/>
        </w:rPr>
        <w:t>)</w:t>
      </w:r>
      <w:r w:rsidR="008B653E" w:rsidRPr="00A56829">
        <w:rPr>
          <w:rFonts w:cstheme="minorHAnsi"/>
        </w:rPr>
        <w:t xml:space="preserve">. </w:t>
      </w:r>
    </w:p>
    <w:p w:rsidR="009B160E" w:rsidRDefault="009B160E" w:rsidP="005F0442">
      <w:pPr>
        <w:spacing w:after="0" w:line="480" w:lineRule="auto"/>
        <w:jc w:val="both"/>
      </w:pPr>
    </w:p>
    <w:p w:rsidR="006B6C33" w:rsidRDefault="003D6CC1" w:rsidP="006B6C33">
      <w:pPr>
        <w:spacing w:after="0" w:line="480" w:lineRule="auto"/>
        <w:jc w:val="both"/>
      </w:pPr>
      <w:r>
        <w:t>19 a</w:t>
      </w:r>
      <w:r w:rsidR="005F0442">
        <w:t xml:space="preserve">dverse events </w:t>
      </w:r>
      <w:r>
        <w:t xml:space="preserve">occurred in the </w:t>
      </w:r>
      <w:r w:rsidR="004C35B1">
        <w:t xml:space="preserve">influenza-infected patients in the </w:t>
      </w:r>
      <w:r w:rsidR="001C7D2C">
        <w:t>m</w:t>
      </w:r>
      <w:r>
        <w:t>POCT group compared to 34 in the control group</w:t>
      </w:r>
      <w:r w:rsidR="004C35B1">
        <w:t xml:space="preserve"> (table 4)</w:t>
      </w:r>
      <w:r w:rsidR="00A8306C">
        <w:t xml:space="preserve">. </w:t>
      </w:r>
      <w:r w:rsidR="00741898" w:rsidRPr="00741898">
        <w:t>1 (1%)</w:t>
      </w:r>
      <w:r w:rsidR="004C35B1">
        <w:t xml:space="preserve"> of 100</w:t>
      </w:r>
      <w:r w:rsidR="00741898" w:rsidRPr="00741898">
        <w:t xml:space="preserve"> patient</w:t>
      </w:r>
      <w:r w:rsidR="004C35B1">
        <w:t>s</w:t>
      </w:r>
      <w:r w:rsidR="00741898" w:rsidRPr="00741898">
        <w:t xml:space="preserve"> was admitted to a critical care unit in the </w:t>
      </w:r>
      <w:r w:rsidR="00F46C6D">
        <w:t xml:space="preserve">mPOCT </w:t>
      </w:r>
      <w:r w:rsidR="00F46C6D">
        <w:lastRenderedPageBreak/>
        <w:t>group compared with 6 (6</w:t>
      </w:r>
      <w:r w:rsidR="00741898" w:rsidRPr="00741898">
        <w:t xml:space="preserve">%) </w:t>
      </w:r>
      <w:r w:rsidR="004C35B1">
        <w:t xml:space="preserve">of 102 </w:t>
      </w:r>
      <w:r w:rsidR="00741898" w:rsidRPr="00741898">
        <w:t xml:space="preserve">in the control group </w:t>
      </w:r>
      <w:r w:rsidR="008B653E">
        <w:t>(</w:t>
      </w:r>
      <w:r w:rsidR="004C35B1">
        <w:t>relative risk</w:t>
      </w:r>
      <w:r w:rsidR="00F46C6D">
        <w:t xml:space="preserve"> 0</w:t>
      </w:r>
      <w:r w:rsidR="003230B4">
        <w:rPr>
          <w:rFonts w:cstheme="minorHAnsi"/>
        </w:rPr>
        <w:t>·</w:t>
      </w:r>
      <w:r w:rsidR="00F46C6D">
        <w:t>2</w:t>
      </w:r>
      <w:r w:rsidR="004C35B1">
        <w:t>, 95%CI</w:t>
      </w:r>
      <w:r w:rsidR="00F46C6D">
        <w:t xml:space="preserve"> 0</w:t>
      </w:r>
      <w:r w:rsidR="003230B4">
        <w:rPr>
          <w:rFonts w:cstheme="minorHAnsi"/>
        </w:rPr>
        <w:t>·</w:t>
      </w:r>
      <w:r w:rsidR="00F46C6D">
        <w:t>1 to 1</w:t>
      </w:r>
      <w:r w:rsidR="003230B4">
        <w:rPr>
          <w:rFonts w:cstheme="minorHAnsi"/>
        </w:rPr>
        <w:t>·</w:t>
      </w:r>
      <w:r w:rsidR="00F46C6D">
        <w:t>0</w:t>
      </w:r>
      <w:r w:rsidR="004C35B1">
        <w:t xml:space="preserve">; </w:t>
      </w:r>
      <w:r w:rsidR="008B653E">
        <w:t>p</w:t>
      </w:r>
      <w:r w:rsidR="004E15EB">
        <w:t>=0</w:t>
      </w:r>
      <w:r w:rsidR="003230B4">
        <w:rPr>
          <w:rFonts w:cstheme="minorHAnsi"/>
        </w:rPr>
        <w:t>·</w:t>
      </w:r>
      <w:r w:rsidR="004E15EB">
        <w:t>058</w:t>
      </w:r>
      <w:r w:rsidR="004C35B1">
        <w:t>; table 4</w:t>
      </w:r>
      <w:r w:rsidR="00741898" w:rsidRPr="00741898">
        <w:t xml:space="preserve">). </w:t>
      </w:r>
      <w:r w:rsidR="00F46C6D">
        <w:t xml:space="preserve">No patients died </w:t>
      </w:r>
      <w:r w:rsidR="00741898" w:rsidRPr="00741898">
        <w:t>in the mPOCT group</w:t>
      </w:r>
      <w:r w:rsidR="008B653E">
        <w:t xml:space="preserve"> and </w:t>
      </w:r>
      <w:r w:rsidR="00F46C6D">
        <w:t xml:space="preserve">2 (2%) of 102 died </w:t>
      </w:r>
      <w:r w:rsidR="008B653E">
        <w:t>in the control group (p</w:t>
      </w:r>
      <w:r w:rsidR="00741898" w:rsidRPr="00741898">
        <w:t>=0</w:t>
      </w:r>
      <w:r w:rsidR="003230B4">
        <w:rPr>
          <w:rFonts w:cstheme="minorHAnsi"/>
        </w:rPr>
        <w:t>·</w:t>
      </w:r>
      <w:r w:rsidR="00741898" w:rsidRPr="00741898">
        <w:t xml:space="preserve">16). 10 </w:t>
      </w:r>
      <w:r w:rsidR="00F46C6D">
        <w:t>(10</w:t>
      </w:r>
      <w:r w:rsidR="00741898" w:rsidRPr="00741898">
        <w:t xml:space="preserve">%) </w:t>
      </w:r>
      <w:r w:rsidR="004C35B1">
        <w:t xml:space="preserve">of 100 </w:t>
      </w:r>
      <w:r w:rsidR="00741898" w:rsidRPr="00741898">
        <w:t>patients had prolonged hospitalisation (greater than 7 days) in the mPOCT group versus 20</w:t>
      </w:r>
      <w:r w:rsidR="004C35B1">
        <w:t xml:space="preserve"> (20</w:t>
      </w:r>
      <w:r w:rsidR="008B653E">
        <w:t xml:space="preserve">%) </w:t>
      </w:r>
      <w:r w:rsidR="00F46C6D">
        <w:t>of</w:t>
      </w:r>
      <w:r w:rsidR="004C35B1">
        <w:t xml:space="preserve"> 102 </w:t>
      </w:r>
      <w:r w:rsidR="008B653E">
        <w:t>in the control group (</w:t>
      </w:r>
      <w:r w:rsidR="00F46C6D">
        <w:t>relative risk 0</w:t>
      </w:r>
      <w:r w:rsidR="003230B4">
        <w:rPr>
          <w:rFonts w:cstheme="minorHAnsi"/>
        </w:rPr>
        <w:t>·</w:t>
      </w:r>
      <w:r w:rsidR="00F46C6D">
        <w:t>5, 95%CI 0</w:t>
      </w:r>
      <w:r w:rsidR="003230B4">
        <w:rPr>
          <w:rFonts w:cstheme="minorHAnsi"/>
        </w:rPr>
        <w:t>·</w:t>
      </w:r>
      <w:r w:rsidR="00F46C6D">
        <w:t>3 to 1</w:t>
      </w:r>
      <w:r w:rsidR="003230B4">
        <w:rPr>
          <w:rFonts w:cstheme="minorHAnsi"/>
        </w:rPr>
        <w:t>·</w:t>
      </w:r>
      <w:r w:rsidR="00F46C6D">
        <w:t xml:space="preserve">0; </w:t>
      </w:r>
      <w:r w:rsidR="008B653E">
        <w:t>p</w:t>
      </w:r>
      <w:r w:rsidR="00741898" w:rsidRPr="00741898">
        <w:t>=0</w:t>
      </w:r>
      <w:r w:rsidR="003230B4">
        <w:rPr>
          <w:rFonts w:cstheme="minorHAnsi"/>
        </w:rPr>
        <w:t>·</w:t>
      </w:r>
      <w:r w:rsidR="00741898" w:rsidRPr="00741898">
        <w:t>05</w:t>
      </w:r>
      <w:r w:rsidR="004E15EB">
        <w:t>5</w:t>
      </w:r>
      <w:r w:rsidR="00F46C6D">
        <w:t>; t</w:t>
      </w:r>
      <w:r w:rsidR="004C35B1">
        <w:t>able 4</w:t>
      </w:r>
      <w:r w:rsidR="00741898" w:rsidRPr="00741898">
        <w:t>).</w:t>
      </w:r>
    </w:p>
    <w:p w:rsidR="00F7225C" w:rsidRDefault="00F7225C" w:rsidP="006B6C33">
      <w:pPr>
        <w:spacing w:after="0" w:line="480" w:lineRule="auto"/>
        <w:jc w:val="both"/>
      </w:pPr>
    </w:p>
    <w:p w:rsidR="00F7225C" w:rsidRDefault="00F7225C" w:rsidP="006B6C33">
      <w:pPr>
        <w:spacing w:after="0" w:line="480" w:lineRule="auto"/>
        <w:jc w:val="both"/>
      </w:pPr>
    </w:p>
    <w:p w:rsidR="00864E84" w:rsidRPr="006B6C33" w:rsidRDefault="0091644D" w:rsidP="006B6C33">
      <w:pPr>
        <w:spacing w:after="0" w:line="480" w:lineRule="auto"/>
        <w:jc w:val="both"/>
      </w:pPr>
      <w:r w:rsidRPr="00D03127">
        <w:rPr>
          <w:b/>
          <w:bCs/>
          <w:sz w:val="32"/>
          <w:szCs w:val="32"/>
        </w:rPr>
        <w:t>Discussion</w:t>
      </w:r>
    </w:p>
    <w:p w:rsidR="003D6CC1" w:rsidRPr="00864E84" w:rsidRDefault="003D6CC1" w:rsidP="002555E9">
      <w:pPr>
        <w:spacing w:after="0" w:line="480" w:lineRule="auto"/>
        <w:jc w:val="both"/>
        <w:rPr>
          <w:b/>
          <w:bCs/>
          <w:sz w:val="32"/>
          <w:szCs w:val="32"/>
        </w:rPr>
      </w:pPr>
      <w:r>
        <w:rPr>
          <w:bCs/>
        </w:rPr>
        <w:t xml:space="preserve">The routine </w:t>
      </w:r>
      <w:r w:rsidR="00D9037E">
        <w:rPr>
          <w:bCs/>
        </w:rPr>
        <w:t xml:space="preserve">use of a molecular point-of-care ‘test and treat’ strategy </w:t>
      </w:r>
      <w:r>
        <w:rPr>
          <w:bCs/>
        </w:rPr>
        <w:t xml:space="preserve">for influenza during influenza season led to </w:t>
      </w:r>
      <w:r w:rsidR="000E1CCA">
        <w:rPr>
          <w:bCs/>
        </w:rPr>
        <w:t>improved detection of influenza-</w:t>
      </w:r>
      <w:r>
        <w:rPr>
          <w:bCs/>
        </w:rPr>
        <w:t xml:space="preserve">infected patients admitted to hospital and </w:t>
      </w:r>
      <w:r w:rsidR="00131BE2">
        <w:rPr>
          <w:bCs/>
        </w:rPr>
        <w:t xml:space="preserve">the </w:t>
      </w:r>
      <w:r>
        <w:rPr>
          <w:bCs/>
        </w:rPr>
        <w:t xml:space="preserve">delivery of results in </w:t>
      </w:r>
      <w:r w:rsidR="00FD06E3">
        <w:rPr>
          <w:bCs/>
        </w:rPr>
        <w:t>near real-</w:t>
      </w:r>
      <w:r>
        <w:rPr>
          <w:bCs/>
        </w:rPr>
        <w:t>time</w:t>
      </w:r>
      <w:r w:rsidR="0051715D">
        <w:rPr>
          <w:bCs/>
        </w:rPr>
        <w:t xml:space="preserve"> to clinical and infection control teams</w:t>
      </w:r>
      <w:r>
        <w:rPr>
          <w:bCs/>
        </w:rPr>
        <w:t xml:space="preserve">.  NAI use and isolation facility use were improved </w:t>
      </w:r>
      <w:r w:rsidR="0051715D">
        <w:rPr>
          <w:bCs/>
        </w:rPr>
        <w:t xml:space="preserve">by mPOCT </w:t>
      </w:r>
      <w:r w:rsidR="000E1CCA">
        <w:rPr>
          <w:bCs/>
        </w:rPr>
        <w:t>so that influenza-</w:t>
      </w:r>
      <w:r>
        <w:rPr>
          <w:bCs/>
        </w:rPr>
        <w:t>infected patients were rapidly treated with antivirals and appropriately isolated</w:t>
      </w:r>
      <w:r w:rsidR="00131BE2">
        <w:rPr>
          <w:bCs/>
        </w:rPr>
        <w:t xml:space="preserve">. </w:t>
      </w:r>
      <w:r w:rsidR="00A8306C">
        <w:rPr>
          <w:bCs/>
        </w:rPr>
        <w:t>In addition r</w:t>
      </w:r>
      <w:r w:rsidR="00131BE2">
        <w:rPr>
          <w:bCs/>
        </w:rPr>
        <w:t>outine mPOCT</w:t>
      </w:r>
      <w:r w:rsidR="00FD06E3">
        <w:rPr>
          <w:bCs/>
        </w:rPr>
        <w:t xml:space="preserve"> was </w:t>
      </w:r>
      <w:r w:rsidR="00D9037E">
        <w:rPr>
          <w:bCs/>
        </w:rPr>
        <w:t xml:space="preserve">also </w:t>
      </w:r>
      <w:r w:rsidR="00FD06E3">
        <w:rPr>
          <w:bCs/>
        </w:rPr>
        <w:t xml:space="preserve">associated with improvements in </w:t>
      </w:r>
      <w:r w:rsidR="00D9037E">
        <w:rPr>
          <w:bCs/>
        </w:rPr>
        <w:t xml:space="preserve">some </w:t>
      </w:r>
      <w:r w:rsidR="000E1CCA">
        <w:rPr>
          <w:bCs/>
        </w:rPr>
        <w:t xml:space="preserve">clinical outcomes </w:t>
      </w:r>
      <w:r w:rsidR="00D9037E">
        <w:rPr>
          <w:bCs/>
        </w:rPr>
        <w:t>measures in</w:t>
      </w:r>
      <w:r w:rsidR="000E1CCA">
        <w:rPr>
          <w:bCs/>
        </w:rPr>
        <w:t xml:space="preserve"> influenza-</w:t>
      </w:r>
      <w:r w:rsidR="00FD06E3">
        <w:rPr>
          <w:bCs/>
        </w:rPr>
        <w:t>infected p</w:t>
      </w:r>
      <w:r w:rsidR="00D9037E">
        <w:rPr>
          <w:bCs/>
        </w:rPr>
        <w:t xml:space="preserve">atients, </w:t>
      </w:r>
      <w:r w:rsidR="00FD06E3">
        <w:rPr>
          <w:bCs/>
        </w:rPr>
        <w:t xml:space="preserve">including </w:t>
      </w:r>
      <w:r w:rsidR="00131BE2">
        <w:rPr>
          <w:bCs/>
        </w:rPr>
        <w:t xml:space="preserve">a </w:t>
      </w:r>
      <w:r w:rsidR="00F7225C">
        <w:rPr>
          <w:bCs/>
        </w:rPr>
        <w:t>more rapid recovery.</w:t>
      </w:r>
    </w:p>
    <w:p w:rsidR="0051715D" w:rsidRDefault="0051715D" w:rsidP="0051715D">
      <w:pPr>
        <w:spacing w:after="0" w:line="480" w:lineRule="auto"/>
        <w:jc w:val="both"/>
        <w:rPr>
          <w:bCs/>
        </w:rPr>
      </w:pPr>
    </w:p>
    <w:p w:rsidR="0051715D" w:rsidRDefault="007C4BEE" w:rsidP="0051715D">
      <w:pPr>
        <w:spacing w:after="0" w:line="480" w:lineRule="auto"/>
        <w:jc w:val="both"/>
        <w:rPr>
          <w:bCs/>
        </w:rPr>
      </w:pPr>
      <w:r>
        <w:rPr>
          <w:bCs/>
        </w:rPr>
        <w:t>The high proportion of influenza-</w:t>
      </w:r>
      <w:r w:rsidR="0051715D">
        <w:rPr>
          <w:bCs/>
        </w:rPr>
        <w:t xml:space="preserve">infected patients remaining undiagnosed in the control group is likely to relate to a lack of testing by clinicians in patients not displaying the classical symptoms or signs of influenza.  Influenza testing in most institutions is not </w:t>
      </w:r>
      <w:r w:rsidR="00F7225C">
        <w:rPr>
          <w:bCs/>
        </w:rPr>
        <w:t xml:space="preserve">performed </w:t>
      </w:r>
      <w:r w:rsidR="0051715D">
        <w:rPr>
          <w:bCs/>
        </w:rPr>
        <w:t>routine</w:t>
      </w:r>
      <w:r w:rsidR="00F7225C">
        <w:rPr>
          <w:bCs/>
        </w:rPr>
        <w:t>ly</w:t>
      </w:r>
      <w:r w:rsidR="0051715D">
        <w:rPr>
          <w:bCs/>
        </w:rPr>
        <w:t xml:space="preserve"> but </w:t>
      </w:r>
      <w:r>
        <w:rPr>
          <w:bCs/>
        </w:rPr>
        <w:t xml:space="preserve">is </w:t>
      </w:r>
      <w:r w:rsidR="0051715D">
        <w:rPr>
          <w:bCs/>
        </w:rPr>
        <w:t>instead based on clinical suspicion of influenza</w:t>
      </w:r>
      <w:r w:rsidR="00D9037E">
        <w:rPr>
          <w:bCs/>
        </w:rPr>
        <w:t>,</w:t>
      </w:r>
      <w:r w:rsidR="0051715D">
        <w:rPr>
          <w:bCs/>
        </w:rPr>
        <w:t xml:space="preserve"> which is known to be highly inaccurate</w:t>
      </w:r>
      <w:r w:rsidR="00F7225C">
        <w:rPr>
          <w:bCs/>
        </w:rPr>
        <w:t>,</w:t>
      </w:r>
      <w:r w:rsidR="0051715D">
        <w:rPr>
          <w:bCs/>
        </w:rPr>
        <w:t xml:space="preserve"> even during periods</w:t>
      </w:r>
      <w:r w:rsidR="005775CF">
        <w:rPr>
          <w:bCs/>
        </w:rPr>
        <w:t xml:space="preserve"> of intense transmission.</w:t>
      </w:r>
      <w:r w:rsidR="005775CF" w:rsidRPr="005775CF">
        <w:rPr>
          <w:bCs/>
          <w:vertAlign w:val="superscript"/>
        </w:rPr>
        <w:t>6</w:t>
      </w:r>
      <w:r w:rsidR="005775CF">
        <w:rPr>
          <w:bCs/>
        </w:rPr>
        <w:t xml:space="preserve"> </w:t>
      </w:r>
      <w:r w:rsidR="000E1CCA">
        <w:rPr>
          <w:bCs/>
        </w:rPr>
        <w:t>Undiagnosed influenza-</w:t>
      </w:r>
      <w:r w:rsidR="002B68B9">
        <w:rPr>
          <w:bCs/>
        </w:rPr>
        <w:t>infected</w:t>
      </w:r>
      <w:r w:rsidR="0051715D">
        <w:rPr>
          <w:bCs/>
        </w:rPr>
        <w:t xml:space="preserve"> p</w:t>
      </w:r>
      <w:r w:rsidR="00A8306C">
        <w:rPr>
          <w:bCs/>
        </w:rPr>
        <w:t>atients clearly represent a high</w:t>
      </w:r>
      <w:r w:rsidR="0051715D">
        <w:rPr>
          <w:bCs/>
        </w:rPr>
        <w:t xml:space="preserve"> risk for nosocomial transmission of influenza to staff and other patients and </w:t>
      </w:r>
      <w:r w:rsidR="00D9037E">
        <w:rPr>
          <w:bCs/>
        </w:rPr>
        <w:t xml:space="preserve">in addition </w:t>
      </w:r>
      <w:r>
        <w:rPr>
          <w:bCs/>
        </w:rPr>
        <w:t xml:space="preserve">undiagnosed patients </w:t>
      </w:r>
      <w:r w:rsidR="00131BE2">
        <w:rPr>
          <w:bCs/>
        </w:rPr>
        <w:t xml:space="preserve">do </w:t>
      </w:r>
      <w:r w:rsidR="0051715D">
        <w:rPr>
          <w:bCs/>
        </w:rPr>
        <w:t xml:space="preserve">not have the opportunity to benefit from antiviral therapy. This makes a compelling argument for </w:t>
      </w:r>
      <w:r>
        <w:rPr>
          <w:bCs/>
        </w:rPr>
        <w:t xml:space="preserve">health care institution to institute </w:t>
      </w:r>
      <w:r w:rsidR="0051715D">
        <w:rPr>
          <w:bCs/>
        </w:rPr>
        <w:t xml:space="preserve">routine </w:t>
      </w:r>
      <w:r w:rsidR="00131BE2">
        <w:rPr>
          <w:bCs/>
        </w:rPr>
        <w:t xml:space="preserve">molecular </w:t>
      </w:r>
      <w:r w:rsidR="0051715D">
        <w:rPr>
          <w:bCs/>
        </w:rPr>
        <w:t>testing for influenza in all patient</w:t>
      </w:r>
      <w:r>
        <w:rPr>
          <w:bCs/>
        </w:rPr>
        <w:t xml:space="preserve">s admitted to hospital with ARI, </w:t>
      </w:r>
      <w:r w:rsidR="0051715D">
        <w:rPr>
          <w:bCs/>
        </w:rPr>
        <w:t xml:space="preserve">during influenza season. </w:t>
      </w:r>
    </w:p>
    <w:p w:rsidR="0051715D" w:rsidRDefault="0051715D" w:rsidP="0051715D">
      <w:pPr>
        <w:spacing w:after="0" w:line="480" w:lineRule="auto"/>
        <w:jc w:val="both"/>
        <w:rPr>
          <w:bCs/>
        </w:rPr>
      </w:pPr>
    </w:p>
    <w:p w:rsidR="00DD2F25" w:rsidRDefault="00DD7F5C" w:rsidP="005479C1">
      <w:pPr>
        <w:spacing w:after="0" w:line="480" w:lineRule="auto"/>
        <w:jc w:val="both"/>
        <w:rPr>
          <w:bCs/>
        </w:rPr>
      </w:pPr>
      <w:r w:rsidRPr="00DD7F5C">
        <w:rPr>
          <w:bCs/>
        </w:rPr>
        <w:t>Our study achieved rapid turnaround times for results of just over 1 hour compared with almost 1 day with laboratory PCR in the control group, a typical laboratory turnaround t</w:t>
      </w:r>
      <w:r w:rsidR="005775CF">
        <w:rPr>
          <w:bCs/>
        </w:rPr>
        <w:t>ime reported in studies.</w:t>
      </w:r>
      <w:r w:rsidR="005775CF" w:rsidRPr="005775CF">
        <w:rPr>
          <w:bCs/>
          <w:vertAlign w:val="superscript"/>
        </w:rPr>
        <w:t>7,</w:t>
      </w:r>
      <w:r w:rsidR="005775CF">
        <w:rPr>
          <w:bCs/>
          <w:vertAlign w:val="superscript"/>
        </w:rPr>
        <w:t xml:space="preserve"> </w:t>
      </w:r>
      <w:r w:rsidR="005775CF" w:rsidRPr="005775CF">
        <w:rPr>
          <w:bCs/>
          <w:vertAlign w:val="superscript"/>
        </w:rPr>
        <w:t>21</w:t>
      </w:r>
      <w:r w:rsidRPr="00DD7F5C">
        <w:rPr>
          <w:bCs/>
        </w:rPr>
        <w:t xml:space="preserve"> </w:t>
      </w:r>
      <w:r>
        <w:rPr>
          <w:bCs/>
        </w:rPr>
        <w:lastRenderedPageBreak/>
        <w:t xml:space="preserve">The importance of </w:t>
      </w:r>
      <w:r w:rsidR="00E849EC">
        <w:rPr>
          <w:bCs/>
        </w:rPr>
        <w:t>very rapid turnaround time</w:t>
      </w:r>
      <w:r>
        <w:rPr>
          <w:bCs/>
        </w:rPr>
        <w:t xml:space="preserve">s </w:t>
      </w:r>
      <w:r w:rsidR="00E849EC">
        <w:rPr>
          <w:bCs/>
        </w:rPr>
        <w:t xml:space="preserve">in </w:t>
      </w:r>
      <w:r>
        <w:rPr>
          <w:bCs/>
        </w:rPr>
        <w:t>improving</w:t>
      </w:r>
      <w:r w:rsidR="007C4BEE">
        <w:rPr>
          <w:bCs/>
        </w:rPr>
        <w:t xml:space="preserve"> </w:t>
      </w:r>
      <w:r w:rsidR="00E849EC">
        <w:rPr>
          <w:bCs/>
        </w:rPr>
        <w:t xml:space="preserve">clinical management has been </w:t>
      </w:r>
      <w:r w:rsidR="007C4BEE">
        <w:rPr>
          <w:bCs/>
        </w:rPr>
        <w:t xml:space="preserve">demonstrated </w:t>
      </w:r>
      <w:r w:rsidR="00E849EC">
        <w:rPr>
          <w:bCs/>
        </w:rPr>
        <w:t>in several studies</w:t>
      </w:r>
      <w:r w:rsidR="005775CF" w:rsidRPr="005775CF">
        <w:rPr>
          <w:bCs/>
          <w:vertAlign w:val="superscript"/>
        </w:rPr>
        <w:t xml:space="preserve">22, 23 </w:t>
      </w:r>
      <w:r w:rsidR="007C4BEE">
        <w:rPr>
          <w:bCs/>
        </w:rPr>
        <w:t xml:space="preserve">and is supported by similar </w:t>
      </w:r>
      <w:r w:rsidR="00131BE2">
        <w:rPr>
          <w:bCs/>
        </w:rPr>
        <w:t xml:space="preserve">findings in studies of other </w:t>
      </w:r>
      <w:r w:rsidR="007C4BEE">
        <w:rPr>
          <w:bCs/>
        </w:rPr>
        <w:t>diagnost</w:t>
      </w:r>
      <w:r>
        <w:rPr>
          <w:bCs/>
        </w:rPr>
        <w:t xml:space="preserve">ics </w:t>
      </w:r>
      <w:r w:rsidR="005775CF">
        <w:rPr>
          <w:bCs/>
        </w:rPr>
        <w:t xml:space="preserve">in </w:t>
      </w:r>
      <w:r w:rsidR="005775CF" w:rsidRPr="0084461E">
        <w:rPr>
          <w:bCs/>
        </w:rPr>
        <w:t>emergency departments.</w:t>
      </w:r>
      <w:r w:rsidR="005775CF" w:rsidRPr="0084461E">
        <w:rPr>
          <w:bCs/>
          <w:vertAlign w:val="superscript"/>
        </w:rPr>
        <w:t>24</w:t>
      </w:r>
      <w:r w:rsidR="005775CF" w:rsidRPr="0084461E">
        <w:rPr>
          <w:bCs/>
        </w:rPr>
        <w:t xml:space="preserve"> </w:t>
      </w:r>
      <w:r w:rsidR="00815F58" w:rsidRPr="0084461E">
        <w:rPr>
          <w:bCs/>
        </w:rPr>
        <w:t xml:space="preserve">It is possible that some of the benefits associated with POCT in this study could </w:t>
      </w:r>
      <w:r w:rsidR="0025714E" w:rsidRPr="0084461E">
        <w:rPr>
          <w:bCs/>
        </w:rPr>
        <w:t xml:space="preserve">also </w:t>
      </w:r>
      <w:r w:rsidR="00815F58" w:rsidRPr="0084461E">
        <w:rPr>
          <w:bCs/>
        </w:rPr>
        <w:t xml:space="preserve">be achieved by </w:t>
      </w:r>
      <w:r w:rsidR="0025714E" w:rsidRPr="0084461E">
        <w:rPr>
          <w:bCs/>
        </w:rPr>
        <w:t xml:space="preserve">routine </w:t>
      </w:r>
      <w:r w:rsidR="00815F58" w:rsidRPr="0084461E">
        <w:rPr>
          <w:bCs/>
        </w:rPr>
        <w:t xml:space="preserve">laboratory </w:t>
      </w:r>
      <w:r w:rsidR="00FB3341" w:rsidRPr="0084461E">
        <w:rPr>
          <w:bCs/>
        </w:rPr>
        <w:t xml:space="preserve">PCR </w:t>
      </w:r>
      <w:r w:rsidR="00815F58" w:rsidRPr="0084461E">
        <w:rPr>
          <w:bCs/>
        </w:rPr>
        <w:t>testing if turnaround time</w:t>
      </w:r>
      <w:r w:rsidR="0025714E" w:rsidRPr="0084461E">
        <w:rPr>
          <w:bCs/>
        </w:rPr>
        <w:t>s</w:t>
      </w:r>
      <w:r w:rsidR="00815F58" w:rsidRPr="0084461E">
        <w:rPr>
          <w:bCs/>
        </w:rPr>
        <w:t xml:space="preserve"> could be dramatically reduced. However a</w:t>
      </w:r>
      <w:r w:rsidR="00131BE2" w:rsidRPr="0084461E">
        <w:rPr>
          <w:bCs/>
        </w:rPr>
        <w:t xml:space="preserve">s turnaround times </w:t>
      </w:r>
      <w:r w:rsidRPr="0084461E">
        <w:rPr>
          <w:bCs/>
        </w:rPr>
        <w:t>of one</w:t>
      </w:r>
      <w:r w:rsidR="00481073" w:rsidRPr="0084461E">
        <w:rPr>
          <w:bCs/>
        </w:rPr>
        <w:t xml:space="preserve"> hour or less are unlikely to be achievable</w:t>
      </w:r>
      <w:r w:rsidR="00131BE2" w:rsidRPr="0084461E">
        <w:rPr>
          <w:bCs/>
        </w:rPr>
        <w:t xml:space="preserve"> in</w:t>
      </w:r>
      <w:r w:rsidR="00293079" w:rsidRPr="0084461E">
        <w:rPr>
          <w:bCs/>
        </w:rPr>
        <w:t xml:space="preserve"> </w:t>
      </w:r>
      <w:r w:rsidR="00815F58" w:rsidRPr="0084461E">
        <w:rPr>
          <w:bCs/>
        </w:rPr>
        <w:t xml:space="preserve">most </w:t>
      </w:r>
      <w:r w:rsidR="00293079">
        <w:rPr>
          <w:bCs/>
        </w:rPr>
        <w:t>laboratory settings</w:t>
      </w:r>
      <w:r w:rsidR="0051295E">
        <w:rPr>
          <w:bCs/>
        </w:rPr>
        <w:t xml:space="preserve">, </w:t>
      </w:r>
      <w:r w:rsidR="00293079">
        <w:rPr>
          <w:bCs/>
        </w:rPr>
        <w:t xml:space="preserve">testing for influenza </w:t>
      </w:r>
      <w:r w:rsidR="0051295E">
        <w:rPr>
          <w:bCs/>
        </w:rPr>
        <w:t xml:space="preserve">in hospitals </w:t>
      </w:r>
      <w:r w:rsidR="00F7225C">
        <w:rPr>
          <w:bCs/>
        </w:rPr>
        <w:t xml:space="preserve">should </w:t>
      </w:r>
      <w:r w:rsidR="00293079">
        <w:rPr>
          <w:bCs/>
        </w:rPr>
        <w:t xml:space="preserve">move to the point-of-care. </w:t>
      </w:r>
      <w:r>
        <w:rPr>
          <w:bCs/>
        </w:rPr>
        <w:t xml:space="preserve">The mPOCT </w:t>
      </w:r>
      <w:r w:rsidR="00F7225C">
        <w:rPr>
          <w:bCs/>
        </w:rPr>
        <w:t xml:space="preserve">platform </w:t>
      </w:r>
      <w:r>
        <w:rPr>
          <w:bCs/>
        </w:rPr>
        <w:t>used in this study generate</w:t>
      </w:r>
      <w:r w:rsidR="00F7225C">
        <w:rPr>
          <w:bCs/>
        </w:rPr>
        <w:t>d</w:t>
      </w:r>
      <w:r>
        <w:rPr>
          <w:bCs/>
        </w:rPr>
        <w:t xml:space="preserve"> </w:t>
      </w:r>
      <w:r w:rsidR="005479C1">
        <w:rPr>
          <w:bCs/>
        </w:rPr>
        <w:t xml:space="preserve">result </w:t>
      </w:r>
      <w:r>
        <w:rPr>
          <w:bCs/>
        </w:rPr>
        <w:t xml:space="preserve">in 45 minutes but other </w:t>
      </w:r>
      <w:r w:rsidR="005479C1">
        <w:rPr>
          <w:bCs/>
        </w:rPr>
        <w:t xml:space="preserve">mPOCT platforms </w:t>
      </w:r>
      <w:r>
        <w:rPr>
          <w:bCs/>
        </w:rPr>
        <w:t xml:space="preserve">can generate </w:t>
      </w:r>
      <w:r w:rsidR="00A8306C">
        <w:rPr>
          <w:bCs/>
        </w:rPr>
        <w:t>result</w:t>
      </w:r>
      <w:r>
        <w:rPr>
          <w:bCs/>
        </w:rPr>
        <w:t>s</w:t>
      </w:r>
      <w:r w:rsidR="00A8306C">
        <w:rPr>
          <w:bCs/>
        </w:rPr>
        <w:t xml:space="preserve"> in under 20</w:t>
      </w:r>
      <w:r>
        <w:rPr>
          <w:bCs/>
        </w:rPr>
        <w:t xml:space="preserve"> minutes and</w:t>
      </w:r>
      <w:r w:rsidR="005479C1">
        <w:rPr>
          <w:bCs/>
        </w:rPr>
        <w:t xml:space="preserve"> </w:t>
      </w:r>
      <w:r>
        <w:rPr>
          <w:bCs/>
        </w:rPr>
        <w:t xml:space="preserve">may further reduce time to </w:t>
      </w:r>
      <w:r w:rsidRPr="00DD7F5C">
        <w:rPr>
          <w:bCs/>
        </w:rPr>
        <w:t>therapeutic and infection control interventions</w:t>
      </w:r>
      <w:r>
        <w:rPr>
          <w:bCs/>
        </w:rPr>
        <w:t xml:space="preserve">. </w:t>
      </w:r>
    </w:p>
    <w:p w:rsidR="0051715D" w:rsidRPr="00304E0E" w:rsidRDefault="0051715D" w:rsidP="00304E0E">
      <w:pPr>
        <w:spacing w:after="0" w:line="480" w:lineRule="auto"/>
        <w:rPr>
          <w:bCs/>
        </w:rPr>
      </w:pPr>
    </w:p>
    <w:p w:rsidR="000A4660" w:rsidRDefault="002555E9" w:rsidP="00B1711A">
      <w:pPr>
        <w:spacing w:after="0" w:line="480" w:lineRule="auto"/>
        <w:jc w:val="both"/>
        <w:rPr>
          <w:bCs/>
        </w:rPr>
      </w:pPr>
      <w:r>
        <w:rPr>
          <w:bCs/>
        </w:rPr>
        <w:t xml:space="preserve">The use of influenza antivirals </w:t>
      </w:r>
      <w:r w:rsidR="005479C1">
        <w:rPr>
          <w:bCs/>
        </w:rPr>
        <w:t xml:space="preserve">was significantly improved with </w:t>
      </w:r>
      <w:r w:rsidR="00F7225C">
        <w:rPr>
          <w:bCs/>
        </w:rPr>
        <w:t xml:space="preserve">routine </w:t>
      </w:r>
      <w:r w:rsidR="005479C1">
        <w:rPr>
          <w:bCs/>
        </w:rPr>
        <w:t>mPOCT so that nearly all influenza-infected patients received appropriate antiviral treatment within a few hours of admission</w:t>
      </w:r>
      <w:r w:rsidR="005479C1" w:rsidRPr="005479C1">
        <w:rPr>
          <w:bCs/>
        </w:rPr>
        <w:t xml:space="preserve">. </w:t>
      </w:r>
      <w:r w:rsidR="000A4660">
        <w:rPr>
          <w:bCs/>
        </w:rPr>
        <w:t>Patients not initially suspected of influenza who subsequently had a positive POCT were rapidly started on NA</w:t>
      </w:r>
      <w:r w:rsidR="002B68B9">
        <w:rPr>
          <w:bCs/>
        </w:rPr>
        <w:t xml:space="preserve">Is compared with a delay of </w:t>
      </w:r>
      <w:r w:rsidR="00D9037E">
        <w:rPr>
          <w:bCs/>
        </w:rPr>
        <w:t xml:space="preserve">over 24 hours </w:t>
      </w:r>
      <w:r w:rsidR="000A4660">
        <w:rPr>
          <w:bCs/>
        </w:rPr>
        <w:t>in the control group. Conversely patients who were started empirically on NAIs because of suspicion of influenza</w:t>
      </w:r>
      <w:r w:rsidR="002B68B9">
        <w:rPr>
          <w:bCs/>
        </w:rPr>
        <w:t>,</w:t>
      </w:r>
      <w:r w:rsidR="000A4660">
        <w:rPr>
          <w:bCs/>
        </w:rPr>
        <w:t xml:space="preserve"> but who subsequently tested negative by </w:t>
      </w:r>
      <w:r w:rsidR="00221231">
        <w:rPr>
          <w:bCs/>
        </w:rPr>
        <w:t>m</w:t>
      </w:r>
      <w:r w:rsidR="000A4660">
        <w:rPr>
          <w:bCs/>
        </w:rPr>
        <w:t>POCT</w:t>
      </w:r>
      <w:r w:rsidR="002B68B9">
        <w:rPr>
          <w:bCs/>
        </w:rPr>
        <w:t>,</w:t>
      </w:r>
      <w:r w:rsidR="000A4660">
        <w:rPr>
          <w:bCs/>
        </w:rPr>
        <w:t xml:space="preserve"> had their NAIs stopped after a single dose compared with a prolonged course of unnecessary drug in the control group. </w:t>
      </w:r>
      <w:r w:rsidR="003563BE">
        <w:rPr>
          <w:bCs/>
        </w:rPr>
        <w:t>These findings are consistent with earlier randomised controlled trials and observational studies of mPOCT for influenza which</w:t>
      </w:r>
      <w:r w:rsidR="00131BE2">
        <w:rPr>
          <w:bCs/>
        </w:rPr>
        <w:t xml:space="preserve"> consistently</w:t>
      </w:r>
      <w:r w:rsidR="003563BE">
        <w:rPr>
          <w:bCs/>
        </w:rPr>
        <w:t xml:space="preserve"> show </w:t>
      </w:r>
      <w:r w:rsidR="003C3074">
        <w:rPr>
          <w:bCs/>
        </w:rPr>
        <w:t xml:space="preserve">improved use of directed NAIs in patients tested by </w:t>
      </w:r>
      <w:r w:rsidR="00131BE2">
        <w:rPr>
          <w:bCs/>
        </w:rPr>
        <w:t>m</w:t>
      </w:r>
      <w:r w:rsidR="003C3074">
        <w:rPr>
          <w:bCs/>
        </w:rPr>
        <w:t>POCT</w:t>
      </w:r>
      <w:r w:rsidR="005775CF">
        <w:rPr>
          <w:bCs/>
        </w:rPr>
        <w:t>.</w:t>
      </w:r>
      <w:r w:rsidR="005775CF" w:rsidRPr="005775CF">
        <w:rPr>
          <w:bCs/>
          <w:vertAlign w:val="superscript"/>
        </w:rPr>
        <w:t>7, 16-</w:t>
      </w:r>
      <w:r w:rsidR="005775CF">
        <w:rPr>
          <w:bCs/>
          <w:vertAlign w:val="superscript"/>
        </w:rPr>
        <w:t>19</w:t>
      </w:r>
      <w:r w:rsidR="005775CF">
        <w:rPr>
          <w:bCs/>
        </w:rPr>
        <w:t xml:space="preserve"> </w:t>
      </w:r>
      <w:r w:rsidR="000A4660">
        <w:rPr>
          <w:bCs/>
        </w:rPr>
        <w:t xml:space="preserve">With the use of even faster </w:t>
      </w:r>
      <w:r w:rsidR="00221231">
        <w:rPr>
          <w:bCs/>
        </w:rPr>
        <w:t>m</w:t>
      </w:r>
      <w:r w:rsidR="000A4660">
        <w:rPr>
          <w:bCs/>
        </w:rPr>
        <w:t>POCTs performed at the point of presentation, th</w:t>
      </w:r>
      <w:r w:rsidR="00131BE2">
        <w:rPr>
          <w:bCs/>
        </w:rPr>
        <w:t>e need for empirical therapy could</w:t>
      </w:r>
      <w:r w:rsidR="000A4660">
        <w:rPr>
          <w:bCs/>
        </w:rPr>
        <w:t xml:space="preserve"> be removed altogether without compromising the speed of administration of antivirals and ushering in an era </w:t>
      </w:r>
      <w:r w:rsidR="000A4660" w:rsidRPr="000A4660">
        <w:rPr>
          <w:bCs/>
        </w:rPr>
        <w:t xml:space="preserve">real-time pathogen-directed therapy </w:t>
      </w:r>
      <w:r w:rsidR="000A4660">
        <w:rPr>
          <w:bCs/>
        </w:rPr>
        <w:t xml:space="preserve">for </w:t>
      </w:r>
      <w:r w:rsidR="002B68B9">
        <w:rPr>
          <w:bCs/>
        </w:rPr>
        <w:t xml:space="preserve">influenza and other </w:t>
      </w:r>
      <w:r w:rsidR="000A4660">
        <w:rPr>
          <w:bCs/>
        </w:rPr>
        <w:t>infection</w:t>
      </w:r>
      <w:r w:rsidR="002B68B9">
        <w:rPr>
          <w:bCs/>
        </w:rPr>
        <w:t>s</w:t>
      </w:r>
      <w:r w:rsidR="00AA0091">
        <w:rPr>
          <w:bCs/>
        </w:rPr>
        <w:t>.</w:t>
      </w:r>
      <w:r w:rsidR="005775CF" w:rsidRPr="005775CF">
        <w:rPr>
          <w:bCs/>
          <w:vertAlign w:val="superscript"/>
        </w:rPr>
        <w:t>25</w:t>
      </w:r>
      <w:r w:rsidR="000A4660" w:rsidRPr="005775CF">
        <w:rPr>
          <w:bCs/>
          <w:vertAlign w:val="superscript"/>
        </w:rPr>
        <w:t xml:space="preserve"> </w:t>
      </w:r>
    </w:p>
    <w:p w:rsidR="005479C1" w:rsidRDefault="005479C1" w:rsidP="00304E0E">
      <w:pPr>
        <w:spacing w:after="0" w:line="480" w:lineRule="auto"/>
        <w:rPr>
          <w:bCs/>
        </w:rPr>
      </w:pPr>
    </w:p>
    <w:p w:rsidR="00DD2F25" w:rsidRDefault="007C5487" w:rsidP="007C5487">
      <w:pPr>
        <w:spacing w:after="0" w:line="480" w:lineRule="auto"/>
        <w:jc w:val="both"/>
        <w:rPr>
          <w:bCs/>
        </w:rPr>
      </w:pPr>
      <w:r w:rsidRPr="007C5487">
        <w:rPr>
          <w:bCs/>
        </w:rPr>
        <w:t>Hospital side rooms, used for isolating potentially infectious patients</w:t>
      </w:r>
      <w:r>
        <w:rPr>
          <w:bCs/>
        </w:rPr>
        <w:t>, are a limited resource in most UK hospitals. Our study shows that in routine clinical care most influenza-infected patients are not isolated appropriately in single room accommodati</w:t>
      </w:r>
      <w:r w:rsidR="00A8306C">
        <w:rPr>
          <w:bCs/>
        </w:rPr>
        <w:t xml:space="preserve">on or in influenza </w:t>
      </w:r>
      <w:r w:rsidR="00A8306C" w:rsidRPr="00DD7F5C">
        <w:rPr>
          <w:bCs/>
        </w:rPr>
        <w:t>cohort wards</w:t>
      </w:r>
      <w:r w:rsidR="00A8306C">
        <w:rPr>
          <w:bCs/>
        </w:rPr>
        <w:t xml:space="preserve">, </w:t>
      </w:r>
      <w:r>
        <w:rPr>
          <w:bCs/>
        </w:rPr>
        <w:t xml:space="preserve">representing a high </w:t>
      </w:r>
      <w:r>
        <w:rPr>
          <w:bCs/>
        </w:rPr>
        <w:lastRenderedPageBreak/>
        <w:t>risk for nosocomial transmission. In comparison most influenza-infected patient</w:t>
      </w:r>
      <w:r w:rsidR="002B68B9">
        <w:rPr>
          <w:bCs/>
        </w:rPr>
        <w:t>s</w:t>
      </w:r>
      <w:r>
        <w:rPr>
          <w:bCs/>
        </w:rPr>
        <w:t xml:space="preserve"> in the</w:t>
      </w:r>
      <w:r w:rsidR="0051295E">
        <w:rPr>
          <w:bCs/>
        </w:rPr>
        <w:t xml:space="preserve"> </w:t>
      </w:r>
      <w:r w:rsidR="00221231">
        <w:rPr>
          <w:bCs/>
        </w:rPr>
        <w:t>m</w:t>
      </w:r>
      <w:r w:rsidR="0051295E">
        <w:rPr>
          <w:bCs/>
        </w:rPr>
        <w:t xml:space="preserve">POCT </w:t>
      </w:r>
      <w:r w:rsidR="002B68B9">
        <w:rPr>
          <w:bCs/>
        </w:rPr>
        <w:t xml:space="preserve">group </w:t>
      </w:r>
      <w:r w:rsidR="0051295E">
        <w:rPr>
          <w:bCs/>
        </w:rPr>
        <w:t xml:space="preserve">were correctly isolated. </w:t>
      </w:r>
      <w:r>
        <w:rPr>
          <w:bCs/>
        </w:rPr>
        <w:t>In addition</w:t>
      </w:r>
      <w:r w:rsidR="002B68B9">
        <w:rPr>
          <w:bCs/>
        </w:rPr>
        <w:t>,</w:t>
      </w:r>
      <w:r>
        <w:rPr>
          <w:bCs/>
        </w:rPr>
        <w:t xml:space="preserve"> influenza-infected patients who were not initially isolated but subsequently had a positive laboratory PCR result for influenza were only isolated after a delay of nearly 2 days (reflecting the long turnaround time of</w:t>
      </w:r>
      <w:r w:rsidR="00A8306C">
        <w:rPr>
          <w:bCs/>
        </w:rPr>
        <w:t xml:space="preserve"> laboratory PCR) compared with </w:t>
      </w:r>
      <w:r w:rsidR="00221231">
        <w:rPr>
          <w:bCs/>
        </w:rPr>
        <w:t xml:space="preserve">just </w:t>
      </w:r>
      <w:r w:rsidR="00A8306C">
        <w:rPr>
          <w:bCs/>
        </w:rPr>
        <w:t>a few</w:t>
      </w:r>
      <w:r>
        <w:rPr>
          <w:bCs/>
        </w:rPr>
        <w:t xml:space="preserve"> hours in the </w:t>
      </w:r>
      <w:r w:rsidR="00221231">
        <w:rPr>
          <w:bCs/>
        </w:rPr>
        <w:t>m</w:t>
      </w:r>
      <w:r>
        <w:rPr>
          <w:bCs/>
        </w:rPr>
        <w:t xml:space="preserve">POCT group. </w:t>
      </w:r>
      <w:r w:rsidR="000B3E7C">
        <w:rPr>
          <w:bCs/>
        </w:rPr>
        <w:t xml:space="preserve">The rational and appropriate use of single rooms is hugely important for </w:t>
      </w:r>
      <w:r w:rsidR="00221231">
        <w:rPr>
          <w:bCs/>
        </w:rPr>
        <w:t xml:space="preserve">UK </w:t>
      </w:r>
      <w:r w:rsidR="000B3E7C">
        <w:rPr>
          <w:bCs/>
        </w:rPr>
        <w:t xml:space="preserve">hospitals in order to prevent nosocomial transmission of infection and </w:t>
      </w:r>
      <w:r w:rsidR="002B68B9">
        <w:rPr>
          <w:bCs/>
        </w:rPr>
        <w:t xml:space="preserve">to </w:t>
      </w:r>
      <w:r w:rsidR="000B3E7C">
        <w:rPr>
          <w:bCs/>
        </w:rPr>
        <w:t xml:space="preserve">maintain patient flow though acute areas during periods of intense influenza activity. </w:t>
      </w:r>
    </w:p>
    <w:p w:rsidR="0051715D" w:rsidRPr="00A56829" w:rsidRDefault="0051715D" w:rsidP="00304E0E">
      <w:pPr>
        <w:spacing w:after="0" w:line="480" w:lineRule="auto"/>
        <w:rPr>
          <w:bCs/>
        </w:rPr>
      </w:pPr>
    </w:p>
    <w:p w:rsidR="00DD2F25" w:rsidRDefault="00DC4FE9" w:rsidP="00F60D51">
      <w:pPr>
        <w:spacing w:after="0" w:line="480" w:lineRule="auto"/>
        <w:jc w:val="both"/>
        <w:rPr>
          <w:bCs/>
        </w:rPr>
      </w:pPr>
      <w:r w:rsidRPr="00A56829">
        <w:rPr>
          <w:bCs/>
        </w:rPr>
        <w:t>Routine m</w:t>
      </w:r>
      <w:r w:rsidR="00741898" w:rsidRPr="00A56829">
        <w:rPr>
          <w:bCs/>
        </w:rPr>
        <w:t xml:space="preserve">POCT </w:t>
      </w:r>
      <w:r w:rsidRPr="00A56829">
        <w:rPr>
          <w:bCs/>
        </w:rPr>
        <w:t xml:space="preserve">use </w:t>
      </w:r>
      <w:r w:rsidR="00741898" w:rsidRPr="00A56829">
        <w:rPr>
          <w:bCs/>
        </w:rPr>
        <w:t>was not associated with major reductions in antibiotic use in influenza-infected patients in this trial</w:t>
      </w:r>
      <w:r w:rsidR="003065A5" w:rsidRPr="00A56829">
        <w:rPr>
          <w:bCs/>
        </w:rPr>
        <w:t xml:space="preserve"> and the majority of patient</w:t>
      </w:r>
      <w:r w:rsidR="00E814CF" w:rsidRPr="00A56829">
        <w:rPr>
          <w:bCs/>
        </w:rPr>
        <w:t>s</w:t>
      </w:r>
      <w:r w:rsidR="003065A5" w:rsidRPr="00A56829">
        <w:rPr>
          <w:bCs/>
        </w:rPr>
        <w:t xml:space="preserve"> in both groups received antibiotics, consistent with other </w:t>
      </w:r>
      <w:r w:rsidR="00AA0091" w:rsidRPr="00A56829">
        <w:rPr>
          <w:bCs/>
        </w:rPr>
        <w:t>similar trials.</w:t>
      </w:r>
      <w:r w:rsidR="00AA0091" w:rsidRPr="00A56829">
        <w:rPr>
          <w:bCs/>
          <w:vertAlign w:val="superscript"/>
        </w:rPr>
        <w:t xml:space="preserve">7, 26 </w:t>
      </w:r>
      <w:r w:rsidR="00F60D51" w:rsidRPr="00A56829">
        <w:rPr>
          <w:bCs/>
        </w:rPr>
        <w:t>Other studies of mPOCT for respiratory viruses have shown similar results with either no effect of antibiotic use or only modest reductions</w:t>
      </w:r>
      <w:r w:rsidR="005775CF" w:rsidRPr="00A56829">
        <w:rPr>
          <w:bCs/>
        </w:rPr>
        <w:t>.</w:t>
      </w:r>
      <w:r w:rsidR="005775CF" w:rsidRPr="00A56829">
        <w:rPr>
          <w:bCs/>
          <w:vertAlign w:val="superscript"/>
        </w:rPr>
        <w:t>7, 15-19</w:t>
      </w:r>
      <w:r w:rsidR="005775CF" w:rsidRPr="00A56829">
        <w:rPr>
          <w:bCs/>
        </w:rPr>
        <w:t xml:space="preserve"> </w:t>
      </w:r>
      <w:r w:rsidR="00F60D51" w:rsidRPr="00A56829">
        <w:rPr>
          <w:bCs/>
        </w:rPr>
        <w:t xml:space="preserve">The identification of a virus by PCR does not </w:t>
      </w:r>
      <w:r w:rsidR="00131BE2" w:rsidRPr="00A56829">
        <w:rPr>
          <w:bCs/>
        </w:rPr>
        <w:t xml:space="preserve">by itself </w:t>
      </w:r>
      <w:r w:rsidR="00F60D51" w:rsidRPr="00A56829">
        <w:rPr>
          <w:bCs/>
        </w:rPr>
        <w:t xml:space="preserve">rule out the presence of a concomitant bacterial infection and so clinicians </w:t>
      </w:r>
      <w:r w:rsidR="00F749AD" w:rsidRPr="00A56829">
        <w:rPr>
          <w:bCs/>
        </w:rPr>
        <w:t xml:space="preserve">tend to </w:t>
      </w:r>
      <w:r w:rsidR="00F60D51" w:rsidRPr="00A56829">
        <w:rPr>
          <w:bCs/>
        </w:rPr>
        <w:t xml:space="preserve">continue to treat hospitalised </w:t>
      </w:r>
      <w:r w:rsidR="00F749AD" w:rsidRPr="00A56829">
        <w:rPr>
          <w:bCs/>
        </w:rPr>
        <w:t xml:space="preserve">ARI </w:t>
      </w:r>
      <w:r w:rsidR="00F60D51">
        <w:rPr>
          <w:bCs/>
        </w:rPr>
        <w:t>patient</w:t>
      </w:r>
      <w:r w:rsidR="00F749AD">
        <w:rPr>
          <w:bCs/>
        </w:rPr>
        <w:t xml:space="preserve">s </w:t>
      </w:r>
      <w:r w:rsidR="00F60D51">
        <w:rPr>
          <w:bCs/>
        </w:rPr>
        <w:t xml:space="preserve">with antibiotics. Alternative strategies to reduce </w:t>
      </w:r>
      <w:r w:rsidR="00F749AD">
        <w:rPr>
          <w:bCs/>
        </w:rPr>
        <w:t xml:space="preserve">unnecessary </w:t>
      </w:r>
      <w:r w:rsidR="00F60D51">
        <w:rPr>
          <w:bCs/>
        </w:rPr>
        <w:t>antibiotics are still urgent</w:t>
      </w:r>
      <w:r w:rsidR="00A8306C">
        <w:rPr>
          <w:bCs/>
        </w:rPr>
        <w:t xml:space="preserve">ly needed in this group and include </w:t>
      </w:r>
      <w:r w:rsidR="00F60D51">
        <w:rPr>
          <w:bCs/>
        </w:rPr>
        <w:t>combining pathogen detection with biomarker measurement (such as CRP or procalcitonin) or with other markers of host response, all integrated with</w:t>
      </w:r>
      <w:r w:rsidR="00F749AD">
        <w:rPr>
          <w:bCs/>
        </w:rPr>
        <w:t>in a</w:t>
      </w:r>
      <w:r w:rsidR="00F60D51">
        <w:rPr>
          <w:bCs/>
        </w:rPr>
        <w:t xml:space="preserve"> robust an</w:t>
      </w:r>
      <w:r w:rsidR="00741898">
        <w:rPr>
          <w:bCs/>
        </w:rPr>
        <w:t>tibiotic stewardship programmes</w:t>
      </w:r>
      <w:r w:rsidR="00F60D51">
        <w:rPr>
          <w:bCs/>
        </w:rPr>
        <w:t xml:space="preserve">. </w:t>
      </w:r>
    </w:p>
    <w:p w:rsidR="0051715D" w:rsidRPr="00304E0E" w:rsidRDefault="0051715D" w:rsidP="00304E0E">
      <w:pPr>
        <w:spacing w:after="0" w:line="480" w:lineRule="auto"/>
        <w:rPr>
          <w:bCs/>
        </w:rPr>
      </w:pPr>
    </w:p>
    <w:p w:rsidR="003563BE" w:rsidRDefault="00F60D51" w:rsidP="00304E0E">
      <w:pPr>
        <w:spacing w:after="0" w:line="480" w:lineRule="auto"/>
        <w:jc w:val="both"/>
      </w:pPr>
      <w:r>
        <w:t xml:space="preserve">In addition to demonstrating the above improvements in clinical management this is the first </w:t>
      </w:r>
      <w:r w:rsidR="00221231">
        <w:t xml:space="preserve">randomised trial </w:t>
      </w:r>
      <w:r w:rsidR="007A29DE" w:rsidRPr="00304E0E">
        <w:t>to show i</w:t>
      </w:r>
      <w:r w:rsidR="00DD2F25" w:rsidRPr="00304E0E">
        <w:t>mprove</w:t>
      </w:r>
      <w:r w:rsidR="00BA6ED9" w:rsidRPr="00304E0E">
        <w:t>ment</w:t>
      </w:r>
      <w:r>
        <w:t>s</w:t>
      </w:r>
      <w:r w:rsidR="00BA6ED9" w:rsidRPr="00304E0E">
        <w:t xml:space="preserve"> in clinical outcome in</w:t>
      </w:r>
      <w:r>
        <w:t xml:space="preserve"> influenza-infected </w:t>
      </w:r>
      <w:r w:rsidR="007A29DE" w:rsidRPr="00304E0E">
        <w:t>patients</w:t>
      </w:r>
      <w:r w:rsidR="00BA6ED9" w:rsidRPr="00304E0E">
        <w:t xml:space="preserve"> </w:t>
      </w:r>
      <w:r>
        <w:t xml:space="preserve">through the use of </w:t>
      </w:r>
      <w:r w:rsidR="0051715D">
        <w:t>m</w:t>
      </w:r>
      <w:r>
        <w:t xml:space="preserve">POCT. </w:t>
      </w:r>
      <w:r w:rsidR="003563BE">
        <w:t>Although this study cannot directly attribute the cause of these changes, t</w:t>
      </w:r>
      <w:r>
        <w:t>he improvements i</w:t>
      </w:r>
      <w:r w:rsidR="00221231">
        <w:t xml:space="preserve">n time to clinical improvement and HRS </w:t>
      </w:r>
      <w:r w:rsidR="003563BE">
        <w:t>a</w:t>
      </w:r>
      <w:r w:rsidR="001D27FD">
        <w:t>re likely to relate to the rapid</w:t>
      </w:r>
      <w:r w:rsidR="003563BE">
        <w:t xml:space="preserve">, near universal use of oseltamivir in </w:t>
      </w:r>
      <w:r w:rsidR="00F749AD">
        <w:t xml:space="preserve">influenza-infected patients in the </w:t>
      </w:r>
      <w:r w:rsidR="00DC4FE9">
        <w:t>m</w:t>
      </w:r>
      <w:r w:rsidR="00F749AD">
        <w:t>POCT group compared to</w:t>
      </w:r>
      <w:r w:rsidR="003563BE">
        <w:t xml:space="preserve"> frequently absent or delayed use with routine care.</w:t>
      </w:r>
      <w:r w:rsidR="003563BE" w:rsidRPr="003563BE">
        <w:t xml:space="preserve"> Although no placebo controlled trials </w:t>
      </w:r>
      <w:r w:rsidR="00F749AD">
        <w:t xml:space="preserve">of NAIs </w:t>
      </w:r>
      <w:r w:rsidR="003563BE" w:rsidRPr="003563BE">
        <w:t xml:space="preserve">have </w:t>
      </w:r>
      <w:r w:rsidR="00A8306C">
        <w:t xml:space="preserve">ever </w:t>
      </w:r>
      <w:r w:rsidR="003563BE" w:rsidRPr="003563BE">
        <w:t>been perform</w:t>
      </w:r>
      <w:r w:rsidR="003563BE">
        <w:t>ed in hospitalized adults, t</w:t>
      </w:r>
      <w:r w:rsidR="003563BE" w:rsidRPr="003563BE">
        <w:t>hese findings are consistent with a large body of observational evidence s</w:t>
      </w:r>
      <w:r w:rsidR="003563BE">
        <w:t>howin</w:t>
      </w:r>
      <w:r w:rsidR="003563BE" w:rsidRPr="003563BE">
        <w:t xml:space="preserve">g that NAI use is </w:t>
      </w:r>
      <w:r w:rsidR="003563BE" w:rsidRPr="00A56829">
        <w:t xml:space="preserve">associated with improvements in clinical outcome including length </w:t>
      </w:r>
      <w:r w:rsidR="003563BE" w:rsidRPr="00A56829">
        <w:lastRenderedPageBreak/>
        <w:t>of sta</w:t>
      </w:r>
      <w:r w:rsidR="0051295E" w:rsidRPr="00A56829">
        <w:t>y and</w:t>
      </w:r>
      <w:r w:rsidR="00741898" w:rsidRPr="00A56829">
        <w:t xml:space="preserve"> mort</w:t>
      </w:r>
      <w:r w:rsidR="005775CF" w:rsidRPr="00A56829">
        <w:t>ality, in this group</w:t>
      </w:r>
      <w:r w:rsidR="00AA0091" w:rsidRPr="00A56829">
        <w:rPr>
          <w:vertAlign w:val="superscript"/>
        </w:rPr>
        <w:t>10, 11, 27-29</w:t>
      </w:r>
      <w:r w:rsidR="005775CF" w:rsidRPr="00A56829">
        <w:rPr>
          <w:vertAlign w:val="superscript"/>
        </w:rPr>
        <w:t xml:space="preserve"> </w:t>
      </w:r>
      <w:r w:rsidR="003563BE" w:rsidRPr="00A56829">
        <w:t>and that earlier use of NAIs is associated with the best outcome</w:t>
      </w:r>
      <w:r w:rsidR="0051295E" w:rsidRPr="00A56829">
        <w:t>s</w:t>
      </w:r>
      <w:r w:rsidR="005775CF" w:rsidRPr="00A56829">
        <w:t>.</w:t>
      </w:r>
      <w:r w:rsidR="005775CF" w:rsidRPr="00A56829">
        <w:rPr>
          <w:vertAlign w:val="superscript"/>
        </w:rPr>
        <w:t>10, 11</w:t>
      </w:r>
      <w:r w:rsidR="003563BE" w:rsidRPr="00A56829">
        <w:t xml:space="preserve"> </w:t>
      </w:r>
    </w:p>
    <w:p w:rsidR="007A29DE" w:rsidRPr="00304E0E" w:rsidRDefault="007A29DE" w:rsidP="00A07E92">
      <w:pPr>
        <w:spacing w:after="0" w:line="480" w:lineRule="auto"/>
        <w:jc w:val="both"/>
        <w:rPr>
          <w:u w:val="single"/>
        </w:rPr>
      </w:pPr>
    </w:p>
    <w:p w:rsidR="00FC4551" w:rsidRDefault="00FC4551" w:rsidP="00A07E92">
      <w:pPr>
        <w:spacing w:after="0" w:line="480" w:lineRule="auto"/>
        <w:jc w:val="both"/>
      </w:pPr>
      <w:r w:rsidRPr="00FC4551">
        <w:t>The strengths of the study include; the multicentre nature, conduct over two winter s</w:t>
      </w:r>
      <w:r w:rsidR="007C5487">
        <w:t xml:space="preserve">easons and its pragmatic design, </w:t>
      </w:r>
      <w:r w:rsidRPr="00FC4551">
        <w:t>with broad inclusion criteria representing typical patients admitted to UK secondary care, simple intervention and comparison to routine clinical care.</w:t>
      </w:r>
      <w:r w:rsidR="007C5487">
        <w:t xml:space="preserve"> </w:t>
      </w:r>
      <w:r w:rsidR="007C5487" w:rsidRPr="007C5487">
        <w:t xml:space="preserve">These factors suggest that the findings of this study are likely to be generalisable to other similar UK and international centres. </w:t>
      </w:r>
      <w:r w:rsidR="007C5487">
        <w:t xml:space="preserve">The </w:t>
      </w:r>
      <w:r w:rsidRPr="00FC4551">
        <w:t>trial was designed and powered to evaluate influenza specific ou</w:t>
      </w:r>
      <w:r w:rsidR="007C5487">
        <w:t xml:space="preserve">tcomes in hospitalised adults and </w:t>
      </w:r>
      <w:r w:rsidR="001D27FD">
        <w:t xml:space="preserve">universal </w:t>
      </w:r>
      <w:r w:rsidR="007546B9">
        <w:t>sampling with retrospective testing</w:t>
      </w:r>
      <w:r w:rsidRPr="00FC4551">
        <w:t xml:space="preserve"> for influ</w:t>
      </w:r>
      <w:r w:rsidR="007C5487">
        <w:t>enza in the control group allowed</w:t>
      </w:r>
      <w:r w:rsidRPr="00FC4551">
        <w:t xml:space="preserve"> a direct assessment of missed diagnoses and comparison of outcomes in all influenza</w:t>
      </w:r>
      <w:r w:rsidR="00F749AD">
        <w:t>-</w:t>
      </w:r>
      <w:r w:rsidR="007546B9">
        <w:t>infected patients</w:t>
      </w:r>
      <w:r w:rsidRPr="00FC4551">
        <w:t xml:space="preserve">. The use of clinical outcomes measures such as time on supplementary oxygen, time to clinical improvement and hospital recovery </w:t>
      </w:r>
      <w:r w:rsidR="007C5487">
        <w:t xml:space="preserve">score, allowed the </w:t>
      </w:r>
      <w:r w:rsidRPr="00FC4551">
        <w:t xml:space="preserve">assessment of the impact of mPOCT on clinical outcomes in addition to changes in clinical management.  </w:t>
      </w:r>
    </w:p>
    <w:p w:rsidR="007C5487" w:rsidRPr="00304E0E" w:rsidRDefault="007C5487" w:rsidP="00A07E92">
      <w:pPr>
        <w:spacing w:after="0" w:line="480" w:lineRule="auto"/>
        <w:jc w:val="both"/>
      </w:pPr>
    </w:p>
    <w:p w:rsidR="00304E0E" w:rsidRDefault="00393547" w:rsidP="00A07E92">
      <w:pPr>
        <w:spacing w:after="0" w:line="480" w:lineRule="auto"/>
        <w:jc w:val="both"/>
      </w:pPr>
      <w:r>
        <w:t xml:space="preserve">Our study has a number of potential weakness. </w:t>
      </w:r>
      <w:r w:rsidRPr="00393547">
        <w:t xml:space="preserve">As the study took place </w:t>
      </w:r>
      <w:r w:rsidR="00FC4551">
        <w:t xml:space="preserve">only </w:t>
      </w:r>
      <w:r w:rsidRPr="00393547">
        <w:t xml:space="preserve">during winter months when </w:t>
      </w:r>
      <w:r>
        <w:t xml:space="preserve">influenza was circulating </w:t>
      </w:r>
      <w:r w:rsidRPr="00393547">
        <w:t xml:space="preserve">the findings cannot be extrapolated </w:t>
      </w:r>
      <w:r>
        <w:t xml:space="preserve">to times </w:t>
      </w:r>
      <w:r w:rsidRPr="00393547">
        <w:t>outside of this period</w:t>
      </w:r>
      <w:r>
        <w:t xml:space="preserve"> when </w:t>
      </w:r>
      <w:r w:rsidR="00FC4551">
        <w:t>m</w:t>
      </w:r>
      <w:r w:rsidR="00F749AD">
        <w:t xml:space="preserve">POCT </w:t>
      </w:r>
      <w:r w:rsidR="00FD3E9D">
        <w:t xml:space="preserve">for influenza </w:t>
      </w:r>
      <w:r w:rsidR="00F749AD">
        <w:t>is unlikely to have an</w:t>
      </w:r>
      <w:r>
        <w:t xml:space="preserve"> impact</w:t>
      </w:r>
      <w:r w:rsidRPr="00393547">
        <w:t>.</w:t>
      </w:r>
      <w:r w:rsidR="00FD3E9D" w:rsidRPr="00FD3E9D">
        <w:t xml:space="preserve"> </w:t>
      </w:r>
      <w:r w:rsidR="00FD3E9D">
        <w:t>In this study n</w:t>
      </w:r>
      <w:r w:rsidR="00FD3E9D" w:rsidRPr="00FD3E9D">
        <w:t xml:space="preserve">o attempt was made at blinding </w:t>
      </w:r>
      <w:r w:rsidR="00FD3E9D">
        <w:t>clinical teams or participants to the allocated groups</w:t>
      </w:r>
      <w:r w:rsidR="00FD3E9D" w:rsidRPr="00FD3E9D">
        <w:t xml:space="preserve">. </w:t>
      </w:r>
      <w:r w:rsidR="00FD3E9D">
        <w:t>As the</w:t>
      </w:r>
      <w:r w:rsidR="00FD3E9D" w:rsidRPr="00FD3E9D">
        <w:t xml:space="preserve"> study </w:t>
      </w:r>
      <w:r w:rsidR="00FD3E9D">
        <w:t xml:space="preserve">required </w:t>
      </w:r>
      <w:r w:rsidR="00FD3E9D" w:rsidRPr="00FD3E9D">
        <w:t xml:space="preserve">clinical teams </w:t>
      </w:r>
      <w:r w:rsidR="00FD3E9D">
        <w:t xml:space="preserve">to be informed </w:t>
      </w:r>
      <w:r w:rsidR="00FD3E9D" w:rsidRPr="00FD3E9D">
        <w:t xml:space="preserve">of the </w:t>
      </w:r>
      <w:r w:rsidR="00DC4FE9">
        <w:t>m</w:t>
      </w:r>
      <w:r w:rsidR="00FD3E9D" w:rsidRPr="00FD3E9D">
        <w:t>POCT results</w:t>
      </w:r>
      <w:r w:rsidR="00FD3E9D">
        <w:t xml:space="preserve"> in real-time,</w:t>
      </w:r>
      <w:r w:rsidR="00FD3E9D" w:rsidRPr="00FD3E9D">
        <w:t xml:space="preserve"> they could not be blinded to which group a participant had been randomised to. </w:t>
      </w:r>
      <w:r w:rsidRPr="00393547">
        <w:t xml:space="preserve"> In our trial the </w:t>
      </w:r>
      <w:r w:rsidR="00DC4FE9">
        <w:t>m</w:t>
      </w:r>
      <w:r w:rsidRPr="00393547">
        <w:t>POCT was performed by research staff rather than clinicians and so uncertainties remain about how test</w:t>
      </w:r>
      <w:r>
        <w:t>ing</w:t>
      </w:r>
      <w:r w:rsidR="00F749AD">
        <w:t xml:space="preserve"> should</w:t>
      </w:r>
      <w:r w:rsidRPr="00393547">
        <w:t xml:space="preserve"> be </w:t>
      </w:r>
      <w:r>
        <w:t xml:space="preserve">best </w:t>
      </w:r>
      <w:r w:rsidRPr="00393547">
        <w:t xml:space="preserve">delivered </w:t>
      </w:r>
      <w:r>
        <w:t>in routine care. Various implementation models exist including physician</w:t>
      </w:r>
      <w:r w:rsidR="00FC4551">
        <w:t xml:space="preserve"> or nurse-</w:t>
      </w:r>
      <w:r>
        <w:t>delivered testing and technician</w:t>
      </w:r>
      <w:r w:rsidR="00FC4551">
        <w:t>-</w:t>
      </w:r>
      <w:r>
        <w:t xml:space="preserve">delivered testing within a POCT testing hub, embedded in acute area.  These </w:t>
      </w:r>
      <w:r w:rsidR="00FC4551">
        <w:t xml:space="preserve">models </w:t>
      </w:r>
      <w:r>
        <w:t xml:space="preserve">should be studied in implementation trials alongside obtaining real world data to confirm the clinical impact. </w:t>
      </w:r>
      <w:r w:rsidR="00FC4551">
        <w:t xml:space="preserve"> Another uncertainty</w:t>
      </w:r>
      <w:r>
        <w:t xml:space="preserve"> regarding the impleme</w:t>
      </w:r>
      <w:r w:rsidR="00F749AD">
        <w:t>ntation of mPOCT is the choice</w:t>
      </w:r>
      <w:r>
        <w:t xml:space="preserve"> between syndromic testing for a comprehensive panel of respiratory viruses or testing for influenza alone. Our previous work suggest</w:t>
      </w:r>
      <w:r w:rsidR="002555E9">
        <w:t>s</w:t>
      </w:r>
      <w:r>
        <w:t xml:space="preserve"> </w:t>
      </w:r>
      <w:r>
        <w:lastRenderedPageBreak/>
        <w:t>that the impact on anti</w:t>
      </w:r>
      <w:r w:rsidR="002555E9">
        <w:t>biotic use and length of stay will be greatest</w:t>
      </w:r>
      <w:r>
        <w:t xml:space="preserve"> when the s</w:t>
      </w:r>
      <w:r w:rsidR="0051295E">
        <w:t xml:space="preserve">yndromic approach is used </w:t>
      </w:r>
      <w:r>
        <w:t>although this must be balance</w:t>
      </w:r>
      <w:r w:rsidR="00FC4551">
        <w:t>d</w:t>
      </w:r>
      <w:r>
        <w:t xml:space="preserve"> against the</w:t>
      </w:r>
      <w:r w:rsidR="00FC4551">
        <w:t xml:space="preserve"> current</w:t>
      </w:r>
      <w:r>
        <w:t xml:space="preserve"> higher cost </w:t>
      </w:r>
      <w:r w:rsidR="00FC4551">
        <w:t xml:space="preserve">and longer turnaround times </w:t>
      </w:r>
      <w:r>
        <w:t xml:space="preserve">of </w:t>
      </w:r>
      <w:r w:rsidR="00FC4551">
        <w:t xml:space="preserve">most </w:t>
      </w:r>
      <w:r w:rsidR="001D27FD">
        <w:t xml:space="preserve">current </w:t>
      </w:r>
      <w:r>
        <w:t>systemic panels</w:t>
      </w:r>
      <w:r w:rsidR="00F749AD">
        <w:t>,</w:t>
      </w:r>
      <w:r>
        <w:t xml:space="preserve"> </w:t>
      </w:r>
      <w:r w:rsidR="00FC4551">
        <w:t>compared to</w:t>
      </w:r>
      <w:r>
        <w:t xml:space="preserve"> test</w:t>
      </w:r>
      <w:r w:rsidR="00FC4551">
        <w:t>s for</w:t>
      </w:r>
      <w:r>
        <w:t xml:space="preserve"> </w:t>
      </w:r>
      <w:r w:rsidRPr="00A56829">
        <w:t>influenza</w:t>
      </w:r>
      <w:r w:rsidR="00FC4551" w:rsidRPr="00A56829">
        <w:t xml:space="preserve"> alone</w:t>
      </w:r>
      <w:r w:rsidR="00FD3E9D" w:rsidRPr="00A56829">
        <w:t>.</w:t>
      </w:r>
      <w:r w:rsidR="005775CF" w:rsidRPr="00A56829">
        <w:rPr>
          <w:vertAlign w:val="superscript"/>
        </w:rPr>
        <w:t>30</w:t>
      </w:r>
    </w:p>
    <w:p w:rsidR="007A29DE" w:rsidRPr="00304E0E" w:rsidRDefault="007A29DE" w:rsidP="00A07E92">
      <w:pPr>
        <w:spacing w:after="0" w:line="480" w:lineRule="auto"/>
        <w:jc w:val="both"/>
      </w:pPr>
    </w:p>
    <w:p w:rsidR="00BA6ED9" w:rsidRDefault="001D27FD" w:rsidP="00A07E92">
      <w:pPr>
        <w:spacing w:after="0" w:line="480" w:lineRule="auto"/>
        <w:jc w:val="both"/>
      </w:pPr>
      <w:r w:rsidRPr="001D27FD">
        <w:t xml:space="preserve">In </w:t>
      </w:r>
      <w:r w:rsidR="007546B9">
        <w:t>c</w:t>
      </w:r>
      <w:r w:rsidR="00E11AFC">
        <w:t xml:space="preserve">onclusion </w:t>
      </w:r>
      <w:r>
        <w:t>a</w:t>
      </w:r>
      <w:r w:rsidR="00304E0E" w:rsidRPr="00304E0E">
        <w:t xml:space="preserve"> routine molecular</w:t>
      </w:r>
      <w:r w:rsidR="00D343D5">
        <w:t xml:space="preserve"> point-of-care</w:t>
      </w:r>
      <w:r w:rsidR="00304E0E" w:rsidRPr="00304E0E">
        <w:t xml:space="preserve"> ‘test and treat’ strategy for influenza in adult</w:t>
      </w:r>
      <w:r w:rsidR="00F749AD">
        <w:t>s hospitalised with ARI improved</w:t>
      </w:r>
      <w:r w:rsidR="00304E0E" w:rsidRPr="00304E0E">
        <w:t xml:space="preserve"> the detection of influenza, the appropria</w:t>
      </w:r>
      <w:r w:rsidR="007A3ECB">
        <w:t xml:space="preserve">te use of influenza antivirals and </w:t>
      </w:r>
      <w:r w:rsidR="00E11AFC">
        <w:t>the rational</w:t>
      </w:r>
      <w:r w:rsidR="00304E0E" w:rsidRPr="00304E0E">
        <w:t xml:space="preserve"> use of isolation fa</w:t>
      </w:r>
      <w:r w:rsidR="007546B9">
        <w:t>cilities</w:t>
      </w:r>
      <w:r w:rsidR="00E814CF">
        <w:t>,</w:t>
      </w:r>
      <w:r w:rsidR="00304E0E" w:rsidRPr="00304E0E">
        <w:t xml:space="preserve"> and was associated with improvements in clinical outcome</w:t>
      </w:r>
      <w:r>
        <w:t>,</w:t>
      </w:r>
      <w:r w:rsidR="007A3ECB">
        <w:t xml:space="preserve"> in influenza-</w:t>
      </w:r>
      <w:r w:rsidR="00FD06E3">
        <w:t>infected patients</w:t>
      </w:r>
      <w:r w:rsidR="00304E0E" w:rsidRPr="00304E0E">
        <w:t xml:space="preserve">. </w:t>
      </w:r>
      <w:r w:rsidR="00E11AFC" w:rsidRPr="00304E0E">
        <w:t>R</w:t>
      </w:r>
      <w:r w:rsidR="00E11AFC">
        <w:t>outine m</w:t>
      </w:r>
      <w:r w:rsidR="00304E0E" w:rsidRPr="00304E0E">
        <w:t xml:space="preserve">POCT for influenza should become </w:t>
      </w:r>
      <w:r w:rsidR="00E11AFC">
        <w:t xml:space="preserve">the </w:t>
      </w:r>
      <w:r w:rsidR="00304E0E" w:rsidRPr="00304E0E">
        <w:t>standard of care in hospitals during influenza season.</w:t>
      </w: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474A82" w:rsidRDefault="00474A82" w:rsidP="00A07E92">
      <w:pPr>
        <w:spacing w:after="0" w:line="480" w:lineRule="auto"/>
        <w:jc w:val="both"/>
      </w:pPr>
    </w:p>
    <w:p w:rsidR="009A1D45" w:rsidRPr="00202383" w:rsidRDefault="009A1D45" w:rsidP="009A1D45">
      <w:pPr>
        <w:spacing w:line="480" w:lineRule="auto"/>
        <w:rPr>
          <w:b/>
          <w:bCs/>
          <w:sz w:val="32"/>
          <w:szCs w:val="32"/>
        </w:rPr>
      </w:pPr>
      <w:r w:rsidRPr="00C77CCD">
        <w:rPr>
          <w:b/>
          <w:bCs/>
          <w:sz w:val="32"/>
          <w:szCs w:val="32"/>
        </w:rPr>
        <w:lastRenderedPageBreak/>
        <w:t xml:space="preserve">References </w:t>
      </w:r>
    </w:p>
    <w:p w:rsidR="009A1D45" w:rsidRPr="009A1D45" w:rsidRDefault="009A1D45" w:rsidP="009A1D45">
      <w:pPr>
        <w:spacing w:after="240" w:line="480" w:lineRule="auto"/>
        <w:jc w:val="both"/>
        <w:rPr>
          <w:rFonts w:eastAsia="Calibri" w:cstheme="minorHAnsi"/>
          <w:bCs/>
          <w:lang w:eastAsia="en-US"/>
        </w:rPr>
      </w:pPr>
      <w:r w:rsidRPr="009A1D45">
        <w:rPr>
          <w:rFonts w:eastAsia="Calibri" w:cstheme="minorHAnsi"/>
          <w:bCs/>
          <w:lang w:eastAsia="en-US"/>
        </w:rPr>
        <w:t>1. Thompson WW, Shay DK, Weintraub E, et al. Influenza-associated hospitalizations in the United States.</w:t>
      </w:r>
      <w:r w:rsidRPr="009A1D45">
        <w:rPr>
          <w:rFonts w:eastAsia="Calibri" w:cstheme="minorHAnsi"/>
          <w:bCs/>
          <w:i/>
          <w:lang w:eastAsia="en-US"/>
        </w:rPr>
        <w:t xml:space="preserve"> JAMA</w:t>
      </w:r>
      <w:r w:rsidRPr="009A1D45">
        <w:rPr>
          <w:rFonts w:eastAsia="Calibri" w:cstheme="minorHAnsi"/>
          <w:bCs/>
          <w:lang w:eastAsia="en-US"/>
        </w:rPr>
        <w:t xml:space="preserve"> 2004;</w:t>
      </w:r>
      <w:r w:rsidRPr="009A1D45">
        <w:rPr>
          <w:rFonts w:eastAsia="Calibri" w:cstheme="minorHAnsi"/>
          <w:b/>
          <w:bCs/>
          <w:lang w:eastAsia="en-US"/>
        </w:rPr>
        <w:t>292</w:t>
      </w:r>
      <w:r w:rsidRPr="009A1D45">
        <w:rPr>
          <w:rFonts w:eastAsia="Calibri" w:cstheme="minorHAnsi"/>
          <w:bCs/>
          <w:lang w:eastAsia="en-US"/>
        </w:rPr>
        <w:t>:1333–40.</w:t>
      </w:r>
    </w:p>
    <w:p w:rsidR="009A1D45" w:rsidRPr="009A1D45" w:rsidRDefault="009A1D45" w:rsidP="009A1D45">
      <w:pPr>
        <w:spacing w:after="240" w:line="480" w:lineRule="auto"/>
        <w:jc w:val="both"/>
        <w:rPr>
          <w:rFonts w:eastAsia="Calibri" w:cstheme="minorHAnsi"/>
          <w:bCs/>
          <w:lang w:eastAsia="en-US"/>
        </w:rPr>
      </w:pPr>
      <w:r w:rsidRPr="009A1D45">
        <w:rPr>
          <w:rFonts w:eastAsia="Calibri" w:cstheme="minorHAnsi"/>
          <w:bCs/>
          <w:lang w:eastAsia="en-US"/>
        </w:rPr>
        <w:t xml:space="preserve">2. Dao CN, Kamimoto L, Nowell M, et al. Emerging Infections Program Network: adult hospitalizations for laboratory-positive influenza during the 2005-2006 through 2007-2008 seasons in the United States. </w:t>
      </w:r>
      <w:r w:rsidRPr="009A1D45">
        <w:rPr>
          <w:rFonts w:eastAsia="Calibri" w:cstheme="minorHAnsi"/>
          <w:bCs/>
          <w:i/>
          <w:lang w:eastAsia="en-US"/>
        </w:rPr>
        <w:t>J Infect Dis</w:t>
      </w:r>
      <w:r w:rsidRPr="009A1D45">
        <w:rPr>
          <w:rFonts w:eastAsia="Calibri" w:cstheme="minorHAnsi"/>
          <w:bCs/>
          <w:lang w:eastAsia="en-US"/>
        </w:rPr>
        <w:t xml:space="preserve"> 2010;</w:t>
      </w:r>
      <w:r w:rsidRPr="009A1D45">
        <w:rPr>
          <w:rFonts w:eastAsia="Calibri" w:cstheme="minorHAnsi"/>
          <w:b/>
          <w:bCs/>
          <w:lang w:eastAsia="en-US"/>
        </w:rPr>
        <w:t>202</w:t>
      </w:r>
      <w:r w:rsidRPr="009A1D45">
        <w:rPr>
          <w:rFonts w:eastAsia="Calibri" w:cstheme="minorHAnsi"/>
          <w:bCs/>
          <w:lang w:eastAsia="en-US"/>
        </w:rPr>
        <w:t>:881-8.</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3. Troeger CE, Blacker BF, Khalil IA, et al. Mortality, morbidity, and hospitalisations due to influenza lower respiratory tract infections, 2017: an analysis for the Global Burden of Disease Study 2017. </w:t>
      </w:r>
      <w:r w:rsidRPr="009A1D45">
        <w:rPr>
          <w:rFonts w:eastAsia="Calibri" w:cstheme="minorHAnsi"/>
          <w:i/>
          <w:lang w:eastAsia="en-US"/>
        </w:rPr>
        <w:t>Lancet Respir Med</w:t>
      </w:r>
      <w:r w:rsidRPr="009A1D45">
        <w:rPr>
          <w:rFonts w:eastAsia="Calibri" w:cstheme="minorHAnsi"/>
          <w:lang w:eastAsia="en-US"/>
        </w:rPr>
        <w:t xml:space="preserve"> 2019;</w:t>
      </w:r>
      <w:r w:rsidRPr="009A1D45">
        <w:rPr>
          <w:rFonts w:eastAsia="Calibri" w:cstheme="minorHAnsi"/>
          <w:b/>
          <w:lang w:eastAsia="en-US"/>
        </w:rPr>
        <w:t>7</w:t>
      </w:r>
      <w:r w:rsidRPr="009A1D45">
        <w:rPr>
          <w:rFonts w:eastAsia="Calibri" w:cstheme="minorHAnsi"/>
          <w:lang w:eastAsia="en-US"/>
        </w:rPr>
        <w:t>:69-89.</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4. Widmer K, Zhu Y, Williams JV, et al. Rates of hospitalizations for respiratory syncytial virus, human metapneumovirus, and influenza virus in older adults. </w:t>
      </w:r>
      <w:r w:rsidRPr="009A1D45">
        <w:rPr>
          <w:rFonts w:eastAsia="Calibri" w:cstheme="minorHAnsi"/>
          <w:i/>
          <w:lang w:eastAsia="en-US"/>
        </w:rPr>
        <w:t>J Infect Dis</w:t>
      </w:r>
      <w:r w:rsidRPr="009A1D45">
        <w:rPr>
          <w:rFonts w:eastAsia="Calibri" w:cstheme="minorHAnsi"/>
          <w:lang w:eastAsia="en-US"/>
        </w:rPr>
        <w:t xml:space="preserve"> 2012;2</w:t>
      </w:r>
      <w:r w:rsidRPr="009A1D45">
        <w:rPr>
          <w:rFonts w:eastAsia="Calibri" w:cstheme="minorHAnsi"/>
          <w:b/>
          <w:lang w:eastAsia="en-US"/>
        </w:rPr>
        <w:t>06</w:t>
      </w:r>
      <w:r w:rsidRPr="009A1D45">
        <w:rPr>
          <w:rFonts w:eastAsia="Calibri" w:cstheme="minorHAnsi"/>
          <w:lang w:eastAsia="en-US"/>
        </w:rPr>
        <w:t>:56-62.</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5. Mauskopf J, Klesse M, Lee S, et al. The burden of influenza complications in different high-risk groups: a targeted literature review. </w:t>
      </w:r>
      <w:r w:rsidRPr="009A1D45">
        <w:rPr>
          <w:rFonts w:eastAsia="Calibri" w:cstheme="minorHAnsi"/>
          <w:i/>
          <w:lang w:eastAsia="en-US"/>
        </w:rPr>
        <w:t>J Med Econ</w:t>
      </w:r>
      <w:r w:rsidRPr="009A1D45">
        <w:rPr>
          <w:rFonts w:eastAsia="Calibri" w:cstheme="minorHAnsi"/>
          <w:lang w:eastAsia="en-US"/>
        </w:rPr>
        <w:t xml:space="preserve"> 2013;</w:t>
      </w:r>
      <w:r w:rsidRPr="009A1D45">
        <w:rPr>
          <w:rFonts w:eastAsia="Calibri" w:cstheme="minorHAnsi"/>
          <w:b/>
          <w:lang w:eastAsia="en-US"/>
        </w:rPr>
        <w:t>16</w:t>
      </w:r>
      <w:r w:rsidRPr="009A1D45">
        <w:rPr>
          <w:rFonts w:eastAsia="Calibri" w:cstheme="minorHAnsi"/>
          <w:lang w:eastAsia="en-US"/>
        </w:rPr>
        <w:t>:264-77.</w:t>
      </w:r>
    </w:p>
    <w:p w:rsidR="009A1D45" w:rsidRPr="009A1D45" w:rsidRDefault="009A1D45" w:rsidP="009A1D45">
      <w:pPr>
        <w:keepNext/>
        <w:spacing w:after="240" w:line="480" w:lineRule="auto"/>
        <w:jc w:val="both"/>
        <w:rPr>
          <w:rFonts w:eastAsia="Calibri" w:cstheme="minorHAnsi"/>
          <w:lang w:eastAsia="en-US"/>
        </w:rPr>
      </w:pPr>
      <w:r w:rsidRPr="009A1D45">
        <w:rPr>
          <w:rFonts w:eastAsia="Calibri" w:cstheme="minorHAnsi"/>
          <w:lang w:eastAsia="en-US"/>
        </w:rPr>
        <w:t xml:space="preserve">6. Dugas AF, Valsamakis A, Atreya MR, et al. Clinical diagnosis of influenza in the ED. </w:t>
      </w:r>
      <w:r w:rsidRPr="009A1D45">
        <w:rPr>
          <w:rFonts w:eastAsia="Calibri" w:cstheme="minorHAnsi"/>
          <w:i/>
          <w:lang w:eastAsia="en-US"/>
        </w:rPr>
        <w:t>Am J Emerg Med 2015</w:t>
      </w:r>
      <w:r w:rsidRPr="009A1D45">
        <w:rPr>
          <w:rFonts w:eastAsia="Calibri" w:cstheme="minorHAnsi"/>
          <w:lang w:eastAsia="en-US"/>
        </w:rPr>
        <w:t>;</w:t>
      </w:r>
      <w:r w:rsidRPr="009A1D45">
        <w:rPr>
          <w:rFonts w:eastAsia="Calibri" w:cstheme="minorHAnsi"/>
          <w:b/>
          <w:lang w:eastAsia="en-US"/>
        </w:rPr>
        <w:t>33</w:t>
      </w:r>
      <w:r w:rsidRPr="009A1D45">
        <w:rPr>
          <w:rFonts w:eastAsia="Calibri" w:cstheme="minorHAnsi"/>
          <w:lang w:eastAsia="en-US"/>
        </w:rPr>
        <w:t xml:space="preserve">:770-5. </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7. Brendish NJ, Malachira AK, Armstrong L, et al. Routine molecular point-of-care testing for respiratory viruses in adults presenting to hospital with acute respiratory illness (ResPOC): a pragmatic, open-label, randomised controlled trial. </w:t>
      </w:r>
      <w:r w:rsidRPr="009A1D45">
        <w:rPr>
          <w:rFonts w:eastAsia="Calibri" w:cstheme="minorHAnsi"/>
          <w:i/>
          <w:lang w:eastAsia="en-US"/>
        </w:rPr>
        <w:t>Lancet Respir Med</w:t>
      </w:r>
      <w:r w:rsidRPr="009A1D45">
        <w:rPr>
          <w:rFonts w:eastAsia="Calibri" w:cstheme="minorHAnsi"/>
          <w:lang w:eastAsia="en-US"/>
        </w:rPr>
        <w:t xml:space="preserve"> 2017;</w:t>
      </w:r>
      <w:r w:rsidRPr="009A1D45">
        <w:rPr>
          <w:rFonts w:eastAsia="Calibri" w:cstheme="minorHAnsi"/>
          <w:b/>
          <w:lang w:eastAsia="en-US"/>
        </w:rPr>
        <w:t>5</w:t>
      </w:r>
      <w:r w:rsidRPr="009A1D45">
        <w:rPr>
          <w:rFonts w:eastAsia="Calibri" w:cstheme="minorHAnsi"/>
          <w:lang w:eastAsia="en-US"/>
        </w:rPr>
        <w:t xml:space="preserve">:401-411. </w:t>
      </w:r>
    </w:p>
    <w:p w:rsidR="009A1D45" w:rsidRPr="009A1D45" w:rsidRDefault="009A1D45" w:rsidP="009A1D45">
      <w:pPr>
        <w:spacing w:after="240" w:line="480" w:lineRule="auto"/>
        <w:rPr>
          <w:rFonts w:eastAsia="Calibri" w:cstheme="minorHAnsi"/>
          <w:color w:val="0563C1"/>
          <w:u w:val="single"/>
          <w:lang w:eastAsia="en-US"/>
        </w:rPr>
      </w:pPr>
      <w:r w:rsidRPr="009A1D45">
        <w:rPr>
          <w:rFonts w:eastAsia="Calibri" w:cstheme="minorHAnsi"/>
          <w:lang w:eastAsia="en-US"/>
        </w:rPr>
        <w:t xml:space="preserve">8. Guidance on use of antiviral agents for the treatment and prophylaxis of seasonal influenza. Public Health England. Version 10.0. September 2019. </w:t>
      </w:r>
      <w:hyperlink r:id="rId9" w:history="1">
        <w:r w:rsidRPr="009A1D45">
          <w:rPr>
            <w:rFonts w:eastAsia="Calibri" w:cstheme="minorHAnsi"/>
            <w:color w:val="0563C1"/>
            <w:u w:val="single"/>
            <w:lang w:eastAsia="en-US"/>
          </w:rPr>
          <w:t>https://assets.publishing.service.gov.uk/government/uploads/system/uploads/attachment_data/file/833572/PHE_guidance_antivirals_influenza_201920.pdf</w:t>
        </w:r>
      </w:hyperlink>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lastRenderedPageBreak/>
        <w:t xml:space="preserve">9. Uyeki TM, Bernstein HH, Bradley JS, Englund JA, File TM and Fry AM. Clinical Practice Guidelines by the Infectious Diseases Society of America: 2018 Update on Diagnosis, Treatment, Chemoprophylaxis, and Institutional Outbreak Management of Seasonal Influenza. </w:t>
      </w:r>
      <w:r w:rsidRPr="009A1D45">
        <w:rPr>
          <w:rFonts w:eastAsia="Calibri" w:cstheme="minorHAnsi"/>
          <w:i/>
          <w:lang w:eastAsia="en-US"/>
        </w:rPr>
        <w:t>Clin Infect Dis</w:t>
      </w:r>
      <w:r w:rsidRPr="009A1D45">
        <w:rPr>
          <w:rFonts w:eastAsia="Calibri" w:cstheme="minorHAnsi"/>
          <w:lang w:eastAsia="en-US"/>
        </w:rPr>
        <w:t xml:space="preserve"> 2019;</w:t>
      </w:r>
      <w:r w:rsidRPr="009A1D45">
        <w:rPr>
          <w:rFonts w:eastAsia="Calibri" w:cstheme="minorHAnsi"/>
          <w:b/>
          <w:lang w:eastAsia="en-US"/>
        </w:rPr>
        <w:t>68</w:t>
      </w:r>
      <w:r w:rsidRPr="009A1D45">
        <w:rPr>
          <w:rFonts w:eastAsia="Calibri" w:cstheme="minorHAnsi"/>
          <w:lang w:eastAsia="en-US"/>
        </w:rPr>
        <w:t>:e1-e47.</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10. Muthuri SG, Venkatesan S, Myles PR, et al. Effectiveness of neuraminidase inhibitors in reducing mortality in patients admitted to hospital with influenza A H1N1pdm09 virus infection: a meta-analysis of individual participant data. </w:t>
      </w:r>
      <w:r w:rsidRPr="009A1D45">
        <w:rPr>
          <w:rFonts w:eastAsia="Calibri" w:cstheme="minorHAnsi"/>
          <w:i/>
          <w:lang w:eastAsia="en-US"/>
        </w:rPr>
        <w:t>Lancet Respir Med</w:t>
      </w:r>
      <w:r w:rsidRPr="009A1D45">
        <w:rPr>
          <w:rFonts w:eastAsia="Calibri" w:cstheme="minorHAnsi"/>
          <w:lang w:eastAsia="en-US"/>
        </w:rPr>
        <w:t xml:space="preserve"> 2014;</w:t>
      </w:r>
      <w:r w:rsidRPr="009A1D45">
        <w:rPr>
          <w:rFonts w:eastAsia="Calibri" w:cstheme="minorHAnsi"/>
          <w:b/>
          <w:lang w:eastAsia="en-US"/>
        </w:rPr>
        <w:t>2</w:t>
      </w:r>
      <w:r w:rsidRPr="009A1D45">
        <w:rPr>
          <w:rFonts w:eastAsia="Calibri" w:cstheme="minorHAnsi"/>
          <w:lang w:eastAsia="en-US"/>
        </w:rPr>
        <w:t>:395-404.</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11. Katzen J, Kohn R, Houk JL, Ison MG. Early Oseltamivir After Hospital Admission Is Associated With Shortened Hospitalization: A 5-Year Analysis of Oseltamivir Timing and Clinical Outcomes. </w:t>
      </w:r>
      <w:r w:rsidRPr="009A1D45">
        <w:rPr>
          <w:rFonts w:eastAsia="Calibri" w:cstheme="minorHAnsi"/>
          <w:i/>
          <w:lang w:eastAsia="en-US"/>
        </w:rPr>
        <w:t>Clin Infect Dis</w:t>
      </w:r>
      <w:r w:rsidRPr="009A1D45">
        <w:rPr>
          <w:rFonts w:eastAsia="Calibri" w:cstheme="minorHAnsi"/>
          <w:lang w:eastAsia="en-US"/>
        </w:rPr>
        <w:t xml:space="preserve"> 2019;</w:t>
      </w:r>
      <w:r w:rsidRPr="009A1D45">
        <w:rPr>
          <w:rFonts w:eastAsia="Calibri" w:cstheme="minorHAnsi"/>
          <w:b/>
          <w:lang w:eastAsia="en-US"/>
        </w:rPr>
        <w:t>69</w:t>
      </w:r>
      <w:r w:rsidRPr="009A1D45">
        <w:rPr>
          <w:rFonts w:eastAsia="Calibri" w:cstheme="minorHAnsi"/>
          <w:lang w:eastAsia="en-US"/>
        </w:rPr>
        <w:t>:52-58.</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12. Brendish NJ, Schiff HF, Clark TW. Point-of-care testing for respiratory viruses in adults: The current landscape and future potential. </w:t>
      </w:r>
      <w:r w:rsidRPr="009A1D45">
        <w:rPr>
          <w:rFonts w:eastAsia="Calibri" w:cstheme="minorHAnsi"/>
          <w:i/>
          <w:lang w:eastAsia="en-US"/>
        </w:rPr>
        <w:t>J Infect</w:t>
      </w:r>
      <w:r w:rsidRPr="009A1D45">
        <w:rPr>
          <w:rFonts w:eastAsia="Calibri" w:cstheme="minorHAnsi"/>
          <w:lang w:eastAsia="en-US"/>
        </w:rPr>
        <w:t xml:space="preserve"> 2015;</w:t>
      </w:r>
      <w:r w:rsidRPr="009A1D45">
        <w:rPr>
          <w:rFonts w:eastAsia="Calibri" w:cstheme="minorHAnsi"/>
          <w:b/>
          <w:lang w:eastAsia="en-US"/>
        </w:rPr>
        <w:t>71</w:t>
      </w:r>
      <w:r w:rsidRPr="009A1D45">
        <w:rPr>
          <w:rFonts w:eastAsia="Calibri" w:cstheme="minorHAnsi"/>
          <w:lang w:eastAsia="en-US"/>
        </w:rPr>
        <w:t>:501-10.</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13. Huang HS, Tsai CL, Chang J, Hsu TC, Lin S, Lee CC. Multiplex PCR system for the rapid diagnosis of respiratory virus infection: systematic review and meta-analysis. </w:t>
      </w:r>
      <w:r w:rsidRPr="009A1D45">
        <w:rPr>
          <w:rFonts w:eastAsia="Calibri" w:cstheme="minorHAnsi"/>
          <w:i/>
          <w:lang w:eastAsia="en-US"/>
        </w:rPr>
        <w:t xml:space="preserve">Clin Microbiol Infect </w:t>
      </w:r>
      <w:r w:rsidRPr="009A1D45">
        <w:rPr>
          <w:rFonts w:eastAsia="Calibri" w:cstheme="minorHAnsi"/>
          <w:lang w:eastAsia="en-US"/>
        </w:rPr>
        <w:t>2018;</w:t>
      </w:r>
      <w:r w:rsidRPr="009A1D45">
        <w:rPr>
          <w:rFonts w:eastAsia="Calibri" w:cstheme="minorHAnsi"/>
          <w:b/>
          <w:lang w:eastAsia="en-US"/>
        </w:rPr>
        <w:t>24</w:t>
      </w:r>
      <w:r w:rsidRPr="009A1D45">
        <w:rPr>
          <w:rFonts w:eastAsia="Calibri" w:cstheme="minorHAnsi"/>
          <w:lang w:eastAsia="en-US"/>
        </w:rPr>
        <w:t xml:space="preserve">:1055-1063. </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14. Merckx J, Wali R, Schiller I, et al. Diagnostic Accuracy of Novel and Traditional Rapid Tests for Influenza Infection Compared With Reverse Transcriptase Polymerase Chain Reaction: A Systematic Review and Meta-analysis. </w:t>
      </w:r>
      <w:r w:rsidRPr="009A1D45">
        <w:rPr>
          <w:rFonts w:eastAsia="Calibri" w:cstheme="minorHAnsi"/>
          <w:i/>
          <w:lang w:eastAsia="en-US"/>
        </w:rPr>
        <w:t>Ann Intern Med</w:t>
      </w:r>
      <w:r w:rsidRPr="009A1D45">
        <w:rPr>
          <w:rFonts w:eastAsia="Calibri" w:cstheme="minorHAnsi"/>
          <w:lang w:eastAsia="en-US"/>
        </w:rPr>
        <w:t xml:space="preserve"> 2017;</w:t>
      </w:r>
      <w:r w:rsidRPr="009A1D45">
        <w:rPr>
          <w:rFonts w:eastAsia="Calibri" w:cstheme="minorHAnsi"/>
          <w:b/>
          <w:lang w:eastAsia="en-US"/>
        </w:rPr>
        <w:t>167</w:t>
      </w:r>
      <w:r w:rsidRPr="009A1D45">
        <w:rPr>
          <w:rFonts w:eastAsia="Calibri" w:cstheme="minorHAnsi"/>
          <w:lang w:eastAsia="en-US"/>
        </w:rPr>
        <w:t>:394-409.</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15. Vos LM, Bruning AHL, Reitsma JB, et al. Rapid Molecular Tests for Influenza, Respiratory Syncytial Virus, and Other Respiratory Viruses: A Systematic Review of Diagnostic Accuracy and Clinical Impact Studies. </w:t>
      </w:r>
      <w:r w:rsidRPr="009A1D45">
        <w:rPr>
          <w:rFonts w:eastAsia="Calibri" w:cstheme="minorHAnsi"/>
          <w:i/>
          <w:lang w:eastAsia="en-US"/>
        </w:rPr>
        <w:t>Clin Infect Dis</w:t>
      </w:r>
      <w:r w:rsidRPr="009A1D45">
        <w:rPr>
          <w:rFonts w:eastAsia="Calibri" w:cstheme="minorHAnsi"/>
          <w:lang w:eastAsia="en-US"/>
        </w:rPr>
        <w:t xml:space="preserve"> 2019;</w:t>
      </w:r>
      <w:r w:rsidRPr="009A1D45">
        <w:rPr>
          <w:rFonts w:eastAsia="Calibri" w:cstheme="minorHAnsi"/>
          <w:b/>
          <w:lang w:eastAsia="en-US"/>
        </w:rPr>
        <w:t>69</w:t>
      </w:r>
      <w:r w:rsidRPr="009A1D45">
        <w:rPr>
          <w:rFonts w:eastAsia="Calibri" w:cstheme="minorHAnsi"/>
          <w:lang w:eastAsia="en-US"/>
        </w:rPr>
        <w:t>:1243-1253.</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16. Trabattoni E, Le V, Pilmis B, et al. Implementation of Alere i Influenza A &amp; B point of care test for the diagnosis of influenza in an emergency department. </w:t>
      </w:r>
      <w:r w:rsidRPr="009A1D45">
        <w:rPr>
          <w:rFonts w:eastAsia="Calibri" w:cstheme="minorHAnsi"/>
          <w:i/>
          <w:lang w:eastAsia="en-US"/>
        </w:rPr>
        <w:t>Am J Emerg Med</w:t>
      </w:r>
      <w:r w:rsidRPr="009A1D45">
        <w:rPr>
          <w:rFonts w:eastAsia="Calibri" w:cstheme="minorHAnsi"/>
          <w:lang w:eastAsia="en-US"/>
        </w:rPr>
        <w:t xml:space="preserve"> 2018.</w:t>
      </w:r>
      <w:r w:rsidRPr="009A1D45">
        <w:t xml:space="preserve"> </w:t>
      </w:r>
      <w:r w:rsidRPr="009A1D45">
        <w:rPr>
          <w:rFonts w:eastAsia="Calibri" w:cstheme="minorHAnsi"/>
          <w:b/>
          <w:lang w:eastAsia="en-US"/>
        </w:rPr>
        <w:t>36</w:t>
      </w:r>
      <w:r w:rsidRPr="009A1D45">
        <w:rPr>
          <w:rFonts w:eastAsia="Calibri" w:cstheme="minorHAnsi"/>
          <w:lang w:eastAsia="en-US"/>
        </w:rPr>
        <w:t>:916-921.</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lastRenderedPageBreak/>
        <w:t xml:space="preserve">17. Vecino-Ortiz AI, Goldenberg SD, Douthwaite ST, et al. Impact of a multiplex PCR point-of-care test for influenza A/B and respiratory syncytial virus on an acute pediatric hospital ward. </w:t>
      </w:r>
      <w:r w:rsidRPr="009A1D45">
        <w:rPr>
          <w:rFonts w:eastAsia="Calibri" w:cstheme="minorHAnsi"/>
          <w:i/>
          <w:lang w:eastAsia="en-US"/>
        </w:rPr>
        <w:t>Diagn Microbiol Infect Dis</w:t>
      </w:r>
      <w:r w:rsidRPr="009A1D45">
        <w:rPr>
          <w:rFonts w:eastAsia="Calibri" w:cstheme="minorHAnsi"/>
          <w:lang w:eastAsia="en-US"/>
        </w:rPr>
        <w:t xml:space="preserve"> 2018;</w:t>
      </w:r>
      <w:r w:rsidRPr="009A1D45">
        <w:rPr>
          <w:rFonts w:eastAsia="Calibri" w:cstheme="minorHAnsi"/>
          <w:b/>
          <w:lang w:eastAsia="en-US"/>
        </w:rPr>
        <w:t>91</w:t>
      </w:r>
      <w:r w:rsidRPr="009A1D45">
        <w:rPr>
          <w:rFonts w:eastAsia="Calibri" w:cstheme="minorHAnsi"/>
          <w:lang w:eastAsia="en-US"/>
        </w:rPr>
        <w:t>:331-335.</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18. Egilmezer E, Walker GJ, Bakthavathsalam P, et al. Systematic review of the impact of point-of-care testing for influenza on the outcomes of patients with acute respiratory tract infection. </w:t>
      </w:r>
      <w:r w:rsidRPr="009A1D45">
        <w:rPr>
          <w:rFonts w:eastAsia="Calibri" w:cstheme="minorHAnsi"/>
          <w:i/>
          <w:lang w:eastAsia="en-US"/>
        </w:rPr>
        <w:t>Rev Med Virol</w:t>
      </w:r>
      <w:r w:rsidRPr="009A1D45">
        <w:rPr>
          <w:rFonts w:eastAsia="Calibri" w:cstheme="minorHAnsi"/>
          <w:lang w:eastAsia="en-US"/>
        </w:rPr>
        <w:t xml:space="preserve"> 2018;</w:t>
      </w:r>
      <w:r w:rsidRPr="009A1D45">
        <w:rPr>
          <w:rFonts w:eastAsia="Calibri" w:cstheme="minorHAnsi"/>
          <w:b/>
          <w:lang w:eastAsia="en-US"/>
        </w:rPr>
        <w:t>28</w:t>
      </w:r>
      <w:r w:rsidRPr="009A1D45">
        <w:rPr>
          <w:rFonts w:eastAsia="Calibri" w:cstheme="minorHAnsi"/>
          <w:lang w:eastAsia="en-US"/>
        </w:rPr>
        <w:t xml:space="preserve">:e1995. </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19. Youngs J, Marshall B, Farragher M et al. Implementation of influenza point-of-care testing and patient cohorting during a high-incidence season: a retrospective analysis of impact on infection prevention and control and clinical outcomes. </w:t>
      </w:r>
      <w:r w:rsidRPr="009A1D45">
        <w:rPr>
          <w:rFonts w:eastAsia="Calibri" w:cstheme="minorHAnsi"/>
          <w:i/>
          <w:lang w:eastAsia="en-US"/>
        </w:rPr>
        <w:t>Hosp Infect</w:t>
      </w:r>
      <w:r w:rsidRPr="009A1D45">
        <w:rPr>
          <w:rFonts w:eastAsia="Calibri" w:cstheme="minorHAnsi"/>
          <w:lang w:eastAsia="en-US"/>
        </w:rPr>
        <w:t xml:space="preserve"> 2019;</w:t>
      </w:r>
      <w:r w:rsidRPr="009A1D45">
        <w:rPr>
          <w:rFonts w:eastAsia="Calibri" w:cstheme="minorHAnsi"/>
          <w:b/>
          <w:lang w:eastAsia="en-US"/>
        </w:rPr>
        <w:t>101</w:t>
      </w:r>
      <w:r w:rsidRPr="009A1D45">
        <w:rPr>
          <w:rFonts w:eastAsia="Calibri" w:cstheme="minorHAnsi"/>
          <w:lang w:eastAsia="en-US"/>
        </w:rPr>
        <w:t xml:space="preserve">:276-284. </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20. Beard K, Brendish N, Malachira A, et al. Pragmatic multicentre randomised controlled trial evaluating the impact of a routine molecular Point-of-Care ‘test-and-treat’ strategy for influenza in adults hospitalised with acute respiratory illness (FluPOC): trial protocol. </w:t>
      </w:r>
      <w:r w:rsidRPr="009A1D45">
        <w:rPr>
          <w:rFonts w:eastAsia="Calibri" w:cstheme="minorHAnsi"/>
          <w:i/>
          <w:lang w:eastAsia="en-US"/>
        </w:rPr>
        <w:t xml:space="preserve">BMJ Open </w:t>
      </w:r>
      <w:r w:rsidRPr="009A1D45">
        <w:rPr>
          <w:rFonts w:eastAsia="Calibri" w:cstheme="minorHAnsi"/>
          <w:lang w:eastAsia="en-US"/>
        </w:rPr>
        <w:t>2019;</w:t>
      </w:r>
      <w:r w:rsidRPr="009A1D45">
        <w:rPr>
          <w:rFonts w:eastAsia="Calibri" w:cstheme="minorHAnsi"/>
          <w:b/>
          <w:lang w:eastAsia="en-US"/>
        </w:rPr>
        <w:t>9</w:t>
      </w:r>
      <w:r w:rsidRPr="009A1D45">
        <w:rPr>
          <w:rFonts w:eastAsia="Calibri" w:cstheme="minorHAnsi"/>
          <w:lang w:eastAsia="en-US"/>
        </w:rPr>
        <w:t xml:space="preserve">:e031674. </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21</w:t>
      </w:r>
      <w:r w:rsidRPr="00113590">
        <w:rPr>
          <w:rFonts w:eastAsia="Calibri" w:cstheme="minorHAnsi"/>
          <w:lang w:eastAsia="en-US"/>
        </w:rPr>
        <w:t xml:space="preserve">. Chu HY, Englund JA, Huang D, et al. Impact of rapid influenza PCR testing on hospitalization and antiviral use: a retrospective cohort study. </w:t>
      </w:r>
      <w:r w:rsidRPr="00113590">
        <w:rPr>
          <w:rFonts w:eastAsia="Calibri" w:cstheme="minorHAnsi"/>
          <w:i/>
          <w:lang w:eastAsia="en-US"/>
        </w:rPr>
        <w:t>J Med Virol</w:t>
      </w:r>
      <w:r w:rsidRPr="00113590">
        <w:rPr>
          <w:rFonts w:eastAsia="Calibri" w:cstheme="minorHAnsi"/>
          <w:lang w:eastAsia="en-US"/>
        </w:rPr>
        <w:t xml:space="preserve"> 2015;</w:t>
      </w:r>
      <w:r w:rsidRPr="00113590">
        <w:rPr>
          <w:rFonts w:eastAsia="Calibri" w:cstheme="minorHAnsi"/>
          <w:b/>
          <w:lang w:eastAsia="en-US"/>
        </w:rPr>
        <w:t>87</w:t>
      </w:r>
      <w:r w:rsidRPr="00113590">
        <w:rPr>
          <w:rFonts w:eastAsia="Calibri" w:cstheme="minorHAnsi"/>
          <w:lang w:eastAsia="en-US"/>
        </w:rPr>
        <w:t>:2021‐2026.</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22. Brendish NJ, Malachira AK, Beard KR, Ewings S, Clark TW. Impact of turnaround time on outcome with point-of-care testing for respiratory viruses: a </w:t>
      </w:r>
      <w:r w:rsidRPr="009A1D45">
        <w:rPr>
          <w:rFonts w:eastAsia="Calibri" w:cstheme="minorHAnsi"/>
          <w:i/>
          <w:lang w:eastAsia="en-US"/>
        </w:rPr>
        <w:t>post hoc</w:t>
      </w:r>
      <w:r w:rsidRPr="009A1D45">
        <w:rPr>
          <w:rFonts w:eastAsia="Calibri" w:cstheme="minorHAnsi"/>
          <w:lang w:eastAsia="en-US"/>
        </w:rPr>
        <w:t xml:space="preserve"> analysis from a randomised controlled trial. </w:t>
      </w:r>
      <w:r w:rsidRPr="009A1D45">
        <w:rPr>
          <w:rFonts w:eastAsia="Calibri" w:cstheme="minorHAnsi"/>
          <w:i/>
          <w:lang w:eastAsia="en-US"/>
        </w:rPr>
        <w:t>Eur Respir J</w:t>
      </w:r>
      <w:r w:rsidRPr="009A1D45">
        <w:rPr>
          <w:rFonts w:eastAsia="Calibri" w:cstheme="minorHAnsi"/>
          <w:lang w:eastAsia="en-US"/>
        </w:rPr>
        <w:t xml:space="preserve"> 2018;</w:t>
      </w:r>
      <w:r w:rsidRPr="009A1D45">
        <w:rPr>
          <w:rFonts w:eastAsia="Calibri" w:cstheme="minorHAnsi"/>
          <w:b/>
          <w:lang w:eastAsia="en-US"/>
        </w:rPr>
        <w:t>52</w:t>
      </w:r>
      <w:r w:rsidRPr="009A1D45">
        <w:rPr>
          <w:rFonts w:eastAsia="Calibri" w:cstheme="minorHAnsi"/>
          <w:lang w:eastAsia="en-US"/>
        </w:rPr>
        <w:t xml:space="preserve">:pii:1800555. </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23. Nasir Wabe, Ling Li, Maria R Dahm, et al. Timing of respiratory virus molecular testing in emergency departments and its association with patient care outcomes: a retrospective observational study across six Australian hospitals. </w:t>
      </w:r>
      <w:r w:rsidRPr="009A1D45">
        <w:rPr>
          <w:rFonts w:eastAsia="Calibri" w:cstheme="minorHAnsi"/>
          <w:i/>
          <w:lang w:eastAsia="en-US"/>
        </w:rPr>
        <w:t>BMJ Open</w:t>
      </w:r>
      <w:r w:rsidRPr="009A1D45">
        <w:rPr>
          <w:rFonts w:eastAsia="Calibri" w:cstheme="minorHAnsi"/>
          <w:lang w:eastAsia="en-US"/>
        </w:rPr>
        <w:t xml:space="preserve"> 2019;</w:t>
      </w:r>
      <w:r w:rsidRPr="009A1D45">
        <w:rPr>
          <w:rFonts w:eastAsia="Calibri" w:cstheme="minorHAnsi"/>
          <w:b/>
          <w:lang w:eastAsia="en-US"/>
        </w:rPr>
        <w:t>9</w:t>
      </w:r>
      <w:r w:rsidRPr="009A1D45">
        <w:rPr>
          <w:rFonts w:eastAsia="Calibri" w:cstheme="minorHAnsi"/>
          <w:lang w:eastAsia="en-US"/>
        </w:rPr>
        <w:t xml:space="preserve">:e030104. </w:t>
      </w:r>
    </w:p>
    <w:p w:rsidR="009A1D45" w:rsidRP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t xml:space="preserve">24. Li L, Georgiou A, Vecellio E, et al. The effect of laboratory testing on emergency department length of stay: a multihospital longitudinal study applying a cross-classified random-effect modeling approach. </w:t>
      </w:r>
      <w:r w:rsidRPr="009A1D45">
        <w:rPr>
          <w:rFonts w:eastAsia="Calibri" w:cstheme="minorHAnsi"/>
          <w:i/>
          <w:lang w:eastAsia="en-US"/>
        </w:rPr>
        <w:t>Acad Emerg Med</w:t>
      </w:r>
      <w:r w:rsidRPr="009A1D45">
        <w:rPr>
          <w:rFonts w:eastAsia="Calibri" w:cstheme="minorHAnsi"/>
          <w:lang w:eastAsia="en-US"/>
        </w:rPr>
        <w:t xml:space="preserve"> 2015;</w:t>
      </w:r>
      <w:r w:rsidRPr="009A1D45">
        <w:rPr>
          <w:rFonts w:eastAsia="Calibri" w:cstheme="minorHAnsi"/>
          <w:b/>
          <w:lang w:eastAsia="en-US"/>
        </w:rPr>
        <w:t>22</w:t>
      </w:r>
      <w:r w:rsidRPr="009A1D45">
        <w:rPr>
          <w:rFonts w:eastAsia="Calibri" w:cstheme="minorHAnsi"/>
          <w:lang w:eastAsia="en-US"/>
        </w:rPr>
        <w:t>:38-46.</w:t>
      </w:r>
    </w:p>
    <w:p w:rsidR="009A1D45" w:rsidRDefault="009A1D45" w:rsidP="009A1D45">
      <w:pPr>
        <w:spacing w:after="240" w:line="480" w:lineRule="auto"/>
        <w:jc w:val="both"/>
        <w:rPr>
          <w:rFonts w:eastAsia="Calibri" w:cstheme="minorHAnsi"/>
          <w:lang w:eastAsia="en-US"/>
        </w:rPr>
      </w:pPr>
      <w:r w:rsidRPr="009A1D45">
        <w:rPr>
          <w:rFonts w:eastAsia="Calibri" w:cstheme="minorHAnsi"/>
          <w:lang w:eastAsia="en-US"/>
        </w:rPr>
        <w:lastRenderedPageBreak/>
        <w:t xml:space="preserve">25. Brendish NJ, Clark TW. Molecular Point-of-care Testing for Influenza to Improve Early Neuraminidase Inhibitor Treatment and Outcomes in Hospitalized Adults. </w:t>
      </w:r>
      <w:r w:rsidRPr="009A1D45">
        <w:rPr>
          <w:rFonts w:eastAsia="Calibri" w:cstheme="minorHAnsi"/>
          <w:i/>
          <w:lang w:eastAsia="en-US"/>
        </w:rPr>
        <w:t>Clin Infect Dis</w:t>
      </w:r>
      <w:r w:rsidRPr="009A1D45">
        <w:rPr>
          <w:rFonts w:eastAsia="Calibri" w:cstheme="minorHAnsi"/>
          <w:lang w:eastAsia="en-US"/>
        </w:rPr>
        <w:t xml:space="preserve"> 2019;</w:t>
      </w:r>
      <w:r w:rsidRPr="009A1D45">
        <w:rPr>
          <w:rFonts w:eastAsia="Calibri" w:cstheme="minorHAnsi"/>
          <w:b/>
          <w:lang w:eastAsia="en-US"/>
        </w:rPr>
        <w:t>68</w:t>
      </w:r>
      <w:r w:rsidRPr="009A1D45">
        <w:rPr>
          <w:rFonts w:eastAsia="Calibri" w:cstheme="minorHAnsi"/>
          <w:lang w:eastAsia="en-US"/>
        </w:rPr>
        <w:t>:2154-2155.</w:t>
      </w:r>
    </w:p>
    <w:p w:rsidR="00AA0091" w:rsidRPr="00A56829" w:rsidRDefault="00AA0091" w:rsidP="009A1D45">
      <w:pPr>
        <w:spacing w:after="240" w:line="480" w:lineRule="auto"/>
        <w:jc w:val="both"/>
        <w:rPr>
          <w:rFonts w:eastAsia="Calibri" w:cstheme="minorHAnsi"/>
          <w:lang w:eastAsia="en-US"/>
        </w:rPr>
      </w:pPr>
      <w:r w:rsidRPr="00A56829">
        <w:rPr>
          <w:rFonts w:eastAsia="Calibri" w:cstheme="minorHAnsi"/>
          <w:lang w:eastAsia="en-US"/>
        </w:rPr>
        <w:t>26.</w:t>
      </w:r>
      <w:r w:rsidRPr="00A56829">
        <w:t xml:space="preserve"> </w:t>
      </w:r>
      <w:r w:rsidRPr="00A56829">
        <w:rPr>
          <w:rFonts w:eastAsia="Calibri" w:cstheme="minorHAnsi"/>
          <w:lang w:eastAsia="en-US"/>
        </w:rPr>
        <w:t xml:space="preserve">Branche AR, Walsh EE, Vargas R, et al. Serum Procalcitonin Measurement and Viral Testing to Guide Antibiotic Use for Respiratory Infections in Hospitalized Adults: A Randomized Controlled Trial. </w:t>
      </w:r>
      <w:r w:rsidRPr="00A56829">
        <w:rPr>
          <w:rFonts w:eastAsia="Calibri" w:cstheme="minorHAnsi"/>
          <w:i/>
          <w:lang w:eastAsia="en-US"/>
        </w:rPr>
        <w:t>J Infect Dis</w:t>
      </w:r>
      <w:r w:rsidRPr="00A56829">
        <w:rPr>
          <w:rFonts w:eastAsia="Calibri" w:cstheme="minorHAnsi"/>
          <w:lang w:eastAsia="en-US"/>
        </w:rPr>
        <w:t xml:space="preserve"> 2015;</w:t>
      </w:r>
      <w:r w:rsidRPr="00A56829">
        <w:rPr>
          <w:rFonts w:eastAsia="Calibri" w:cstheme="minorHAnsi"/>
          <w:b/>
          <w:lang w:eastAsia="en-US"/>
        </w:rPr>
        <w:t>212</w:t>
      </w:r>
      <w:r w:rsidRPr="00A56829">
        <w:rPr>
          <w:rFonts w:eastAsia="Calibri" w:cstheme="minorHAnsi"/>
          <w:lang w:eastAsia="en-US"/>
        </w:rPr>
        <w:t>:1692-700.</w:t>
      </w:r>
    </w:p>
    <w:p w:rsidR="009A1D45" w:rsidRPr="00A56829" w:rsidRDefault="00AA0091" w:rsidP="009A1D45">
      <w:pPr>
        <w:spacing w:after="240" w:line="480" w:lineRule="auto"/>
        <w:jc w:val="both"/>
        <w:rPr>
          <w:rFonts w:eastAsia="Calibri" w:cstheme="minorHAnsi"/>
          <w:lang w:eastAsia="en-US"/>
        </w:rPr>
      </w:pPr>
      <w:r w:rsidRPr="00A56829">
        <w:rPr>
          <w:rFonts w:eastAsia="Calibri" w:cstheme="minorHAnsi"/>
          <w:lang w:eastAsia="en-US"/>
        </w:rPr>
        <w:t>27</w:t>
      </w:r>
      <w:r w:rsidR="009A1D45" w:rsidRPr="00A56829">
        <w:rPr>
          <w:rFonts w:eastAsia="Calibri" w:cstheme="minorHAnsi"/>
          <w:lang w:eastAsia="en-US"/>
        </w:rPr>
        <w:t xml:space="preserve">. McGeer A, Green KA, Plevneshi A, et al. Antiviral therapy and outcomes of influenza requiring hospitalization in Ontario, Canada. </w:t>
      </w:r>
      <w:r w:rsidR="009A1D45" w:rsidRPr="00A56829">
        <w:rPr>
          <w:rFonts w:eastAsia="Calibri" w:cstheme="minorHAnsi"/>
          <w:i/>
          <w:lang w:eastAsia="en-US"/>
        </w:rPr>
        <w:t>Clin Infect Dis</w:t>
      </w:r>
      <w:r w:rsidR="009A1D45" w:rsidRPr="00A56829">
        <w:rPr>
          <w:rFonts w:eastAsia="Calibri" w:cstheme="minorHAnsi"/>
          <w:lang w:eastAsia="en-US"/>
        </w:rPr>
        <w:t xml:space="preserve"> 2007;</w:t>
      </w:r>
      <w:r w:rsidR="009A1D45" w:rsidRPr="00A56829">
        <w:rPr>
          <w:rFonts w:eastAsia="Calibri" w:cstheme="minorHAnsi"/>
          <w:b/>
          <w:lang w:eastAsia="en-US"/>
        </w:rPr>
        <w:t>45</w:t>
      </w:r>
      <w:r w:rsidR="009A1D45" w:rsidRPr="00A56829">
        <w:rPr>
          <w:rFonts w:eastAsia="Calibri" w:cstheme="minorHAnsi"/>
          <w:lang w:eastAsia="en-US"/>
        </w:rPr>
        <w:t>:1568-75.</w:t>
      </w:r>
    </w:p>
    <w:p w:rsidR="009A1D45" w:rsidRPr="00A56829" w:rsidRDefault="00AA0091" w:rsidP="009A1D45">
      <w:pPr>
        <w:spacing w:after="240" w:line="480" w:lineRule="auto"/>
        <w:jc w:val="both"/>
        <w:rPr>
          <w:rFonts w:eastAsia="Calibri" w:cstheme="minorHAnsi"/>
          <w:lang w:eastAsia="en-US"/>
        </w:rPr>
      </w:pPr>
      <w:r w:rsidRPr="00A56829">
        <w:rPr>
          <w:rFonts w:eastAsia="Calibri" w:cstheme="minorHAnsi"/>
          <w:lang w:eastAsia="en-US"/>
        </w:rPr>
        <w:t>28</w:t>
      </w:r>
      <w:r w:rsidR="009A1D45" w:rsidRPr="00A56829">
        <w:rPr>
          <w:rFonts w:eastAsia="Calibri" w:cstheme="minorHAnsi"/>
          <w:lang w:eastAsia="en-US"/>
        </w:rPr>
        <w:t xml:space="preserve">. Venkatesan S, Myles PR, Bolton KJ, et al. Neuraminidase Inhibitors and Hospital Length of Stay: A Meta-analysis of Individual Participant Data to Determine Treatment Effectiveness Among Patients Hospitalized With Nonfatal 2009 Pandemic Influenza A(H1N1) Virus Infection. </w:t>
      </w:r>
      <w:r w:rsidR="009A1D45" w:rsidRPr="00A56829">
        <w:rPr>
          <w:rFonts w:eastAsia="Calibri" w:cstheme="minorHAnsi"/>
          <w:i/>
          <w:lang w:eastAsia="en-US"/>
        </w:rPr>
        <w:t>J Infect Dis</w:t>
      </w:r>
      <w:r w:rsidR="009A1D45" w:rsidRPr="00A56829">
        <w:rPr>
          <w:rFonts w:eastAsia="Calibri" w:cstheme="minorHAnsi"/>
          <w:lang w:eastAsia="en-US"/>
        </w:rPr>
        <w:t xml:space="preserve"> 2020;</w:t>
      </w:r>
      <w:r w:rsidR="009A1D45" w:rsidRPr="00A56829">
        <w:rPr>
          <w:rFonts w:eastAsia="Calibri" w:cstheme="minorHAnsi"/>
          <w:b/>
          <w:lang w:eastAsia="en-US"/>
        </w:rPr>
        <w:t>221</w:t>
      </w:r>
      <w:r w:rsidR="009A1D45" w:rsidRPr="00A56829">
        <w:rPr>
          <w:rFonts w:eastAsia="Calibri" w:cstheme="minorHAnsi"/>
          <w:lang w:eastAsia="en-US"/>
        </w:rPr>
        <w:t xml:space="preserve">;356-366. </w:t>
      </w:r>
    </w:p>
    <w:p w:rsidR="009A1D45" w:rsidRPr="00A56829" w:rsidRDefault="00AA0091" w:rsidP="009A1D45">
      <w:pPr>
        <w:spacing w:after="160" w:line="480" w:lineRule="auto"/>
        <w:jc w:val="both"/>
        <w:rPr>
          <w:rFonts w:eastAsia="Calibri" w:cstheme="minorHAnsi"/>
          <w:lang w:eastAsia="en-US"/>
        </w:rPr>
      </w:pPr>
      <w:r w:rsidRPr="00A56829">
        <w:rPr>
          <w:rFonts w:eastAsia="Calibri" w:cstheme="minorHAnsi"/>
          <w:lang w:eastAsia="en-US"/>
        </w:rPr>
        <w:t>29</w:t>
      </w:r>
      <w:r w:rsidR="009A1D45" w:rsidRPr="00A56829">
        <w:rPr>
          <w:rFonts w:eastAsia="Calibri" w:cstheme="minorHAnsi"/>
          <w:lang w:eastAsia="en-US"/>
        </w:rPr>
        <w:t xml:space="preserve">. Lee N, Chan PK, Choi KW, et al. Factors associated with early hospital discharge of adult influenza patients. </w:t>
      </w:r>
      <w:r w:rsidR="009A1D45" w:rsidRPr="00A56829">
        <w:rPr>
          <w:rFonts w:eastAsia="Calibri" w:cstheme="minorHAnsi"/>
          <w:i/>
          <w:lang w:eastAsia="en-US"/>
        </w:rPr>
        <w:t>Antivir Ther</w:t>
      </w:r>
      <w:r w:rsidR="009A1D45" w:rsidRPr="00A56829">
        <w:rPr>
          <w:rFonts w:eastAsia="Calibri" w:cstheme="minorHAnsi"/>
          <w:lang w:eastAsia="en-US"/>
        </w:rPr>
        <w:t xml:space="preserve"> 2007;</w:t>
      </w:r>
      <w:r w:rsidR="009A1D45" w:rsidRPr="00A56829">
        <w:rPr>
          <w:rFonts w:eastAsia="Calibri" w:cstheme="minorHAnsi"/>
          <w:b/>
          <w:lang w:eastAsia="en-US"/>
        </w:rPr>
        <w:t>12</w:t>
      </w:r>
      <w:r w:rsidR="009A1D45" w:rsidRPr="00A56829">
        <w:rPr>
          <w:rFonts w:eastAsia="Calibri" w:cstheme="minorHAnsi"/>
          <w:lang w:eastAsia="en-US"/>
        </w:rPr>
        <w:t>:501-8.</w:t>
      </w:r>
    </w:p>
    <w:p w:rsidR="009A1D45" w:rsidRDefault="00AA0091" w:rsidP="009A1D45">
      <w:pPr>
        <w:spacing w:after="160" w:line="480" w:lineRule="auto"/>
        <w:jc w:val="both"/>
        <w:rPr>
          <w:rFonts w:eastAsia="Calibri" w:cstheme="minorHAnsi"/>
          <w:lang w:eastAsia="en-US"/>
        </w:rPr>
      </w:pPr>
      <w:r w:rsidRPr="00A56829">
        <w:rPr>
          <w:rFonts w:eastAsia="Calibri" w:cstheme="minorHAnsi"/>
          <w:lang w:eastAsia="en-US"/>
        </w:rPr>
        <w:t>30</w:t>
      </w:r>
      <w:r w:rsidR="009A1D45" w:rsidRPr="00A56829">
        <w:rPr>
          <w:rFonts w:eastAsia="Calibri" w:cstheme="minorHAnsi"/>
          <w:lang w:eastAsia="en-US"/>
        </w:rPr>
        <w:t>. Brendish NJ, Mills S, Ewings S, Clark TW.</w:t>
      </w:r>
      <w:r w:rsidR="009A1D45" w:rsidRPr="00A56829">
        <w:t xml:space="preserve"> </w:t>
      </w:r>
      <w:r w:rsidR="009A1D45" w:rsidRPr="00A56829">
        <w:rPr>
          <w:rFonts w:eastAsia="Calibri" w:cstheme="minorHAnsi"/>
          <w:lang w:eastAsia="en-US"/>
        </w:rPr>
        <w:t xml:space="preserve">Impact of point-of-care testing for respiratory viruses on antibiotic use in </w:t>
      </w:r>
      <w:r w:rsidR="009A1D45" w:rsidRPr="009A1D45">
        <w:rPr>
          <w:rFonts w:eastAsia="Calibri" w:cstheme="minorHAnsi"/>
          <w:lang w:eastAsia="en-US"/>
        </w:rPr>
        <w:t>adults with exacerbation of airways disease.</w:t>
      </w:r>
      <w:r w:rsidR="009A1D45" w:rsidRPr="009A1D45">
        <w:t xml:space="preserve"> </w:t>
      </w:r>
      <w:r w:rsidR="009A1D45" w:rsidRPr="009A1D45">
        <w:rPr>
          <w:rFonts w:eastAsia="Calibri" w:cstheme="minorHAnsi"/>
          <w:i/>
          <w:lang w:eastAsia="en-US"/>
        </w:rPr>
        <w:t>J Infect</w:t>
      </w:r>
      <w:r w:rsidR="009A1D45" w:rsidRPr="009A1D45">
        <w:rPr>
          <w:rFonts w:eastAsia="Calibri" w:cstheme="minorHAnsi"/>
          <w:lang w:eastAsia="en-US"/>
        </w:rPr>
        <w:t xml:space="preserve"> 2019;</w:t>
      </w:r>
      <w:r w:rsidR="009A1D45" w:rsidRPr="009A1D45">
        <w:rPr>
          <w:rFonts w:eastAsia="Calibri" w:cstheme="minorHAnsi"/>
          <w:b/>
          <w:lang w:eastAsia="en-US"/>
        </w:rPr>
        <w:t>79</w:t>
      </w:r>
      <w:r w:rsidR="009A1D45" w:rsidRPr="009A1D45">
        <w:rPr>
          <w:rFonts w:eastAsia="Calibri" w:cstheme="minorHAnsi"/>
          <w:lang w:eastAsia="en-US"/>
        </w:rPr>
        <w:t>:357-362.</w:t>
      </w:r>
    </w:p>
    <w:p w:rsidR="00474A82" w:rsidRDefault="00474A82" w:rsidP="009A1D45">
      <w:pPr>
        <w:spacing w:after="160" w:line="480" w:lineRule="auto"/>
        <w:jc w:val="both"/>
        <w:rPr>
          <w:rFonts w:eastAsia="Calibri" w:cstheme="minorHAnsi"/>
          <w:lang w:eastAsia="en-US"/>
        </w:rPr>
      </w:pPr>
    </w:p>
    <w:p w:rsidR="0084461E" w:rsidRDefault="0084461E" w:rsidP="009A1D45">
      <w:pPr>
        <w:spacing w:after="160" w:line="480" w:lineRule="auto"/>
        <w:jc w:val="both"/>
        <w:rPr>
          <w:rFonts w:eastAsia="Calibri" w:cstheme="minorHAnsi"/>
          <w:lang w:eastAsia="en-US"/>
        </w:rPr>
      </w:pPr>
    </w:p>
    <w:p w:rsidR="0084461E" w:rsidRDefault="0084461E" w:rsidP="009A1D45">
      <w:pPr>
        <w:spacing w:after="160" w:line="480" w:lineRule="auto"/>
        <w:jc w:val="both"/>
        <w:rPr>
          <w:rFonts w:eastAsia="Calibri" w:cstheme="minorHAnsi"/>
          <w:lang w:eastAsia="en-US"/>
        </w:rPr>
      </w:pPr>
    </w:p>
    <w:p w:rsidR="0084461E" w:rsidRDefault="0084461E" w:rsidP="009A1D45">
      <w:pPr>
        <w:spacing w:after="160" w:line="480" w:lineRule="auto"/>
        <w:jc w:val="both"/>
        <w:rPr>
          <w:rFonts w:eastAsia="Calibri" w:cstheme="minorHAnsi"/>
          <w:lang w:eastAsia="en-US"/>
        </w:rPr>
      </w:pPr>
    </w:p>
    <w:p w:rsidR="0084461E" w:rsidRDefault="0084461E" w:rsidP="009A1D45">
      <w:pPr>
        <w:spacing w:after="160" w:line="480" w:lineRule="auto"/>
        <w:jc w:val="both"/>
        <w:rPr>
          <w:rFonts w:eastAsia="Calibri" w:cstheme="minorHAnsi"/>
          <w:lang w:eastAsia="en-US"/>
        </w:rPr>
      </w:pPr>
    </w:p>
    <w:p w:rsidR="0084461E" w:rsidRDefault="0084461E" w:rsidP="009A1D45">
      <w:pPr>
        <w:spacing w:after="160" w:line="480" w:lineRule="auto"/>
        <w:jc w:val="both"/>
        <w:rPr>
          <w:rFonts w:eastAsia="Calibri" w:cstheme="minorHAnsi"/>
          <w:lang w:eastAsia="en-US"/>
        </w:rPr>
      </w:pPr>
    </w:p>
    <w:p w:rsidR="003F5E2E" w:rsidRPr="00D03127" w:rsidRDefault="003F5E2E" w:rsidP="00032CC1">
      <w:pPr>
        <w:spacing w:after="0" w:line="480" w:lineRule="auto"/>
        <w:rPr>
          <w:b/>
          <w:bCs/>
          <w:sz w:val="24"/>
          <w:szCs w:val="24"/>
        </w:rPr>
      </w:pPr>
      <w:r w:rsidRPr="00D03127">
        <w:rPr>
          <w:b/>
          <w:bCs/>
          <w:sz w:val="24"/>
          <w:szCs w:val="24"/>
        </w:rPr>
        <w:lastRenderedPageBreak/>
        <w:t>Author contributions</w:t>
      </w:r>
    </w:p>
    <w:p w:rsidR="00B41D0A" w:rsidRDefault="00696592" w:rsidP="00032CC1">
      <w:pPr>
        <w:spacing w:after="0" w:line="480" w:lineRule="auto"/>
        <w:jc w:val="both"/>
      </w:pPr>
      <w:r w:rsidRPr="00D03127">
        <w:t>TWC reviewed the medical literature, concei</w:t>
      </w:r>
      <w:r w:rsidR="0020630A">
        <w:t>ved of and designed the study, oversaw the conduct of</w:t>
      </w:r>
      <w:r w:rsidRPr="00D03127">
        <w:t xml:space="preserve"> the study, participated in the data </w:t>
      </w:r>
      <w:r w:rsidR="0020630A">
        <w:t>of collection</w:t>
      </w:r>
      <w:r w:rsidRPr="00D03127">
        <w:t xml:space="preserve"> and interpretation</w:t>
      </w:r>
      <w:r w:rsidR="0020630A">
        <w:t xml:space="preserve"> or results</w:t>
      </w:r>
      <w:r w:rsidRPr="00D03127">
        <w:t>, draft</w:t>
      </w:r>
      <w:r w:rsidR="00910021">
        <w:t>ed and wrote the manuscript. K</w:t>
      </w:r>
      <w:r w:rsidR="00A823ED">
        <w:t>R</w:t>
      </w:r>
      <w:r w:rsidR="00910021">
        <w:t>B</w:t>
      </w:r>
      <w:r w:rsidRPr="00D03127">
        <w:t xml:space="preserve"> reviewed the medical literature participated in the trial design, recruited patients</w:t>
      </w:r>
      <w:r w:rsidR="0020630A">
        <w:t xml:space="preserve">, generated and collected data, assisted with drafting </w:t>
      </w:r>
      <w:r w:rsidRPr="00D03127">
        <w:t>the manuscript.</w:t>
      </w:r>
      <w:r w:rsidR="00910021">
        <w:t xml:space="preserve"> NJB, </w:t>
      </w:r>
      <w:r w:rsidRPr="00D03127">
        <w:t>A</w:t>
      </w:r>
      <w:r w:rsidR="006430B4" w:rsidRPr="00D03127">
        <w:t>K</w:t>
      </w:r>
      <w:r w:rsidRPr="00D03127">
        <w:t xml:space="preserve">M, </w:t>
      </w:r>
      <w:r w:rsidR="00910021">
        <w:t xml:space="preserve">SP, SM, CC, EN, and LP </w:t>
      </w:r>
      <w:r w:rsidR="0020630A">
        <w:t xml:space="preserve">screened and </w:t>
      </w:r>
      <w:r w:rsidRPr="00D03127">
        <w:t>recruited patient</w:t>
      </w:r>
      <w:r w:rsidR="00482B3E" w:rsidRPr="00D03127">
        <w:t xml:space="preserve">s and </w:t>
      </w:r>
      <w:r w:rsidRPr="00D03127">
        <w:t xml:space="preserve">collected data. </w:t>
      </w:r>
      <w:r w:rsidR="0020630A">
        <w:t xml:space="preserve">NC acted as PI for the second trial site and oversaw the running of the study there, </w:t>
      </w:r>
      <w:r w:rsidRPr="00D03127">
        <w:t xml:space="preserve">SE designed the statistical analysis </w:t>
      </w:r>
      <w:r w:rsidR="00BD4A53">
        <w:t xml:space="preserve">plan </w:t>
      </w:r>
      <w:r w:rsidRPr="00D03127">
        <w:t>and analysed the data</w:t>
      </w:r>
      <w:r w:rsidR="00482B3E" w:rsidRPr="00D03127">
        <w:t xml:space="preserve">. </w:t>
      </w:r>
      <w:r w:rsidRPr="00D03127">
        <w:t>All authors r</w:t>
      </w:r>
      <w:r w:rsidR="00BD4A53">
        <w:t xml:space="preserve">eviewed and contributed to the manuscript </w:t>
      </w:r>
      <w:r w:rsidRPr="00D03127">
        <w:t>during its development</w:t>
      </w:r>
      <w:r w:rsidR="0003582C" w:rsidRPr="00D03127">
        <w:t>.</w:t>
      </w:r>
    </w:p>
    <w:p w:rsidR="00032CC1" w:rsidRDefault="00032CC1" w:rsidP="00032CC1">
      <w:pPr>
        <w:spacing w:after="0" w:line="480" w:lineRule="auto"/>
        <w:jc w:val="both"/>
      </w:pPr>
    </w:p>
    <w:p w:rsidR="00474463" w:rsidRPr="00474463" w:rsidRDefault="00032CC1" w:rsidP="00032CC1">
      <w:pPr>
        <w:spacing w:after="0" w:line="480" w:lineRule="auto"/>
        <w:jc w:val="both"/>
        <w:rPr>
          <w:b/>
        </w:rPr>
      </w:pPr>
      <w:r>
        <w:rPr>
          <w:b/>
        </w:rPr>
        <w:t>Declaration</w:t>
      </w:r>
      <w:r w:rsidR="00474463" w:rsidRPr="00474463">
        <w:rPr>
          <w:b/>
        </w:rPr>
        <w:t xml:space="preserve"> of interest</w:t>
      </w:r>
      <w:r>
        <w:rPr>
          <w:b/>
        </w:rPr>
        <w:t>s</w:t>
      </w:r>
    </w:p>
    <w:p w:rsidR="00474463" w:rsidRDefault="00FD3E9D" w:rsidP="00032CC1">
      <w:pPr>
        <w:spacing w:after="0" w:line="480" w:lineRule="auto"/>
        <w:jc w:val="both"/>
      </w:pPr>
      <w:r>
        <w:t>TWC has received speaker fees, honoraria, travel reimbursement</w:t>
      </w:r>
      <w:r w:rsidR="00032CC1">
        <w:t xml:space="preserve">, </w:t>
      </w:r>
      <w:r>
        <w:t xml:space="preserve">and equipment and consumables </w:t>
      </w:r>
      <w:r w:rsidR="0020630A">
        <w:t xml:space="preserve">free of charge </w:t>
      </w:r>
      <w:r>
        <w:t xml:space="preserve">for the </w:t>
      </w:r>
      <w:r w:rsidR="00032CC1">
        <w:t>purposes</w:t>
      </w:r>
      <w:r>
        <w:t xml:space="preserve"> of research outside of this submitted study, from </w:t>
      </w:r>
      <w:r w:rsidR="00032CC1">
        <w:t>BioFire diagnostics LLC and BioMerie</w:t>
      </w:r>
      <w:r>
        <w:t>ux. TWC has received consultancy fees from Synairgen</w:t>
      </w:r>
      <w:r w:rsidR="00032CC1">
        <w:t xml:space="preserve"> research Ltd</w:t>
      </w:r>
      <w:r>
        <w:t>, Randox</w:t>
      </w:r>
      <w:r w:rsidR="00032CC1">
        <w:t xml:space="preserve"> laboratories Ltd</w:t>
      </w:r>
      <w:r>
        <w:t xml:space="preserve"> and Cidara therapeutics. He </w:t>
      </w:r>
      <w:r w:rsidR="00032CC1">
        <w:t xml:space="preserve">a member of an </w:t>
      </w:r>
      <w:r>
        <w:t>advisory board for Roche and a member of</w:t>
      </w:r>
      <w:r w:rsidR="0020630A">
        <w:t xml:space="preserve"> two</w:t>
      </w:r>
      <w:r>
        <w:t xml:space="preserve"> </w:t>
      </w:r>
      <w:r w:rsidR="00032CC1">
        <w:t xml:space="preserve">independent data monitoring committees </w:t>
      </w:r>
      <w:r>
        <w:t xml:space="preserve">for trials sponsored by Roche. </w:t>
      </w:r>
      <w:r w:rsidR="00032CC1">
        <w:t>He has acted as the UK chief investigator for a</w:t>
      </w:r>
      <w:r w:rsidR="0020630A">
        <w:t>n IMP</w:t>
      </w:r>
      <w:r w:rsidR="00032CC1">
        <w:t xml:space="preserve"> study sponsored by Janssen. </w:t>
      </w:r>
      <w:r w:rsidR="00032CC1" w:rsidRPr="00032CC1">
        <w:t xml:space="preserve">SM has received speaker fees and travel reimbursement from BioMerieiux.  All </w:t>
      </w:r>
      <w:r w:rsidR="00032CC1">
        <w:t xml:space="preserve">other </w:t>
      </w:r>
      <w:r w:rsidR="00032CC1" w:rsidRPr="00032CC1">
        <w:t>authors declare that they have no conflicts of interests.</w:t>
      </w:r>
    </w:p>
    <w:p w:rsidR="00474A82" w:rsidRPr="00A56829" w:rsidRDefault="00474A82" w:rsidP="00032CC1">
      <w:pPr>
        <w:spacing w:after="0" w:line="480" w:lineRule="auto"/>
        <w:jc w:val="both"/>
      </w:pPr>
    </w:p>
    <w:p w:rsidR="00474A82" w:rsidRPr="00A56829" w:rsidRDefault="00474A82" w:rsidP="00474A82">
      <w:pPr>
        <w:spacing w:after="0" w:line="480" w:lineRule="auto"/>
        <w:jc w:val="both"/>
        <w:rPr>
          <w:b/>
        </w:rPr>
      </w:pPr>
      <w:r w:rsidRPr="00A56829">
        <w:rPr>
          <w:b/>
        </w:rPr>
        <w:t xml:space="preserve">Data sharing </w:t>
      </w:r>
    </w:p>
    <w:p w:rsidR="00474A82" w:rsidRPr="00A56829" w:rsidRDefault="00474A82" w:rsidP="00474A82">
      <w:pPr>
        <w:spacing w:after="0" w:line="480" w:lineRule="auto"/>
        <w:jc w:val="both"/>
      </w:pPr>
      <w:r w:rsidRPr="00A56829">
        <w:t>All de-identified participant data analysed and presented in this study are available from the corresponding author following publication, on reasonable request providing this meets local ethical and research governance criteria.</w:t>
      </w:r>
    </w:p>
    <w:p w:rsidR="00032CC1" w:rsidRPr="00D03127" w:rsidRDefault="00032CC1" w:rsidP="00032CC1">
      <w:pPr>
        <w:spacing w:after="0" w:line="480" w:lineRule="auto"/>
        <w:jc w:val="both"/>
      </w:pPr>
    </w:p>
    <w:p w:rsidR="003F5E2E" w:rsidRPr="00D03127" w:rsidRDefault="003F5E2E" w:rsidP="00032CC1">
      <w:pPr>
        <w:spacing w:after="0" w:line="480" w:lineRule="auto"/>
        <w:jc w:val="both"/>
        <w:rPr>
          <w:b/>
          <w:bCs/>
          <w:sz w:val="24"/>
          <w:szCs w:val="24"/>
        </w:rPr>
      </w:pPr>
      <w:r w:rsidRPr="00D03127">
        <w:rPr>
          <w:b/>
          <w:bCs/>
          <w:sz w:val="24"/>
          <w:szCs w:val="24"/>
        </w:rPr>
        <w:t>Acknowledgements</w:t>
      </w:r>
    </w:p>
    <w:p w:rsidR="00FF43A7" w:rsidRDefault="00696592" w:rsidP="00032CC1">
      <w:pPr>
        <w:spacing w:after="0" w:line="480" w:lineRule="auto"/>
        <w:jc w:val="both"/>
      </w:pPr>
      <w:r w:rsidRPr="00D03127">
        <w:t xml:space="preserve">We thank all of the patients </w:t>
      </w:r>
      <w:r w:rsidR="00F749AD">
        <w:t xml:space="preserve">recruited </w:t>
      </w:r>
      <w:r w:rsidRPr="00D03127">
        <w:t xml:space="preserve">at the Southampton General Hospital </w:t>
      </w:r>
      <w:r w:rsidR="003C3074">
        <w:t>and Hamp</w:t>
      </w:r>
      <w:r w:rsidR="00F749AD">
        <w:t xml:space="preserve">shire County Hospital </w:t>
      </w:r>
      <w:r w:rsidR="003C3074" w:rsidRPr="003C3074">
        <w:t xml:space="preserve">and </w:t>
      </w:r>
      <w:r w:rsidR="00F749AD">
        <w:t xml:space="preserve">all the </w:t>
      </w:r>
      <w:r w:rsidR="003C3074" w:rsidRPr="003C3074">
        <w:t xml:space="preserve">clinical staff </w:t>
      </w:r>
      <w:r w:rsidR="003C3074">
        <w:t>involved including doctors</w:t>
      </w:r>
      <w:r w:rsidR="003F5E2E" w:rsidRPr="00D03127">
        <w:t xml:space="preserve">, nurses, and laboratory technicians. We </w:t>
      </w:r>
      <w:r w:rsidR="003F5E2E" w:rsidRPr="00D03127">
        <w:lastRenderedPageBreak/>
        <w:t>thank the directors, research nurses</w:t>
      </w:r>
      <w:r w:rsidRPr="00D03127">
        <w:t xml:space="preserve">, data managers, </w:t>
      </w:r>
      <w:r w:rsidR="003F5E2E" w:rsidRPr="00D03127">
        <w:t xml:space="preserve">clinical trials assistants </w:t>
      </w:r>
      <w:r w:rsidRPr="00D03127">
        <w:t xml:space="preserve">and laboratory staff </w:t>
      </w:r>
      <w:r w:rsidR="003F5E2E" w:rsidRPr="00D03127">
        <w:t xml:space="preserve">at the NIHR </w:t>
      </w:r>
      <w:r w:rsidR="003C3074">
        <w:t>Clinical R</w:t>
      </w:r>
      <w:r w:rsidR="003F5E2E" w:rsidRPr="00D03127">
        <w:t xml:space="preserve">esearch Facility and the </w:t>
      </w:r>
      <w:r w:rsidRPr="00D03127">
        <w:t xml:space="preserve">NIHR </w:t>
      </w:r>
      <w:r w:rsidR="00CA1850">
        <w:t>Southampton Biomedical Research Centre</w:t>
      </w:r>
      <w:r w:rsidRPr="00D03127">
        <w:t xml:space="preserve">. </w:t>
      </w:r>
      <w:r w:rsidR="00482B3E" w:rsidRPr="00D03127">
        <w:t xml:space="preserve">We thank the staff at the R&amp;D department, University Hospital Southampton NHS </w:t>
      </w:r>
      <w:r w:rsidR="00CA1850">
        <w:t xml:space="preserve">Foundation Trust and the </w:t>
      </w:r>
      <w:r w:rsidR="00482B3E" w:rsidRPr="00D03127">
        <w:t>NIHR Clinical Research Network</w:t>
      </w:r>
      <w:r w:rsidR="00CA1850">
        <w:t>, Wessex</w:t>
      </w:r>
      <w:r w:rsidR="00482B3E" w:rsidRPr="00D03127">
        <w:t xml:space="preserve"> for their support throughout the trial.</w:t>
      </w:r>
      <w:r w:rsidR="00BD4A53">
        <w:t xml:space="preserve"> </w:t>
      </w:r>
      <w:r w:rsidR="003C3074">
        <w:t xml:space="preserve">In particular we thank the data analysts Ms. </w:t>
      </w:r>
      <w:r w:rsidR="00BD4A53" w:rsidRPr="003C3074">
        <w:t>Florina Borca and</w:t>
      </w:r>
      <w:r w:rsidR="003C3074">
        <w:t xml:space="preserve"> Dr. Hang Phan at the CIRU-AXIS team for their help with data analysis. La</w:t>
      </w:r>
      <w:r w:rsidR="00BE1306">
        <w:t>stly we thank Dr. Kordo Saeed, c</w:t>
      </w:r>
      <w:r w:rsidR="003C3074">
        <w:t>onsultant</w:t>
      </w:r>
      <w:r w:rsidR="00BE1306">
        <w:t xml:space="preserve"> microbiologist and Ana Maria Arias, research n</w:t>
      </w:r>
      <w:r w:rsidR="0020630A">
        <w:t xml:space="preserve">urse, </w:t>
      </w:r>
      <w:r w:rsidR="00BE1306" w:rsidRPr="00BE1306">
        <w:t xml:space="preserve">at the Royal Hampshire County Hospital for </w:t>
      </w:r>
      <w:r w:rsidR="00BE1306">
        <w:t>all their</w:t>
      </w:r>
      <w:r w:rsidR="003C3074">
        <w:t xml:space="preserve"> assistance during the trial.  </w:t>
      </w:r>
    </w:p>
    <w:p w:rsidR="00032CC1" w:rsidRPr="00D03127" w:rsidRDefault="00032CC1" w:rsidP="00032CC1">
      <w:pPr>
        <w:spacing w:after="0" w:line="480" w:lineRule="auto"/>
        <w:jc w:val="both"/>
      </w:pPr>
    </w:p>
    <w:p w:rsidR="00F65C5F" w:rsidRDefault="00FF43A7" w:rsidP="00F65C5F">
      <w:pPr>
        <w:spacing w:line="480" w:lineRule="auto"/>
        <w:jc w:val="both"/>
      </w:pPr>
      <w:r w:rsidRPr="00D03127">
        <w:t>This report is independent research supported by the National Institute for Health Research (</w:t>
      </w:r>
      <w:r w:rsidRPr="00D03127">
        <w:rPr>
          <w:b/>
          <w:bCs/>
        </w:rPr>
        <w:t>NIHR Post Doctorial Fellowship, Dr Tristan Clark, PDF 2016-09-061</w:t>
      </w:r>
      <w:r w:rsidRPr="00D03127">
        <w:t>). The views expressed in this publication are those of the author(s) and not necessarily those of the NHS, the National Institute for Health Research or the Department of Health.</w:t>
      </w:r>
    </w:p>
    <w:p w:rsidR="00DD7F5C" w:rsidRDefault="00DD7F5C" w:rsidP="00F65C5F">
      <w:pPr>
        <w:spacing w:line="480" w:lineRule="auto"/>
        <w:jc w:val="both"/>
      </w:pPr>
    </w:p>
    <w:p w:rsidR="00DD7F5C" w:rsidRDefault="00DD7F5C" w:rsidP="00F65C5F">
      <w:pPr>
        <w:spacing w:line="480" w:lineRule="auto"/>
        <w:jc w:val="both"/>
      </w:pPr>
    </w:p>
    <w:p w:rsidR="00032CC1" w:rsidRDefault="00032CC1" w:rsidP="00F65C5F">
      <w:pPr>
        <w:spacing w:line="480" w:lineRule="auto"/>
        <w:jc w:val="both"/>
      </w:pPr>
    </w:p>
    <w:p w:rsidR="00032CC1" w:rsidRDefault="00032CC1" w:rsidP="00F65C5F">
      <w:pPr>
        <w:spacing w:line="480" w:lineRule="auto"/>
        <w:jc w:val="both"/>
      </w:pPr>
    </w:p>
    <w:p w:rsidR="00032CC1" w:rsidRDefault="00032CC1" w:rsidP="00F65C5F">
      <w:pPr>
        <w:spacing w:line="480" w:lineRule="auto"/>
        <w:jc w:val="both"/>
      </w:pPr>
    </w:p>
    <w:p w:rsidR="00032CC1" w:rsidRDefault="00032CC1" w:rsidP="00F65C5F">
      <w:pPr>
        <w:spacing w:line="480" w:lineRule="auto"/>
        <w:jc w:val="both"/>
      </w:pPr>
    </w:p>
    <w:p w:rsidR="00032CC1" w:rsidRDefault="00032CC1" w:rsidP="00F65C5F">
      <w:pPr>
        <w:spacing w:line="480" w:lineRule="auto"/>
        <w:jc w:val="both"/>
      </w:pPr>
    </w:p>
    <w:p w:rsidR="00032CC1" w:rsidRDefault="00032CC1" w:rsidP="00F65C5F">
      <w:pPr>
        <w:spacing w:line="480" w:lineRule="auto"/>
        <w:jc w:val="both"/>
      </w:pPr>
    </w:p>
    <w:p w:rsidR="00032CC1" w:rsidRDefault="00032CC1" w:rsidP="00F65C5F">
      <w:pPr>
        <w:spacing w:line="480" w:lineRule="auto"/>
        <w:jc w:val="both"/>
      </w:pPr>
    </w:p>
    <w:p w:rsidR="00032CC1" w:rsidRDefault="00032CC1" w:rsidP="00F65C5F">
      <w:pPr>
        <w:spacing w:line="480" w:lineRule="auto"/>
        <w:jc w:val="both"/>
      </w:pPr>
    </w:p>
    <w:p w:rsidR="00572561" w:rsidRDefault="00572561" w:rsidP="00F65C5F">
      <w:pPr>
        <w:spacing w:line="480" w:lineRule="auto"/>
        <w:jc w:val="both"/>
        <w:rPr>
          <w:b/>
          <w:bCs/>
          <w:i/>
          <w:sz w:val="24"/>
          <w:szCs w:val="24"/>
        </w:rPr>
        <w:sectPr w:rsidR="00572561" w:rsidSect="00F65C5F">
          <w:footerReference w:type="default" r:id="rId10"/>
          <w:pgSz w:w="11906" w:h="16838"/>
          <w:pgMar w:top="1440" w:right="1440" w:bottom="1440" w:left="1440" w:header="709" w:footer="709" w:gutter="0"/>
          <w:cols w:space="708"/>
          <w:docGrid w:linePitch="360"/>
        </w:sectPr>
      </w:pPr>
    </w:p>
    <w:p w:rsidR="00577A14" w:rsidRPr="00F65C5F" w:rsidRDefault="00577A14" w:rsidP="00F65C5F">
      <w:pPr>
        <w:spacing w:line="480" w:lineRule="auto"/>
        <w:jc w:val="both"/>
      </w:pPr>
      <w:r w:rsidRPr="007040D8">
        <w:rPr>
          <w:b/>
          <w:bCs/>
          <w:i/>
          <w:sz w:val="24"/>
          <w:szCs w:val="24"/>
        </w:rPr>
        <w:lastRenderedPageBreak/>
        <w:t>Table 1</w:t>
      </w:r>
      <w:r w:rsidR="007040D8">
        <w:rPr>
          <w:b/>
          <w:bCs/>
          <w:sz w:val="24"/>
          <w:szCs w:val="24"/>
        </w:rPr>
        <w:t>:</w:t>
      </w:r>
      <w:r w:rsidRPr="004D76A3">
        <w:rPr>
          <w:b/>
          <w:bCs/>
          <w:sz w:val="24"/>
          <w:szCs w:val="24"/>
        </w:rPr>
        <w:t xml:space="preserve"> </w:t>
      </w:r>
      <w:r w:rsidR="0020630A">
        <w:rPr>
          <w:b/>
          <w:bCs/>
          <w:sz w:val="24"/>
          <w:szCs w:val="24"/>
        </w:rPr>
        <w:t>Baseline characteristics of</w:t>
      </w:r>
      <w:r w:rsidRPr="007040D8">
        <w:rPr>
          <w:b/>
          <w:bCs/>
          <w:sz w:val="24"/>
          <w:szCs w:val="24"/>
        </w:rPr>
        <w:t xml:space="preserve"> all patients (ITT</w:t>
      </w:r>
      <w:r w:rsidR="004E0E6A">
        <w:rPr>
          <w:b/>
          <w:bCs/>
          <w:sz w:val="24"/>
          <w:szCs w:val="24"/>
        </w:rPr>
        <w:t xml:space="preserve"> population</w:t>
      </w:r>
      <w:r w:rsidRPr="007040D8">
        <w:rPr>
          <w:b/>
          <w:bCs/>
          <w:sz w:val="24"/>
          <w:szCs w:val="24"/>
        </w:rPr>
        <w:t>) and influenza-</w:t>
      </w:r>
      <w:r w:rsidR="0020630A">
        <w:rPr>
          <w:b/>
          <w:bCs/>
          <w:sz w:val="24"/>
          <w:szCs w:val="24"/>
        </w:rPr>
        <w:t xml:space="preserve">infected </w:t>
      </w:r>
      <w:r w:rsidR="00975261">
        <w:rPr>
          <w:b/>
          <w:bCs/>
          <w:sz w:val="24"/>
          <w:szCs w:val="24"/>
        </w:rPr>
        <w:t>patients</w:t>
      </w:r>
      <w:r w:rsidR="0020630A">
        <w:rPr>
          <w:b/>
          <w:bCs/>
          <w:sz w:val="24"/>
          <w:szCs w:val="24"/>
        </w:rPr>
        <w:t xml:space="preserve"> (ITTI</w:t>
      </w:r>
      <w:r w:rsidR="004E0E6A">
        <w:rPr>
          <w:b/>
          <w:bCs/>
          <w:sz w:val="24"/>
          <w:szCs w:val="24"/>
        </w:rPr>
        <w:t xml:space="preserve"> population</w:t>
      </w:r>
      <w:r w:rsidR="0020630A">
        <w:rPr>
          <w:b/>
          <w:bCs/>
          <w:sz w:val="24"/>
          <w:szCs w:val="24"/>
        </w:rPr>
        <w:t>)</w:t>
      </w:r>
      <w:r w:rsidR="00975261">
        <w:rPr>
          <w:b/>
          <w:bCs/>
          <w:sz w:val="24"/>
          <w:szCs w:val="24"/>
        </w:rPr>
        <w:t>.</w:t>
      </w:r>
    </w:p>
    <w:tbl>
      <w:tblPr>
        <w:tblStyle w:val="TableGrid"/>
        <w:tblW w:w="0" w:type="auto"/>
        <w:tblLook w:val="04A0" w:firstRow="1" w:lastRow="0" w:firstColumn="1" w:lastColumn="0" w:noHBand="0" w:noVBand="1"/>
      </w:tblPr>
      <w:tblGrid>
        <w:gridCol w:w="3964"/>
        <w:gridCol w:w="2268"/>
        <w:gridCol w:w="1985"/>
        <w:gridCol w:w="1984"/>
        <w:gridCol w:w="2127"/>
      </w:tblGrid>
      <w:tr w:rsidR="00577A14" w:rsidTr="0020630A">
        <w:tc>
          <w:tcPr>
            <w:tcW w:w="3964" w:type="dxa"/>
            <w:tcBorders>
              <w:bottom w:val="nil"/>
            </w:tcBorders>
          </w:tcPr>
          <w:p w:rsidR="00577A14" w:rsidRPr="00AC6623" w:rsidRDefault="00577A14" w:rsidP="00577A14">
            <w:pPr>
              <w:rPr>
                <w:b/>
              </w:rPr>
            </w:pPr>
            <w:r w:rsidRPr="00AC6623">
              <w:rPr>
                <w:b/>
              </w:rPr>
              <w:t>Characteristic</w:t>
            </w:r>
          </w:p>
        </w:tc>
        <w:tc>
          <w:tcPr>
            <w:tcW w:w="4253" w:type="dxa"/>
            <w:gridSpan w:val="2"/>
            <w:tcBorders>
              <w:bottom w:val="nil"/>
            </w:tcBorders>
          </w:tcPr>
          <w:p w:rsidR="00577A14" w:rsidRPr="007040D8" w:rsidRDefault="00577A14" w:rsidP="007040D8">
            <w:pPr>
              <w:jc w:val="center"/>
              <w:rPr>
                <w:b/>
                <w:sz w:val="24"/>
                <w:szCs w:val="24"/>
              </w:rPr>
            </w:pPr>
            <w:r>
              <w:rPr>
                <w:b/>
                <w:sz w:val="24"/>
                <w:szCs w:val="24"/>
              </w:rPr>
              <w:t xml:space="preserve">All patients (ITT) </w:t>
            </w:r>
            <w:r w:rsidR="007040D8">
              <w:rPr>
                <w:b/>
                <w:sz w:val="24"/>
                <w:szCs w:val="24"/>
              </w:rPr>
              <w:t xml:space="preserve"> </w:t>
            </w:r>
          </w:p>
        </w:tc>
        <w:tc>
          <w:tcPr>
            <w:tcW w:w="4111" w:type="dxa"/>
            <w:gridSpan w:val="2"/>
            <w:tcBorders>
              <w:bottom w:val="nil"/>
            </w:tcBorders>
          </w:tcPr>
          <w:p w:rsidR="003E22FB" w:rsidRPr="00B37BC5" w:rsidRDefault="00577A14" w:rsidP="003E22FB">
            <w:pPr>
              <w:jc w:val="center"/>
              <w:rPr>
                <w:b/>
                <w:sz w:val="24"/>
                <w:szCs w:val="24"/>
              </w:rPr>
            </w:pPr>
            <w:r w:rsidRPr="00B37BC5">
              <w:rPr>
                <w:b/>
                <w:sz w:val="24"/>
                <w:szCs w:val="24"/>
              </w:rPr>
              <w:t xml:space="preserve">Influenza-infected </w:t>
            </w:r>
            <w:r>
              <w:rPr>
                <w:b/>
                <w:sz w:val="24"/>
                <w:szCs w:val="24"/>
              </w:rPr>
              <w:t>patients (ITTI)</w:t>
            </w:r>
          </w:p>
        </w:tc>
      </w:tr>
      <w:tr w:rsidR="00577A14" w:rsidTr="0020630A">
        <w:tc>
          <w:tcPr>
            <w:tcW w:w="3964" w:type="dxa"/>
            <w:tcBorders>
              <w:top w:val="nil"/>
              <w:bottom w:val="single" w:sz="4" w:space="0" w:color="auto"/>
            </w:tcBorders>
          </w:tcPr>
          <w:p w:rsidR="00577A14" w:rsidRPr="00AC6623" w:rsidRDefault="00577A14" w:rsidP="00577A14">
            <w:pPr>
              <w:rPr>
                <w:b/>
              </w:rPr>
            </w:pPr>
          </w:p>
        </w:tc>
        <w:tc>
          <w:tcPr>
            <w:tcW w:w="2268" w:type="dxa"/>
            <w:tcBorders>
              <w:top w:val="nil"/>
              <w:bottom w:val="single" w:sz="4" w:space="0" w:color="auto"/>
              <w:right w:val="nil"/>
            </w:tcBorders>
          </w:tcPr>
          <w:p w:rsidR="007040D8" w:rsidRDefault="00577A14" w:rsidP="00577A14">
            <w:pPr>
              <w:jc w:val="center"/>
              <w:rPr>
                <w:b/>
              </w:rPr>
            </w:pPr>
            <w:r w:rsidRPr="00AC6623">
              <w:rPr>
                <w:b/>
              </w:rPr>
              <w:t xml:space="preserve">mPOCT </w:t>
            </w:r>
          </w:p>
          <w:p w:rsidR="00577A14" w:rsidRPr="00AC6623" w:rsidRDefault="007040D8" w:rsidP="00577A14">
            <w:pPr>
              <w:jc w:val="center"/>
            </w:pPr>
            <w:r>
              <w:rPr>
                <w:b/>
              </w:rPr>
              <w:t xml:space="preserve"> (n</w:t>
            </w:r>
            <w:r w:rsidR="00577A14" w:rsidRPr="00AC6623">
              <w:rPr>
                <w:b/>
              </w:rPr>
              <w:t>=307)</w:t>
            </w:r>
          </w:p>
        </w:tc>
        <w:tc>
          <w:tcPr>
            <w:tcW w:w="1985" w:type="dxa"/>
            <w:tcBorders>
              <w:top w:val="nil"/>
              <w:left w:val="nil"/>
              <w:bottom w:val="single" w:sz="4" w:space="0" w:color="auto"/>
            </w:tcBorders>
          </w:tcPr>
          <w:p w:rsidR="00577A14" w:rsidRPr="00AC6623" w:rsidRDefault="00577A14" w:rsidP="00577A14">
            <w:pPr>
              <w:jc w:val="center"/>
              <w:rPr>
                <w:b/>
              </w:rPr>
            </w:pPr>
            <w:r w:rsidRPr="00AC6623">
              <w:rPr>
                <w:b/>
              </w:rPr>
              <w:t xml:space="preserve">Control </w:t>
            </w:r>
          </w:p>
          <w:p w:rsidR="00577A14" w:rsidRPr="00AC6623" w:rsidRDefault="007040D8" w:rsidP="00577A14">
            <w:pPr>
              <w:jc w:val="center"/>
            </w:pPr>
            <w:r>
              <w:rPr>
                <w:b/>
              </w:rPr>
              <w:t>(n</w:t>
            </w:r>
            <w:r w:rsidR="00577A14" w:rsidRPr="00AC6623">
              <w:rPr>
                <w:b/>
              </w:rPr>
              <w:t>=306)</w:t>
            </w:r>
          </w:p>
        </w:tc>
        <w:tc>
          <w:tcPr>
            <w:tcW w:w="1984" w:type="dxa"/>
            <w:tcBorders>
              <w:top w:val="nil"/>
              <w:bottom w:val="single" w:sz="4" w:space="0" w:color="auto"/>
              <w:right w:val="nil"/>
            </w:tcBorders>
          </w:tcPr>
          <w:p w:rsidR="00577A14" w:rsidRPr="00AC6623" w:rsidRDefault="00577A14" w:rsidP="00577A14">
            <w:pPr>
              <w:jc w:val="center"/>
              <w:rPr>
                <w:b/>
              </w:rPr>
            </w:pPr>
            <w:r w:rsidRPr="00AC6623">
              <w:rPr>
                <w:b/>
              </w:rPr>
              <w:t xml:space="preserve">mPOCT </w:t>
            </w:r>
          </w:p>
          <w:p w:rsidR="00577A14" w:rsidRPr="00AC6623" w:rsidRDefault="007040D8" w:rsidP="00577A14">
            <w:pPr>
              <w:jc w:val="center"/>
              <w:rPr>
                <w:b/>
              </w:rPr>
            </w:pPr>
            <w:r>
              <w:rPr>
                <w:b/>
              </w:rPr>
              <w:t>(n</w:t>
            </w:r>
            <w:r w:rsidR="00577A14" w:rsidRPr="00AC6623">
              <w:rPr>
                <w:b/>
              </w:rPr>
              <w:t>=100)</w:t>
            </w:r>
          </w:p>
        </w:tc>
        <w:tc>
          <w:tcPr>
            <w:tcW w:w="2127" w:type="dxa"/>
            <w:tcBorders>
              <w:top w:val="nil"/>
              <w:left w:val="nil"/>
              <w:bottom w:val="single" w:sz="4" w:space="0" w:color="auto"/>
            </w:tcBorders>
          </w:tcPr>
          <w:p w:rsidR="00577A14" w:rsidRPr="00AC6623" w:rsidRDefault="00577A14" w:rsidP="00577A14">
            <w:pPr>
              <w:jc w:val="center"/>
              <w:rPr>
                <w:b/>
              </w:rPr>
            </w:pPr>
            <w:r w:rsidRPr="00AC6623">
              <w:rPr>
                <w:b/>
              </w:rPr>
              <w:t xml:space="preserve">Control </w:t>
            </w:r>
          </w:p>
          <w:p w:rsidR="007040D8" w:rsidRPr="00AC6623" w:rsidRDefault="007040D8" w:rsidP="007040D8">
            <w:pPr>
              <w:jc w:val="center"/>
              <w:rPr>
                <w:b/>
              </w:rPr>
            </w:pPr>
            <w:r>
              <w:rPr>
                <w:b/>
              </w:rPr>
              <w:t>(n</w:t>
            </w:r>
            <w:r w:rsidR="00577A14" w:rsidRPr="00AC6623">
              <w:rPr>
                <w:b/>
              </w:rPr>
              <w:t>=102)</w:t>
            </w:r>
          </w:p>
        </w:tc>
      </w:tr>
      <w:tr w:rsidR="00577A14" w:rsidTr="0020630A">
        <w:tc>
          <w:tcPr>
            <w:tcW w:w="3964" w:type="dxa"/>
            <w:tcBorders>
              <w:bottom w:val="nil"/>
            </w:tcBorders>
          </w:tcPr>
          <w:p w:rsidR="00577A14" w:rsidRDefault="008A2262" w:rsidP="00577A14">
            <w:r>
              <w:t>Age (years)</w:t>
            </w:r>
          </w:p>
          <w:p w:rsidR="008A2262" w:rsidRPr="00AC6623" w:rsidRDefault="008A2262" w:rsidP="00577A14">
            <w:r>
              <w:t>Sex</w:t>
            </w:r>
          </w:p>
        </w:tc>
        <w:tc>
          <w:tcPr>
            <w:tcW w:w="2268" w:type="dxa"/>
            <w:tcBorders>
              <w:bottom w:val="nil"/>
            </w:tcBorders>
          </w:tcPr>
          <w:p w:rsidR="00577A14" w:rsidRPr="00AC6623" w:rsidRDefault="00577A14" w:rsidP="00577A14">
            <w:pPr>
              <w:jc w:val="center"/>
            </w:pPr>
            <w:r w:rsidRPr="00AC6623">
              <w:t>62 (41 to 74)</w:t>
            </w:r>
          </w:p>
        </w:tc>
        <w:tc>
          <w:tcPr>
            <w:tcW w:w="1985" w:type="dxa"/>
            <w:tcBorders>
              <w:bottom w:val="nil"/>
            </w:tcBorders>
          </w:tcPr>
          <w:p w:rsidR="00577A14" w:rsidRPr="00AC6623" w:rsidRDefault="00577A14" w:rsidP="00577A14">
            <w:pPr>
              <w:jc w:val="center"/>
            </w:pPr>
            <w:r w:rsidRPr="00AC6623">
              <w:t>63 (47 to 76)</w:t>
            </w:r>
          </w:p>
        </w:tc>
        <w:tc>
          <w:tcPr>
            <w:tcW w:w="1984" w:type="dxa"/>
            <w:tcBorders>
              <w:bottom w:val="nil"/>
            </w:tcBorders>
          </w:tcPr>
          <w:p w:rsidR="00577A14" w:rsidRPr="00AC6623" w:rsidRDefault="00577A14" w:rsidP="00577A14">
            <w:pPr>
              <w:jc w:val="center"/>
            </w:pPr>
            <w:r w:rsidRPr="00AC6623">
              <w:t>63 (42 to 73)</w:t>
            </w:r>
          </w:p>
        </w:tc>
        <w:tc>
          <w:tcPr>
            <w:tcW w:w="2127" w:type="dxa"/>
            <w:tcBorders>
              <w:bottom w:val="nil"/>
            </w:tcBorders>
          </w:tcPr>
          <w:p w:rsidR="00577A14" w:rsidRPr="00AC6623" w:rsidRDefault="00577A14" w:rsidP="00577A14">
            <w:pPr>
              <w:jc w:val="center"/>
            </w:pPr>
            <w:r w:rsidRPr="00AC6623">
              <w:t>65 (51 to 78)</w:t>
            </w:r>
          </w:p>
        </w:tc>
      </w:tr>
      <w:tr w:rsidR="00577A14" w:rsidTr="0020630A">
        <w:tc>
          <w:tcPr>
            <w:tcW w:w="3964" w:type="dxa"/>
            <w:tcBorders>
              <w:top w:val="nil"/>
              <w:bottom w:val="nil"/>
            </w:tcBorders>
          </w:tcPr>
          <w:p w:rsidR="00577A14" w:rsidRDefault="008A2262" w:rsidP="008A2262">
            <w:r>
              <w:t xml:space="preserve">   </w:t>
            </w:r>
            <w:r w:rsidR="00577A14" w:rsidRPr="00AC6623">
              <w:t xml:space="preserve">Female </w:t>
            </w:r>
          </w:p>
          <w:p w:rsidR="008A2262" w:rsidRPr="008A2262" w:rsidRDefault="008A2262" w:rsidP="008A2262">
            <w:r>
              <w:t xml:space="preserve">   Male</w:t>
            </w:r>
          </w:p>
        </w:tc>
        <w:tc>
          <w:tcPr>
            <w:tcW w:w="2268" w:type="dxa"/>
            <w:tcBorders>
              <w:top w:val="nil"/>
              <w:bottom w:val="nil"/>
            </w:tcBorders>
          </w:tcPr>
          <w:p w:rsidR="00577A14" w:rsidRDefault="00577A14" w:rsidP="00577A14">
            <w:pPr>
              <w:jc w:val="center"/>
            </w:pPr>
            <w:r w:rsidRPr="00AC6623">
              <w:t>175 (57</w:t>
            </w:r>
            <w:r w:rsidR="005762D6">
              <w:t>%</w:t>
            </w:r>
            <w:r w:rsidRPr="00AC6623">
              <w:t>)</w:t>
            </w:r>
          </w:p>
          <w:p w:rsidR="008A2262" w:rsidRPr="00AC6623" w:rsidRDefault="00572561" w:rsidP="00577A14">
            <w:pPr>
              <w:jc w:val="center"/>
            </w:pPr>
            <w:r>
              <w:t>132 (43</w:t>
            </w:r>
            <w:r w:rsidR="005762D6">
              <w:t>%</w:t>
            </w:r>
            <w:r>
              <w:t>)</w:t>
            </w:r>
          </w:p>
        </w:tc>
        <w:tc>
          <w:tcPr>
            <w:tcW w:w="1985" w:type="dxa"/>
            <w:tcBorders>
              <w:top w:val="nil"/>
              <w:bottom w:val="nil"/>
            </w:tcBorders>
          </w:tcPr>
          <w:p w:rsidR="00577A14" w:rsidRDefault="00577A14" w:rsidP="00577A14">
            <w:pPr>
              <w:jc w:val="center"/>
            </w:pPr>
            <w:r w:rsidRPr="00AC6623">
              <w:t>157 (51</w:t>
            </w:r>
            <w:r w:rsidR="005762D6">
              <w:t>%</w:t>
            </w:r>
            <w:r w:rsidRPr="00AC6623">
              <w:t>)</w:t>
            </w:r>
          </w:p>
          <w:p w:rsidR="00572561" w:rsidRPr="00AC6623" w:rsidRDefault="00572561" w:rsidP="00577A14">
            <w:pPr>
              <w:jc w:val="center"/>
            </w:pPr>
            <w:r>
              <w:t>148 (49</w:t>
            </w:r>
            <w:r w:rsidR="005762D6">
              <w:t>%</w:t>
            </w:r>
            <w:r>
              <w:t>)</w:t>
            </w:r>
          </w:p>
        </w:tc>
        <w:tc>
          <w:tcPr>
            <w:tcW w:w="1984" w:type="dxa"/>
            <w:tcBorders>
              <w:top w:val="nil"/>
              <w:bottom w:val="nil"/>
            </w:tcBorders>
          </w:tcPr>
          <w:p w:rsidR="00577A14" w:rsidRDefault="00577A14" w:rsidP="00577A14">
            <w:pPr>
              <w:jc w:val="center"/>
            </w:pPr>
            <w:r w:rsidRPr="00AC6623">
              <w:t>53 (53</w:t>
            </w:r>
            <w:r w:rsidR="005762D6">
              <w:t>%</w:t>
            </w:r>
            <w:r w:rsidRPr="00AC6623">
              <w:t>)</w:t>
            </w:r>
          </w:p>
          <w:p w:rsidR="00975261" w:rsidRPr="00AC6623" w:rsidRDefault="00975261" w:rsidP="00577A14">
            <w:pPr>
              <w:jc w:val="center"/>
            </w:pPr>
            <w:r>
              <w:t>47 (47</w:t>
            </w:r>
            <w:r w:rsidR="005762D6">
              <w:t>%</w:t>
            </w:r>
            <w:r>
              <w:t>)</w:t>
            </w:r>
          </w:p>
        </w:tc>
        <w:tc>
          <w:tcPr>
            <w:tcW w:w="2127" w:type="dxa"/>
            <w:tcBorders>
              <w:top w:val="nil"/>
              <w:bottom w:val="nil"/>
            </w:tcBorders>
          </w:tcPr>
          <w:p w:rsidR="00577A14" w:rsidRDefault="00577A14" w:rsidP="00577A14">
            <w:pPr>
              <w:jc w:val="center"/>
            </w:pPr>
            <w:r w:rsidRPr="00AC6623">
              <w:t>47 (46</w:t>
            </w:r>
            <w:r w:rsidR="005762D6">
              <w:t>%</w:t>
            </w:r>
            <w:r w:rsidRPr="00AC6623">
              <w:t>)</w:t>
            </w:r>
          </w:p>
          <w:p w:rsidR="00975261" w:rsidRPr="00AC6623" w:rsidRDefault="00975261" w:rsidP="00577A14">
            <w:pPr>
              <w:jc w:val="center"/>
            </w:pPr>
            <w:r>
              <w:t>55 (54</w:t>
            </w:r>
            <w:r w:rsidR="005762D6">
              <w:t>%</w:t>
            </w:r>
            <w:r>
              <w:t>)</w:t>
            </w:r>
          </w:p>
        </w:tc>
      </w:tr>
      <w:tr w:rsidR="00577A14" w:rsidTr="0020630A">
        <w:tc>
          <w:tcPr>
            <w:tcW w:w="3964" w:type="dxa"/>
            <w:tcBorders>
              <w:top w:val="nil"/>
              <w:bottom w:val="nil"/>
            </w:tcBorders>
          </w:tcPr>
          <w:p w:rsidR="008A2262" w:rsidRDefault="008A2262" w:rsidP="00577A14">
            <w:r>
              <w:t>Ethic origin</w:t>
            </w:r>
          </w:p>
          <w:p w:rsidR="00577A14" w:rsidRDefault="008A2262" w:rsidP="00577A14">
            <w:r>
              <w:t xml:space="preserve">   White British </w:t>
            </w:r>
          </w:p>
          <w:p w:rsidR="008A2262" w:rsidRPr="00AC6623" w:rsidRDefault="008A2262" w:rsidP="00577A14">
            <w:r>
              <w:t xml:space="preserve">   Other</w:t>
            </w:r>
          </w:p>
        </w:tc>
        <w:tc>
          <w:tcPr>
            <w:tcW w:w="2268" w:type="dxa"/>
            <w:tcBorders>
              <w:top w:val="nil"/>
              <w:bottom w:val="nil"/>
            </w:tcBorders>
          </w:tcPr>
          <w:p w:rsidR="008A2262" w:rsidRDefault="008A2262" w:rsidP="00577A14">
            <w:pPr>
              <w:jc w:val="center"/>
            </w:pPr>
          </w:p>
          <w:p w:rsidR="00577A14" w:rsidRDefault="00577A14" w:rsidP="00577A14">
            <w:pPr>
              <w:jc w:val="center"/>
            </w:pPr>
            <w:r w:rsidRPr="00AC6623">
              <w:t>285 (93</w:t>
            </w:r>
            <w:r w:rsidR="005762D6">
              <w:t>%</w:t>
            </w:r>
            <w:r w:rsidRPr="00AC6623">
              <w:t>)</w:t>
            </w:r>
          </w:p>
          <w:p w:rsidR="00572561" w:rsidRPr="00AC6623" w:rsidRDefault="00572561" w:rsidP="00577A14">
            <w:pPr>
              <w:jc w:val="center"/>
            </w:pPr>
            <w:r>
              <w:t>22 (7</w:t>
            </w:r>
            <w:r w:rsidR="005762D6">
              <w:t>%</w:t>
            </w:r>
            <w:r>
              <w:t>)</w:t>
            </w:r>
          </w:p>
        </w:tc>
        <w:tc>
          <w:tcPr>
            <w:tcW w:w="1985" w:type="dxa"/>
            <w:tcBorders>
              <w:top w:val="nil"/>
              <w:bottom w:val="nil"/>
            </w:tcBorders>
          </w:tcPr>
          <w:p w:rsidR="008A2262" w:rsidRDefault="008A2262" w:rsidP="00577A14">
            <w:pPr>
              <w:jc w:val="center"/>
            </w:pPr>
          </w:p>
          <w:p w:rsidR="00577A14" w:rsidRDefault="00577A14" w:rsidP="00577A14">
            <w:pPr>
              <w:jc w:val="center"/>
            </w:pPr>
            <w:r w:rsidRPr="00AC6623">
              <w:t>284 (93</w:t>
            </w:r>
            <w:r w:rsidR="005762D6">
              <w:t>%</w:t>
            </w:r>
            <w:r w:rsidRPr="00AC6623">
              <w:t>)</w:t>
            </w:r>
          </w:p>
          <w:p w:rsidR="00572561" w:rsidRPr="00AC6623" w:rsidRDefault="00572561" w:rsidP="00577A14">
            <w:pPr>
              <w:jc w:val="center"/>
            </w:pPr>
            <w:r>
              <w:t>21 (7</w:t>
            </w:r>
            <w:r w:rsidR="005762D6">
              <w:t>%</w:t>
            </w:r>
            <w:r>
              <w:t>)</w:t>
            </w:r>
          </w:p>
        </w:tc>
        <w:tc>
          <w:tcPr>
            <w:tcW w:w="1984" w:type="dxa"/>
            <w:tcBorders>
              <w:top w:val="nil"/>
              <w:bottom w:val="nil"/>
            </w:tcBorders>
          </w:tcPr>
          <w:p w:rsidR="008A2262" w:rsidRDefault="008A2262" w:rsidP="00577A14">
            <w:pPr>
              <w:jc w:val="center"/>
            </w:pPr>
          </w:p>
          <w:p w:rsidR="00577A14" w:rsidRDefault="00577A14" w:rsidP="00577A14">
            <w:pPr>
              <w:jc w:val="center"/>
            </w:pPr>
            <w:r w:rsidRPr="00AC6623">
              <w:t>95 (95</w:t>
            </w:r>
            <w:r w:rsidR="005762D6">
              <w:t>%</w:t>
            </w:r>
            <w:r w:rsidRPr="00AC6623">
              <w:t>)</w:t>
            </w:r>
          </w:p>
          <w:p w:rsidR="00975261" w:rsidRPr="00AC6623" w:rsidRDefault="00975261" w:rsidP="00577A14">
            <w:pPr>
              <w:jc w:val="center"/>
            </w:pPr>
            <w:r>
              <w:t>5 (5</w:t>
            </w:r>
            <w:r w:rsidR="005762D6">
              <w:t>%</w:t>
            </w:r>
            <w:r>
              <w:t>)</w:t>
            </w:r>
          </w:p>
        </w:tc>
        <w:tc>
          <w:tcPr>
            <w:tcW w:w="2127" w:type="dxa"/>
            <w:tcBorders>
              <w:top w:val="nil"/>
              <w:bottom w:val="nil"/>
            </w:tcBorders>
          </w:tcPr>
          <w:p w:rsidR="008A2262" w:rsidRDefault="008A2262" w:rsidP="00577A14">
            <w:pPr>
              <w:jc w:val="center"/>
            </w:pPr>
          </w:p>
          <w:p w:rsidR="00577A14" w:rsidRDefault="00577A14" w:rsidP="00577A14">
            <w:pPr>
              <w:jc w:val="center"/>
            </w:pPr>
            <w:r w:rsidRPr="00AC6623">
              <w:t>94 (93</w:t>
            </w:r>
            <w:r w:rsidR="005762D6">
              <w:t>%</w:t>
            </w:r>
            <w:r w:rsidRPr="00AC6623">
              <w:t>)</w:t>
            </w:r>
          </w:p>
          <w:p w:rsidR="00975261" w:rsidRPr="00AC6623" w:rsidRDefault="00975261" w:rsidP="00577A14">
            <w:pPr>
              <w:jc w:val="center"/>
            </w:pPr>
            <w:r>
              <w:t>6 (7</w:t>
            </w:r>
            <w:r w:rsidR="005762D6">
              <w:t>%</w:t>
            </w:r>
            <w:r>
              <w:t>)</w:t>
            </w:r>
          </w:p>
        </w:tc>
      </w:tr>
      <w:tr w:rsidR="00577A14" w:rsidTr="0020630A">
        <w:tc>
          <w:tcPr>
            <w:tcW w:w="3964" w:type="dxa"/>
            <w:tcBorders>
              <w:top w:val="nil"/>
              <w:bottom w:val="nil"/>
            </w:tcBorders>
          </w:tcPr>
          <w:p w:rsidR="00577A14" w:rsidRDefault="00E411BB" w:rsidP="00577A14">
            <w:r>
              <w:t xml:space="preserve">Current smoker </w:t>
            </w:r>
          </w:p>
          <w:p w:rsidR="00E411BB" w:rsidRDefault="00E411BB" w:rsidP="00577A14">
            <w:r>
              <w:t xml:space="preserve">   Yes</w:t>
            </w:r>
          </w:p>
          <w:p w:rsidR="00E411BB" w:rsidRPr="00AC6623" w:rsidRDefault="00E411BB" w:rsidP="00577A14">
            <w:pPr>
              <w:rPr>
                <w:u w:val="single"/>
              </w:rPr>
            </w:pPr>
            <w:r>
              <w:t xml:space="preserve">   No</w:t>
            </w:r>
          </w:p>
        </w:tc>
        <w:tc>
          <w:tcPr>
            <w:tcW w:w="2268" w:type="dxa"/>
            <w:tcBorders>
              <w:top w:val="nil"/>
              <w:bottom w:val="nil"/>
            </w:tcBorders>
          </w:tcPr>
          <w:p w:rsidR="00E411BB" w:rsidRDefault="00E411BB" w:rsidP="00577A14">
            <w:pPr>
              <w:jc w:val="center"/>
            </w:pPr>
          </w:p>
          <w:p w:rsidR="00577A14" w:rsidRDefault="00577A14" w:rsidP="00577A14">
            <w:pPr>
              <w:jc w:val="center"/>
            </w:pPr>
            <w:r w:rsidRPr="00AC6623">
              <w:t>71 (23</w:t>
            </w:r>
            <w:r w:rsidR="005762D6">
              <w:t>%</w:t>
            </w:r>
            <w:r w:rsidRPr="00AC6623">
              <w:t>)</w:t>
            </w:r>
          </w:p>
          <w:p w:rsidR="00572561" w:rsidRPr="00AC6623" w:rsidRDefault="00572561" w:rsidP="00577A14">
            <w:pPr>
              <w:jc w:val="center"/>
            </w:pPr>
            <w:r>
              <w:t>235 (77</w:t>
            </w:r>
            <w:r w:rsidR="005762D6">
              <w:t>%</w:t>
            </w:r>
            <w:r>
              <w:t>)</w:t>
            </w:r>
          </w:p>
        </w:tc>
        <w:tc>
          <w:tcPr>
            <w:tcW w:w="1985" w:type="dxa"/>
            <w:tcBorders>
              <w:top w:val="nil"/>
              <w:bottom w:val="nil"/>
            </w:tcBorders>
          </w:tcPr>
          <w:p w:rsidR="00E411BB" w:rsidRDefault="00E411BB" w:rsidP="00577A14">
            <w:pPr>
              <w:jc w:val="center"/>
            </w:pPr>
          </w:p>
          <w:p w:rsidR="00577A14" w:rsidRDefault="00577A14" w:rsidP="00577A14">
            <w:pPr>
              <w:jc w:val="center"/>
            </w:pPr>
            <w:r w:rsidRPr="00AC6623">
              <w:t>70 (23</w:t>
            </w:r>
            <w:r w:rsidR="005762D6">
              <w:t>%</w:t>
            </w:r>
            <w:r w:rsidRPr="00AC6623">
              <w:t>)</w:t>
            </w:r>
          </w:p>
          <w:p w:rsidR="00572561" w:rsidRPr="00AC6623" w:rsidRDefault="00572561" w:rsidP="00577A14">
            <w:pPr>
              <w:jc w:val="center"/>
            </w:pPr>
            <w:r>
              <w:t>235 (77</w:t>
            </w:r>
            <w:r w:rsidR="005762D6">
              <w:t>%</w:t>
            </w:r>
            <w:r>
              <w:t>)</w:t>
            </w:r>
          </w:p>
        </w:tc>
        <w:tc>
          <w:tcPr>
            <w:tcW w:w="1984" w:type="dxa"/>
            <w:tcBorders>
              <w:top w:val="nil"/>
              <w:bottom w:val="nil"/>
            </w:tcBorders>
          </w:tcPr>
          <w:p w:rsidR="00E411BB" w:rsidRDefault="00E411BB" w:rsidP="00577A14">
            <w:pPr>
              <w:jc w:val="center"/>
            </w:pPr>
          </w:p>
          <w:p w:rsidR="00577A14" w:rsidRDefault="00577A14" w:rsidP="00577A14">
            <w:pPr>
              <w:jc w:val="center"/>
            </w:pPr>
            <w:r w:rsidRPr="00AC6623">
              <w:t>23 (23</w:t>
            </w:r>
            <w:r w:rsidR="005762D6">
              <w:t>%</w:t>
            </w:r>
            <w:r w:rsidRPr="00AC6623">
              <w:t>)</w:t>
            </w:r>
          </w:p>
          <w:p w:rsidR="00975261" w:rsidRPr="00AC6623" w:rsidRDefault="00975261" w:rsidP="00577A14">
            <w:pPr>
              <w:jc w:val="center"/>
            </w:pPr>
            <w:r>
              <w:t>77 (77</w:t>
            </w:r>
            <w:r w:rsidR="005762D6">
              <w:t>%</w:t>
            </w:r>
            <w:r>
              <w:t>)</w:t>
            </w:r>
          </w:p>
        </w:tc>
        <w:tc>
          <w:tcPr>
            <w:tcW w:w="2127" w:type="dxa"/>
            <w:tcBorders>
              <w:top w:val="nil"/>
              <w:bottom w:val="nil"/>
            </w:tcBorders>
          </w:tcPr>
          <w:p w:rsidR="00E411BB" w:rsidRDefault="00E411BB" w:rsidP="00577A14">
            <w:pPr>
              <w:jc w:val="center"/>
            </w:pPr>
          </w:p>
          <w:p w:rsidR="00577A14" w:rsidRDefault="00577A14" w:rsidP="00577A14">
            <w:pPr>
              <w:jc w:val="center"/>
            </w:pPr>
            <w:r w:rsidRPr="00AC6623">
              <w:t>24 (24</w:t>
            </w:r>
            <w:r w:rsidR="005762D6">
              <w:t>%</w:t>
            </w:r>
            <w:r w:rsidRPr="00AC6623">
              <w:t>)</w:t>
            </w:r>
          </w:p>
          <w:p w:rsidR="00975261" w:rsidRPr="00AC6623" w:rsidRDefault="00975261" w:rsidP="00577A14">
            <w:pPr>
              <w:jc w:val="center"/>
            </w:pPr>
            <w:r>
              <w:t>78 (76</w:t>
            </w:r>
            <w:r w:rsidR="005762D6">
              <w:t>%</w:t>
            </w:r>
            <w:r>
              <w:t>)</w:t>
            </w:r>
          </w:p>
        </w:tc>
      </w:tr>
      <w:tr w:rsidR="00577A14" w:rsidTr="0020630A">
        <w:tc>
          <w:tcPr>
            <w:tcW w:w="3964" w:type="dxa"/>
            <w:tcBorders>
              <w:top w:val="nil"/>
              <w:bottom w:val="nil"/>
            </w:tcBorders>
          </w:tcPr>
          <w:p w:rsidR="00577A14" w:rsidRDefault="00E411BB" w:rsidP="00E411BB">
            <w:r>
              <w:t>Influenza</w:t>
            </w:r>
            <w:r w:rsidR="00C1688E">
              <w:t xml:space="preserve"> vaccine*</w:t>
            </w:r>
          </w:p>
          <w:p w:rsidR="00E411BB" w:rsidRDefault="00E411BB" w:rsidP="00E411BB">
            <w:r>
              <w:t xml:space="preserve">   Yes</w:t>
            </w:r>
          </w:p>
          <w:p w:rsidR="00E411BB" w:rsidRPr="00AC6623" w:rsidRDefault="00E411BB" w:rsidP="00E411BB">
            <w:r>
              <w:t xml:space="preserve">   No</w:t>
            </w:r>
          </w:p>
        </w:tc>
        <w:tc>
          <w:tcPr>
            <w:tcW w:w="2268" w:type="dxa"/>
            <w:tcBorders>
              <w:top w:val="nil"/>
              <w:bottom w:val="nil"/>
            </w:tcBorders>
          </w:tcPr>
          <w:p w:rsidR="00E411BB" w:rsidRDefault="00E411BB" w:rsidP="00577A14">
            <w:pPr>
              <w:jc w:val="center"/>
            </w:pPr>
          </w:p>
          <w:p w:rsidR="00577A14" w:rsidRDefault="00577A14" w:rsidP="00577A14">
            <w:pPr>
              <w:jc w:val="center"/>
            </w:pPr>
            <w:r w:rsidRPr="00AC6623">
              <w:t>199 (65</w:t>
            </w:r>
            <w:r w:rsidR="005762D6">
              <w:t>%</w:t>
            </w:r>
            <w:r w:rsidRPr="00AC6623">
              <w:t>)</w:t>
            </w:r>
          </w:p>
          <w:p w:rsidR="00572561" w:rsidRPr="00AC6623" w:rsidRDefault="00572561" w:rsidP="00577A14">
            <w:pPr>
              <w:jc w:val="center"/>
            </w:pPr>
            <w:r>
              <w:t>107 (35</w:t>
            </w:r>
            <w:r w:rsidR="005762D6">
              <w:t>%</w:t>
            </w:r>
            <w:r>
              <w:t>)</w:t>
            </w:r>
          </w:p>
        </w:tc>
        <w:tc>
          <w:tcPr>
            <w:tcW w:w="1985" w:type="dxa"/>
            <w:tcBorders>
              <w:top w:val="nil"/>
              <w:bottom w:val="nil"/>
            </w:tcBorders>
          </w:tcPr>
          <w:p w:rsidR="00E411BB" w:rsidRDefault="00E411BB" w:rsidP="00577A14">
            <w:pPr>
              <w:jc w:val="center"/>
            </w:pPr>
          </w:p>
          <w:p w:rsidR="00577A14" w:rsidRDefault="00577A14" w:rsidP="00577A14">
            <w:pPr>
              <w:jc w:val="center"/>
            </w:pPr>
            <w:r w:rsidRPr="00AC6623">
              <w:t>185 (61</w:t>
            </w:r>
            <w:r w:rsidR="005762D6">
              <w:t>%</w:t>
            </w:r>
            <w:r w:rsidRPr="00AC6623">
              <w:t>)</w:t>
            </w:r>
          </w:p>
          <w:p w:rsidR="00572561" w:rsidRPr="00AC6623" w:rsidRDefault="00572561" w:rsidP="00577A14">
            <w:pPr>
              <w:jc w:val="center"/>
            </w:pPr>
            <w:r>
              <w:t>117 (39</w:t>
            </w:r>
            <w:r w:rsidR="005762D6">
              <w:t>%</w:t>
            </w:r>
            <w:r>
              <w:t>)</w:t>
            </w:r>
          </w:p>
        </w:tc>
        <w:tc>
          <w:tcPr>
            <w:tcW w:w="1984" w:type="dxa"/>
            <w:tcBorders>
              <w:top w:val="nil"/>
              <w:bottom w:val="nil"/>
            </w:tcBorders>
          </w:tcPr>
          <w:p w:rsidR="00E411BB" w:rsidRDefault="00E411BB" w:rsidP="00577A14">
            <w:pPr>
              <w:jc w:val="center"/>
            </w:pPr>
          </w:p>
          <w:p w:rsidR="00577A14" w:rsidRDefault="00577A14" w:rsidP="00577A14">
            <w:pPr>
              <w:jc w:val="center"/>
            </w:pPr>
            <w:r w:rsidRPr="00AC6623">
              <w:t>60 (60</w:t>
            </w:r>
            <w:r w:rsidR="005762D6">
              <w:t>%</w:t>
            </w:r>
            <w:r w:rsidRPr="00AC6623">
              <w:t>)</w:t>
            </w:r>
          </w:p>
          <w:p w:rsidR="00975261" w:rsidRPr="00AC6623" w:rsidRDefault="00975261" w:rsidP="00577A14">
            <w:pPr>
              <w:jc w:val="center"/>
            </w:pPr>
            <w:r>
              <w:t>40 (40</w:t>
            </w:r>
            <w:r w:rsidR="005762D6">
              <w:t>%</w:t>
            </w:r>
            <w:r>
              <w:t>)</w:t>
            </w:r>
          </w:p>
        </w:tc>
        <w:tc>
          <w:tcPr>
            <w:tcW w:w="2127" w:type="dxa"/>
            <w:tcBorders>
              <w:top w:val="nil"/>
              <w:bottom w:val="nil"/>
            </w:tcBorders>
          </w:tcPr>
          <w:p w:rsidR="00E411BB" w:rsidRDefault="00E411BB" w:rsidP="00577A14">
            <w:pPr>
              <w:jc w:val="center"/>
            </w:pPr>
          </w:p>
          <w:p w:rsidR="00577A14" w:rsidRDefault="00577A14" w:rsidP="00577A14">
            <w:pPr>
              <w:jc w:val="center"/>
            </w:pPr>
            <w:r w:rsidRPr="00AC6623">
              <w:t>56 (55</w:t>
            </w:r>
            <w:r w:rsidR="005762D6">
              <w:t>%</w:t>
            </w:r>
            <w:r w:rsidRPr="00AC6623">
              <w:t>)</w:t>
            </w:r>
          </w:p>
          <w:p w:rsidR="00975261" w:rsidRPr="00AC6623" w:rsidRDefault="00975261" w:rsidP="00577A14">
            <w:pPr>
              <w:jc w:val="center"/>
            </w:pPr>
            <w:r>
              <w:t>46 (45</w:t>
            </w:r>
            <w:r w:rsidR="005762D6">
              <w:t>%</w:t>
            </w:r>
            <w:r>
              <w:t>)</w:t>
            </w:r>
          </w:p>
        </w:tc>
      </w:tr>
      <w:tr w:rsidR="00577A14" w:rsidTr="0020630A">
        <w:tc>
          <w:tcPr>
            <w:tcW w:w="3964" w:type="dxa"/>
            <w:tcBorders>
              <w:top w:val="nil"/>
              <w:bottom w:val="nil"/>
            </w:tcBorders>
          </w:tcPr>
          <w:p w:rsidR="00577A14" w:rsidRDefault="00E411BB" w:rsidP="00577A14">
            <w:r>
              <w:t xml:space="preserve">Pregnant </w:t>
            </w:r>
          </w:p>
          <w:p w:rsidR="00E411BB" w:rsidRDefault="00E411BB" w:rsidP="00577A14">
            <w:r>
              <w:t xml:space="preserve">   Yes</w:t>
            </w:r>
          </w:p>
          <w:p w:rsidR="00572561" w:rsidRPr="00AC6623" w:rsidRDefault="00975261" w:rsidP="00577A14">
            <w:r>
              <w:t xml:space="preserve">   No</w:t>
            </w:r>
          </w:p>
        </w:tc>
        <w:tc>
          <w:tcPr>
            <w:tcW w:w="2268" w:type="dxa"/>
            <w:tcBorders>
              <w:top w:val="nil"/>
              <w:bottom w:val="nil"/>
            </w:tcBorders>
          </w:tcPr>
          <w:p w:rsidR="00E411BB" w:rsidRDefault="00E411BB" w:rsidP="00577A14">
            <w:pPr>
              <w:jc w:val="center"/>
            </w:pPr>
          </w:p>
          <w:p w:rsidR="00577A14" w:rsidRDefault="00577A14" w:rsidP="00577A14">
            <w:pPr>
              <w:jc w:val="center"/>
            </w:pPr>
            <w:r w:rsidRPr="00AC6623">
              <w:t>4 (1</w:t>
            </w:r>
            <w:r w:rsidR="005762D6">
              <w:t>%</w:t>
            </w:r>
            <w:r w:rsidRPr="00AC6623">
              <w:t>)</w:t>
            </w:r>
          </w:p>
          <w:p w:rsidR="00572561" w:rsidRPr="00AC6623" w:rsidRDefault="00572561" w:rsidP="00577A14">
            <w:pPr>
              <w:jc w:val="center"/>
            </w:pPr>
            <w:r>
              <w:t>302 (99</w:t>
            </w:r>
            <w:r w:rsidR="005762D6">
              <w:t>%</w:t>
            </w:r>
            <w:r>
              <w:t>)</w:t>
            </w:r>
          </w:p>
        </w:tc>
        <w:tc>
          <w:tcPr>
            <w:tcW w:w="1985" w:type="dxa"/>
            <w:tcBorders>
              <w:top w:val="nil"/>
              <w:bottom w:val="nil"/>
            </w:tcBorders>
          </w:tcPr>
          <w:p w:rsidR="00E411BB" w:rsidRDefault="00E411BB" w:rsidP="00577A14">
            <w:pPr>
              <w:jc w:val="center"/>
            </w:pPr>
          </w:p>
          <w:p w:rsidR="00577A14" w:rsidRDefault="00577A14" w:rsidP="00577A14">
            <w:pPr>
              <w:jc w:val="center"/>
            </w:pPr>
            <w:r w:rsidRPr="00AC6623">
              <w:t>9 (3</w:t>
            </w:r>
            <w:r w:rsidR="005762D6">
              <w:t>%</w:t>
            </w:r>
            <w:r w:rsidRPr="00AC6623">
              <w:t>)</w:t>
            </w:r>
          </w:p>
          <w:p w:rsidR="00572561" w:rsidRPr="00AC6623" w:rsidRDefault="00572561" w:rsidP="00577A14">
            <w:pPr>
              <w:jc w:val="center"/>
            </w:pPr>
            <w:r>
              <w:t>297 (97</w:t>
            </w:r>
            <w:r w:rsidR="005762D6">
              <w:t>%</w:t>
            </w:r>
            <w:r>
              <w:t>)</w:t>
            </w:r>
          </w:p>
        </w:tc>
        <w:tc>
          <w:tcPr>
            <w:tcW w:w="1984" w:type="dxa"/>
            <w:tcBorders>
              <w:top w:val="nil"/>
              <w:bottom w:val="nil"/>
            </w:tcBorders>
          </w:tcPr>
          <w:p w:rsidR="00E411BB" w:rsidRDefault="00E411BB" w:rsidP="00577A14">
            <w:pPr>
              <w:jc w:val="center"/>
            </w:pPr>
          </w:p>
          <w:p w:rsidR="00577A14" w:rsidRDefault="00577A14" w:rsidP="00577A14">
            <w:pPr>
              <w:jc w:val="center"/>
            </w:pPr>
            <w:r w:rsidRPr="00AC6623">
              <w:t>1 (1</w:t>
            </w:r>
            <w:r w:rsidR="005762D6">
              <w:t>%</w:t>
            </w:r>
            <w:r w:rsidRPr="00AC6623">
              <w:t>)</w:t>
            </w:r>
          </w:p>
          <w:p w:rsidR="004E0E6A" w:rsidRPr="00AC6623" w:rsidRDefault="004E0E6A" w:rsidP="00577A14">
            <w:pPr>
              <w:jc w:val="center"/>
            </w:pPr>
            <w:r>
              <w:t>99 (99%)</w:t>
            </w:r>
          </w:p>
        </w:tc>
        <w:tc>
          <w:tcPr>
            <w:tcW w:w="2127" w:type="dxa"/>
            <w:tcBorders>
              <w:top w:val="nil"/>
              <w:bottom w:val="nil"/>
            </w:tcBorders>
          </w:tcPr>
          <w:p w:rsidR="00E411BB" w:rsidRDefault="00E411BB" w:rsidP="00577A14">
            <w:pPr>
              <w:jc w:val="center"/>
            </w:pPr>
          </w:p>
          <w:p w:rsidR="00577A14" w:rsidRDefault="00577A14" w:rsidP="00577A14">
            <w:pPr>
              <w:jc w:val="center"/>
            </w:pPr>
            <w:r w:rsidRPr="00AC6623">
              <w:t>2 (2</w:t>
            </w:r>
            <w:r w:rsidR="005762D6">
              <w:t>%</w:t>
            </w:r>
            <w:r w:rsidRPr="00AC6623">
              <w:t>)</w:t>
            </w:r>
          </w:p>
          <w:p w:rsidR="004E0E6A" w:rsidRPr="00AC6623" w:rsidRDefault="004E0E6A" w:rsidP="004E0E6A">
            <w:pPr>
              <w:jc w:val="center"/>
            </w:pPr>
            <w:r>
              <w:t xml:space="preserve">100 (98%) </w:t>
            </w:r>
          </w:p>
        </w:tc>
      </w:tr>
      <w:tr w:rsidR="00577A14" w:rsidTr="0020630A">
        <w:tc>
          <w:tcPr>
            <w:tcW w:w="3964" w:type="dxa"/>
            <w:tcBorders>
              <w:top w:val="nil"/>
              <w:bottom w:val="nil"/>
            </w:tcBorders>
          </w:tcPr>
          <w:p w:rsidR="00577A14" w:rsidRPr="00AC6623" w:rsidRDefault="00E411BB" w:rsidP="00E411BB">
            <w:r>
              <w:t>D</w:t>
            </w:r>
            <w:r w:rsidR="00577A14" w:rsidRPr="00AC6623">
              <w:t xml:space="preserve">uration of symptoms </w:t>
            </w:r>
            <w:r>
              <w:t>(</w:t>
            </w:r>
            <w:r w:rsidR="00577A14" w:rsidRPr="00AC6623">
              <w:t>days</w:t>
            </w:r>
            <w:r>
              <w:t>)</w:t>
            </w:r>
            <w:r w:rsidR="00C1688E" w:rsidRPr="00C1688E">
              <w:t>†</w:t>
            </w:r>
            <w:r w:rsidR="00577A14" w:rsidRPr="00AC6623">
              <w:t xml:space="preserve"> </w:t>
            </w:r>
          </w:p>
        </w:tc>
        <w:tc>
          <w:tcPr>
            <w:tcW w:w="2268" w:type="dxa"/>
            <w:tcBorders>
              <w:top w:val="nil"/>
              <w:bottom w:val="nil"/>
            </w:tcBorders>
          </w:tcPr>
          <w:p w:rsidR="00577A14" w:rsidRPr="00AC6623" w:rsidRDefault="00577A14" w:rsidP="00577A14">
            <w:pPr>
              <w:jc w:val="center"/>
            </w:pPr>
            <w:r w:rsidRPr="00AC6623">
              <w:t>4 (3 to 6)</w:t>
            </w:r>
          </w:p>
        </w:tc>
        <w:tc>
          <w:tcPr>
            <w:tcW w:w="1985" w:type="dxa"/>
            <w:tcBorders>
              <w:top w:val="nil"/>
              <w:bottom w:val="nil"/>
            </w:tcBorders>
          </w:tcPr>
          <w:p w:rsidR="00577A14" w:rsidRPr="00AC6623" w:rsidRDefault="00577A14" w:rsidP="00577A14">
            <w:pPr>
              <w:jc w:val="center"/>
            </w:pPr>
            <w:r w:rsidRPr="00AC6623">
              <w:t>4 (3 to 7)</w:t>
            </w:r>
          </w:p>
        </w:tc>
        <w:tc>
          <w:tcPr>
            <w:tcW w:w="1984" w:type="dxa"/>
            <w:tcBorders>
              <w:top w:val="nil"/>
              <w:bottom w:val="nil"/>
            </w:tcBorders>
          </w:tcPr>
          <w:p w:rsidR="00577A14" w:rsidRPr="00AC6623" w:rsidRDefault="00577A14" w:rsidP="00577A14">
            <w:pPr>
              <w:jc w:val="center"/>
            </w:pPr>
            <w:r w:rsidRPr="00AC6623">
              <w:t>4 (3 to 7)</w:t>
            </w:r>
          </w:p>
        </w:tc>
        <w:tc>
          <w:tcPr>
            <w:tcW w:w="2127" w:type="dxa"/>
            <w:tcBorders>
              <w:top w:val="nil"/>
              <w:bottom w:val="nil"/>
            </w:tcBorders>
          </w:tcPr>
          <w:p w:rsidR="00577A14" w:rsidRPr="00AC6623" w:rsidRDefault="00577A14" w:rsidP="00577A14">
            <w:pPr>
              <w:jc w:val="center"/>
            </w:pPr>
            <w:r w:rsidRPr="00AC6623">
              <w:t>4 (3 to 6)</w:t>
            </w:r>
          </w:p>
        </w:tc>
      </w:tr>
      <w:tr w:rsidR="00577A14" w:rsidTr="0020630A">
        <w:tc>
          <w:tcPr>
            <w:tcW w:w="3964" w:type="dxa"/>
            <w:tcBorders>
              <w:top w:val="nil"/>
              <w:bottom w:val="nil"/>
            </w:tcBorders>
          </w:tcPr>
          <w:p w:rsidR="008A2262" w:rsidRDefault="00577A14" w:rsidP="00577A14">
            <w:r w:rsidRPr="00AC6623">
              <w:t>A</w:t>
            </w:r>
            <w:r w:rsidR="008A2262">
              <w:t xml:space="preserve">ntibiotics within 14 days </w:t>
            </w:r>
          </w:p>
          <w:p w:rsidR="00577A14" w:rsidRDefault="00E411BB" w:rsidP="00577A14">
            <w:r>
              <w:t xml:space="preserve">   </w:t>
            </w:r>
            <w:r w:rsidR="008A2262">
              <w:t>Yes</w:t>
            </w:r>
          </w:p>
          <w:p w:rsidR="008A2262" w:rsidRPr="00AC6623" w:rsidRDefault="00E411BB" w:rsidP="00577A14">
            <w:r>
              <w:t xml:space="preserve">   </w:t>
            </w:r>
            <w:r w:rsidR="008A2262">
              <w:t>No</w:t>
            </w:r>
          </w:p>
        </w:tc>
        <w:tc>
          <w:tcPr>
            <w:tcW w:w="2268" w:type="dxa"/>
            <w:tcBorders>
              <w:top w:val="nil"/>
              <w:bottom w:val="nil"/>
            </w:tcBorders>
          </w:tcPr>
          <w:p w:rsidR="008A2262" w:rsidRDefault="008A2262" w:rsidP="00572561">
            <w:pPr>
              <w:jc w:val="center"/>
            </w:pPr>
          </w:p>
          <w:p w:rsidR="00577A14" w:rsidRDefault="00577A14" w:rsidP="00572561">
            <w:pPr>
              <w:jc w:val="center"/>
            </w:pPr>
            <w:r w:rsidRPr="00AC6623">
              <w:t>95 (31</w:t>
            </w:r>
            <w:r w:rsidR="005762D6">
              <w:t>%</w:t>
            </w:r>
            <w:r w:rsidRPr="00AC6623">
              <w:t>)</w:t>
            </w:r>
          </w:p>
          <w:p w:rsidR="008A2262" w:rsidRPr="00AC6623" w:rsidRDefault="00572561" w:rsidP="00572561">
            <w:pPr>
              <w:jc w:val="center"/>
            </w:pPr>
            <w:r>
              <w:t>209 (69</w:t>
            </w:r>
            <w:r w:rsidR="005762D6">
              <w:t>%</w:t>
            </w:r>
            <w:r>
              <w:t>)</w:t>
            </w:r>
          </w:p>
        </w:tc>
        <w:tc>
          <w:tcPr>
            <w:tcW w:w="1985" w:type="dxa"/>
            <w:tcBorders>
              <w:top w:val="nil"/>
              <w:bottom w:val="nil"/>
            </w:tcBorders>
          </w:tcPr>
          <w:p w:rsidR="008A2262" w:rsidRDefault="008A2262" w:rsidP="00577A14">
            <w:pPr>
              <w:jc w:val="center"/>
            </w:pPr>
          </w:p>
          <w:p w:rsidR="00577A14" w:rsidRDefault="00577A14" w:rsidP="00577A14">
            <w:pPr>
              <w:jc w:val="center"/>
            </w:pPr>
            <w:r w:rsidRPr="00AC6623">
              <w:t>99 (33</w:t>
            </w:r>
            <w:r w:rsidR="005762D6">
              <w:t>%</w:t>
            </w:r>
            <w:r w:rsidRPr="00AC6623">
              <w:t>)</w:t>
            </w:r>
          </w:p>
          <w:p w:rsidR="00572561" w:rsidRPr="00AC6623" w:rsidRDefault="00572561" w:rsidP="00577A14">
            <w:pPr>
              <w:jc w:val="center"/>
            </w:pPr>
            <w:r>
              <w:t>205 (67</w:t>
            </w:r>
            <w:r w:rsidR="005762D6">
              <w:t>%</w:t>
            </w:r>
            <w:r>
              <w:t>)</w:t>
            </w:r>
          </w:p>
        </w:tc>
        <w:tc>
          <w:tcPr>
            <w:tcW w:w="1984" w:type="dxa"/>
            <w:tcBorders>
              <w:top w:val="nil"/>
              <w:bottom w:val="nil"/>
            </w:tcBorders>
          </w:tcPr>
          <w:p w:rsidR="008A2262" w:rsidRDefault="008A2262" w:rsidP="00577A14">
            <w:pPr>
              <w:jc w:val="center"/>
            </w:pPr>
          </w:p>
          <w:p w:rsidR="00577A14" w:rsidRDefault="00577A14" w:rsidP="00577A14">
            <w:pPr>
              <w:jc w:val="center"/>
            </w:pPr>
            <w:r w:rsidRPr="00AC6623">
              <w:t>30 (30</w:t>
            </w:r>
            <w:r w:rsidR="005762D6">
              <w:t>%</w:t>
            </w:r>
            <w:r w:rsidRPr="00AC6623">
              <w:t>)</w:t>
            </w:r>
          </w:p>
          <w:p w:rsidR="004E0E6A" w:rsidRPr="00AC6623" w:rsidRDefault="004E0E6A" w:rsidP="00577A14">
            <w:pPr>
              <w:jc w:val="center"/>
            </w:pPr>
            <w:r>
              <w:t>70 (70%)</w:t>
            </w:r>
          </w:p>
        </w:tc>
        <w:tc>
          <w:tcPr>
            <w:tcW w:w="2127" w:type="dxa"/>
            <w:tcBorders>
              <w:top w:val="nil"/>
              <w:bottom w:val="nil"/>
            </w:tcBorders>
          </w:tcPr>
          <w:p w:rsidR="008A2262" w:rsidRDefault="008A2262" w:rsidP="00577A14">
            <w:pPr>
              <w:jc w:val="center"/>
            </w:pPr>
          </w:p>
          <w:p w:rsidR="00577A14" w:rsidRDefault="00577A14" w:rsidP="00577A14">
            <w:pPr>
              <w:jc w:val="center"/>
            </w:pPr>
            <w:r w:rsidRPr="00AC6623">
              <w:t>34 (33</w:t>
            </w:r>
            <w:r w:rsidR="005762D6">
              <w:t>%</w:t>
            </w:r>
            <w:r w:rsidRPr="00AC6623">
              <w:t>)</w:t>
            </w:r>
          </w:p>
          <w:p w:rsidR="004E0E6A" w:rsidRPr="00AC6623" w:rsidRDefault="004E0E6A" w:rsidP="00577A14">
            <w:pPr>
              <w:jc w:val="center"/>
            </w:pPr>
            <w:r>
              <w:t>68 (67%)</w:t>
            </w:r>
          </w:p>
        </w:tc>
      </w:tr>
      <w:tr w:rsidR="00577A14" w:rsidTr="0020630A">
        <w:tc>
          <w:tcPr>
            <w:tcW w:w="3964" w:type="dxa"/>
            <w:tcBorders>
              <w:top w:val="nil"/>
              <w:bottom w:val="single" w:sz="4" w:space="0" w:color="auto"/>
            </w:tcBorders>
          </w:tcPr>
          <w:p w:rsidR="00577A14" w:rsidRDefault="00577A14" w:rsidP="008A2262">
            <w:r w:rsidRPr="00AC6623">
              <w:t xml:space="preserve">Antivirals within 14 days </w:t>
            </w:r>
          </w:p>
          <w:p w:rsidR="008A2262" w:rsidRDefault="00E411BB" w:rsidP="008A2262">
            <w:r>
              <w:t xml:space="preserve">   </w:t>
            </w:r>
            <w:r w:rsidR="008A2262">
              <w:t>Yes</w:t>
            </w:r>
          </w:p>
          <w:p w:rsidR="008A2262" w:rsidRPr="00AC6623" w:rsidRDefault="00E411BB" w:rsidP="008A2262">
            <w:r>
              <w:t xml:space="preserve">   </w:t>
            </w:r>
            <w:r w:rsidR="008A2262">
              <w:t>No</w:t>
            </w:r>
          </w:p>
        </w:tc>
        <w:tc>
          <w:tcPr>
            <w:tcW w:w="2268" w:type="dxa"/>
            <w:tcBorders>
              <w:top w:val="nil"/>
              <w:bottom w:val="single" w:sz="4" w:space="0" w:color="auto"/>
            </w:tcBorders>
          </w:tcPr>
          <w:p w:rsidR="008A2262" w:rsidRDefault="008A2262" w:rsidP="00577A14">
            <w:pPr>
              <w:jc w:val="center"/>
            </w:pPr>
          </w:p>
          <w:p w:rsidR="00577A14" w:rsidRDefault="00577A14" w:rsidP="00577A14">
            <w:pPr>
              <w:jc w:val="center"/>
            </w:pPr>
            <w:r w:rsidRPr="00AC6623">
              <w:t>0 (0)</w:t>
            </w:r>
          </w:p>
          <w:p w:rsidR="008A2262" w:rsidRPr="00AC6623" w:rsidRDefault="00572561" w:rsidP="00577A14">
            <w:pPr>
              <w:jc w:val="center"/>
            </w:pPr>
            <w:r>
              <w:t>305</w:t>
            </w:r>
            <w:r w:rsidR="008A2262">
              <w:t xml:space="preserve"> (100</w:t>
            </w:r>
            <w:r w:rsidR="005762D6">
              <w:t>%</w:t>
            </w:r>
            <w:r w:rsidR="008A2262">
              <w:t>)</w:t>
            </w:r>
          </w:p>
        </w:tc>
        <w:tc>
          <w:tcPr>
            <w:tcW w:w="1985" w:type="dxa"/>
            <w:tcBorders>
              <w:top w:val="nil"/>
              <w:bottom w:val="single" w:sz="4" w:space="0" w:color="auto"/>
            </w:tcBorders>
          </w:tcPr>
          <w:p w:rsidR="008A2262" w:rsidRDefault="008A2262" w:rsidP="00577A14">
            <w:pPr>
              <w:jc w:val="center"/>
            </w:pPr>
          </w:p>
          <w:p w:rsidR="00577A14" w:rsidRDefault="00577A14" w:rsidP="00577A14">
            <w:pPr>
              <w:jc w:val="center"/>
            </w:pPr>
            <w:r w:rsidRPr="00AC6623">
              <w:t>2 (1</w:t>
            </w:r>
            <w:r w:rsidR="005762D6">
              <w:t>%</w:t>
            </w:r>
            <w:r w:rsidRPr="00AC6623">
              <w:t>)</w:t>
            </w:r>
          </w:p>
          <w:p w:rsidR="008A2262" w:rsidRPr="00AC6623" w:rsidRDefault="00572561" w:rsidP="00577A14">
            <w:pPr>
              <w:jc w:val="center"/>
            </w:pPr>
            <w:r>
              <w:t>302</w:t>
            </w:r>
            <w:r w:rsidR="008A2262">
              <w:t xml:space="preserve"> (99</w:t>
            </w:r>
            <w:r w:rsidR="005762D6">
              <w:t>%</w:t>
            </w:r>
            <w:r w:rsidR="008A2262">
              <w:t>)</w:t>
            </w:r>
          </w:p>
        </w:tc>
        <w:tc>
          <w:tcPr>
            <w:tcW w:w="1984" w:type="dxa"/>
            <w:tcBorders>
              <w:top w:val="nil"/>
              <w:bottom w:val="single" w:sz="4" w:space="0" w:color="auto"/>
            </w:tcBorders>
          </w:tcPr>
          <w:p w:rsidR="008A2262" w:rsidRDefault="008A2262" w:rsidP="00577A14">
            <w:pPr>
              <w:jc w:val="center"/>
            </w:pPr>
          </w:p>
          <w:p w:rsidR="00577A14" w:rsidRDefault="00577A14" w:rsidP="00577A14">
            <w:pPr>
              <w:jc w:val="center"/>
            </w:pPr>
            <w:r w:rsidRPr="00AC6623">
              <w:t>0 (0)</w:t>
            </w:r>
          </w:p>
          <w:p w:rsidR="008A2262" w:rsidRPr="00AC6623" w:rsidRDefault="008A2262" w:rsidP="00577A14">
            <w:pPr>
              <w:jc w:val="center"/>
            </w:pPr>
            <w:r>
              <w:t>100 (100</w:t>
            </w:r>
            <w:r w:rsidR="005762D6">
              <w:t>%</w:t>
            </w:r>
            <w:r>
              <w:t>)</w:t>
            </w:r>
          </w:p>
        </w:tc>
        <w:tc>
          <w:tcPr>
            <w:tcW w:w="2127" w:type="dxa"/>
            <w:tcBorders>
              <w:top w:val="nil"/>
              <w:bottom w:val="single" w:sz="4" w:space="0" w:color="auto"/>
            </w:tcBorders>
          </w:tcPr>
          <w:p w:rsidR="008A2262" w:rsidRDefault="008A2262" w:rsidP="00577A14">
            <w:pPr>
              <w:jc w:val="center"/>
            </w:pPr>
          </w:p>
          <w:p w:rsidR="00577A14" w:rsidRDefault="00577A14" w:rsidP="00577A14">
            <w:pPr>
              <w:jc w:val="center"/>
            </w:pPr>
            <w:r w:rsidRPr="00AC6623">
              <w:t>1 (1</w:t>
            </w:r>
            <w:r w:rsidR="005762D6">
              <w:t>%</w:t>
            </w:r>
            <w:r w:rsidRPr="00AC6623">
              <w:t>)</w:t>
            </w:r>
          </w:p>
          <w:p w:rsidR="008A2262" w:rsidRPr="00AC6623" w:rsidRDefault="008A2262" w:rsidP="00577A14">
            <w:pPr>
              <w:jc w:val="center"/>
            </w:pPr>
            <w:r>
              <w:t>101 (99</w:t>
            </w:r>
            <w:r w:rsidR="005762D6">
              <w:t>%</w:t>
            </w:r>
            <w:r>
              <w:t>)</w:t>
            </w:r>
          </w:p>
        </w:tc>
      </w:tr>
      <w:tr w:rsidR="00577A14" w:rsidTr="0020630A">
        <w:tc>
          <w:tcPr>
            <w:tcW w:w="3964" w:type="dxa"/>
            <w:tcBorders>
              <w:top w:val="single" w:sz="4" w:space="0" w:color="auto"/>
            </w:tcBorders>
          </w:tcPr>
          <w:p w:rsidR="00577A14" w:rsidRPr="00AC6623" w:rsidRDefault="00577A14" w:rsidP="00577A14">
            <w:pPr>
              <w:rPr>
                <w:b/>
              </w:rPr>
            </w:pPr>
            <w:r w:rsidRPr="00AC6623">
              <w:rPr>
                <w:b/>
              </w:rPr>
              <w:t xml:space="preserve">Comorbidity </w:t>
            </w:r>
          </w:p>
        </w:tc>
        <w:tc>
          <w:tcPr>
            <w:tcW w:w="2268" w:type="dxa"/>
            <w:tcBorders>
              <w:top w:val="single" w:sz="4" w:space="0" w:color="auto"/>
            </w:tcBorders>
          </w:tcPr>
          <w:p w:rsidR="00577A14" w:rsidRPr="00AC6623" w:rsidRDefault="00577A14" w:rsidP="00577A14">
            <w:pPr>
              <w:jc w:val="center"/>
            </w:pPr>
          </w:p>
        </w:tc>
        <w:tc>
          <w:tcPr>
            <w:tcW w:w="1985" w:type="dxa"/>
            <w:tcBorders>
              <w:top w:val="single" w:sz="4" w:space="0" w:color="auto"/>
            </w:tcBorders>
          </w:tcPr>
          <w:p w:rsidR="00577A14" w:rsidRPr="00AC6623" w:rsidRDefault="00577A14" w:rsidP="00577A14">
            <w:pPr>
              <w:jc w:val="center"/>
            </w:pPr>
          </w:p>
        </w:tc>
        <w:tc>
          <w:tcPr>
            <w:tcW w:w="1984" w:type="dxa"/>
            <w:tcBorders>
              <w:top w:val="single" w:sz="4" w:space="0" w:color="auto"/>
            </w:tcBorders>
          </w:tcPr>
          <w:p w:rsidR="00577A14" w:rsidRPr="00AC6623" w:rsidRDefault="00577A14" w:rsidP="00577A14">
            <w:pPr>
              <w:jc w:val="center"/>
            </w:pPr>
          </w:p>
        </w:tc>
        <w:tc>
          <w:tcPr>
            <w:tcW w:w="2127" w:type="dxa"/>
            <w:tcBorders>
              <w:top w:val="single" w:sz="4" w:space="0" w:color="auto"/>
            </w:tcBorders>
          </w:tcPr>
          <w:p w:rsidR="00577A14" w:rsidRPr="00AC6623" w:rsidRDefault="00577A14" w:rsidP="00577A14">
            <w:pPr>
              <w:jc w:val="center"/>
            </w:pPr>
          </w:p>
        </w:tc>
      </w:tr>
      <w:tr w:rsidR="00577A14" w:rsidTr="0020630A">
        <w:tc>
          <w:tcPr>
            <w:tcW w:w="3964" w:type="dxa"/>
          </w:tcPr>
          <w:p w:rsidR="00577A14" w:rsidRPr="00AC6623" w:rsidRDefault="00E411BB" w:rsidP="00577A14">
            <w:r>
              <w:t xml:space="preserve">   </w:t>
            </w:r>
            <w:r w:rsidR="00577A14" w:rsidRPr="00AC6623">
              <w:t>Hypertens</w:t>
            </w:r>
            <w:r>
              <w:t>ion</w:t>
            </w:r>
          </w:p>
          <w:p w:rsidR="00577A14" w:rsidRPr="00AC6623" w:rsidRDefault="00E411BB" w:rsidP="00577A14">
            <w:r>
              <w:t xml:space="preserve">   Cardiovascular disease</w:t>
            </w:r>
          </w:p>
          <w:p w:rsidR="00577A14" w:rsidRPr="00AC6623" w:rsidRDefault="00E411BB" w:rsidP="00577A14">
            <w:r>
              <w:t xml:space="preserve">   Respiratory disease</w:t>
            </w:r>
          </w:p>
          <w:p w:rsidR="00577A14" w:rsidRPr="00AC6623" w:rsidRDefault="00E411BB" w:rsidP="00577A14">
            <w:r>
              <w:lastRenderedPageBreak/>
              <w:t xml:space="preserve">   Renal disease</w:t>
            </w:r>
          </w:p>
          <w:p w:rsidR="00577A14" w:rsidRPr="00AC6623" w:rsidRDefault="00E411BB" w:rsidP="00577A14">
            <w:r>
              <w:t xml:space="preserve">   Liver disease</w:t>
            </w:r>
          </w:p>
          <w:p w:rsidR="00577A14" w:rsidRPr="00AC6623" w:rsidRDefault="00E411BB" w:rsidP="00577A14">
            <w:r>
              <w:t xml:space="preserve">   Diabetes mellitus</w:t>
            </w:r>
          </w:p>
          <w:p w:rsidR="00577A14" w:rsidRPr="00AC6623" w:rsidRDefault="00E411BB" w:rsidP="00577A14">
            <w:r>
              <w:t xml:space="preserve">   Cancer </w:t>
            </w:r>
          </w:p>
          <w:p w:rsidR="00577A14" w:rsidRPr="00AC6623" w:rsidRDefault="00E411BB" w:rsidP="00577A14">
            <w:r>
              <w:t xml:space="preserve">   Immunosuppression</w:t>
            </w:r>
          </w:p>
          <w:p w:rsidR="00577A14" w:rsidRPr="00AC6623" w:rsidRDefault="00577A14" w:rsidP="00577A14">
            <w:r>
              <w:t xml:space="preserve">Charlson Comorbidity Index score </w:t>
            </w:r>
          </w:p>
        </w:tc>
        <w:tc>
          <w:tcPr>
            <w:tcW w:w="2268" w:type="dxa"/>
          </w:tcPr>
          <w:p w:rsidR="00577A14" w:rsidRPr="00AC6623" w:rsidRDefault="00577A14" w:rsidP="00577A14">
            <w:pPr>
              <w:jc w:val="center"/>
            </w:pPr>
            <w:r w:rsidRPr="00AC6623">
              <w:lastRenderedPageBreak/>
              <w:t>82 (27</w:t>
            </w:r>
            <w:r w:rsidR="005762D6">
              <w:t>%</w:t>
            </w:r>
            <w:r w:rsidRPr="00AC6623">
              <w:t>)</w:t>
            </w:r>
          </w:p>
          <w:p w:rsidR="00577A14" w:rsidRPr="00AC6623" w:rsidRDefault="00577A14" w:rsidP="00577A14">
            <w:pPr>
              <w:jc w:val="center"/>
            </w:pPr>
            <w:r w:rsidRPr="00AC6623">
              <w:t>61 (20</w:t>
            </w:r>
            <w:r w:rsidR="005762D6">
              <w:t>%</w:t>
            </w:r>
            <w:r w:rsidRPr="00AC6623">
              <w:t>)</w:t>
            </w:r>
          </w:p>
          <w:p w:rsidR="00577A14" w:rsidRPr="00AC6623" w:rsidRDefault="00577A14" w:rsidP="00577A14">
            <w:pPr>
              <w:jc w:val="center"/>
            </w:pPr>
            <w:r w:rsidRPr="00AC6623">
              <w:t>216 (70</w:t>
            </w:r>
            <w:r w:rsidR="005762D6">
              <w:t>%</w:t>
            </w:r>
            <w:r w:rsidRPr="00AC6623">
              <w:t>)</w:t>
            </w:r>
          </w:p>
          <w:p w:rsidR="00577A14" w:rsidRPr="00AC6623" w:rsidRDefault="00577A14" w:rsidP="00577A14">
            <w:pPr>
              <w:jc w:val="center"/>
            </w:pPr>
            <w:r w:rsidRPr="00AC6623">
              <w:lastRenderedPageBreak/>
              <w:t>16 (5</w:t>
            </w:r>
            <w:r w:rsidR="005762D6">
              <w:t>%</w:t>
            </w:r>
            <w:r w:rsidRPr="00AC6623">
              <w:t>)</w:t>
            </w:r>
          </w:p>
          <w:p w:rsidR="00577A14" w:rsidRPr="00AC6623" w:rsidRDefault="00577A14" w:rsidP="00577A14">
            <w:pPr>
              <w:jc w:val="center"/>
            </w:pPr>
            <w:r w:rsidRPr="00AC6623">
              <w:t>2 (1</w:t>
            </w:r>
            <w:r w:rsidR="005762D6">
              <w:t>%</w:t>
            </w:r>
            <w:r w:rsidRPr="00AC6623">
              <w:t>)</w:t>
            </w:r>
          </w:p>
          <w:p w:rsidR="00577A14" w:rsidRPr="00AC6623" w:rsidRDefault="00577A14" w:rsidP="00577A14">
            <w:pPr>
              <w:jc w:val="center"/>
            </w:pPr>
            <w:r w:rsidRPr="00AC6623">
              <w:t>36 (12</w:t>
            </w:r>
            <w:r w:rsidR="005762D6">
              <w:t>%</w:t>
            </w:r>
            <w:r w:rsidRPr="00AC6623">
              <w:t>)</w:t>
            </w:r>
          </w:p>
          <w:p w:rsidR="00577A14" w:rsidRPr="00AC6623" w:rsidRDefault="008A2262" w:rsidP="00577A14">
            <w:pPr>
              <w:jc w:val="center"/>
            </w:pPr>
            <w:r>
              <w:t>18 (6</w:t>
            </w:r>
            <w:r w:rsidR="005762D6">
              <w:t>%</w:t>
            </w:r>
            <w:r w:rsidR="00577A14" w:rsidRPr="00AC6623">
              <w:t>)</w:t>
            </w:r>
          </w:p>
          <w:p w:rsidR="00577A14" w:rsidRPr="00AC6623" w:rsidRDefault="008A2262" w:rsidP="00577A14">
            <w:pPr>
              <w:jc w:val="center"/>
            </w:pPr>
            <w:r>
              <w:t>14 (5</w:t>
            </w:r>
            <w:r w:rsidR="005762D6">
              <w:t>%</w:t>
            </w:r>
            <w:r w:rsidR="00577A14" w:rsidRPr="00AC6623">
              <w:t>)</w:t>
            </w:r>
          </w:p>
          <w:p w:rsidR="00577A14" w:rsidRPr="00AC6623" w:rsidRDefault="00577A14" w:rsidP="00577A14">
            <w:pPr>
              <w:jc w:val="center"/>
            </w:pPr>
            <w:r w:rsidRPr="00AC6623">
              <w:t>4 (4 to 7)</w:t>
            </w:r>
          </w:p>
        </w:tc>
        <w:tc>
          <w:tcPr>
            <w:tcW w:w="1985" w:type="dxa"/>
          </w:tcPr>
          <w:p w:rsidR="00577A14" w:rsidRPr="00AC6623" w:rsidRDefault="00577A14" w:rsidP="00577A14">
            <w:pPr>
              <w:jc w:val="center"/>
            </w:pPr>
            <w:r w:rsidRPr="00AC6623">
              <w:lastRenderedPageBreak/>
              <w:t>89 (29</w:t>
            </w:r>
            <w:r w:rsidR="005762D6">
              <w:t>%</w:t>
            </w:r>
            <w:r w:rsidRPr="00AC6623">
              <w:t>)</w:t>
            </w:r>
          </w:p>
          <w:p w:rsidR="00577A14" w:rsidRPr="00AC6623" w:rsidRDefault="00577A14" w:rsidP="00577A14">
            <w:pPr>
              <w:jc w:val="center"/>
            </w:pPr>
            <w:r w:rsidRPr="00AC6623">
              <w:t>64 (21</w:t>
            </w:r>
            <w:r w:rsidR="005762D6">
              <w:t>%</w:t>
            </w:r>
            <w:r w:rsidRPr="00AC6623">
              <w:t>)</w:t>
            </w:r>
          </w:p>
          <w:p w:rsidR="00577A14" w:rsidRPr="00AC6623" w:rsidRDefault="00577A14" w:rsidP="00577A14">
            <w:pPr>
              <w:jc w:val="center"/>
            </w:pPr>
            <w:r w:rsidRPr="00AC6623">
              <w:t>189 (62</w:t>
            </w:r>
            <w:r w:rsidR="005762D6">
              <w:t>%</w:t>
            </w:r>
            <w:r w:rsidRPr="00AC6623">
              <w:t>)</w:t>
            </w:r>
          </w:p>
          <w:p w:rsidR="00577A14" w:rsidRPr="00AC6623" w:rsidRDefault="00577A14" w:rsidP="00577A14">
            <w:pPr>
              <w:jc w:val="center"/>
            </w:pPr>
            <w:r w:rsidRPr="00AC6623">
              <w:lastRenderedPageBreak/>
              <w:t>18 (6</w:t>
            </w:r>
            <w:r w:rsidR="005762D6">
              <w:t>%</w:t>
            </w:r>
            <w:r w:rsidRPr="00AC6623">
              <w:t>)</w:t>
            </w:r>
          </w:p>
          <w:p w:rsidR="00577A14" w:rsidRPr="00AC6623" w:rsidRDefault="00577A14" w:rsidP="00577A14">
            <w:pPr>
              <w:jc w:val="center"/>
            </w:pPr>
            <w:r w:rsidRPr="00AC6623">
              <w:t>6 (2</w:t>
            </w:r>
            <w:r w:rsidR="005762D6">
              <w:t>%</w:t>
            </w:r>
            <w:r w:rsidRPr="00AC6623">
              <w:t>)</w:t>
            </w:r>
          </w:p>
          <w:p w:rsidR="00577A14" w:rsidRPr="00AC6623" w:rsidRDefault="00577A14" w:rsidP="00577A14">
            <w:pPr>
              <w:jc w:val="center"/>
            </w:pPr>
            <w:r w:rsidRPr="00AC6623">
              <w:t>57 (19</w:t>
            </w:r>
            <w:r w:rsidR="005762D6">
              <w:t>%</w:t>
            </w:r>
            <w:r w:rsidRPr="00AC6623">
              <w:t>)</w:t>
            </w:r>
          </w:p>
          <w:p w:rsidR="00577A14" w:rsidRPr="00AC6623" w:rsidRDefault="008A2262" w:rsidP="00577A14">
            <w:pPr>
              <w:jc w:val="center"/>
            </w:pPr>
            <w:r>
              <w:t>21 (7</w:t>
            </w:r>
            <w:r w:rsidR="005762D6">
              <w:t>%</w:t>
            </w:r>
            <w:r w:rsidR="00577A14" w:rsidRPr="00AC6623">
              <w:t>)</w:t>
            </w:r>
          </w:p>
          <w:p w:rsidR="00577A14" w:rsidRPr="00AC6623" w:rsidRDefault="008A2262" w:rsidP="00577A14">
            <w:pPr>
              <w:jc w:val="center"/>
            </w:pPr>
            <w:r>
              <w:t>12 (4</w:t>
            </w:r>
            <w:r w:rsidR="005762D6">
              <w:t>%</w:t>
            </w:r>
            <w:r w:rsidR="00577A14" w:rsidRPr="00AC6623">
              <w:t>)</w:t>
            </w:r>
          </w:p>
          <w:p w:rsidR="00577A14" w:rsidRPr="00AC6623" w:rsidRDefault="00577A14" w:rsidP="00577A14">
            <w:pPr>
              <w:jc w:val="center"/>
            </w:pPr>
            <w:r w:rsidRPr="00AC6623">
              <w:t>4 (3 to 8)</w:t>
            </w:r>
          </w:p>
        </w:tc>
        <w:tc>
          <w:tcPr>
            <w:tcW w:w="1984" w:type="dxa"/>
          </w:tcPr>
          <w:p w:rsidR="00577A14" w:rsidRPr="00AC6623" w:rsidRDefault="00577A14" w:rsidP="00577A14">
            <w:pPr>
              <w:jc w:val="center"/>
            </w:pPr>
            <w:r w:rsidRPr="00AC6623">
              <w:lastRenderedPageBreak/>
              <w:t>26 (26</w:t>
            </w:r>
            <w:r w:rsidR="005762D6">
              <w:t>%</w:t>
            </w:r>
            <w:r w:rsidRPr="00AC6623">
              <w:t>)</w:t>
            </w:r>
          </w:p>
          <w:p w:rsidR="00577A14" w:rsidRPr="00AC6623" w:rsidRDefault="00577A14" w:rsidP="00577A14">
            <w:pPr>
              <w:jc w:val="center"/>
            </w:pPr>
            <w:r w:rsidRPr="00AC6623">
              <w:t>22 (22</w:t>
            </w:r>
            <w:r w:rsidR="005762D6">
              <w:t>%</w:t>
            </w:r>
            <w:r w:rsidRPr="00AC6623">
              <w:t>)</w:t>
            </w:r>
          </w:p>
          <w:p w:rsidR="00577A14" w:rsidRPr="00AC6623" w:rsidRDefault="00577A14" w:rsidP="00577A14">
            <w:pPr>
              <w:jc w:val="center"/>
            </w:pPr>
            <w:r w:rsidRPr="00AC6623">
              <w:t>60 (60</w:t>
            </w:r>
            <w:r w:rsidR="005762D6">
              <w:t>%</w:t>
            </w:r>
            <w:r w:rsidRPr="00AC6623">
              <w:t>)</w:t>
            </w:r>
          </w:p>
          <w:p w:rsidR="00577A14" w:rsidRPr="00AC6623" w:rsidRDefault="00577A14" w:rsidP="00577A14">
            <w:pPr>
              <w:jc w:val="center"/>
            </w:pPr>
            <w:r w:rsidRPr="00AC6623">
              <w:lastRenderedPageBreak/>
              <w:t>4 (4</w:t>
            </w:r>
            <w:r w:rsidR="005762D6">
              <w:t>%</w:t>
            </w:r>
            <w:r w:rsidRPr="00AC6623">
              <w:t>)</w:t>
            </w:r>
          </w:p>
          <w:p w:rsidR="00577A14" w:rsidRPr="00AC6623" w:rsidRDefault="00577A14" w:rsidP="00577A14">
            <w:pPr>
              <w:jc w:val="center"/>
            </w:pPr>
            <w:r w:rsidRPr="00AC6623">
              <w:t>1 (1</w:t>
            </w:r>
            <w:r w:rsidR="005762D6">
              <w:t>%</w:t>
            </w:r>
            <w:r w:rsidRPr="00AC6623">
              <w:t>)</w:t>
            </w:r>
          </w:p>
          <w:p w:rsidR="00577A14" w:rsidRPr="00AC6623" w:rsidRDefault="00577A14" w:rsidP="00577A14">
            <w:pPr>
              <w:jc w:val="center"/>
            </w:pPr>
            <w:r w:rsidRPr="00AC6623">
              <w:t>12 (12</w:t>
            </w:r>
            <w:r w:rsidR="005762D6">
              <w:t>%</w:t>
            </w:r>
            <w:r w:rsidRPr="00AC6623">
              <w:t>)</w:t>
            </w:r>
          </w:p>
          <w:p w:rsidR="00577A14" w:rsidRPr="00AC6623" w:rsidRDefault="00577A14" w:rsidP="00577A14">
            <w:pPr>
              <w:jc w:val="center"/>
            </w:pPr>
            <w:r w:rsidRPr="00AC6623">
              <w:t>7 (7</w:t>
            </w:r>
            <w:r w:rsidR="005762D6">
              <w:t>%</w:t>
            </w:r>
            <w:r w:rsidRPr="00AC6623">
              <w:t>)</w:t>
            </w:r>
          </w:p>
          <w:p w:rsidR="00577A14" w:rsidRPr="00AC6623" w:rsidRDefault="00577A14" w:rsidP="00577A14">
            <w:pPr>
              <w:jc w:val="center"/>
            </w:pPr>
            <w:r w:rsidRPr="00AC6623">
              <w:t>3 (3</w:t>
            </w:r>
            <w:r w:rsidR="005762D6">
              <w:t>%</w:t>
            </w:r>
            <w:r w:rsidRPr="00AC6623">
              <w:t>)</w:t>
            </w:r>
          </w:p>
          <w:p w:rsidR="00577A14" w:rsidRPr="00AC6623" w:rsidRDefault="00577A14" w:rsidP="00577A14">
            <w:pPr>
              <w:jc w:val="center"/>
            </w:pPr>
            <w:r w:rsidRPr="00AC6623">
              <w:t>4 (0 to 4)</w:t>
            </w:r>
          </w:p>
        </w:tc>
        <w:tc>
          <w:tcPr>
            <w:tcW w:w="2127" w:type="dxa"/>
          </w:tcPr>
          <w:p w:rsidR="00577A14" w:rsidRPr="00AC6623" w:rsidRDefault="00577A14" w:rsidP="00577A14">
            <w:pPr>
              <w:jc w:val="center"/>
            </w:pPr>
            <w:r w:rsidRPr="00AC6623">
              <w:lastRenderedPageBreak/>
              <w:t>29 (28</w:t>
            </w:r>
            <w:r w:rsidR="005762D6">
              <w:t>%</w:t>
            </w:r>
            <w:r w:rsidRPr="00AC6623">
              <w:t>)</w:t>
            </w:r>
          </w:p>
          <w:p w:rsidR="00577A14" w:rsidRPr="00AC6623" w:rsidRDefault="00577A14" w:rsidP="00577A14">
            <w:pPr>
              <w:jc w:val="center"/>
            </w:pPr>
            <w:r w:rsidRPr="00AC6623">
              <w:t>17 (17</w:t>
            </w:r>
            <w:r w:rsidR="005762D6">
              <w:t>%</w:t>
            </w:r>
            <w:r w:rsidRPr="00AC6623">
              <w:t>)</w:t>
            </w:r>
          </w:p>
          <w:p w:rsidR="00577A14" w:rsidRPr="00AC6623" w:rsidRDefault="00577A14" w:rsidP="00577A14">
            <w:pPr>
              <w:jc w:val="center"/>
            </w:pPr>
            <w:r w:rsidRPr="00AC6623">
              <w:t>49 (48</w:t>
            </w:r>
            <w:r w:rsidR="005762D6">
              <w:t>%</w:t>
            </w:r>
            <w:r w:rsidRPr="00AC6623">
              <w:t>)</w:t>
            </w:r>
          </w:p>
          <w:p w:rsidR="00577A14" w:rsidRPr="00AC6623" w:rsidRDefault="00577A14" w:rsidP="00577A14">
            <w:pPr>
              <w:jc w:val="center"/>
            </w:pPr>
            <w:r w:rsidRPr="00AC6623">
              <w:lastRenderedPageBreak/>
              <w:t>6 (6</w:t>
            </w:r>
            <w:r w:rsidR="005762D6">
              <w:t>%</w:t>
            </w:r>
            <w:r w:rsidRPr="00AC6623">
              <w:t>)</w:t>
            </w:r>
          </w:p>
          <w:p w:rsidR="00577A14" w:rsidRPr="00AC6623" w:rsidRDefault="00577A14" w:rsidP="00577A14">
            <w:pPr>
              <w:jc w:val="center"/>
            </w:pPr>
            <w:r w:rsidRPr="00AC6623">
              <w:t>0 (0</w:t>
            </w:r>
            <w:r w:rsidR="005762D6">
              <w:t>%</w:t>
            </w:r>
            <w:r w:rsidRPr="00AC6623">
              <w:t>)</w:t>
            </w:r>
          </w:p>
          <w:p w:rsidR="00577A14" w:rsidRPr="00AC6623" w:rsidRDefault="00577A14" w:rsidP="00577A14">
            <w:pPr>
              <w:jc w:val="center"/>
            </w:pPr>
            <w:r w:rsidRPr="00AC6623">
              <w:t>15 (15</w:t>
            </w:r>
            <w:r w:rsidR="005762D6">
              <w:t>%</w:t>
            </w:r>
            <w:r w:rsidRPr="00AC6623">
              <w:t>)</w:t>
            </w:r>
          </w:p>
          <w:p w:rsidR="00577A14" w:rsidRPr="00AC6623" w:rsidRDefault="00577A14" w:rsidP="00577A14">
            <w:pPr>
              <w:jc w:val="center"/>
            </w:pPr>
            <w:r w:rsidRPr="00AC6623">
              <w:t>9 (9</w:t>
            </w:r>
            <w:r w:rsidR="005762D6">
              <w:t>%</w:t>
            </w:r>
            <w:r w:rsidRPr="00AC6623">
              <w:t>)</w:t>
            </w:r>
          </w:p>
          <w:p w:rsidR="00577A14" w:rsidRPr="00AC6623" w:rsidRDefault="00577A14" w:rsidP="00577A14">
            <w:pPr>
              <w:jc w:val="center"/>
            </w:pPr>
            <w:r w:rsidRPr="00AC6623">
              <w:t>4 (4</w:t>
            </w:r>
            <w:r w:rsidR="005762D6">
              <w:t>%</w:t>
            </w:r>
            <w:r w:rsidRPr="00AC6623">
              <w:t>)</w:t>
            </w:r>
          </w:p>
          <w:p w:rsidR="00577A14" w:rsidRPr="00AC6623" w:rsidRDefault="00577A14" w:rsidP="00577A14">
            <w:pPr>
              <w:jc w:val="center"/>
            </w:pPr>
            <w:r w:rsidRPr="00AC6623">
              <w:t>4 (0 to 7)</w:t>
            </w:r>
          </w:p>
        </w:tc>
      </w:tr>
      <w:tr w:rsidR="00577A14" w:rsidTr="0020630A">
        <w:tc>
          <w:tcPr>
            <w:tcW w:w="3964" w:type="dxa"/>
          </w:tcPr>
          <w:p w:rsidR="00577A14" w:rsidRPr="00AC6623" w:rsidRDefault="00577A14" w:rsidP="00577A14">
            <w:pPr>
              <w:rPr>
                <w:b/>
              </w:rPr>
            </w:pPr>
            <w:r w:rsidRPr="00AC6623">
              <w:rPr>
                <w:b/>
              </w:rPr>
              <w:lastRenderedPageBreak/>
              <w:t xml:space="preserve">Observations at admission </w:t>
            </w:r>
          </w:p>
        </w:tc>
        <w:tc>
          <w:tcPr>
            <w:tcW w:w="2268" w:type="dxa"/>
          </w:tcPr>
          <w:p w:rsidR="00577A14" w:rsidRPr="00AC6623" w:rsidRDefault="00577A14" w:rsidP="00577A14">
            <w:pPr>
              <w:jc w:val="center"/>
            </w:pPr>
          </w:p>
        </w:tc>
        <w:tc>
          <w:tcPr>
            <w:tcW w:w="1985" w:type="dxa"/>
          </w:tcPr>
          <w:p w:rsidR="00577A14" w:rsidRPr="00AC6623" w:rsidRDefault="00577A14" w:rsidP="00577A14">
            <w:pPr>
              <w:jc w:val="center"/>
            </w:pPr>
          </w:p>
        </w:tc>
        <w:tc>
          <w:tcPr>
            <w:tcW w:w="1984" w:type="dxa"/>
          </w:tcPr>
          <w:p w:rsidR="00577A14" w:rsidRPr="00AC6623" w:rsidRDefault="00577A14" w:rsidP="00577A14">
            <w:pPr>
              <w:jc w:val="center"/>
            </w:pPr>
          </w:p>
        </w:tc>
        <w:tc>
          <w:tcPr>
            <w:tcW w:w="2127" w:type="dxa"/>
          </w:tcPr>
          <w:p w:rsidR="00577A14" w:rsidRPr="00AC6623" w:rsidRDefault="00577A14" w:rsidP="00577A14">
            <w:pPr>
              <w:jc w:val="center"/>
            </w:pPr>
          </w:p>
        </w:tc>
      </w:tr>
      <w:tr w:rsidR="00577A14" w:rsidTr="0020630A">
        <w:tc>
          <w:tcPr>
            <w:tcW w:w="3964" w:type="dxa"/>
          </w:tcPr>
          <w:p w:rsidR="00577A14" w:rsidRPr="00AC6623" w:rsidRDefault="00577A14" w:rsidP="00577A14">
            <w:r w:rsidRPr="00AC6623">
              <w:t xml:space="preserve">Temperature </w:t>
            </w:r>
            <w:r w:rsidR="00E411BB">
              <w:t>(</w:t>
            </w:r>
            <w:r w:rsidRPr="00AC6623">
              <w:rPr>
                <w:rFonts w:cstheme="minorHAnsi"/>
              </w:rPr>
              <w:t>°</w:t>
            </w:r>
            <w:r w:rsidRPr="00AC6623">
              <w:t xml:space="preserve">C </w:t>
            </w:r>
            <w:r w:rsidR="00E411BB">
              <w:t>)</w:t>
            </w:r>
          </w:p>
          <w:p w:rsidR="00E411BB" w:rsidRDefault="00577A14" w:rsidP="00577A14">
            <w:r w:rsidRPr="00AC6623">
              <w:t xml:space="preserve">   Temp </w:t>
            </w:r>
            <w:r w:rsidRPr="00AC6623">
              <w:rPr>
                <w:rFonts w:cstheme="minorHAnsi"/>
              </w:rPr>
              <w:t>≥</w:t>
            </w:r>
            <w:r w:rsidRPr="00AC6623">
              <w:t>38</w:t>
            </w:r>
            <w:r w:rsidRPr="00AC6623">
              <w:rPr>
                <w:rFonts w:cstheme="minorHAnsi"/>
              </w:rPr>
              <w:t>°</w:t>
            </w:r>
            <w:r w:rsidR="00E411BB">
              <w:t xml:space="preserve">C </w:t>
            </w:r>
          </w:p>
          <w:p w:rsidR="00577A14" w:rsidRPr="00AC6623" w:rsidRDefault="00E411BB" w:rsidP="00577A14">
            <w:r>
              <w:t>Pulse rate (</w:t>
            </w:r>
            <w:r w:rsidR="00577A14" w:rsidRPr="00AC6623">
              <w:t>bpm</w:t>
            </w:r>
            <w:r>
              <w:t>)</w:t>
            </w:r>
          </w:p>
          <w:p w:rsidR="00577A14" w:rsidRPr="00AC6623" w:rsidRDefault="00E411BB" w:rsidP="00577A14">
            <w:r>
              <w:t>Respiratory rate (</w:t>
            </w:r>
            <w:r w:rsidR="00577A14" w:rsidRPr="00AC6623">
              <w:t>bpm</w:t>
            </w:r>
            <w:r>
              <w:t>)</w:t>
            </w:r>
          </w:p>
          <w:p w:rsidR="00577A14" w:rsidRPr="00AC6623" w:rsidRDefault="00E411BB" w:rsidP="00577A14">
            <w:r>
              <w:t xml:space="preserve">Oxygen saturations </w:t>
            </w:r>
          </w:p>
          <w:p w:rsidR="00577A14" w:rsidRPr="00AC6623" w:rsidRDefault="00577A14" w:rsidP="00577A14">
            <w:r w:rsidRPr="00AC6623">
              <w:t>Supplementary O</w:t>
            </w:r>
            <w:r w:rsidRPr="00AC6623">
              <w:rPr>
                <w:vertAlign w:val="subscript"/>
              </w:rPr>
              <w:t>2</w:t>
            </w:r>
            <w:r w:rsidRPr="00AC6623">
              <w:t xml:space="preserve"> </w:t>
            </w:r>
          </w:p>
          <w:p w:rsidR="00577A14" w:rsidRPr="00AC6623" w:rsidRDefault="00E411BB" w:rsidP="00577A14">
            <w:r>
              <w:t>Blood pressure (</w:t>
            </w:r>
            <w:r w:rsidR="00577A14" w:rsidRPr="00AC6623">
              <w:t>mmHg</w:t>
            </w:r>
            <w:r>
              <w:t>)</w:t>
            </w:r>
          </w:p>
          <w:p w:rsidR="00577A14" w:rsidRPr="00AC6623" w:rsidRDefault="00577A14" w:rsidP="00577A14">
            <w:r w:rsidRPr="00AC6623">
              <w:t xml:space="preserve">   Systolic </w:t>
            </w:r>
          </w:p>
          <w:p w:rsidR="00577A14" w:rsidRPr="00AC6623" w:rsidRDefault="00577A14" w:rsidP="00577A14">
            <w:r w:rsidRPr="00AC6623">
              <w:t xml:space="preserve">   Diastolic </w:t>
            </w:r>
          </w:p>
          <w:p w:rsidR="00577A14" w:rsidRPr="00AC6623" w:rsidRDefault="00577A14" w:rsidP="00E411BB">
            <w:pPr>
              <w:rPr>
                <w:u w:val="single"/>
              </w:rPr>
            </w:pPr>
            <w:r w:rsidRPr="00AC6623">
              <w:t xml:space="preserve">NEWS2 score </w:t>
            </w:r>
          </w:p>
        </w:tc>
        <w:tc>
          <w:tcPr>
            <w:tcW w:w="2268" w:type="dxa"/>
          </w:tcPr>
          <w:p w:rsidR="00577A14" w:rsidRPr="00AC6623" w:rsidRDefault="00577A14" w:rsidP="00577A14">
            <w:pPr>
              <w:jc w:val="center"/>
            </w:pPr>
            <w:r w:rsidRPr="00AC6623">
              <w:t>37</w:t>
            </w:r>
            <w:r w:rsidR="005762D6">
              <w:rPr>
                <w:rFonts w:cstheme="minorHAnsi"/>
              </w:rPr>
              <w:t>·</w:t>
            </w:r>
            <w:r w:rsidRPr="00AC6623">
              <w:t>1 (36</w:t>
            </w:r>
            <w:r w:rsidR="005762D6">
              <w:rPr>
                <w:rFonts w:cstheme="minorHAnsi"/>
              </w:rPr>
              <w:t>·</w:t>
            </w:r>
            <w:r w:rsidRPr="00AC6623">
              <w:t>5 to 38</w:t>
            </w:r>
            <w:r w:rsidR="005762D6">
              <w:rPr>
                <w:rFonts w:cstheme="minorHAnsi"/>
              </w:rPr>
              <w:t>·</w:t>
            </w:r>
            <w:r w:rsidRPr="00AC6623">
              <w:t>1)</w:t>
            </w:r>
          </w:p>
          <w:p w:rsidR="00577A14" w:rsidRPr="00AC6623" w:rsidRDefault="00577A14" w:rsidP="00577A14">
            <w:pPr>
              <w:jc w:val="center"/>
            </w:pPr>
            <w:r w:rsidRPr="00AC6623">
              <w:t>82 (27</w:t>
            </w:r>
            <w:r w:rsidR="005762D6">
              <w:t>%</w:t>
            </w:r>
            <w:r w:rsidRPr="00AC6623">
              <w:t>)</w:t>
            </w:r>
          </w:p>
          <w:p w:rsidR="00577A14" w:rsidRPr="00AC6623" w:rsidRDefault="00577A14" w:rsidP="00577A14">
            <w:pPr>
              <w:jc w:val="center"/>
            </w:pPr>
            <w:r w:rsidRPr="00AC6623">
              <w:t>100 (88 to 117)</w:t>
            </w:r>
          </w:p>
          <w:p w:rsidR="00577A14" w:rsidRPr="00AC6623" w:rsidRDefault="00577A14" w:rsidP="00577A14">
            <w:pPr>
              <w:jc w:val="center"/>
            </w:pPr>
            <w:r w:rsidRPr="00AC6623">
              <w:t>23 (20 to 26)</w:t>
            </w:r>
          </w:p>
          <w:p w:rsidR="00577A14" w:rsidRPr="00AC6623" w:rsidRDefault="00577A14" w:rsidP="00577A14">
            <w:pPr>
              <w:jc w:val="center"/>
            </w:pPr>
            <w:r w:rsidRPr="00AC6623">
              <w:t>95 (92 to 97)</w:t>
            </w:r>
          </w:p>
          <w:p w:rsidR="00577A14" w:rsidRPr="00AC6623" w:rsidRDefault="00577A14" w:rsidP="00577A14">
            <w:pPr>
              <w:jc w:val="center"/>
            </w:pPr>
            <w:r w:rsidRPr="00AC6623">
              <w:t>54 (18</w:t>
            </w:r>
            <w:r w:rsidR="005762D6">
              <w:t>%</w:t>
            </w:r>
            <w:r w:rsidRPr="00AC6623">
              <w:t>)</w:t>
            </w:r>
          </w:p>
          <w:p w:rsidR="00577A14" w:rsidRPr="00AC6623" w:rsidRDefault="00577A14" w:rsidP="00577A14">
            <w:pPr>
              <w:jc w:val="center"/>
            </w:pPr>
          </w:p>
          <w:p w:rsidR="00577A14" w:rsidRPr="00AC6623" w:rsidRDefault="00577A14" w:rsidP="00572561">
            <w:pPr>
              <w:jc w:val="center"/>
            </w:pPr>
            <w:r w:rsidRPr="00AC6623">
              <w:t>134 (120 to 150)</w:t>
            </w:r>
          </w:p>
          <w:p w:rsidR="00577A14" w:rsidRPr="00AC6623" w:rsidRDefault="00577A14" w:rsidP="00572561">
            <w:pPr>
              <w:jc w:val="center"/>
            </w:pPr>
            <w:r w:rsidRPr="00AC6623">
              <w:t>74 (63 to 84)</w:t>
            </w:r>
          </w:p>
          <w:p w:rsidR="00577A14" w:rsidRPr="00AC6623" w:rsidRDefault="00577A14" w:rsidP="00572561">
            <w:pPr>
              <w:jc w:val="center"/>
            </w:pPr>
            <w:r w:rsidRPr="00AC6623">
              <w:t>4 (3 to 6)</w:t>
            </w:r>
          </w:p>
        </w:tc>
        <w:tc>
          <w:tcPr>
            <w:tcW w:w="1985" w:type="dxa"/>
          </w:tcPr>
          <w:p w:rsidR="00577A14" w:rsidRPr="00AC6623" w:rsidRDefault="00577A14" w:rsidP="00577A14">
            <w:pPr>
              <w:jc w:val="center"/>
            </w:pPr>
            <w:r w:rsidRPr="00AC6623">
              <w:t>37</w:t>
            </w:r>
            <w:r w:rsidR="005762D6">
              <w:rPr>
                <w:rFonts w:cstheme="minorHAnsi"/>
              </w:rPr>
              <w:t>·</w:t>
            </w:r>
            <w:r w:rsidRPr="00AC6623">
              <w:t>1 (36</w:t>
            </w:r>
            <w:r w:rsidR="005762D6">
              <w:rPr>
                <w:rFonts w:cstheme="minorHAnsi"/>
              </w:rPr>
              <w:t>·</w:t>
            </w:r>
            <w:r w:rsidRPr="00AC6623">
              <w:t>4 to 37</w:t>
            </w:r>
            <w:r w:rsidR="005762D6">
              <w:rPr>
                <w:rFonts w:cstheme="minorHAnsi"/>
              </w:rPr>
              <w:t>·</w:t>
            </w:r>
            <w:r w:rsidRPr="00AC6623">
              <w:t>9)</w:t>
            </w:r>
          </w:p>
          <w:p w:rsidR="00577A14" w:rsidRPr="00AC6623" w:rsidRDefault="00577A14" w:rsidP="00577A14">
            <w:pPr>
              <w:jc w:val="center"/>
            </w:pPr>
            <w:r w:rsidRPr="00AC6623">
              <w:t>70 (23</w:t>
            </w:r>
            <w:r w:rsidR="005762D6">
              <w:t>%</w:t>
            </w:r>
            <w:r w:rsidRPr="00AC6623">
              <w:t>)</w:t>
            </w:r>
          </w:p>
          <w:p w:rsidR="00577A14" w:rsidRPr="00AC6623" w:rsidRDefault="00577A14" w:rsidP="00577A14">
            <w:pPr>
              <w:jc w:val="center"/>
            </w:pPr>
            <w:r w:rsidRPr="00AC6623">
              <w:t>100 (85 to 115)</w:t>
            </w:r>
          </w:p>
          <w:p w:rsidR="00577A14" w:rsidRPr="00AC6623" w:rsidRDefault="00577A14" w:rsidP="00577A14">
            <w:pPr>
              <w:jc w:val="center"/>
            </w:pPr>
            <w:r w:rsidRPr="00AC6623">
              <w:t>22 (19 to 27)</w:t>
            </w:r>
          </w:p>
          <w:p w:rsidR="00577A14" w:rsidRPr="00AC6623" w:rsidRDefault="00577A14" w:rsidP="00577A14">
            <w:pPr>
              <w:jc w:val="center"/>
            </w:pPr>
            <w:r w:rsidRPr="00AC6623">
              <w:t>95 (92 to 97)</w:t>
            </w:r>
          </w:p>
          <w:p w:rsidR="00577A14" w:rsidRPr="00AC6623" w:rsidRDefault="00577A14" w:rsidP="00577A14">
            <w:pPr>
              <w:jc w:val="center"/>
            </w:pPr>
            <w:r w:rsidRPr="00AC6623">
              <w:t>71 (23</w:t>
            </w:r>
            <w:r w:rsidR="005762D6">
              <w:t>%</w:t>
            </w:r>
            <w:r w:rsidRPr="00AC6623">
              <w:t>)</w:t>
            </w:r>
          </w:p>
          <w:p w:rsidR="00577A14" w:rsidRPr="00AC6623" w:rsidRDefault="00577A14" w:rsidP="00577A14">
            <w:pPr>
              <w:jc w:val="center"/>
            </w:pPr>
          </w:p>
          <w:p w:rsidR="00577A14" w:rsidRPr="00AC6623" w:rsidRDefault="00577A14" w:rsidP="00577A14">
            <w:pPr>
              <w:jc w:val="center"/>
            </w:pPr>
            <w:r w:rsidRPr="00AC6623">
              <w:t>135 (120 to 148)</w:t>
            </w:r>
          </w:p>
          <w:p w:rsidR="00577A14" w:rsidRPr="00AC6623" w:rsidRDefault="00577A14" w:rsidP="00577A14">
            <w:pPr>
              <w:jc w:val="center"/>
            </w:pPr>
            <w:r w:rsidRPr="00AC6623">
              <w:t>75 (65 to 83)</w:t>
            </w:r>
          </w:p>
          <w:p w:rsidR="00577A14" w:rsidRPr="00AC6623" w:rsidRDefault="00577A14" w:rsidP="00577A14">
            <w:pPr>
              <w:jc w:val="center"/>
            </w:pPr>
            <w:r w:rsidRPr="00AC6623">
              <w:t>4 (3 to 6)</w:t>
            </w:r>
          </w:p>
        </w:tc>
        <w:tc>
          <w:tcPr>
            <w:tcW w:w="1984" w:type="dxa"/>
          </w:tcPr>
          <w:p w:rsidR="00577A14" w:rsidRDefault="00577A14" w:rsidP="00577A14">
            <w:pPr>
              <w:jc w:val="center"/>
            </w:pPr>
            <w:r w:rsidRPr="00AC6623">
              <w:t>37</w:t>
            </w:r>
            <w:r w:rsidR="005762D6">
              <w:rPr>
                <w:rFonts w:cstheme="minorHAnsi"/>
              </w:rPr>
              <w:t>·</w:t>
            </w:r>
            <w:r w:rsidRPr="00AC6623">
              <w:t>3 (36</w:t>
            </w:r>
            <w:r w:rsidR="005762D6">
              <w:rPr>
                <w:rFonts w:cstheme="minorHAnsi"/>
              </w:rPr>
              <w:t>·</w:t>
            </w:r>
            <w:r w:rsidRPr="00AC6623">
              <w:t>7 to 38</w:t>
            </w:r>
            <w:r w:rsidR="005762D6">
              <w:rPr>
                <w:rFonts w:cstheme="minorHAnsi"/>
              </w:rPr>
              <w:t>·</w:t>
            </w:r>
            <w:r w:rsidRPr="00AC6623">
              <w:t>1)</w:t>
            </w:r>
          </w:p>
          <w:p w:rsidR="00577A14" w:rsidRPr="00AC6623" w:rsidRDefault="00577A14" w:rsidP="00577A14">
            <w:pPr>
              <w:jc w:val="center"/>
            </w:pPr>
            <w:r w:rsidRPr="00AC6623">
              <w:t>30 (30</w:t>
            </w:r>
            <w:r w:rsidR="005762D6">
              <w:t>%</w:t>
            </w:r>
            <w:r w:rsidRPr="00AC6623">
              <w:t>)</w:t>
            </w:r>
          </w:p>
          <w:p w:rsidR="00577A14" w:rsidRPr="00AC6623" w:rsidRDefault="00577A14" w:rsidP="00577A14">
            <w:pPr>
              <w:jc w:val="center"/>
            </w:pPr>
            <w:r w:rsidRPr="00AC6623">
              <w:t>103 (90 to 116)</w:t>
            </w:r>
          </w:p>
          <w:p w:rsidR="00577A14" w:rsidRPr="00AC6623" w:rsidRDefault="00577A14" w:rsidP="00577A14">
            <w:pPr>
              <w:jc w:val="center"/>
            </w:pPr>
            <w:r w:rsidRPr="00AC6623">
              <w:t>22 (19 to 27)</w:t>
            </w:r>
          </w:p>
          <w:p w:rsidR="00577A14" w:rsidRPr="00AC6623" w:rsidRDefault="00577A14" w:rsidP="00577A14">
            <w:pPr>
              <w:jc w:val="center"/>
            </w:pPr>
            <w:r w:rsidRPr="00AC6623">
              <w:t>95 (93 to 97)</w:t>
            </w:r>
          </w:p>
          <w:p w:rsidR="00577A14" w:rsidRPr="00AC6623" w:rsidRDefault="00577A14" w:rsidP="00577A14">
            <w:pPr>
              <w:jc w:val="center"/>
            </w:pPr>
            <w:r w:rsidRPr="00AC6623">
              <w:t>21 (21</w:t>
            </w:r>
            <w:r w:rsidR="005762D6">
              <w:t>%</w:t>
            </w:r>
            <w:r w:rsidRPr="00AC6623">
              <w:t>)</w:t>
            </w:r>
          </w:p>
          <w:p w:rsidR="00577A14" w:rsidRPr="00AC6623" w:rsidRDefault="00577A14" w:rsidP="00577A14"/>
          <w:p w:rsidR="00577A14" w:rsidRPr="00AC6623" w:rsidRDefault="00577A14" w:rsidP="00577A14">
            <w:pPr>
              <w:jc w:val="center"/>
            </w:pPr>
            <w:r w:rsidRPr="00AC6623">
              <w:t>135 (122 to 148)</w:t>
            </w:r>
          </w:p>
          <w:p w:rsidR="00577A14" w:rsidRPr="00AC6623" w:rsidRDefault="00577A14" w:rsidP="00577A14">
            <w:pPr>
              <w:jc w:val="center"/>
            </w:pPr>
            <w:r w:rsidRPr="00AC6623">
              <w:t>71 (64 to 81)</w:t>
            </w:r>
          </w:p>
          <w:p w:rsidR="00577A14" w:rsidRPr="00AC6623" w:rsidRDefault="00577A14" w:rsidP="00577A14">
            <w:pPr>
              <w:jc w:val="center"/>
            </w:pPr>
            <w:r w:rsidRPr="00AC6623">
              <w:t>4 (3 to 7)</w:t>
            </w:r>
          </w:p>
        </w:tc>
        <w:tc>
          <w:tcPr>
            <w:tcW w:w="2127" w:type="dxa"/>
          </w:tcPr>
          <w:p w:rsidR="00577A14" w:rsidRDefault="00577A14" w:rsidP="00577A14">
            <w:pPr>
              <w:jc w:val="center"/>
            </w:pPr>
            <w:r w:rsidRPr="00AC6623">
              <w:t>37</w:t>
            </w:r>
            <w:r w:rsidR="005762D6">
              <w:rPr>
                <w:rFonts w:cstheme="minorHAnsi"/>
              </w:rPr>
              <w:t>·</w:t>
            </w:r>
            <w:r w:rsidRPr="00AC6623">
              <w:t>5 (36</w:t>
            </w:r>
            <w:r w:rsidR="005762D6">
              <w:rPr>
                <w:rFonts w:cstheme="minorHAnsi"/>
              </w:rPr>
              <w:t>·</w:t>
            </w:r>
            <w:r w:rsidRPr="00AC6623">
              <w:t>7 to 38</w:t>
            </w:r>
            <w:r w:rsidR="005762D6">
              <w:rPr>
                <w:rFonts w:cstheme="minorHAnsi"/>
              </w:rPr>
              <w:t>·</w:t>
            </w:r>
            <w:r w:rsidRPr="00AC6623">
              <w:t>3)</w:t>
            </w:r>
          </w:p>
          <w:p w:rsidR="00577A14" w:rsidRPr="00AC6623" w:rsidRDefault="00577A14" w:rsidP="00577A14">
            <w:pPr>
              <w:jc w:val="center"/>
            </w:pPr>
            <w:r w:rsidRPr="00AC6623">
              <w:t>35 (35</w:t>
            </w:r>
            <w:r w:rsidR="005762D6">
              <w:t>%</w:t>
            </w:r>
            <w:r w:rsidRPr="00AC6623">
              <w:t>)</w:t>
            </w:r>
          </w:p>
          <w:p w:rsidR="00577A14" w:rsidRPr="00AC6623" w:rsidRDefault="00577A14" w:rsidP="00577A14">
            <w:pPr>
              <w:jc w:val="center"/>
            </w:pPr>
            <w:r w:rsidRPr="00AC6623">
              <w:t>100 (85 to 115)</w:t>
            </w:r>
          </w:p>
          <w:p w:rsidR="00577A14" w:rsidRPr="00AC6623" w:rsidRDefault="00577A14" w:rsidP="00577A14">
            <w:pPr>
              <w:jc w:val="center"/>
            </w:pPr>
            <w:r w:rsidRPr="00AC6623">
              <w:t>22 (19 to 28)</w:t>
            </w:r>
          </w:p>
          <w:p w:rsidR="00577A14" w:rsidRPr="00AC6623" w:rsidRDefault="00577A14" w:rsidP="00577A14">
            <w:pPr>
              <w:jc w:val="center"/>
            </w:pPr>
            <w:r w:rsidRPr="00AC6623">
              <w:t>95 (91 to 97)</w:t>
            </w:r>
          </w:p>
          <w:p w:rsidR="00577A14" w:rsidRPr="00AC6623" w:rsidRDefault="00577A14" w:rsidP="00577A14">
            <w:pPr>
              <w:jc w:val="center"/>
            </w:pPr>
            <w:r w:rsidRPr="00AC6623">
              <w:t>22 (22</w:t>
            </w:r>
            <w:r w:rsidR="005762D6">
              <w:t>%</w:t>
            </w:r>
            <w:r w:rsidRPr="00AC6623">
              <w:t>)</w:t>
            </w:r>
          </w:p>
          <w:p w:rsidR="00577A14" w:rsidRPr="00AC6623" w:rsidRDefault="00577A14" w:rsidP="00577A14">
            <w:pPr>
              <w:jc w:val="center"/>
            </w:pPr>
          </w:p>
          <w:p w:rsidR="00577A14" w:rsidRPr="00AC6623" w:rsidRDefault="00577A14" w:rsidP="00577A14">
            <w:pPr>
              <w:jc w:val="center"/>
            </w:pPr>
            <w:r w:rsidRPr="00AC6623">
              <w:t>136 (117 to 146)</w:t>
            </w:r>
          </w:p>
          <w:p w:rsidR="00577A14" w:rsidRPr="00AC6623" w:rsidRDefault="00577A14" w:rsidP="00577A14">
            <w:pPr>
              <w:jc w:val="center"/>
            </w:pPr>
            <w:r w:rsidRPr="00AC6623">
              <w:t>75 (65 to 84)</w:t>
            </w:r>
          </w:p>
          <w:p w:rsidR="00577A14" w:rsidRPr="00AC6623" w:rsidRDefault="00577A14" w:rsidP="00577A14">
            <w:pPr>
              <w:jc w:val="center"/>
            </w:pPr>
            <w:r w:rsidRPr="00AC6623">
              <w:t>5 (3 to 7)</w:t>
            </w:r>
          </w:p>
        </w:tc>
      </w:tr>
      <w:tr w:rsidR="00577A14" w:rsidTr="0020630A">
        <w:tc>
          <w:tcPr>
            <w:tcW w:w="3964" w:type="dxa"/>
          </w:tcPr>
          <w:p w:rsidR="00577A14" w:rsidRPr="00AC6623" w:rsidRDefault="00577A14" w:rsidP="00975261">
            <w:pPr>
              <w:rPr>
                <w:b/>
              </w:rPr>
            </w:pPr>
            <w:r w:rsidRPr="00AC6623">
              <w:rPr>
                <w:b/>
              </w:rPr>
              <w:t>Laboratory and radiology</w:t>
            </w:r>
          </w:p>
        </w:tc>
        <w:tc>
          <w:tcPr>
            <w:tcW w:w="2268" w:type="dxa"/>
          </w:tcPr>
          <w:p w:rsidR="00577A14" w:rsidRPr="00AC6623" w:rsidRDefault="00577A14" w:rsidP="00577A14">
            <w:pPr>
              <w:jc w:val="center"/>
            </w:pPr>
          </w:p>
        </w:tc>
        <w:tc>
          <w:tcPr>
            <w:tcW w:w="1985" w:type="dxa"/>
          </w:tcPr>
          <w:p w:rsidR="00577A14" w:rsidRPr="00AC6623" w:rsidRDefault="00577A14" w:rsidP="00577A14">
            <w:pPr>
              <w:jc w:val="center"/>
            </w:pPr>
          </w:p>
        </w:tc>
        <w:tc>
          <w:tcPr>
            <w:tcW w:w="1984" w:type="dxa"/>
          </w:tcPr>
          <w:p w:rsidR="00577A14" w:rsidRPr="00AC6623" w:rsidRDefault="00577A14" w:rsidP="00577A14">
            <w:pPr>
              <w:jc w:val="center"/>
            </w:pPr>
          </w:p>
        </w:tc>
        <w:tc>
          <w:tcPr>
            <w:tcW w:w="2127" w:type="dxa"/>
          </w:tcPr>
          <w:p w:rsidR="00577A14" w:rsidRPr="00AC6623" w:rsidRDefault="00577A14" w:rsidP="00577A14">
            <w:pPr>
              <w:jc w:val="center"/>
            </w:pPr>
          </w:p>
        </w:tc>
      </w:tr>
      <w:tr w:rsidR="00577A14" w:rsidTr="0020630A">
        <w:tc>
          <w:tcPr>
            <w:tcW w:w="3964" w:type="dxa"/>
          </w:tcPr>
          <w:p w:rsidR="00577A14" w:rsidRPr="00AC6623" w:rsidRDefault="00E411BB" w:rsidP="00577A14">
            <w:r>
              <w:t>CRP (</w:t>
            </w:r>
            <w:r w:rsidR="00577A14" w:rsidRPr="00AC6623">
              <w:t>mg/L</w:t>
            </w:r>
            <w:r>
              <w:t>)</w:t>
            </w:r>
          </w:p>
          <w:p w:rsidR="00577A14" w:rsidRPr="00AC6623" w:rsidRDefault="00577A14" w:rsidP="00577A14">
            <w:r w:rsidRPr="00AC6623">
              <w:t>WCC (10</w:t>
            </w:r>
            <w:r w:rsidRPr="00AC6623">
              <w:rPr>
                <w:vertAlign w:val="superscript"/>
              </w:rPr>
              <w:t>9</w:t>
            </w:r>
            <w:r w:rsidRPr="00AC6623">
              <w:t>/L</w:t>
            </w:r>
            <w:r w:rsidR="00E411BB">
              <w:t>)</w:t>
            </w:r>
          </w:p>
          <w:p w:rsidR="00577A14" w:rsidRPr="00AC6623" w:rsidRDefault="00577A14" w:rsidP="00577A14">
            <w:r w:rsidRPr="00AC6623">
              <w:t>Neutrophils (10</w:t>
            </w:r>
            <w:r w:rsidRPr="00AC6623">
              <w:rPr>
                <w:vertAlign w:val="superscript"/>
              </w:rPr>
              <w:t>9</w:t>
            </w:r>
            <w:r w:rsidRPr="00AC6623">
              <w:t>/L</w:t>
            </w:r>
            <w:r w:rsidR="00E411BB">
              <w:t>)</w:t>
            </w:r>
          </w:p>
          <w:p w:rsidR="00577A14" w:rsidRPr="00AC6623" w:rsidRDefault="00577A14" w:rsidP="00577A14">
            <w:r w:rsidRPr="00AC6623">
              <w:t>Lymphocytes (10</w:t>
            </w:r>
            <w:r w:rsidRPr="00AC6623">
              <w:rPr>
                <w:vertAlign w:val="superscript"/>
              </w:rPr>
              <w:t>9</w:t>
            </w:r>
            <w:r w:rsidRPr="00AC6623">
              <w:t>/L</w:t>
            </w:r>
            <w:r w:rsidR="00E411BB">
              <w:t>)</w:t>
            </w:r>
          </w:p>
          <w:p w:rsidR="00577A14" w:rsidRDefault="00E411BB" w:rsidP="00577A14">
            <w:r>
              <w:t>CXR</w:t>
            </w:r>
          </w:p>
          <w:p w:rsidR="00E411BB" w:rsidRDefault="00E411BB" w:rsidP="00577A14">
            <w:r>
              <w:t xml:space="preserve">   Yes</w:t>
            </w:r>
          </w:p>
          <w:p w:rsidR="00E411BB" w:rsidRPr="00AC6623" w:rsidRDefault="00E411BB" w:rsidP="00577A14">
            <w:r>
              <w:t xml:space="preserve">   No</w:t>
            </w:r>
          </w:p>
          <w:p w:rsidR="00577A14" w:rsidRDefault="00E411BB" w:rsidP="00577A14">
            <w:r>
              <w:t xml:space="preserve">CT chest </w:t>
            </w:r>
          </w:p>
          <w:p w:rsidR="00E411BB" w:rsidRDefault="00E411BB" w:rsidP="00577A14">
            <w:r>
              <w:t xml:space="preserve">   Yes</w:t>
            </w:r>
          </w:p>
          <w:p w:rsidR="00E411BB" w:rsidRPr="00AC6623" w:rsidRDefault="00E411BB" w:rsidP="00577A14">
            <w:r>
              <w:t xml:space="preserve">   No</w:t>
            </w:r>
          </w:p>
        </w:tc>
        <w:tc>
          <w:tcPr>
            <w:tcW w:w="2268" w:type="dxa"/>
          </w:tcPr>
          <w:p w:rsidR="00577A14" w:rsidRPr="00AC6623" w:rsidRDefault="00577A14" w:rsidP="00577A14">
            <w:pPr>
              <w:jc w:val="center"/>
            </w:pPr>
            <w:r w:rsidRPr="00AC6623">
              <w:t>48 (13 to 127)</w:t>
            </w:r>
          </w:p>
          <w:p w:rsidR="00577A14" w:rsidRPr="00AC6623" w:rsidRDefault="00577A14" w:rsidP="00577A14">
            <w:pPr>
              <w:jc w:val="center"/>
            </w:pPr>
            <w:r w:rsidRPr="00AC6623">
              <w:t>10</w:t>
            </w:r>
            <w:r w:rsidR="000748C4">
              <w:rPr>
                <w:rFonts w:cstheme="minorHAnsi"/>
              </w:rPr>
              <w:t>·</w:t>
            </w:r>
            <w:r w:rsidRPr="00AC6623">
              <w:t>5 (7</w:t>
            </w:r>
            <w:r w:rsidR="000748C4">
              <w:rPr>
                <w:rFonts w:cstheme="minorHAnsi"/>
              </w:rPr>
              <w:t>·</w:t>
            </w:r>
            <w:r w:rsidRPr="00AC6623">
              <w:t>9 to 14</w:t>
            </w:r>
            <w:r w:rsidR="000748C4">
              <w:rPr>
                <w:rFonts w:cstheme="minorHAnsi"/>
              </w:rPr>
              <w:t>·</w:t>
            </w:r>
            <w:r w:rsidRPr="00AC6623">
              <w:t>6)</w:t>
            </w:r>
          </w:p>
          <w:p w:rsidR="00577A14" w:rsidRPr="00AC6623" w:rsidRDefault="00577A14" w:rsidP="00577A14">
            <w:pPr>
              <w:jc w:val="center"/>
            </w:pPr>
            <w:r w:rsidRPr="00AC6623">
              <w:t>8</w:t>
            </w:r>
            <w:r w:rsidR="000748C4">
              <w:rPr>
                <w:rFonts w:cstheme="minorHAnsi"/>
              </w:rPr>
              <w:t>·</w:t>
            </w:r>
            <w:r w:rsidRPr="00AC6623">
              <w:t>1 (5</w:t>
            </w:r>
            <w:r w:rsidR="000748C4">
              <w:rPr>
                <w:rFonts w:cstheme="minorHAnsi"/>
              </w:rPr>
              <w:t>·</w:t>
            </w:r>
            <w:r w:rsidRPr="00AC6623">
              <w:t>8 to 12</w:t>
            </w:r>
            <w:r w:rsidR="000748C4">
              <w:rPr>
                <w:rFonts w:cstheme="minorHAnsi"/>
              </w:rPr>
              <w:t>·</w:t>
            </w:r>
            <w:r w:rsidRPr="00AC6623">
              <w:t>1)</w:t>
            </w:r>
          </w:p>
          <w:p w:rsidR="00577A14" w:rsidRDefault="00577A14" w:rsidP="00577A14">
            <w:pPr>
              <w:jc w:val="center"/>
            </w:pPr>
            <w:r w:rsidRPr="00AC6623">
              <w:t>1</w:t>
            </w:r>
            <w:r w:rsidR="000748C4">
              <w:rPr>
                <w:rFonts w:cstheme="minorHAnsi"/>
              </w:rPr>
              <w:t>·</w:t>
            </w:r>
            <w:r w:rsidRPr="00AC6623">
              <w:t>1 (0</w:t>
            </w:r>
            <w:r w:rsidR="000748C4">
              <w:rPr>
                <w:rFonts w:cstheme="minorHAnsi"/>
              </w:rPr>
              <w:t>·</w:t>
            </w:r>
            <w:r w:rsidRPr="00AC6623">
              <w:t>7 to 1</w:t>
            </w:r>
            <w:r w:rsidR="000748C4">
              <w:rPr>
                <w:rFonts w:cstheme="minorHAnsi"/>
              </w:rPr>
              <w:t>·</w:t>
            </w:r>
            <w:r w:rsidRPr="00AC6623">
              <w:t>6)</w:t>
            </w:r>
          </w:p>
          <w:p w:rsidR="00572561" w:rsidRPr="00AC6623" w:rsidRDefault="00572561" w:rsidP="00577A14">
            <w:pPr>
              <w:jc w:val="center"/>
            </w:pPr>
          </w:p>
          <w:p w:rsidR="00577A14" w:rsidRPr="00AC6623" w:rsidRDefault="00577A14" w:rsidP="00577A14">
            <w:pPr>
              <w:jc w:val="center"/>
            </w:pPr>
            <w:r w:rsidRPr="00AC6623">
              <w:t>302 (98</w:t>
            </w:r>
            <w:r w:rsidR="005762D6">
              <w:t>%</w:t>
            </w:r>
            <w:r w:rsidRPr="00AC6623">
              <w:t>)</w:t>
            </w:r>
          </w:p>
          <w:p w:rsidR="00577A14" w:rsidRDefault="00572561" w:rsidP="00577A14">
            <w:pPr>
              <w:jc w:val="center"/>
            </w:pPr>
            <w:r>
              <w:t>5 (2</w:t>
            </w:r>
            <w:r w:rsidR="005762D6">
              <w:t>%</w:t>
            </w:r>
            <w:r w:rsidR="00577A14" w:rsidRPr="00AC6623">
              <w:t>)</w:t>
            </w:r>
          </w:p>
          <w:p w:rsidR="00572561" w:rsidRDefault="00572561" w:rsidP="00577A14">
            <w:pPr>
              <w:jc w:val="center"/>
            </w:pPr>
          </w:p>
          <w:p w:rsidR="00572561" w:rsidRDefault="00572561" w:rsidP="00577A14">
            <w:pPr>
              <w:jc w:val="center"/>
            </w:pPr>
            <w:r>
              <w:t>19 (6</w:t>
            </w:r>
            <w:r w:rsidR="005762D6">
              <w:t>%</w:t>
            </w:r>
            <w:r>
              <w:t>)</w:t>
            </w:r>
          </w:p>
          <w:p w:rsidR="00572561" w:rsidRPr="00AC6623" w:rsidRDefault="00572561" w:rsidP="00572561">
            <w:pPr>
              <w:jc w:val="center"/>
            </w:pPr>
            <w:r>
              <w:t>288 (94</w:t>
            </w:r>
            <w:r w:rsidR="005762D6">
              <w:t>%</w:t>
            </w:r>
            <w:r>
              <w:t>)</w:t>
            </w:r>
          </w:p>
        </w:tc>
        <w:tc>
          <w:tcPr>
            <w:tcW w:w="1985" w:type="dxa"/>
          </w:tcPr>
          <w:p w:rsidR="00577A14" w:rsidRPr="00AC6623" w:rsidRDefault="00577A14" w:rsidP="00577A14">
            <w:pPr>
              <w:jc w:val="center"/>
            </w:pPr>
            <w:r w:rsidRPr="00AC6623">
              <w:t>38 (14 to 99)</w:t>
            </w:r>
          </w:p>
          <w:p w:rsidR="00577A14" w:rsidRPr="00AC6623" w:rsidRDefault="00577A14" w:rsidP="00577A14">
            <w:pPr>
              <w:jc w:val="center"/>
            </w:pPr>
            <w:r w:rsidRPr="00AC6623">
              <w:t>9</w:t>
            </w:r>
            <w:r w:rsidR="000748C4">
              <w:rPr>
                <w:rFonts w:cstheme="minorHAnsi"/>
              </w:rPr>
              <w:t>·</w:t>
            </w:r>
            <w:r w:rsidRPr="00AC6623">
              <w:t>9 (7</w:t>
            </w:r>
            <w:r w:rsidR="000748C4">
              <w:rPr>
                <w:rFonts w:cstheme="minorHAnsi"/>
              </w:rPr>
              <w:t>·</w:t>
            </w:r>
            <w:r w:rsidRPr="00AC6623">
              <w:t>3 to 13</w:t>
            </w:r>
            <w:r w:rsidR="000748C4">
              <w:rPr>
                <w:rFonts w:cstheme="minorHAnsi"/>
              </w:rPr>
              <w:t>·</w:t>
            </w:r>
            <w:r w:rsidRPr="00AC6623">
              <w:t>3)</w:t>
            </w:r>
          </w:p>
          <w:p w:rsidR="00577A14" w:rsidRPr="00AC6623" w:rsidRDefault="00577A14" w:rsidP="00577A14">
            <w:pPr>
              <w:jc w:val="center"/>
            </w:pPr>
            <w:r w:rsidRPr="00AC6623">
              <w:t>7</w:t>
            </w:r>
            <w:r w:rsidR="000748C4">
              <w:rPr>
                <w:rFonts w:cstheme="minorHAnsi"/>
              </w:rPr>
              <w:t>·</w:t>
            </w:r>
            <w:r w:rsidRPr="00AC6623">
              <w:t>8 (5</w:t>
            </w:r>
            <w:r w:rsidR="000748C4">
              <w:rPr>
                <w:rFonts w:cstheme="minorHAnsi"/>
              </w:rPr>
              <w:t>·</w:t>
            </w:r>
            <w:r w:rsidRPr="00AC6623">
              <w:t>2 to 10</w:t>
            </w:r>
            <w:r w:rsidR="000748C4">
              <w:rPr>
                <w:rFonts w:cstheme="minorHAnsi"/>
              </w:rPr>
              <w:t>·</w:t>
            </w:r>
            <w:r w:rsidRPr="00AC6623">
              <w:t>9)</w:t>
            </w:r>
          </w:p>
          <w:p w:rsidR="00577A14" w:rsidRDefault="00577A14" w:rsidP="00577A14">
            <w:pPr>
              <w:jc w:val="center"/>
            </w:pPr>
            <w:r w:rsidRPr="00AC6623">
              <w:t>1</w:t>
            </w:r>
            <w:r w:rsidR="000748C4">
              <w:rPr>
                <w:rFonts w:cstheme="minorHAnsi"/>
              </w:rPr>
              <w:t>·</w:t>
            </w:r>
            <w:r w:rsidRPr="00AC6623">
              <w:t>1 (0</w:t>
            </w:r>
            <w:r w:rsidR="000748C4">
              <w:rPr>
                <w:rFonts w:cstheme="minorHAnsi"/>
              </w:rPr>
              <w:t>·</w:t>
            </w:r>
            <w:r w:rsidRPr="00AC6623">
              <w:t>7 to 1</w:t>
            </w:r>
            <w:r w:rsidR="000748C4">
              <w:rPr>
                <w:rFonts w:cstheme="minorHAnsi"/>
              </w:rPr>
              <w:t>·</w:t>
            </w:r>
            <w:r w:rsidRPr="00AC6623">
              <w:t>7)</w:t>
            </w:r>
          </w:p>
          <w:p w:rsidR="00572561" w:rsidRPr="00AC6623" w:rsidRDefault="00572561" w:rsidP="00577A14">
            <w:pPr>
              <w:jc w:val="center"/>
            </w:pPr>
          </w:p>
          <w:p w:rsidR="00577A14" w:rsidRPr="00AC6623" w:rsidRDefault="00577A14" w:rsidP="00577A14">
            <w:pPr>
              <w:jc w:val="center"/>
            </w:pPr>
            <w:r w:rsidRPr="00AC6623">
              <w:t>299 (98</w:t>
            </w:r>
            <w:r w:rsidR="005762D6">
              <w:t>%</w:t>
            </w:r>
            <w:r w:rsidRPr="00AC6623">
              <w:t>)</w:t>
            </w:r>
          </w:p>
          <w:p w:rsidR="00577A14" w:rsidRDefault="00577A14" w:rsidP="00577A14">
            <w:pPr>
              <w:jc w:val="center"/>
            </w:pPr>
            <w:r w:rsidRPr="00AC6623">
              <w:t>25 (8</w:t>
            </w:r>
            <w:r w:rsidR="005762D6">
              <w:t>%</w:t>
            </w:r>
            <w:r w:rsidRPr="00AC6623">
              <w:t>)</w:t>
            </w:r>
          </w:p>
          <w:p w:rsidR="00572561" w:rsidRDefault="00572561" w:rsidP="00577A14">
            <w:pPr>
              <w:jc w:val="center"/>
            </w:pPr>
          </w:p>
          <w:p w:rsidR="00572561" w:rsidRDefault="00572561" w:rsidP="00577A14">
            <w:pPr>
              <w:jc w:val="center"/>
            </w:pPr>
            <w:r>
              <w:t>25 (8</w:t>
            </w:r>
            <w:r w:rsidR="005762D6">
              <w:t>%</w:t>
            </w:r>
            <w:r>
              <w:t>)</w:t>
            </w:r>
          </w:p>
          <w:p w:rsidR="00572561" w:rsidRPr="00AC6623" w:rsidRDefault="00572561" w:rsidP="00572561">
            <w:pPr>
              <w:jc w:val="center"/>
            </w:pPr>
            <w:r w:rsidRPr="00572561">
              <w:t>281 (92</w:t>
            </w:r>
            <w:r w:rsidR="005762D6">
              <w:t>%</w:t>
            </w:r>
            <w:r w:rsidRPr="00572561">
              <w:t>)</w:t>
            </w:r>
          </w:p>
        </w:tc>
        <w:tc>
          <w:tcPr>
            <w:tcW w:w="1984" w:type="dxa"/>
          </w:tcPr>
          <w:p w:rsidR="00577A14" w:rsidRPr="00AC6623" w:rsidRDefault="00577A14" w:rsidP="00577A14">
            <w:pPr>
              <w:jc w:val="center"/>
            </w:pPr>
            <w:r w:rsidRPr="00AC6623">
              <w:t>51 (17 to 138)</w:t>
            </w:r>
          </w:p>
          <w:p w:rsidR="00577A14" w:rsidRPr="00AC6623" w:rsidRDefault="00577A14" w:rsidP="00577A14">
            <w:pPr>
              <w:jc w:val="center"/>
            </w:pPr>
            <w:r w:rsidRPr="00AC6623">
              <w:t>8</w:t>
            </w:r>
            <w:r w:rsidR="000748C4">
              <w:rPr>
                <w:rFonts w:cstheme="minorHAnsi"/>
              </w:rPr>
              <w:t>·</w:t>
            </w:r>
            <w:r w:rsidRPr="00AC6623">
              <w:t>7 (6</w:t>
            </w:r>
            <w:r w:rsidR="000748C4">
              <w:rPr>
                <w:rFonts w:cstheme="minorHAnsi"/>
              </w:rPr>
              <w:t>·</w:t>
            </w:r>
            <w:r w:rsidRPr="00AC6623">
              <w:t>7 to 11</w:t>
            </w:r>
            <w:r w:rsidR="000748C4">
              <w:rPr>
                <w:rFonts w:cstheme="minorHAnsi"/>
              </w:rPr>
              <w:t>·</w:t>
            </w:r>
            <w:r w:rsidRPr="00AC6623">
              <w:t>5)</w:t>
            </w:r>
          </w:p>
          <w:p w:rsidR="00577A14" w:rsidRPr="00AC6623" w:rsidRDefault="00577A14" w:rsidP="00577A14">
            <w:pPr>
              <w:jc w:val="center"/>
            </w:pPr>
            <w:r w:rsidRPr="00AC6623">
              <w:t>6</w:t>
            </w:r>
            <w:r w:rsidR="000748C4">
              <w:rPr>
                <w:rFonts w:cstheme="minorHAnsi"/>
              </w:rPr>
              <w:t>·</w:t>
            </w:r>
            <w:r w:rsidRPr="00AC6623">
              <w:t>6 (5</w:t>
            </w:r>
            <w:r w:rsidR="000748C4">
              <w:rPr>
                <w:rFonts w:cstheme="minorHAnsi"/>
              </w:rPr>
              <w:t>·</w:t>
            </w:r>
            <w:r w:rsidRPr="00AC6623">
              <w:t>1 to 9</w:t>
            </w:r>
            <w:r w:rsidR="000748C4">
              <w:rPr>
                <w:rFonts w:cstheme="minorHAnsi"/>
              </w:rPr>
              <w:t>·</w:t>
            </w:r>
            <w:r w:rsidRPr="00AC6623">
              <w:t>6)</w:t>
            </w:r>
          </w:p>
          <w:p w:rsidR="00577A14" w:rsidRDefault="00577A14" w:rsidP="00577A14">
            <w:pPr>
              <w:jc w:val="center"/>
            </w:pPr>
            <w:r w:rsidRPr="00AC6623">
              <w:t>0</w:t>
            </w:r>
            <w:r w:rsidR="000748C4">
              <w:rPr>
                <w:rFonts w:cstheme="minorHAnsi"/>
              </w:rPr>
              <w:t>·</w:t>
            </w:r>
            <w:r w:rsidRPr="00AC6623">
              <w:t>9 (0</w:t>
            </w:r>
            <w:r w:rsidR="000748C4">
              <w:rPr>
                <w:rFonts w:cstheme="minorHAnsi"/>
              </w:rPr>
              <w:t>·</w:t>
            </w:r>
            <w:r w:rsidRPr="00AC6623">
              <w:t>6 to 1</w:t>
            </w:r>
            <w:r w:rsidR="000748C4">
              <w:rPr>
                <w:rFonts w:cstheme="minorHAnsi"/>
              </w:rPr>
              <w:t>·</w:t>
            </w:r>
            <w:r w:rsidRPr="00AC6623">
              <w:t>4)</w:t>
            </w:r>
          </w:p>
          <w:p w:rsidR="00975261" w:rsidRPr="00AC6623" w:rsidRDefault="00975261" w:rsidP="00577A14">
            <w:pPr>
              <w:jc w:val="center"/>
            </w:pPr>
          </w:p>
          <w:p w:rsidR="00577A14" w:rsidRPr="00AC6623" w:rsidRDefault="00577A14" w:rsidP="00577A14">
            <w:pPr>
              <w:jc w:val="center"/>
            </w:pPr>
            <w:r w:rsidRPr="00AC6623">
              <w:t>98 (98</w:t>
            </w:r>
            <w:r w:rsidR="005762D6">
              <w:t>%</w:t>
            </w:r>
            <w:r w:rsidRPr="00AC6623">
              <w:t>)</w:t>
            </w:r>
          </w:p>
          <w:p w:rsidR="00577A14" w:rsidRDefault="00577A14" w:rsidP="00577A14">
            <w:pPr>
              <w:jc w:val="center"/>
            </w:pPr>
            <w:r w:rsidRPr="00AC6623">
              <w:t>2 (2</w:t>
            </w:r>
            <w:r w:rsidR="005762D6">
              <w:t>%</w:t>
            </w:r>
            <w:r w:rsidRPr="00AC6623">
              <w:t>)</w:t>
            </w:r>
          </w:p>
          <w:p w:rsidR="00975261" w:rsidRDefault="00975261" w:rsidP="00577A14">
            <w:pPr>
              <w:jc w:val="center"/>
            </w:pPr>
          </w:p>
          <w:p w:rsidR="00975261" w:rsidRDefault="00975261" w:rsidP="00577A14">
            <w:pPr>
              <w:jc w:val="center"/>
            </w:pPr>
            <w:r>
              <w:t>2 (2</w:t>
            </w:r>
            <w:r w:rsidR="005762D6">
              <w:t>%</w:t>
            </w:r>
            <w:r>
              <w:t>)</w:t>
            </w:r>
          </w:p>
          <w:p w:rsidR="00975261" w:rsidRPr="00AC6623" w:rsidRDefault="00975261" w:rsidP="00975261">
            <w:pPr>
              <w:jc w:val="center"/>
            </w:pPr>
            <w:r>
              <w:t>98 (98</w:t>
            </w:r>
            <w:r w:rsidR="005762D6">
              <w:t>%</w:t>
            </w:r>
            <w:r>
              <w:t xml:space="preserve">) </w:t>
            </w:r>
          </w:p>
        </w:tc>
        <w:tc>
          <w:tcPr>
            <w:tcW w:w="2127" w:type="dxa"/>
          </w:tcPr>
          <w:p w:rsidR="00577A14" w:rsidRPr="00AC6623" w:rsidRDefault="00577A14" w:rsidP="00577A14">
            <w:pPr>
              <w:jc w:val="center"/>
            </w:pPr>
            <w:r w:rsidRPr="00AC6623">
              <w:t>49 (18 to 98)</w:t>
            </w:r>
          </w:p>
          <w:p w:rsidR="00577A14" w:rsidRPr="00AC6623" w:rsidRDefault="00577A14" w:rsidP="00577A14">
            <w:pPr>
              <w:jc w:val="center"/>
            </w:pPr>
            <w:r w:rsidRPr="00AC6623">
              <w:t>8</w:t>
            </w:r>
            <w:r w:rsidR="000748C4">
              <w:rPr>
                <w:rFonts w:cstheme="minorHAnsi"/>
              </w:rPr>
              <w:t>·</w:t>
            </w:r>
            <w:r w:rsidRPr="00AC6623">
              <w:t>1 (5</w:t>
            </w:r>
            <w:r w:rsidR="000748C4">
              <w:rPr>
                <w:rFonts w:cstheme="minorHAnsi"/>
              </w:rPr>
              <w:t>·</w:t>
            </w:r>
            <w:r w:rsidRPr="00AC6623">
              <w:t>8 to 11</w:t>
            </w:r>
            <w:r w:rsidR="000748C4">
              <w:rPr>
                <w:rFonts w:cstheme="minorHAnsi"/>
              </w:rPr>
              <w:t>·</w:t>
            </w:r>
            <w:r w:rsidRPr="00AC6623">
              <w:t>0)</w:t>
            </w:r>
          </w:p>
          <w:p w:rsidR="00577A14" w:rsidRPr="00AC6623" w:rsidRDefault="00577A14" w:rsidP="00577A14">
            <w:pPr>
              <w:jc w:val="center"/>
            </w:pPr>
            <w:r w:rsidRPr="00AC6623">
              <w:t>6</w:t>
            </w:r>
            <w:r w:rsidR="000748C4">
              <w:rPr>
                <w:rFonts w:cstheme="minorHAnsi"/>
              </w:rPr>
              <w:t>·</w:t>
            </w:r>
            <w:r w:rsidRPr="00AC6623">
              <w:t>0 (4</w:t>
            </w:r>
            <w:r w:rsidR="000748C4">
              <w:rPr>
                <w:rFonts w:cstheme="minorHAnsi"/>
              </w:rPr>
              <w:t>·</w:t>
            </w:r>
            <w:r w:rsidRPr="00AC6623">
              <w:t>0 to 8</w:t>
            </w:r>
            <w:r w:rsidR="000748C4">
              <w:rPr>
                <w:rFonts w:cstheme="minorHAnsi"/>
              </w:rPr>
              <w:t>·</w:t>
            </w:r>
            <w:r w:rsidRPr="00AC6623">
              <w:t>1)</w:t>
            </w:r>
          </w:p>
          <w:p w:rsidR="00577A14" w:rsidRDefault="00577A14" w:rsidP="00577A14">
            <w:pPr>
              <w:jc w:val="center"/>
            </w:pPr>
            <w:r w:rsidRPr="00AC6623">
              <w:t>0</w:t>
            </w:r>
            <w:r w:rsidR="000748C4">
              <w:rPr>
                <w:rFonts w:cstheme="minorHAnsi"/>
              </w:rPr>
              <w:t>·</w:t>
            </w:r>
            <w:r w:rsidRPr="00AC6623">
              <w:t>8 (0</w:t>
            </w:r>
            <w:r w:rsidR="000748C4">
              <w:rPr>
                <w:rFonts w:cstheme="minorHAnsi"/>
              </w:rPr>
              <w:t>·</w:t>
            </w:r>
            <w:r w:rsidRPr="00AC6623">
              <w:t>6 to 1</w:t>
            </w:r>
            <w:r w:rsidR="000748C4">
              <w:rPr>
                <w:rFonts w:cstheme="minorHAnsi"/>
              </w:rPr>
              <w:t>·</w:t>
            </w:r>
            <w:r w:rsidRPr="00AC6623">
              <w:t>4)</w:t>
            </w:r>
          </w:p>
          <w:p w:rsidR="00975261" w:rsidRPr="00AC6623" w:rsidRDefault="00975261" w:rsidP="00577A14">
            <w:pPr>
              <w:jc w:val="center"/>
            </w:pPr>
          </w:p>
          <w:p w:rsidR="00577A14" w:rsidRPr="00AC6623" w:rsidRDefault="00577A14" w:rsidP="00577A14">
            <w:pPr>
              <w:jc w:val="center"/>
            </w:pPr>
            <w:r w:rsidRPr="00AC6623">
              <w:t>102 (100</w:t>
            </w:r>
            <w:r w:rsidR="005762D6">
              <w:t>%</w:t>
            </w:r>
            <w:r w:rsidRPr="00AC6623">
              <w:t>)</w:t>
            </w:r>
          </w:p>
          <w:p w:rsidR="00577A14" w:rsidRDefault="00975261" w:rsidP="00577A14">
            <w:pPr>
              <w:jc w:val="center"/>
            </w:pPr>
            <w:r>
              <w:t>0 (0)</w:t>
            </w:r>
          </w:p>
          <w:p w:rsidR="00975261" w:rsidRDefault="00975261" w:rsidP="00577A14">
            <w:pPr>
              <w:jc w:val="center"/>
            </w:pPr>
          </w:p>
          <w:p w:rsidR="00975261" w:rsidRDefault="00975261" w:rsidP="00577A14">
            <w:pPr>
              <w:jc w:val="center"/>
            </w:pPr>
            <w:r>
              <w:t>4 (4</w:t>
            </w:r>
            <w:r w:rsidR="005762D6">
              <w:t>%</w:t>
            </w:r>
            <w:r>
              <w:t>)</w:t>
            </w:r>
          </w:p>
          <w:p w:rsidR="00975261" w:rsidRPr="00AC6623" w:rsidRDefault="00975261" w:rsidP="00577A14">
            <w:pPr>
              <w:jc w:val="center"/>
            </w:pPr>
            <w:r>
              <w:t>98 (96</w:t>
            </w:r>
            <w:r w:rsidR="005762D6">
              <w:t>%</w:t>
            </w:r>
            <w:r>
              <w:t>)</w:t>
            </w:r>
          </w:p>
        </w:tc>
      </w:tr>
      <w:tr w:rsidR="00577A14" w:rsidTr="0020630A">
        <w:tc>
          <w:tcPr>
            <w:tcW w:w="3964" w:type="dxa"/>
          </w:tcPr>
          <w:p w:rsidR="00577A14" w:rsidRPr="00AC6623" w:rsidRDefault="00577A14" w:rsidP="00577A14">
            <w:pPr>
              <w:rPr>
                <w:b/>
              </w:rPr>
            </w:pPr>
            <w:r>
              <w:rPr>
                <w:b/>
              </w:rPr>
              <w:t xml:space="preserve">Final Diagnosis </w:t>
            </w:r>
          </w:p>
        </w:tc>
        <w:tc>
          <w:tcPr>
            <w:tcW w:w="2268" w:type="dxa"/>
          </w:tcPr>
          <w:p w:rsidR="00577A14" w:rsidRPr="00AC6623" w:rsidRDefault="00577A14" w:rsidP="00577A14">
            <w:pPr>
              <w:jc w:val="center"/>
            </w:pPr>
          </w:p>
        </w:tc>
        <w:tc>
          <w:tcPr>
            <w:tcW w:w="1985" w:type="dxa"/>
          </w:tcPr>
          <w:p w:rsidR="00577A14" w:rsidRPr="00AC6623" w:rsidRDefault="00577A14" w:rsidP="00577A14">
            <w:pPr>
              <w:jc w:val="center"/>
            </w:pPr>
          </w:p>
        </w:tc>
        <w:tc>
          <w:tcPr>
            <w:tcW w:w="1984" w:type="dxa"/>
          </w:tcPr>
          <w:p w:rsidR="00577A14" w:rsidRPr="00AC6623" w:rsidRDefault="00577A14" w:rsidP="00577A14">
            <w:pPr>
              <w:jc w:val="center"/>
            </w:pPr>
          </w:p>
        </w:tc>
        <w:tc>
          <w:tcPr>
            <w:tcW w:w="2127" w:type="dxa"/>
          </w:tcPr>
          <w:p w:rsidR="00577A14" w:rsidRPr="00AC6623" w:rsidRDefault="00577A14" w:rsidP="00577A14">
            <w:pPr>
              <w:jc w:val="center"/>
            </w:pPr>
          </w:p>
        </w:tc>
      </w:tr>
      <w:tr w:rsidR="00577A14" w:rsidTr="0020630A">
        <w:tc>
          <w:tcPr>
            <w:tcW w:w="3964" w:type="dxa"/>
          </w:tcPr>
          <w:p w:rsidR="00577A14" w:rsidRPr="00AC6623" w:rsidRDefault="00E411BB" w:rsidP="00577A14">
            <w:r>
              <w:t xml:space="preserve">   Asthma</w:t>
            </w:r>
          </w:p>
          <w:p w:rsidR="00577A14" w:rsidRPr="00AC6623" w:rsidRDefault="00E411BB" w:rsidP="00577A14">
            <w:r>
              <w:t xml:space="preserve">   </w:t>
            </w:r>
            <w:r w:rsidR="00577A14" w:rsidRPr="00AC6623">
              <w:t xml:space="preserve">COPD exacerbation </w:t>
            </w:r>
          </w:p>
          <w:p w:rsidR="00577A14" w:rsidRPr="00AC6623" w:rsidRDefault="00E411BB" w:rsidP="00577A14">
            <w:r>
              <w:t xml:space="preserve">   </w:t>
            </w:r>
            <w:r w:rsidR="00577A14" w:rsidRPr="00AC6623">
              <w:t>Exacerbation other chronic lung dis</w:t>
            </w:r>
            <w:r w:rsidR="0020630A">
              <w:t>ease</w:t>
            </w:r>
            <w:r w:rsidR="00577A14" w:rsidRPr="00AC6623">
              <w:t xml:space="preserve"> </w:t>
            </w:r>
          </w:p>
          <w:p w:rsidR="00577A14" w:rsidRPr="00AC6623" w:rsidRDefault="00E411BB" w:rsidP="00577A14">
            <w:r>
              <w:t xml:space="preserve">   </w:t>
            </w:r>
            <w:r w:rsidR="00577A14" w:rsidRPr="00AC6623">
              <w:t xml:space="preserve">Pneumonia </w:t>
            </w:r>
          </w:p>
          <w:p w:rsidR="00577A14" w:rsidRPr="00AC6623" w:rsidRDefault="00E411BB" w:rsidP="00577A14">
            <w:r>
              <w:lastRenderedPageBreak/>
              <w:t xml:space="preserve">   Influenza-like illness</w:t>
            </w:r>
          </w:p>
          <w:p w:rsidR="00577A14" w:rsidRPr="00AC6623" w:rsidRDefault="00E411BB" w:rsidP="00577A14">
            <w:r>
              <w:t xml:space="preserve">   </w:t>
            </w:r>
            <w:r w:rsidR="00577A14" w:rsidRPr="00AC6623">
              <w:t xml:space="preserve">NPLRTI </w:t>
            </w:r>
          </w:p>
          <w:p w:rsidR="00577A14" w:rsidRPr="00AC6623" w:rsidRDefault="00E411BB" w:rsidP="00E411BB">
            <w:pPr>
              <w:rPr>
                <w:u w:val="single"/>
              </w:rPr>
            </w:pPr>
            <w:r>
              <w:t xml:space="preserve">   </w:t>
            </w:r>
            <w:r w:rsidR="00577A14" w:rsidRPr="00AC6623">
              <w:t xml:space="preserve">Other </w:t>
            </w:r>
          </w:p>
        </w:tc>
        <w:tc>
          <w:tcPr>
            <w:tcW w:w="2268" w:type="dxa"/>
          </w:tcPr>
          <w:p w:rsidR="00577A14" w:rsidRPr="00AC6623" w:rsidRDefault="00577A14" w:rsidP="00577A14">
            <w:pPr>
              <w:jc w:val="center"/>
            </w:pPr>
            <w:r w:rsidRPr="00AC6623">
              <w:lastRenderedPageBreak/>
              <w:t>59 (19</w:t>
            </w:r>
            <w:r w:rsidR="00697562">
              <w:t>%</w:t>
            </w:r>
            <w:r w:rsidRPr="00AC6623">
              <w:t>)</w:t>
            </w:r>
          </w:p>
          <w:p w:rsidR="008A2262" w:rsidRPr="00AC6623" w:rsidRDefault="00577A14" w:rsidP="00572561">
            <w:pPr>
              <w:jc w:val="center"/>
            </w:pPr>
            <w:r w:rsidRPr="00AC6623">
              <w:t>77 (25</w:t>
            </w:r>
            <w:r w:rsidR="00697562">
              <w:t>%</w:t>
            </w:r>
            <w:r w:rsidRPr="00AC6623">
              <w:t>)</w:t>
            </w:r>
          </w:p>
          <w:p w:rsidR="00577A14" w:rsidRPr="00AC6623" w:rsidRDefault="00577A14" w:rsidP="00577A14">
            <w:pPr>
              <w:jc w:val="center"/>
            </w:pPr>
            <w:r w:rsidRPr="00AC6623">
              <w:t>8 (3</w:t>
            </w:r>
            <w:r w:rsidR="00697562">
              <w:t>%</w:t>
            </w:r>
            <w:r w:rsidRPr="00AC6623">
              <w:t>)</w:t>
            </w:r>
          </w:p>
          <w:p w:rsidR="00577A14" w:rsidRPr="00AC6623" w:rsidRDefault="00577A14" w:rsidP="00577A14">
            <w:pPr>
              <w:jc w:val="center"/>
            </w:pPr>
            <w:r w:rsidRPr="00AC6623">
              <w:t>88 (29</w:t>
            </w:r>
            <w:r w:rsidR="00697562">
              <w:t>%</w:t>
            </w:r>
            <w:r w:rsidRPr="00AC6623">
              <w:t>)</w:t>
            </w:r>
          </w:p>
          <w:p w:rsidR="00577A14" w:rsidRPr="00AC6623" w:rsidRDefault="00577A14" w:rsidP="00577A14">
            <w:pPr>
              <w:jc w:val="center"/>
            </w:pPr>
            <w:r w:rsidRPr="00AC6623">
              <w:lastRenderedPageBreak/>
              <w:t>27 (9</w:t>
            </w:r>
            <w:r w:rsidR="00697562">
              <w:t>%</w:t>
            </w:r>
            <w:r w:rsidRPr="00AC6623">
              <w:t>)</w:t>
            </w:r>
          </w:p>
          <w:p w:rsidR="00577A14" w:rsidRPr="00AC6623" w:rsidRDefault="00577A14" w:rsidP="00577A14">
            <w:pPr>
              <w:jc w:val="center"/>
            </w:pPr>
            <w:r w:rsidRPr="00AC6623">
              <w:t>31 (10</w:t>
            </w:r>
            <w:r w:rsidR="00697562">
              <w:t>%</w:t>
            </w:r>
            <w:r w:rsidRPr="00AC6623">
              <w:t>)</w:t>
            </w:r>
          </w:p>
          <w:p w:rsidR="00577A14" w:rsidRPr="00AC6623" w:rsidRDefault="00577A14" w:rsidP="00577A14">
            <w:pPr>
              <w:jc w:val="center"/>
            </w:pPr>
            <w:r w:rsidRPr="00AC6623">
              <w:t>17 (6</w:t>
            </w:r>
            <w:r w:rsidR="00697562">
              <w:t>%</w:t>
            </w:r>
            <w:r w:rsidRPr="00AC6623">
              <w:t>)</w:t>
            </w:r>
          </w:p>
        </w:tc>
        <w:tc>
          <w:tcPr>
            <w:tcW w:w="1985" w:type="dxa"/>
          </w:tcPr>
          <w:p w:rsidR="00577A14" w:rsidRPr="00AC6623" w:rsidRDefault="00577A14" w:rsidP="00577A14">
            <w:pPr>
              <w:jc w:val="center"/>
            </w:pPr>
            <w:r w:rsidRPr="00AC6623">
              <w:lastRenderedPageBreak/>
              <w:t>55 (18</w:t>
            </w:r>
            <w:r w:rsidR="00697562">
              <w:t>%</w:t>
            </w:r>
            <w:r w:rsidRPr="00AC6623">
              <w:t>)</w:t>
            </w:r>
          </w:p>
          <w:p w:rsidR="008A2262" w:rsidRPr="00AC6623" w:rsidRDefault="00577A14" w:rsidP="00572561">
            <w:pPr>
              <w:jc w:val="center"/>
            </w:pPr>
            <w:r w:rsidRPr="00AC6623">
              <w:t>79 (26</w:t>
            </w:r>
            <w:r w:rsidR="00697562">
              <w:t>%</w:t>
            </w:r>
            <w:r w:rsidRPr="00AC6623">
              <w:t>)</w:t>
            </w:r>
          </w:p>
          <w:p w:rsidR="00577A14" w:rsidRPr="00AC6623" w:rsidRDefault="00577A14" w:rsidP="00577A14">
            <w:pPr>
              <w:jc w:val="center"/>
            </w:pPr>
            <w:r w:rsidRPr="00AC6623">
              <w:t>9 (3</w:t>
            </w:r>
            <w:r w:rsidR="00697562">
              <w:t>%</w:t>
            </w:r>
            <w:r w:rsidRPr="00AC6623">
              <w:t>)</w:t>
            </w:r>
          </w:p>
          <w:p w:rsidR="00577A14" w:rsidRPr="00AC6623" w:rsidRDefault="00577A14" w:rsidP="00577A14">
            <w:pPr>
              <w:jc w:val="center"/>
            </w:pPr>
            <w:r w:rsidRPr="00AC6623">
              <w:t>71 (23</w:t>
            </w:r>
            <w:r w:rsidR="00697562">
              <w:t>%</w:t>
            </w:r>
            <w:r w:rsidRPr="00AC6623">
              <w:t>)</w:t>
            </w:r>
          </w:p>
          <w:p w:rsidR="00577A14" w:rsidRPr="00AC6623" w:rsidRDefault="00577A14" w:rsidP="00577A14">
            <w:pPr>
              <w:jc w:val="center"/>
            </w:pPr>
            <w:r w:rsidRPr="00AC6623">
              <w:lastRenderedPageBreak/>
              <w:t>38 (12</w:t>
            </w:r>
            <w:r w:rsidR="00697562">
              <w:t>%</w:t>
            </w:r>
            <w:r w:rsidRPr="00AC6623">
              <w:t>)</w:t>
            </w:r>
          </w:p>
          <w:p w:rsidR="00577A14" w:rsidRPr="00AC6623" w:rsidRDefault="00577A14" w:rsidP="00577A14">
            <w:pPr>
              <w:jc w:val="center"/>
            </w:pPr>
            <w:r w:rsidRPr="00AC6623">
              <w:t>38 (12</w:t>
            </w:r>
            <w:r w:rsidR="00697562">
              <w:t>%</w:t>
            </w:r>
            <w:r w:rsidRPr="00AC6623">
              <w:t>)</w:t>
            </w:r>
          </w:p>
          <w:p w:rsidR="00577A14" w:rsidRPr="00AC6623" w:rsidRDefault="00577A14" w:rsidP="00577A14">
            <w:pPr>
              <w:jc w:val="center"/>
            </w:pPr>
            <w:r w:rsidRPr="00AC6623">
              <w:t>16 (5</w:t>
            </w:r>
            <w:r w:rsidR="00697562">
              <w:t>%</w:t>
            </w:r>
            <w:r w:rsidRPr="00AC6623">
              <w:t>)</w:t>
            </w:r>
          </w:p>
        </w:tc>
        <w:tc>
          <w:tcPr>
            <w:tcW w:w="1984" w:type="dxa"/>
          </w:tcPr>
          <w:p w:rsidR="00577A14" w:rsidRPr="00AC6623" w:rsidRDefault="00577A14" w:rsidP="00577A14">
            <w:pPr>
              <w:jc w:val="center"/>
            </w:pPr>
            <w:r w:rsidRPr="00AC6623">
              <w:lastRenderedPageBreak/>
              <w:t>22 (22</w:t>
            </w:r>
            <w:r w:rsidR="00697562">
              <w:t>%</w:t>
            </w:r>
            <w:r w:rsidRPr="00AC6623">
              <w:t>)</w:t>
            </w:r>
          </w:p>
          <w:p w:rsidR="008A2262" w:rsidRPr="00AC6623" w:rsidRDefault="00577A14" w:rsidP="00572561">
            <w:pPr>
              <w:jc w:val="center"/>
            </w:pPr>
            <w:r w:rsidRPr="00AC6623">
              <w:t>19 (19</w:t>
            </w:r>
            <w:r w:rsidR="00697562">
              <w:t>%</w:t>
            </w:r>
            <w:r w:rsidRPr="00AC6623">
              <w:t>)</w:t>
            </w:r>
          </w:p>
          <w:p w:rsidR="00577A14" w:rsidRPr="00AC6623" w:rsidRDefault="00577A14" w:rsidP="00577A14">
            <w:pPr>
              <w:jc w:val="center"/>
            </w:pPr>
            <w:r w:rsidRPr="00AC6623">
              <w:t>2 (2</w:t>
            </w:r>
            <w:r w:rsidR="00697562">
              <w:t>%</w:t>
            </w:r>
            <w:r w:rsidRPr="00AC6623">
              <w:t>)</w:t>
            </w:r>
          </w:p>
          <w:p w:rsidR="00577A14" w:rsidRPr="00AC6623" w:rsidRDefault="00577A14" w:rsidP="00577A14">
            <w:pPr>
              <w:jc w:val="center"/>
            </w:pPr>
            <w:r w:rsidRPr="00AC6623">
              <w:t>23 (23</w:t>
            </w:r>
            <w:r w:rsidR="00697562">
              <w:t>%</w:t>
            </w:r>
            <w:r w:rsidRPr="00AC6623">
              <w:t>)</w:t>
            </w:r>
          </w:p>
          <w:p w:rsidR="00577A14" w:rsidRPr="00AC6623" w:rsidRDefault="00577A14" w:rsidP="00577A14">
            <w:pPr>
              <w:jc w:val="center"/>
            </w:pPr>
            <w:r w:rsidRPr="00AC6623">
              <w:lastRenderedPageBreak/>
              <w:t>21 (21</w:t>
            </w:r>
            <w:r w:rsidR="00697562">
              <w:t>%</w:t>
            </w:r>
            <w:r w:rsidRPr="00AC6623">
              <w:t>)</w:t>
            </w:r>
          </w:p>
          <w:p w:rsidR="00577A14" w:rsidRPr="00AC6623" w:rsidRDefault="00577A14" w:rsidP="00577A14">
            <w:pPr>
              <w:jc w:val="center"/>
            </w:pPr>
            <w:r w:rsidRPr="00AC6623">
              <w:t>12 (12</w:t>
            </w:r>
            <w:r w:rsidR="00697562">
              <w:t>%</w:t>
            </w:r>
            <w:r w:rsidRPr="00AC6623">
              <w:t>)</w:t>
            </w:r>
          </w:p>
          <w:p w:rsidR="00577A14" w:rsidRPr="00AC6623" w:rsidRDefault="00577A14" w:rsidP="00577A14">
            <w:pPr>
              <w:jc w:val="center"/>
            </w:pPr>
            <w:r w:rsidRPr="00AC6623">
              <w:t>1 (1</w:t>
            </w:r>
            <w:r w:rsidR="00697562">
              <w:t>%</w:t>
            </w:r>
            <w:r w:rsidRPr="00AC6623">
              <w:t>)</w:t>
            </w:r>
          </w:p>
        </w:tc>
        <w:tc>
          <w:tcPr>
            <w:tcW w:w="2127" w:type="dxa"/>
          </w:tcPr>
          <w:p w:rsidR="00577A14" w:rsidRPr="00AC6623" w:rsidRDefault="00577A14" w:rsidP="00577A14">
            <w:pPr>
              <w:jc w:val="center"/>
            </w:pPr>
            <w:r w:rsidRPr="00AC6623">
              <w:lastRenderedPageBreak/>
              <w:t>14 (14</w:t>
            </w:r>
            <w:r w:rsidR="00697562">
              <w:t>%</w:t>
            </w:r>
            <w:r w:rsidRPr="00AC6623">
              <w:t>)</w:t>
            </w:r>
          </w:p>
          <w:p w:rsidR="008A2262" w:rsidRPr="00AC6623" w:rsidRDefault="00577A14" w:rsidP="00572561">
            <w:pPr>
              <w:jc w:val="center"/>
            </w:pPr>
            <w:r w:rsidRPr="00AC6623">
              <w:t>23 (23</w:t>
            </w:r>
            <w:r w:rsidR="00697562">
              <w:t>%</w:t>
            </w:r>
            <w:r w:rsidRPr="00AC6623">
              <w:t>)</w:t>
            </w:r>
          </w:p>
          <w:p w:rsidR="00577A14" w:rsidRPr="00AC6623" w:rsidRDefault="00577A14" w:rsidP="00577A14">
            <w:pPr>
              <w:jc w:val="center"/>
            </w:pPr>
            <w:r w:rsidRPr="00AC6623">
              <w:t>1 (1</w:t>
            </w:r>
            <w:r w:rsidR="00697562">
              <w:t>%</w:t>
            </w:r>
            <w:r w:rsidRPr="00AC6623">
              <w:t>)</w:t>
            </w:r>
          </w:p>
          <w:p w:rsidR="00577A14" w:rsidRPr="00AC6623" w:rsidRDefault="00577A14" w:rsidP="00577A14">
            <w:pPr>
              <w:jc w:val="center"/>
            </w:pPr>
            <w:r w:rsidRPr="00AC6623">
              <w:t>20 (20</w:t>
            </w:r>
            <w:r w:rsidR="00697562">
              <w:t>%</w:t>
            </w:r>
            <w:r w:rsidRPr="00AC6623">
              <w:t>)</w:t>
            </w:r>
          </w:p>
          <w:p w:rsidR="00577A14" w:rsidRPr="00AC6623" w:rsidRDefault="00577A14" w:rsidP="00577A14">
            <w:pPr>
              <w:jc w:val="center"/>
            </w:pPr>
            <w:r w:rsidRPr="00AC6623">
              <w:lastRenderedPageBreak/>
              <w:t>32 (31</w:t>
            </w:r>
            <w:r w:rsidR="00697562">
              <w:t>%</w:t>
            </w:r>
            <w:r w:rsidRPr="00AC6623">
              <w:t>)</w:t>
            </w:r>
          </w:p>
          <w:p w:rsidR="00577A14" w:rsidRPr="00AC6623" w:rsidRDefault="00577A14" w:rsidP="00577A14">
            <w:pPr>
              <w:jc w:val="center"/>
            </w:pPr>
            <w:r w:rsidRPr="00AC6623">
              <w:t>11 (11</w:t>
            </w:r>
            <w:r w:rsidR="00697562">
              <w:t>%</w:t>
            </w:r>
            <w:r w:rsidRPr="00AC6623">
              <w:t>)</w:t>
            </w:r>
          </w:p>
          <w:p w:rsidR="00577A14" w:rsidRPr="00AC6623" w:rsidRDefault="00577A14" w:rsidP="00577A14">
            <w:pPr>
              <w:jc w:val="center"/>
            </w:pPr>
            <w:r w:rsidRPr="00AC6623">
              <w:t>1 (1</w:t>
            </w:r>
            <w:r w:rsidR="00697562">
              <w:t>%</w:t>
            </w:r>
            <w:r w:rsidRPr="00AC6623">
              <w:t>)</w:t>
            </w:r>
          </w:p>
        </w:tc>
      </w:tr>
    </w:tbl>
    <w:p w:rsidR="00975261" w:rsidRDefault="00697562" w:rsidP="00697562">
      <w:pPr>
        <w:spacing w:after="0" w:line="240" w:lineRule="auto"/>
        <w:rPr>
          <w:bCs/>
        </w:rPr>
      </w:pPr>
      <w:r w:rsidRPr="000525EF">
        <w:rPr>
          <w:bCs/>
        </w:rPr>
        <w:lastRenderedPageBreak/>
        <w:t>Data are n (%) or median (IQR</w:t>
      </w:r>
      <w:r>
        <w:rPr>
          <w:bCs/>
        </w:rPr>
        <w:t>). NEWS2=</w:t>
      </w:r>
      <w:r w:rsidRPr="00697562">
        <w:rPr>
          <w:bCs/>
        </w:rPr>
        <w:t>nati</w:t>
      </w:r>
      <w:r>
        <w:rPr>
          <w:bCs/>
        </w:rPr>
        <w:t>onal early warning score 2, CRP=C-reactive protein, WCC=white cell count, CXR=</w:t>
      </w:r>
      <w:r w:rsidRPr="00697562">
        <w:rPr>
          <w:bCs/>
        </w:rPr>
        <w:t xml:space="preserve">chest X-ray, </w:t>
      </w:r>
    </w:p>
    <w:p w:rsidR="00975261" w:rsidRDefault="00697562" w:rsidP="00697562">
      <w:pPr>
        <w:spacing w:after="0" w:line="240" w:lineRule="auto"/>
        <w:rPr>
          <w:rFonts w:cstheme="minorHAnsi"/>
          <w:bCs/>
        </w:rPr>
      </w:pPr>
      <w:r>
        <w:rPr>
          <w:bCs/>
        </w:rPr>
        <w:t>COPD=</w:t>
      </w:r>
      <w:r w:rsidRPr="00697562">
        <w:rPr>
          <w:bCs/>
        </w:rPr>
        <w:t>chronic obstructive airways disease</w:t>
      </w:r>
      <w:r>
        <w:rPr>
          <w:bCs/>
        </w:rPr>
        <w:t>, NPLRTI=</w:t>
      </w:r>
      <w:r w:rsidRPr="00697562">
        <w:rPr>
          <w:bCs/>
        </w:rPr>
        <w:t>non-pneumonic lower respiratory tract infection</w:t>
      </w:r>
      <w:r w:rsidR="00975261">
        <w:rPr>
          <w:b/>
          <w:bCs/>
        </w:rPr>
        <w:t xml:space="preserve">. </w:t>
      </w:r>
      <w:r w:rsidR="00C1688E">
        <w:rPr>
          <w:rFonts w:cstheme="minorHAnsi"/>
          <w:bCs/>
        </w:rPr>
        <w:t>*</w:t>
      </w:r>
      <w:r w:rsidRPr="00697562">
        <w:rPr>
          <w:rFonts w:cstheme="minorHAnsi"/>
          <w:bCs/>
        </w:rPr>
        <w:t xml:space="preserve">For the current influenza season. </w:t>
      </w:r>
    </w:p>
    <w:p w:rsidR="00577A14" w:rsidRPr="00975261" w:rsidRDefault="00C1688E" w:rsidP="00697562">
      <w:pPr>
        <w:spacing w:after="0" w:line="240" w:lineRule="auto"/>
        <w:rPr>
          <w:rFonts w:cstheme="minorHAnsi"/>
          <w:bCs/>
        </w:rPr>
        <w:sectPr w:rsidR="00577A14" w:rsidRPr="00975261" w:rsidSect="00572561">
          <w:pgSz w:w="16838" w:h="11906" w:orient="landscape"/>
          <w:pgMar w:top="1440" w:right="1440" w:bottom="1440" w:left="1440" w:header="709" w:footer="709" w:gutter="0"/>
          <w:cols w:space="708"/>
          <w:docGrid w:linePitch="360"/>
        </w:sectPr>
      </w:pPr>
      <w:r w:rsidRPr="00697562">
        <w:rPr>
          <w:rFonts w:cstheme="minorHAnsi"/>
          <w:bCs/>
        </w:rPr>
        <w:t>†</w:t>
      </w:r>
      <w:r w:rsidR="00697562" w:rsidRPr="00697562">
        <w:rPr>
          <w:rFonts w:cstheme="minorHAnsi"/>
          <w:bCs/>
        </w:rPr>
        <w:t>Prior to admission to hospital.</w:t>
      </w:r>
    </w:p>
    <w:p w:rsidR="00577A14" w:rsidRDefault="007040D8" w:rsidP="00577A14">
      <w:pPr>
        <w:spacing w:after="0" w:line="480" w:lineRule="auto"/>
        <w:jc w:val="both"/>
        <w:rPr>
          <w:b/>
          <w:bCs/>
          <w:sz w:val="24"/>
          <w:szCs w:val="24"/>
        </w:rPr>
      </w:pPr>
      <w:r w:rsidRPr="007040D8">
        <w:rPr>
          <w:b/>
          <w:bCs/>
          <w:i/>
          <w:sz w:val="24"/>
          <w:szCs w:val="24"/>
        </w:rPr>
        <w:lastRenderedPageBreak/>
        <w:t>Table 2</w:t>
      </w:r>
      <w:r>
        <w:rPr>
          <w:b/>
          <w:bCs/>
          <w:sz w:val="24"/>
          <w:szCs w:val="24"/>
        </w:rPr>
        <w:t>:</w:t>
      </w:r>
      <w:r w:rsidR="00577A14" w:rsidRPr="00CE6AE8">
        <w:rPr>
          <w:b/>
          <w:bCs/>
          <w:sz w:val="24"/>
          <w:szCs w:val="24"/>
        </w:rPr>
        <w:t xml:space="preserve"> </w:t>
      </w:r>
      <w:r w:rsidR="00577A14" w:rsidRPr="007040D8">
        <w:rPr>
          <w:b/>
          <w:bCs/>
          <w:sz w:val="24"/>
          <w:szCs w:val="24"/>
        </w:rPr>
        <w:t>Influenza testing, antiviral use and isolation facility use in all patients (ITT</w:t>
      </w:r>
      <w:r w:rsidR="00CE181B">
        <w:rPr>
          <w:b/>
          <w:bCs/>
          <w:sz w:val="24"/>
          <w:szCs w:val="24"/>
        </w:rPr>
        <w:t xml:space="preserve"> population</w:t>
      </w:r>
      <w:r w:rsidR="00577A14" w:rsidRPr="007040D8">
        <w:rPr>
          <w:b/>
          <w:bCs/>
          <w:sz w:val="24"/>
          <w:szCs w:val="24"/>
        </w:rPr>
        <w:t>).</w:t>
      </w:r>
    </w:p>
    <w:tbl>
      <w:tblPr>
        <w:tblStyle w:val="TableGrid"/>
        <w:tblW w:w="9067" w:type="dxa"/>
        <w:tblLook w:val="04A0" w:firstRow="1" w:lastRow="0" w:firstColumn="1" w:lastColumn="0" w:noHBand="0" w:noVBand="1"/>
      </w:tblPr>
      <w:tblGrid>
        <w:gridCol w:w="2830"/>
        <w:gridCol w:w="1560"/>
        <w:gridCol w:w="1559"/>
        <w:gridCol w:w="2126"/>
        <w:gridCol w:w="992"/>
      </w:tblGrid>
      <w:tr w:rsidR="00577A14" w:rsidRPr="004632B1" w:rsidTr="00577A14">
        <w:tc>
          <w:tcPr>
            <w:tcW w:w="2830" w:type="dxa"/>
          </w:tcPr>
          <w:p w:rsidR="00577A14" w:rsidRDefault="00577A14" w:rsidP="00577A14">
            <w:pPr>
              <w:rPr>
                <w:b/>
              </w:rPr>
            </w:pPr>
            <w:r w:rsidRPr="004632B1">
              <w:rPr>
                <w:b/>
              </w:rPr>
              <w:t>Outcome</w:t>
            </w:r>
          </w:p>
          <w:p w:rsidR="007040D8" w:rsidRPr="004632B1" w:rsidRDefault="007040D8" w:rsidP="00577A14">
            <w:pPr>
              <w:rPr>
                <w:b/>
              </w:rPr>
            </w:pPr>
          </w:p>
        </w:tc>
        <w:tc>
          <w:tcPr>
            <w:tcW w:w="1560" w:type="dxa"/>
          </w:tcPr>
          <w:p w:rsidR="00577A14" w:rsidRPr="004632B1" w:rsidRDefault="00577A14" w:rsidP="007040D8">
            <w:pPr>
              <w:jc w:val="center"/>
              <w:rPr>
                <w:b/>
              </w:rPr>
            </w:pPr>
            <w:r w:rsidRPr="004632B1">
              <w:rPr>
                <w:b/>
              </w:rPr>
              <w:t>mPOCT</w:t>
            </w:r>
          </w:p>
          <w:p w:rsidR="00577A14" w:rsidRDefault="00577A14" w:rsidP="007040D8">
            <w:pPr>
              <w:jc w:val="center"/>
            </w:pPr>
            <w:r>
              <w:rPr>
                <w:b/>
              </w:rPr>
              <w:t>(</w:t>
            </w:r>
            <w:r w:rsidR="007040D8">
              <w:rPr>
                <w:b/>
              </w:rPr>
              <w:t>n</w:t>
            </w:r>
            <w:r w:rsidRPr="004632B1">
              <w:rPr>
                <w:b/>
              </w:rPr>
              <w:t>=307</w:t>
            </w:r>
            <w:r>
              <w:rPr>
                <w:b/>
              </w:rPr>
              <w:t>)</w:t>
            </w:r>
          </w:p>
        </w:tc>
        <w:tc>
          <w:tcPr>
            <w:tcW w:w="1559" w:type="dxa"/>
          </w:tcPr>
          <w:p w:rsidR="00577A14" w:rsidRPr="004632B1" w:rsidRDefault="00577A14" w:rsidP="007040D8">
            <w:pPr>
              <w:jc w:val="center"/>
              <w:rPr>
                <w:b/>
              </w:rPr>
            </w:pPr>
            <w:r w:rsidRPr="004632B1">
              <w:rPr>
                <w:b/>
              </w:rPr>
              <w:t>Control</w:t>
            </w:r>
          </w:p>
          <w:p w:rsidR="00577A14" w:rsidRDefault="00577A14" w:rsidP="007040D8">
            <w:pPr>
              <w:jc w:val="center"/>
            </w:pPr>
            <w:r>
              <w:rPr>
                <w:b/>
              </w:rPr>
              <w:t>(</w:t>
            </w:r>
            <w:r w:rsidR="007040D8">
              <w:rPr>
                <w:b/>
              </w:rPr>
              <w:t>n</w:t>
            </w:r>
            <w:r w:rsidRPr="004632B1">
              <w:rPr>
                <w:b/>
              </w:rPr>
              <w:t>=306</w:t>
            </w:r>
            <w:r>
              <w:rPr>
                <w:b/>
              </w:rPr>
              <w:t>)</w:t>
            </w:r>
          </w:p>
        </w:tc>
        <w:tc>
          <w:tcPr>
            <w:tcW w:w="2126" w:type="dxa"/>
          </w:tcPr>
          <w:p w:rsidR="00577A14" w:rsidRPr="004632B1" w:rsidRDefault="00577A14" w:rsidP="007040D8">
            <w:pPr>
              <w:jc w:val="center"/>
              <w:rPr>
                <w:b/>
              </w:rPr>
            </w:pPr>
            <w:r>
              <w:rPr>
                <w:b/>
              </w:rPr>
              <w:t xml:space="preserve">Difference or Relative Risk </w:t>
            </w:r>
            <w:r w:rsidRPr="004632B1">
              <w:rPr>
                <w:b/>
              </w:rPr>
              <w:t>(</w:t>
            </w:r>
            <w:r w:rsidRPr="00E0743B">
              <w:rPr>
                <w:b/>
                <w:sz w:val="20"/>
                <w:szCs w:val="20"/>
              </w:rPr>
              <w:t>95% CI)</w:t>
            </w:r>
          </w:p>
        </w:tc>
        <w:tc>
          <w:tcPr>
            <w:tcW w:w="992" w:type="dxa"/>
          </w:tcPr>
          <w:p w:rsidR="00577A14" w:rsidRPr="004632B1" w:rsidRDefault="007040D8" w:rsidP="00577A14">
            <w:pPr>
              <w:rPr>
                <w:b/>
              </w:rPr>
            </w:pPr>
            <w:r>
              <w:rPr>
                <w:b/>
              </w:rPr>
              <w:t>p</w:t>
            </w:r>
            <w:r w:rsidR="00577A14" w:rsidRPr="004632B1">
              <w:rPr>
                <w:b/>
              </w:rPr>
              <w:t xml:space="preserve"> value </w:t>
            </w:r>
          </w:p>
        </w:tc>
      </w:tr>
      <w:tr w:rsidR="00577A14" w:rsidTr="00577A14">
        <w:tc>
          <w:tcPr>
            <w:tcW w:w="2830" w:type="dxa"/>
          </w:tcPr>
          <w:p w:rsidR="00577A14" w:rsidRDefault="00577A14" w:rsidP="00E411BB">
            <w:r>
              <w:t xml:space="preserve">Tested </w:t>
            </w:r>
            <w:r w:rsidR="00E411BB">
              <w:t>for influenza during admission</w:t>
            </w:r>
          </w:p>
        </w:tc>
        <w:tc>
          <w:tcPr>
            <w:tcW w:w="1560" w:type="dxa"/>
          </w:tcPr>
          <w:p w:rsidR="00577A14" w:rsidRDefault="00577A14" w:rsidP="00577A14">
            <w:pPr>
              <w:jc w:val="center"/>
            </w:pPr>
            <w:r>
              <w:t>307 (100</w:t>
            </w:r>
            <w:r w:rsidR="0066012F">
              <w:t>%</w:t>
            </w:r>
            <w:r>
              <w:t>)</w:t>
            </w:r>
          </w:p>
        </w:tc>
        <w:tc>
          <w:tcPr>
            <w:tcW w:w="1559" w:type="dxa"/>
          </w:tcPr>
          <w:p w:rsidR="00577A14" w:rsidRDefault="0066012F" w:rsidP="00577A14">
            <w:pPr>
              <w:jc w:val="center"/>
            </w:pPr>
            <w:r>
              <w:t>212 (69%</w:t>
            </w:r>
            <w:r w:rsidR="00577A14">
              <w:t>)</w:t>
            </w:r>
          </w:p>
        </w:tc>
        <w:tc>
          <w:tcPr>
            <w:tcW w:w="2126" w:type="dxa"/>
          </w:tcPr>
          <w:p w:rsidR="00577A14" w:rsidRDefault="00577A14" w:rsidP="005A6847">
            <w:pPr>
              <w:jc w:val="center"/>
            </w:pPr>
            <w:r>
              <w:t>1</w:t>
            </w:r>
            <w:r w:rsidR="005A6847">
              <w:rPr>
                <w:rFonts w:cstheme="minorHAnsi"/>
              </w:rPr>
              <w:t>·</w:t>
            </w:r>
            <w:r>
              <w:t>4 (1</w:t>
            </w:r>
            <w:r w:rsidR="005A6847">
              <w:rPr>
                <w:rFonts w:cstheme="minorHAnsi"/>
              </w:rPr>
              <w:t>·</w:t>
            </w:r>
            <w:r>
              <w:t>4 to 1</w:t>
            </w:r>
            <w:r w:rsidR="005A6847">
              <w:rPr>
                <w:rFonts w:cstheme="minorHAnsi"/>
              </w:rPr>
              <w:t>·</w:t>
            </w:r>
            <w:r>
              <w:t>5)</w:t>
            </w:r>
          </w:p>
        </w:tc>
        <w:tc>
          <w:tcPr>
            <w:tcW w:w="992" w:type="dxa"/>
          </w:tcPr>
          <w:p w:rsidR="00577A14" w:rsidRDefault="00577A14" w:rsidP="005A6847">
            <w:pPr>
              <w:jc w:val="center"/>
            </w:pPr>
            <w:r>
              <w:t>&lt;0</w:t>
            </w:r>
            <w:r w:rsidR="005A6847">
              <w:rPr>
                <w:rFonts w:cstheme="minorHAnsi"/>
              </w:rPr>
              <w:t>·</w:t>
            </w:r>
            <w:r>
              <w:t>00</w:t>
            </w:r>
            <w:r w:rsidR="00106FBF">
              <w:t>0</w:t>
            </w:r>
            <w:r>
              <w:t>1</w:t>
            </w:r>
          </w:p>
        </w:tc>
      </w:tr>
      <w:tr w:rsidR="00577A14" w:rsidTr="00577A14">
        <w:tc>
          <w:tcPr>
            <w:tcW w:w="2830" w:type="dxa"/>
          </w:tcPr>
          <w:p w:rsidR="00577A14" w:rsidRDefault="00E411BB" w:rsidP="00E411BB">
            <w:r>
              <w:t>Turnaround time for results (</w:t>
            </w:r>
            <w:r w:rsidR="00577A14">
              <w:t>h</w:t>
            </w:r>
            <w:r>
              <w:t>ou</w:t>
            </w:r>
            <w:r w:rsidR="00577A14">
              <w:t>rs</w:t>
            </w:r>
            <w:r>
              <w:t>)</w:t>
            </w:r>
            <w:r w:rsidR="00577A14">
              <w:t>*</w:t>
            </w:r>
          </w:p>
        </w:tc>
        <w:tc>
          <w:tcPr>
            <w:tcW w:w="1560" w:type="dxa"/>
          </w:tcPr>
          <w:p w:rsidR="00577A14" w:rsidRPr="00E6241D" w:rsidRDefault="00577A14" w:rsidP="005A6847">
            <w:pPr>
              <w:jc w:val="center"/>
            </w:pPr>
            <w:r>
              <w:t>1</w:t>
            </w:r>
            <w:r w:rsidR="005A6847">
              <w:rPr>
                <w:rFonts w:cstheme="minorHAnsi"/>
              </w:rPr>
              <w:t>·</w:t>
            </w:r>
            <w:r>
              <w:t>2</w:t>
            </w:r>
            <w:r w:rsidRPr="00E6241D">
              <w:t xml:space="preserve"> (</w:t>
            </w:r>
            <w:r>
              <w:t>1</w:t>
            </w:r>
            <w:r w:rsidR="005A6847">
              <w:rPr>
                <w:rFonts w:cstheme="minorHAnsi"/>
              </w:rPr>
              <w:t>·</w:t>
            </w:r>
            <w:r>
              <w:t>1 to 1</w:t>
            </w:r>
            <w:r w:rsidR="005A6847">
              <w:rPr>
                <w:rFonts w:cstheme="minorHAnsi"/>
              </w:rPr>
              <w:t>·</w:t>
            </w:r>
            <w:r>
              <w:t>4</w:t>
            </w:r>
            <w:r w:rsidRPr="00E6241D">
              <w:t>)</w:t>
            </w:r>
          </w:p>
        </w:tc>
        <w:tc>
          <w:tcPr>
            <w:tcW w:w="1559" w:type="dxa"/>
          </w:tcPr>
          <w:p w:rsidR="00577A14" w:rsidRPr="00E6241D" w:rsidRDefault="00577A14" w:rsidP="005A6847">
            <w:pPr>
              <w:jc w:val="center"/>
            </w:pPr>
            <w:r>
              <w:t>22</w:t>
            </w:r>
            <w:r w:rsidR="005A6847">
              <w:rPr>
                <w:rFonts w:cstheme="minorHAnsi"/>
              </w:rPr>
              <w:t>·</w:t>
            </w:r>
            <w:r>
              <w:t>6 (16</w:t>
            </w:r>
            <w:r w:rsidR="005A6847">
              <w:rPr>
                <w:rFonts w:cstheme="minorHAnsi"/>
              </w:rPr>
              <w:t>·</w:t>
            </w:r>
            <w:r>
              <w:t>0 to 28</w:t>
            </w:r>
            <w:r w:rsidR="005A6847">
              <w:rPr>
                <w:rFonts w:cstheme="minorHAnsi"/>
              </w:rPr>
              <w:t>·</w:t>
            </w:r>
            <w:r>
              <w:t>7</w:t>
            </w:r>
            <w:r w:rsidRPr="00E6241D">
              <w:t>)</w:t>
            </w:r>
          </w:p>
        </w:tc>
        <w:tc>
          <w:tcPr>
            <w:tcW w:w="2126" w:type="dxa"/>
          </w:tcPr>
          <w:p w:rsidR="00577A14" w:rsidRDefault="00577A14" w:rsidP="005A6847">
            <w:pPr>
              <w:jc w:val="center"/>
            </w:pPr>
            <w:r>
              <w:t>21</w:t>
            </w:r>
            <w:r w:rsidR="005A6847">
              <w:rPr>
                <w:rFonts w:cstheme="minorHAnsi"/>
              </w:rPr>
              <w:t>·</w:t>
            </w:r>
            <w:r>
              <w:t>4 (20</w:t>
            </w:r>
            <w:r w:rsidR="005A6847">
              <w:rPr>
                <w:rFonts w:cstheme="minorHAnsi"/>
              </w:rPr>
              <w:t>·</w:t>
            </w:r>
            <w:r>
              <w:t>6 to 22</w:t>
            </w:r>
            <w:r w:rsidR="005A6847">
              <w:rPr>
                <w:rFonts w:cstheme="minorHAnsi"/>
              </w:rPr>
              <w:t>·</w:t>
            </w:r>
            <w:r>
              <w:t>4)</w:t>
            </w:r>
          </w:p>
        </w:tc>
        <w:tc>
          <w:tcPr>
            <w:tcW w:w="992" w:type="dxa"/>
          </w:tcPr>
          <w:p w:rsidR="00577A14" w:rsidRDefault="00577A14" w:rsidP="005A6847">
            <w:pPr>
              <w:jc w:val="center"/>
            </w:pPr>
            <w:r>
              <w:t>&lt;0</w:t>
            </w:r>
            <w:r w:rsidR="005A6847">
              <w:rPr>
                <w:rFonts w:cstheme="minorHAnsi"/>
              </w:rPr>
              <w:t>·</w:t>
            </w:r>
            <w:r>
              <w:t>00</w:t>
            </w:r>
            <w:r w:rsidR="00106FBF">
              <w:t>0</w:t>
            </w:r>
            <w:r>
              <w:t>1</w:t>
            </w:r>
          </w:p>
        </w:tc>
      </w:tr>
      <w:tr w:rsidR="00577A14" w:rsidTr="00577A14">
        <w:tc>
          <w:tcPr>
            <w:tcW w:w="2830" w:type="dxa"/>
          </w:tcPr>
          <w:p w:rsidR="00577A14" w:rsidRDefault="00E411BB" w:rsidP="00577A14">
            <w:r>
              <w:t xml:space="preserve">Influenza infected </w:t>
            </w:r>
          </w:p>
          <w:p w:rsidR="00577A14" w:rsidRDefault="00577A14" w:rsidP="00577A14">
            <w:r>
              <w:t xml:space="preserve">   Influenza A </w:t>
            </w:r>
          </w:p>
          <w:p w:rsidR="00577A14" w:rsidRDefault="00577A14" w:rsidP="00577A14">
            <w:r>
              <w:t xml:space="preserve">   Influenza B </w:t>
            </w:r>
          </w:p>
          <w:p w:rsidR="00577A14" w:rsidRDefault="00577A14" w:rsidP="00577A14">
            <w:r>
              <w:t xml:space="preserve">   Influenza A+B</w:t>
            </w:r>
          </w:p>
        </w:tc>
        <w:tc>
          <w:tcPr>
            <w:tcW w:w="1560" w:type="dxa"/>
          </w:tcPr>
          <w:p w:rsidR="00577A14" w:rsidRDefault="0066012F" w:rsidP="00577A14">
            <w:pPr>
              <w:jc w:val="center"/>
            </w:pPr>
            <w:r>
              <w:t>100 (33%</w:t>
            </w:r>
            <w:r w:rsidR="00577A14">
              <w:t>)</w:t>
            </w:r>
          </w:p>
          <w:p w:rsidR="00577A14" w:rsidRDefault="0066012F" w:rsidP="00577A14">
            <w:pPr>
              <w:jc w:val="center"/>
            </w:pPr>
            <w:r>
              <w:t>63/100 (63%</w:t>
            </w:r>
            <w:r w:rsidR="00577A14">
              <w:t>)</w:t>
            </w:r>
          </w:p>
          <w:p w:rsidR="00577A14" w:rsidRDefault="0066012F" w:rsidP="00577A14">
            <w:pPr>
              <w:jc w:val="center"/>
            </w:pPr>
            <w:r>
              <w:t>37/100 (37%</w:t>
            </w:r>
            <w:r w:rsidR="00577A14">
              <w:t>)</w:t>
            </w:r>
          </w:p>
          <w:p w:rsidR="00577A14" w:rsidRDefault="00577A14" w:rsidP="00577A14">
            <w:pPr>
              <w:jc w:val="center"/>
            </w:pPr>
            <w:r>
              <w:t>0/100 (0</w:t>
            </w:r>
            <w:r w:rsidR="0066012F">
              <w:t>%</w:t>
            </w:r>
            <w:r>
              <w:t>)</w:t>
            </w:r>
          </w:p>
        </w:tc>
        <w:tc>
          <w:tcPr>
            <w:tcW w:w="1559" w:type="dxa"/>
          </w:tcPr>
          <w:p w:rsidR="00577A14" w:rsidRDefault="0066012F" w:rsidP="00577A14">
            <w:pPr>
              <w:jc w:val="center"/>
            </w:pPr>
            <w:r>
              <w:t>102 (33%</w:t>
            </w:r>
            <w:r w:rsidR="00577A14">
              <w:t>)</w:t>
            </w:r>
          </w:p>
          <w:p w:rsidR="00577A14" w:rsidRDefault="0066012F" w:rsidP="00577A14">
            <w:pPr>
              <w:jc w:val="center"/>
            </w:pPr>
            <w:r>
              <w:t>76/102 (75%</w:t>
            </w:r>
            <w:r w:rsidR="00577A14">
              <w:t>)</w:t>
            </w:r>
          </w:p>
          <w:p w:rsidR="00577A14" w:rsidRDefault="0066012F" w:rsidP="00577A14">
            <w:pPr>
              <w:jc w:val="center"/>
            </w:pPr>
            <w:r>
              <w:t>24/102 (24%</w:t>
            </w:r>
            <w:r w:rsidR="00577A14">
              <w:t>)</w:t>
            </w:r>
          </w:p>
          <w:p w:rsidR="00577A14" w:rsidRDefault="0066012F" w:rsidP="00577A14">
            <w:pPr>
              <w:jc w:val="center"/>
            </w:pPr>
            <w:r>
              <w:t>2/102 (2%</w:t>
            </w:r>
            <w:r w:rsidR="00577A14">
              <w:t>)</w:t>
            </w:r>
          </w:p>
        </w:tc>
        <w:tc>
          <w:tcPr>
            <w:tcW w:w="2126" w:type="dxa"/>
          </w:tcPr>
          <w:p w:rsidR="00577A14" w:rsidRDefault="00577A14" w:rsidP="005762D6">
            <w:pPr>
              <w:jc w:val="center"/>
            </w:pPr>
            <w:r>
              <w:t>1</w:t>
            </w:r>
            <w:r w:rsidR="005A6847">
              <w:rPr>
                <w:rFonts w:cstheme="minorHAnsi"/>
              </w:rPr>
              <w:t>·</w:t>
            </w:r>
            <w:r>
              <w:t>0 (0</w:t>
            </w:r>
            <w:r w:rsidR="005762D6">
              <w:rPr>
                <w:rFonts w:cstheme="minorHAnsi"/>
              </w:rPr>
              <w:t>·</w:t>
            </w:r>
            <w:r>
              <w:t>9 to 1</w:t>
            </w:r>
            <w:r w:rsidR="005762D6">
              <w:rPr>
                <w:rFonts w:cstheme="minorHAnsi"/>
              </w:rPr>
              <w:t>·</w:t>
            </w:r>
            <w:r>
              <w:t>2)</w:t>
            </w:r>
          </w:p>
        </w:tc>
        <w:tc>
          <w:tcPr>
            <w:tcW w:w="992" w:type="dxa"/>
          </w:tcPr>
          <w:p w:rsidR="00577A14" w:rsidRPr="00EF3529" w:rsidRDefault="00577A14" w:rsidP="00577A14">
            <w:pPr>
              <w:jc w:val="center"/>
            </w:pPr>
            <w:r w:rsidRPr="00EF3529">
              <w:t>0</w:t>
            </w:r>
            <w:r w:rsidR="005A6847">
              <w:rPr>
                <w:rFonts w:cstheme="minorHAnsi"/>
              </w:rPr>
              <w:t>·</w:t>
            </w:r>
            <w:r w:rsidRPr="00EF3529">
              <w:t>86</w:t>
            </w:r>
          </w:p>
          <w:p w:rsidR="00577A14" w:rsidRDefault="00577A14" w:rsidP="00577A14">
            <w:pPr>
              <w:jc w:val="center"/>
            </w:pPr>
          </w:p>
        </w:tc>
      </w:tr>
      <w:tr w:rsidR="00577A14" w:rsidTr="00577A14">
        <w:tc>
          <w:tcPr>
            <w:tcW w:w="2830" w:type="dxa"/>
          </w:tcPr>
          <w:p w:rsidR="00577A14" w:rsidRPr="00DC3978" w:rsidRDefault="00577A14" w:rsidP="00577A14">
            <w:pPr>
              <w:rPr>
                <w:b/>
              </w:rPr>
            </w:pPr>
            <w:r w:rsidRPr="00DC3978">
              <w:rPr>
                <w:b/>
              </w:rPr>
              <w:t>Antiviral use</w:t>
            </w:r>
          </w:p>
        </w:tc>
        <w:tc>
          <w:tcPr>
            <w:tcW w:w="1560" w:type="dxa"/>
          </w:tcPr>
          <w:p w:rsidR="00577A14" w:rsidRDefault="00577A14" w:rsidP="00577A14">
            <w:pPr>
              <w:jc w:val="center"/>
            </w:pPr>
          </w:p>
        </w:tc>
        <w:tc>
          <w:tcPr>
            <w:tcW w:w="1559" w:type="dxa"/>
          </w:tcPr>
          <w:p w:rsidR="00577A14" w:rsidRDefault="00577A14" w:rsidP="00577A14">
            <w:pPr>
              <w:jc w:val="center"/>
            </w:pPr>
          </w:p>
        </w:tc>
        <w:tc>
          <w:tcPr>
            <w:tcW w:w="2126" w:type="dxa"/>
          </w:tcPr>
          <w:p w:rsidR="00577A14" w:rsidRPr="00C63C9B" w:rsidRDefault="00577A14" w:rsidP="00577A14">
            <w:pPr>
              <w:jc w:val="center"/>
            </w:pPr>
          </w:p>
        </w:tc>
        <w:tc>
          <w:tcPr>
            <w:tcW w:w="992" w:type="dxa"/>
          </w:tcPr>
          <w:p w:rsidR="00577A14" w:rsidRDefault="00577A14" w:rsidP="00577A14">
            <w:pPr>
              <w:jc w:val="center"/>
            </w:pPr>
          </w:p>
        </w:tc>
      </w:tr>
      <w:tr w:rsidR="00577A14" w:rsidTr="00577A14">
        <w:tc>
          <w:tcPr>
            <w:tcW w:w="2830" w:type="dxa"/>
          </w:tcPr>
          <w:p w:rsidR="00577A14" w:rsidRPr="00AE3D76" w:rsidRDefault="00CE181B" w:rsidP="00577A14">
            <w:r>
              <w:t>Total a</w:t>
            </w:r>
            <w:r w:rsidR="00577A14" w:rsidRPr="00AE3D76">
              <w:t xml:space="preserve">ntiviral use </w:t>
            </w:r>
          </w:p>
          <w:p w:rsidR="00577A14" w:rsidRDefault="00577A14" w:rsidP="00577A14">
            <w:r>
              <w:t xml:space="preserve">   Oseltamivir</w:t>
            </w:r>
          </w:p>
          <w:p w:rsidR="00577A14" w:rsidRDefault="00577A14" w:rsidP="00577A14">
            <w:r>
              <w:t xml:space="preserve">   Other</w:t>
            </w:r>
          </w:p>
          <w:p w:rsidR="00577A14" w:rsidRDefault="00E411BB" w:rsidP="00577A14">
            <w:r>
              <w:t>Influenza positive patients</w:t>
            </w:r>
          </w:p>
          <w:p w:rsidR="00E411BB" w:rsidRDefault="00E411BB" w:rsidP="00577A14"/>
          <w:p w:rsidR="00577A14" w:rsidRDefault="00E411BB" w:rsidP="00577A14">
            <w:r>
              <w:t>D</w:t>
            </w:r>
            <w:r w:rsidR="00577A14">
              <w:t xml:space="preserve">uration of antivirals </w:t>
            </w:r>
            <w:r>
              <w:t>(days)</w:t>
            </w:r>
          </w:p>
          <w:p w:rsidR="00577A14" w:rsidRDefault="00CE181B" w:rsidP="00577A14">
            <w:r>
              <w:t xml:space="preserve">   All antiviral treated pts</w:t>
            </w:r>
          </w:p>
          <w:p w:rsidR="00577A14" w:rsidRDefault="00577A14" w:rsidP="00577A14">
            <w:r>
              <w:t xml:space="preserve">   </w:t>
            </w:r>
            <w:r w:rsidRPr="0033500E">
              <w:t xml:space="preserve">Influenza positive </w:t>
            </w:r>
          </w:p>
          <w:p w:rsidR="00577A14" w:rsidRDefault="00577A14" w:rsidP="00577A14">
            <w:r>
              <w:t xml:space="preserve">   </w:t>
            </w:r>
            <w:r w:rsidRPr="0033500E">
              <w:t xml:space="preserve">Influenza negative </w:t>
            </w:r>
          </w:p>
        </w:tc>
        <w:tc>
          <w:tcPr>
            <w:tcW w:w="1560" w:type="dxa"/>
          </w:tcPr>
          <w:p w:rsidR="00577A14" w:rsidRDefault="0066012F" w:rsidP="00577A14">
            <w:pPr>
              <w:jc w:val="center"/>
            </w:pPr>
            <w:r>
              <w:t>139 (45%</w:t>
            </w:r>
            <w:r w:rsidR="00577A14">
              <w:t>)</w:t>
            </w:r>
          </w:p>
          <w:p w:rsidR="00577A14" w:rsidRDefault="0066012F" w:rsidP="00577A14">
            <w:pPr>
              <w:jc w:val="center"/>
            </w:pPr>
            <w:r>
              <w:t>139 (45%</w:t>
            </w:r>
            <w:r w:rsidR="00577A14">
              <w:t>)</w:t>
            </w:r>
          </w:p>
          <w:p w:rsidR="00577A14" w:rsidRDefault="00577A14" w:rsidP="00577A14">
            <w:pPr>
              <w:jc w:val="center"/>
            </w:pPr>
            <w:r>
              <w:t>0 (0</w:t>
            </w:r>
            <w:r w:rsidR="0066012F">
              <w:t>%</w:t>
            </w:r>
            <w:r>
              <w:t>)</w:t>
            </w:r>
          </w:p>
          <w:p w:rsidR="00577A14" w:rsidRDefault="0066012F" w:rsidP="00577A14">
            <w:pPr>
              <w:jc w:val="center"/>
            </w:pPr>
            <w:r>
              <w:t>99/139 (71%</w:t>
            </w:r>
            <w:r w:rsidR="00577A14">
              <w:t>)</w:t>
            </w:r>
          </w:p>
          <w:p w:rsidR="00577A14" w:rsidRDefault="00577A14" w:rsidP="00577A14">
            <w:pPr>
              <w:jc w:val="center"/>
            </w:pPr>
          </w:p>
          <w:p w:rsidR="00577A14" w:rsidRDefault="00577A14" w:rsidP="00E411BB"/>
          <w:p w:rsidR="00577A14" w:rsidRDefault="00577A14" w:rsidP="00577A14">
            <w:pPr>
              <w:jc w:val="center"/>
            </w:pPr>
            <w:r w:rsidRPr="00A97F75">
              <w:t>4</w:t>
            </w:r>
            <w:r w:rsidR="005762D6">
              <w:rPr>
                <w:rFonts w:cstheme="minorHAnsi"/>
              </w:rPr>
              <w:t>·</w:t>
            </w:r>
            <w:r w:rsidRPr="00A97F75">
              <w:t>7 (0</w:t>
            </w:r>
            <w:r w:rsidR="005762D6">
              <w:rPr>
                <w:rFonts w:cstheme="minorHAnsi"/>
              </w:rPr>
              <w:t>·</w:t>
            </w:r>
            <w:r w:rsidRPr="00A97F75">
              <w:t>7 to 5</w:t>
            </w:r>
            <w:r w:rsidR="005762D6">
              <w:rPr>
                <w:rFonts w:cstheme="minorHAnsi"/>
              </w:rPr>
              <w:t>·</w:t>
            </w:r>
            <w:r w:rsidRPr="00A97F75">
              <w:t>1)</w:t>
            </w:r>
          </w:p>
          <w:p w:rsidR="00577A14" w:rsidRDefault="00577A14" w:rsidP="00577A14">
            <w:pPr>
              <w:jc w:val="center"/>
            </w:pPr>
            <w:r>
              <w:t>4</w:t>
            </w:r>
            <w:r w:rsidR="005762D6">
              <w:rPr>
                <w:rFonts w:cstheme="minorHAnsi"/>
              </w:rPr>
              <w:t>·</w:t>
            </w:r>
            <w:r>
              <w:t>8 (</w:t>
            </w:r>
            <w:r w:rsidRPr="00A97F75">
              <w:t>4</w:t>
            </w:r>
            <w:r w:rsidR="005762D6">
              <w:rPr>
                <w:rFonts w:cstheme="minorHAnsi"/>
              </w:rPr>
              <w:t>·</w:t>
            </w:r>
            <w:r w:rsidRPr="00A97F75">
              <w:t>6 to 5</w:t>
            </w:r>
            <w:r w:rsidR="005762D6">
              <w:rPr>
                <w:rFonts w:cstheme="minorHAnsi"/>
              </w:rPr>
              <w:t>·</w:t>
            </w:r>
            <w:r w:rsidRPr="00A97F75">
              <w:t>5</w:t>
            </w:r>
            <w:r>
              <w:t>)</w:t>
            </w:r>
          </w:p>
          <w:p w:rsidR="00577A14" w:rsidRDefault="00577A14" w:rsidP="005762D6">
            <w:pPr>
              <w:jc w:val="center"/>
            </w:pPr>
            <w:r>
              <w:t>0</w:t>
            </w:r>
            <w:r w:rsidR="005762D6">
              <w:rPr>
                <w:rFonts w:cstheme="minorHAnsi"/>
              </w:rPr>
              <w:t>·</w:t>
            </w:r>
            <w:r>
              <w:t>1 (0</w:t>
            </w:r>
            <w:r w:rsidR="005762D6">
              <w:rPr>
                <w:rFonts w:cstheme="minorHAnsi"/>
              </w:rPr>
              <w:t>·</w:t>
            </w:r>
            <w:r>
              <w:t>1 to 0</w:t>
            </w:r>
            <w:r w:rsidR="005762D6">
              <w:rPr>
                <w:rFonts w:cstheme="minorHAnsi"/>
              </w:rPr>
              <w:t>·</w:t>
            </w:r>
            <w:r>
              <w:t>5)</w:t>
            </w:r>
          </w:p>
        </w:tc>
        <w:tc>
          <w:tcPr>
            <w:tcW w:w="1559" w:type="dxa"/>
          </w:tcPr>
          <w:p w:rsidR="00577A14" w:rsidRDefault="0066012F" w:rsidP="00577A14">
            <w:pPr>
              <w:jc w:val="center"/>
            </w:pPr>
            <w:r>
              <w:t>130 (43%</w:t>
            </w:r>
            <w:r w:rsidR="00577A14">
              <w:t>)</w:t>
            </w:r>
          </w:p>
          <w:p w:rsidR="00577A14" w:rsidRDefault="0066012F" w:rsidP="00577A14">
            <w:pPr>
              <w:jc w:val="center"/>
            </w:pPr>
            <w:r>
              <w:t>130 (43%</w:t>
            </w:r>
            <w:r w:rsidR="00577A14">
              <w:t>)</w:t>
            </w:r>
          </w:p>
          <w:p w:rsidR="00577A14" w:rsidRDefault="00577A14" w:rsidP="00577A14">
            <w:pPr>
              <w:jc w:val="center"/>
            </w:pPr>
            <w:r>
              <w:t>0 (0</w:t>
            </w:r>
            <w:r w:rsidR="0066012F">
              <w:t>%</w:t>
            </w:r>
            <w:r>
              <w:t>)</w:t>
            </w:r>
          </w:p>
          <w:p w:rsidR="00577A14" w:rsidRDefault="0066012F" w:rsidP="00577A14">
            <w:pPr>
              <w:jc w:val="center"/>
            </w:pPr>
            <w:r>
              <w:t>63/130 (49%</w:t>
            </w:r>
            <w:r w:rsidR="00577A14">
              <w:t>)</w:t>
            </w:r>
          </w:p>
          <w:p w:rsidR="00577A14" w:rsidRDefault="00577A14" w:rsidP="00577A14">
            <w:pPr>
              <w:jc w:val="center"/>
            </w:pPr>
          </w:p>
          <w:p w:rsidR="00577A14" w:rsidRDefault="00577A14" w:rsidP="00E411BB"/>
          <w:p w:rsidR="00577A14" w:rsidRDefault="00577A14" w:rsidP="00577A14">
            <w:pPr>
              <w:jc w:val="center"/>
            </w:pPr>
            <w:r w:rsidRPr="00A97F75">
              <w:t>4</w:t>
            </w:r>
            <w:r w:rsidR="005762D6">
              <w:rPr>
                <w:rFonts w:cstheme="minorHAnsi"/>
              </w:rPr>
              <w:t>·</w:t>
            </w:r>
            <w:r w:rsidRPr="00A97F75">
              <w:t>5 (1</w:t>
            </w:r>
            <w:r w:rsidR="005762D6">
              <w:rPr>
                <w:rFonts w:cstheme="minorHAnsi"/>
              </w:rPr>
              <w:t>·</w:t>
            </w:r>
            <w:r w:rsidR="005762D6">
              <w:t>0</w:t>
            </w:r>
            <w:r w:rsidRPr="00A97F75">
              <w:t xml:space="preserve"> to 5</w:t>
            </w:r>
            <w:r w:rsidR="005762D6">
              <w:rPr>
                <w:rFonts w:cstheme="minorHAnsi"/>
              </w:rPr>
              <w:t>·</w:t>
            </w:r>
            <w:r w:rsidR="005762D6">
              <w:t>0</w:t>
            </w:r>
            <w:r w:rsidRPr="00A97F75">
              <w:t>)</w:t>
            </w:r>
          </w:p>
          <w:p w:rsidR="00577A14" w:rsidRDefault="00577A14" w:rsidP="00577A14">
            <w:pPr>
              <w:jc w:val="center"/>
            </w:pPr>
            <w:r>
              <w:t>4</w:t>
            </w:r>
            <w:r w:rsidR="005762D6">
              <w:rPr>
                <w:rFonts w:cstheme="minorHAnsi"/>
              </w:rPr>
              <w:t>·</w:t>
            </w:r>
            <w:r>
              <w:t xml:space="preserve">5 </w:t>
            </w:r>
            <w:r w:rsidRPr="00A97F75">
              <w:t>(4</w:t>
            </w:r>
            <w:r w:rsidR="005762D6">
              <w:rPr>
                <w:rFonts w:cstheme="minorHAnsi"/>
              </w:rPr>
              <w:t>·</w:t>
            </w:r>
            <w:r w:rsidRPr="00A97F75">
              <w:t>2 to 5</w:t>
            </w:r>
            <w:r w:rsidR="005762D6">
              <w:rPr>
                <w:rFonts w:cstheme="minorHAnsi"/>
              </w:rPr>
              <w:t>·</w:t>
            </w:r>
            <w:r w:rsidRPr="00A97F75">
              <w:t>0)</w:t>
            </w:r>
          </w:p>
          <w:p w:rsidR="00577A14" w:rsidRDefault="00577A14" w:rsidP="005762D6">
            <w:pPr>
              <w:jc w:val="center"/>
            </w:pPr>
            <w:r>
              <w:t>1</w:t>
            </w:r>
            <w:r w:rsidR="005762D6">
              <w:rPr>
                <w:rFonts w:cstheme="minorHAnsi"/>
              </w:rPr>
              <w:t>·</w:t>
            </w:r>
            <w:r>
              <w:t>5 (0</w:t>
            </w:r>
            <w:r w:rsidR="005762D6">
              <w:rPr>
                <w:rFonts w:cstheme="minorHAnsi"/>
              </w:rPr>
              <w:t>·</w:t>
            </w:r>
            <w:r>
              <w:t>5 to 4</w:t>
            </w:r>
            <w:r w:rsidR="005762D6">
              <w:rPr>
                <w:rFonts w:cstheme="minorHAnsi"/>
              </w:rPr>
              <w:t>·</w:t>
            </w:r>
            <w:r>
              <w:t>5)</w:t>
            </w:r>
          </w:p>
        </w:tc>
        <w:tc>
          <w:tcPr>
            <w:tcW w:w="2126" w:type="dxa"/>
          </w:tcPr>
          <w:p w:rsidR="00577A14" w:rsidRDefault="00577A14" w:rsidP="00577A14">
            <w:pPr>
              <w:jc w:val="center"/>
            </w:pPr>
            <w:r w:rsidRPr="00C63C9B">
              <w:t>1</w:t>
            </w:r>
            <w:r w:rsidR="005762D6">
              <w:rPr>
                <w:rFonts w:cstheme="minorHAnsi"/>
              </w:rPr>
              <w:t>·</w:t>
            </w:r>
            <w:r w:rsidRPr="00C63C9B">
              <w:t>1 (0</w:t>
            </w:r>
            <w:r w:rsidR="005762D6">
              <w:rPr>
                <w:rFonts w:cstheme="minorHAnsi"/>
              </w:rPr>
              <w:t>·</w:t>
            </w:r>
            <w:r w:rsidRPr="00C63C9B">
              <w:t>9 to 1</w:t>
            </w:r>
            <w:r w:rsidR="005762D6">
              <w:rPr>
                <w:rFonts w:cstheme="minorHAnsi"/>
              </w:rPr>
              <w:t>·</w:t>
            </w:r>
            <w:r w:rsidRPr="00C63C9B">
              <w:t>3)</w:t>
            </w:r>
          </w:p>
          <w:p w:rsidR="00577A14" w:rsidRDefault="00577A14" w:rsidP="00577A14">
            <w:pPr>
              <w:jc w:val="center"/>
            </w:pPr>
          </w:p>
          <w:p w:rsidR="00577A14" w:rsidRDefault="00577A14" w:rsidP="00577A14">
            <w:pPr>
              <w:jc w:val="center"/>
              <w:rPr>
                <w:color w:val="000000" w:themeColor="text1"/>
              </w:rPr>
            </w:pPr>
          </w:p>
          <w:p w:rsidR="00577A14" w:rsidRPr="00384170" w:rsidRDefault="00577A14" w:rsidP="00577A14">
            <w:pPr>
              <w:jc w:val="center"/>
              <w:rPr>
                <w:color w:val="000000" w:themeColor="text1"/>
              </w:rPr>
            </w:pPr>
            <w:r w:rsidRPr="00C63C9B">
              <w:rPr>
                <w:color w:val="000000" w:themeColor="text1"/>
              </w:rPr>
              <w:t>1</w:t>
            </w:r>
            <w:r w:rsidR="005762D6">
              <w:rPr>
                <w:rFonts w:cstheme="minorHAnsi"/>
                <w:color w:val="000000" w:themeColor="text1"/>
              </w:rPr>
              <w:t>·</w:t>
            </w:r>
            <w:r w:rsidRPr="00C63C9B">
              <w:rPr>
                <w:color w:val="000000" w:themeColor="text1"/>
              </w:rPr>
              <w:t>5 (1</w:t>
            </w:r>
            <w:r w:rsidR="005762D6">
              <w:rPr>
                <w:rFonts w:cstheme="minorHAnsi"/>
                <w:color w:val="000000" w:themeColor="text1"/>
              </w:rPr>
              <w:t>·</w:t>
            </w:r>
            <w:r w:rsidRPr="00C63C9B">
              <w:rPr>
                <w:color w:val="000000" w:themeColor="text1"/>
              </w:rPr>
              <w:t>2 to 1</w:t>
            </w:r>
            <w:r w:rsidR="005762D6">
              <w:rPr>
                <w:rFonts w:cstheme="minorHAnsi"/>
                <w:color w:val="000000" w:themeColor="text1"/>
              </w:rPr>
              <w:t>·</w:t>
            </w:r>
            <w:r w:rsidRPr="00C63C9B">
              <w:rPr>
                <w:color w:val="000000" w:themeColor="text1"/>
              </w:rPr>
              <w:t>8)</w:t>
            </w:r>
          </w:p>
          <w:p w:rsidR="00577A14" w:rsidRDefault="00577A14" w:rsidP="00577A14">
            <w:pPr>
              <w:jc w:val="center"/>
              <w:rPr>
                <w:color w:val="000000" w:themeColor="text1"/>
                <w:highlight w:val="yellow"/>
              </w:rPr>
            </w:pPr>
          </w:p>
          <w:p w:rsidR="00577A14" w:rsidRDefault="00577A14" w:rsidP="00E411BB">
            <w:pPr>
              <w:rPr>
                <w:color w:val="000000" w:themeColor="text1"/>
              </w:rPr>
            </w:pPr>
          </w:p>
          <w:p w:rsidR="00577A14" w:rsidRDefault="00577A14" w:rsidP="00577A14">
            <w:pPr>
              <w:jc w:val="center"/>
            </w:pPr>
            <w:r w:rsidRPr="004632B1">
              <w:rPr>
                <w:color w:val="000000" w:themeColor="text1"/>
              </w:rPr>
              <w:t>-</w:t>
            </w:r>
            <w:r w:rsidRPr="004632B1">
              <w:t>0</w:t>
            </w:r>
            <w:r w:rsidR="005762D6">
              <w:rPr>
                <w:rFonts w:cstheme="minorHAnsi"/>
              </w:rPr>
              <w:t>·</w:t>
            </w:r>
            <w:r w:rsidRPr="004632B1">
              <w:t>2</w:t>
            </w:r>
            <w:r w:rsidR="005762D6">
              <w:t xml:space="preserve"> (</w:t>
            </w:r>
            <w:r>
              <w:t>-0</w:t>
            </w:r>
            <w:r w:rsidR="005762D6">
              <w:rPr>
                <w:rFonts w:cstheme="minorHAnsi"/>
              </w:rPr>
              <w:t>·</w:t>
            </w:r>
            <w:r>
              <w:t>5 to 0</w:t>
            </w:r>
            <w:r w:rsidR="005762D6">
              <w:rPr>
                <w:rFonts w:cstheme="minorHAnsi"/>
              </w:rPr>
              <w:t>·</w:t>
            </w:r>
            <w:r>
              <w:t>0)</w:t>
            </w:r>
          </w:p>
          <w:p w:rsidR="00577A14" w:rsidRDefault="00577A14" w:rsidP="00577A14">
            <w:pPr>
              <w:jc w:val="center"/>
            </w:pPr>
            <w:r>
              <w:t>-0</w:t>
            </w:r>
            <w:r w:rsidR="005762D6">
              <w:rPr>
                <w:rFonts w:cstheme="minorHAnsi"/>
              </w:rPr>
              <w:t>·</w:t>
            </w:r>
            <w:r>
              <w:t>3 (-0</w:t>
            </w:r>
            <w:r w:rsidR="005762D6">
              <w:rPr>
                <w:rFonts w:cstheme="minorHAnsi"/>
              </w:rPr>
              <w:t>·</w:t>
            </w:r>
            <w:r>
              <w:t>6 to -0</w:t>
            </w:r>
            <w:r w:rsidR="005762D6">
              <w:rPr>
                <w:rFonts w:cstheme="minorHAnsi"/>
              </w:rPr>
              <w:t>·</w:t>
            </w:r>
            <w:r>
              <w:t>1)</w:t>
            </w:r>
          </w:p>
          <w:p w:rsidR="00577A14" w:rsidRDefault="00577A14" w:rsidP="005762D6">
            <w:pPr>
              <w:jc w:val="center"/>
            </w:pPr>
            <w:r>
              <w:t>1</w:t>
            </w:r>
            <w:r w:rsidR="005762D6">
              <w:rPr>
                <w:rFonts w:cstheme="minorHAnsi"/>
              </w:rPr>
              <w:t>·</w:t>
            </w:r>
            <w:r>
              <w:t>4 (0</w:t>
            </w:r>
            <w:r w:rsidR="005762D6">
              <w:rPr>
                <w:rFonts w:cstheme="minorHAnsi"/>
              </w:rPr>
              <w:t>·</w:t>
            </w:r>
            <w:r>
              <w:t>7 to 2.</w:t>
            </w:r>
            <w:r w:rsidR="005762D6">
              <w:rPr>
                <w:rFonts w:cstheme="minorHAnsi"/>
              </w:rPr>
              <w:t>·</w:t>
            </w:r>
            <w:r>
              <w:t>1)</w:t>
            </w:r>
          </w:p>
        </w:tc>
        <w:tc>
          <w:tcPr>
            <w:tcW w:w="992" w:type="dxa"/>
          </w:tcPr>
          <w:p w:rsidR="00577A14" w:rsidRDefault="00577A14" w:rsidP="00577A14">
            <w:pPr>
              <w:jc w:val="center"/>
            </w:pPr>
            <w:r>
              <w:t>0</w:t>
            </w:r>
            <w:r w:rsidR="005A6847">
              <w:rPr>
                <w:rFonts w:cstheme="minorHAnsi"/>
              </w:rPr>
              <w:t>·</w:t>
            </w:r>
            <w:r>
              <w:t>49</w:t>
            </w:r>
          </w:p>
          <w:p w:rsidR="00577A14" w:rsidRDefault="00577A14" w:rsidP="00577A14">
            <w:pPr>
              <w:jc w:val="center"/>
            </w:pPr>
          </w:p>
          <w:p w:rsidR="00577A14" w:rsidRDefault="00577A14" w:rsidP="00577A14">
            <w:pPr>
              <w:jc w:val="center"/>
            </w:pPr>
          </w:p>
          <w:p w:rsidR="00577A14" w:rsidRDefault="00577A14" w:rsidP="00577A14">
            <w:pPr>
              <w:jc w:val="center"/>
            </w:pPr>
            <w:r>
              <w:t>&lt;0</w:t>
            </w:r>
            <w:r w:rsidR="005A6847">
              <w:rPr>
                <w:rFonts w:cstheme="minorHAnsi"/>
              </w:rPr>
              <w:t>·</w:t>
            </w:r>
            <w:r>
              <w:t>00</w:t>
            </w:r>
            <w:r w:rsidR="00106FBF">
              <w:t>0</w:t>
            </w:r>
            <w:r>
              <w:t>1</w:t>
            </w:r>
          </w:p>
          <w:p w:rsidR="00577A14" w:rsidRDefault="00577A14" w:rsidP="00577A14">
            <w:pPr>
              <w:jc w:val="center"/>
            </w:pPr>
          </w:p>
          <w:p w:rsidR="00577A14" w:rsidRDefault="00577A14" w:rsidP="00E411BB"/>
          <w:p w:rsidR="00577A14" w:rsidRDefault="00577A14" w:rsidP="00577A14">
            <w:pPr>
              <w:jc w:val="center"/>
            </w:pPr>
            <w:r>
              <w:t>0</w:t>
            </w:r>
            <w:r w:rsidR="005A6847">
              <w:rPr>
                <w:rFonts w:cstheme="minorHAnsi"/>
              </w:rPr>
              <w:t>·</w:t>
            </w:r>
            <w:r>
              <w:t>11</w:t>
            </w:r>
          </w:p>
          <w:p w:rsidR="00577A14" w:rsidRPr="000573A8" w:rsidRDefault="00577A14" w:rsidP="00577A14">
            <w:pPr>
              <w:jc w:val="center"/>
              <w:rPr>
                <w:color w:val="000000" w:themeColor="text1"/>
              </w:rPr>
            </w:pPr>
            <w:r>
              <w:rPr>
                <w:color w:val="000000" w:themeColor="text1"/>
              </w:rPr>
              <w:t>0</w:t>
            </w:r>
            <w:r w:rsidR="005A6847">
              <w:rPr>
                <w:rFonts w:cstheme="minorHAnsi"/>
                <w:color w:val="000000" w:themeColor="text1"/>
              </w:rPr>
              <w:t>·</w:t>
            </w:r>
            <w:r>
              <w:rPr>
                <w:color w:val="000000" w:themeColor="text1"/>
              </w:rPr>
              <w:t>002</w:t>
            </w:r>
            <w:r w:rsidR="00106FBF">
              <w:rPr>
                <w:color w:val="000000" w:themeColor="text1"/>
              </w:rPr>
              <w:t>4</w:t>
            </w:r>
          </w:p>
          <w:p w:rsidR="00577A14" w:rsidRDefault="00577A14" w:rsidP="005A6847">
            <w:pPr>
              <w:jc w:val="center"/>
            </w:pPr>
            <w:r>
              <w:rPr>
                <w:color w:val="000000" w:themeColor="text1"/>
              </w:rPr>
              <w:t>&lt;0</w:t>
            </w:r>
            <w:r w:rsidR="005A6847">
              <w:rPr>
                <w:rFonts w:cstheme="minorHAnsi"/>
                <w:color w:val="000000" w:themeColor="text1"/>
              </w:rPr>
              <w:t>·</w:t>
            </w:r>
            <w:r>
              <w:rPr>
                <w:color w:val="000000" w:themeColor="text1"/>
              </w:rPr>
              <w:t>00</w:t>
            </w:r>
            <w:r w:rsidR="00106FBF">
              <w:rPr>
                <w:color w:val="000000" w:themeColor="text1"/>
              </w:rPr>
              <w:t>0</w:t>
            </w:r>
            <w:r w:rsidRPr="004B3753">
              <w:rPr>
                <w:color w:val="000000" w:themeColor="text1"/>
              </w:rPr>
              <w:t>1</w:t>
            </w:r>
          </w:p>
        </w:tc>
      </w:tr>
      <w:tr w:rsidR="00577A14" w:rsidTr="00577A14">
        <w:tc>
          <w:tcPr>
            <w:tcW w:w="2830" w:type="dxa"/>
          </w:tcPr>
          <w:p w:rsidR="00577A14" w:rsidRPr="00DC3978" w:rsidRDefault="00577A14" w:rsidP="00577A14">
            <w:pPr>
              <w:rPr>
                <w:b/>
              </w:rPr>
            </w:pPr>
            <w:r w:rsidRPr="00DC3978">
              <w:rPr>
                <w:b/>
              </w:rPr>
              <w:t>Isolation facility use</w:t>
            </w:r>
            <w:r w:rsidR="00C1688E">
              <w:rPr>
                <w:rFonts w:cstheme="minorHAnsi"/>
                <w:b/>
              </w:rPr>
              <w:t>†</w:t>
            </w:r>
          </w:p>
        </w:tc>
        <w:tc>
          <w:tcPr>
            <w:tcW w:w="1560" w:type="dxa"/>
          </w:tcPr>
          <w:p w:rsidR="00577A14" w:rsidRDefault="00577A14" w:rsidP="00577A14">
            <w:pPr>
              <w:jc w:val="center"/>
            </w:pPr>
          </w:p>
        </w:tc>
        <w:tc>
          <w:tcPr>
            <w:tcW w:w="1559" w:type="dxa"/>
          </w:tcPr>
          <w:p w:rsidR="00577A14" w:rsidRDefault="00577A14" w:rsidP="00577A14">
            <w:pPr>
              <w:jc w:val="center"/>
            </w:pPr>
          </w:p>
        </w:tc>
        <w:tc>
          <w:tcPr>
            <w:tcW w:w="2126" w:type="dxa"/>
          </w:tcPr>
          <w:p w:rsidR="00577A14" w:rsidRDefault="00577A14" w:rsidP="00577A14">
            <w:pPr>
              <w:jc w:val="center"/>
            </w:pPr>
          </w:p>
        </w:tc>
        <w:tc>
          <w:tcPr>
            <w:tcW w:w="992" w:type="dxa"/>
          </w:tcPr>
          <w:p w:rsidR="00577A14" w:rsidRDefault="00577A14" w:rsidP="00577A14">
            <w:pPr>
              <w:jc w:val="center"/>
            </w:pPr>
          </w:p>
        </w:tc>
      </w:tr>
      <w:tr w:rsidR="00577A14" w:rsidTr="00577A14">
        <w:tc>
          <w:tcPr>
            <w:tcW w:w="2830" w:type="dxa"/>
          </w:tcPr>
          <w:p w:rsidR="008E7288" w:rsidRDefault="008E7288" w:rsidP="00577A14">
            <w:r>
              <w:t>Isolated at presentation</w:t>
            </w:r>
          </w:p>
          <w:p w:rsidR="00577A14" w:rsidRDefault="00577A14" w:rsidP="00577A14">
            <w:r w:rsidRPr="00CA3B72">
              <w:t xml:space="preserve">Isolated </w:t>
            </w:r>
            <w:r w:rsidR="00E411BB">
              <w:t>at any time</w:t>
            </w:r>
          </w:p>
          <w:p w:rsidR="00577A14" w:rsidRDefault="00577A14" w:rsidP="00577A14">
            <w:r w:rsidRPr="003114C8">
              <w:t xml:space="preserve">Influenza positive </w:t>
            </w:r>
          </w:p>
          <w:p w:rsidR="00577A14" w:rsidRDefault="00E411BB" w:rsidP="00577A14">
            <w:r>
              <w:t>Duration of isolation (</w:t>
            </w:r>
            <w:r w:rsidR="00577A14">
              <w:t>days</w:t>
            </w:r>
            <w:r>
              <w:t>)</w:t>
            </w:r>
          </w:p>
          <w:p w:rsidR="00577A14" w:rsidRPr="00156D00" w:rsidRDefault="00577A14" w:rsidP="00577A14">
            <w:r>
              <w:t xml:space="preserve">   All isolated patients </w:t>
            </w:r>
          </w:p>
          <w:p w:rsidR="00577A14" w:rsidRDefault="00577A14" w:rsidP="00577A14">
            <w:r>
              <w:t xml:space="preserve">   Influenza positive </w:t>
            </w:r>
          </w:p>
          <w:p w:rsidR="00577A14" w:rsidRDefault="00577A14" w:rsidP="00577A14">
            <w:r>
              <w:t xml:space="preserve">   </w:t>
            </w:r>
            <w:r w:rsidRPr="00156D00">
              <w:t>Influenza negative</w:t>
            </w:r>
          </w:p>
        </w:tc>
        <w:tc>
          <w:tcPr>
            <w:tcW w:w="1560" w:type="dxa"/>
          </w:tcPr>
          <w:p w:rsidR="008E7288" w:rsidRDefault="008E7288" w:rsidP="00577A14">
            <w:pPr>
              <w:jc w:val="center"/>
            </w:pPr>
            <w:r>
              <w:t>30 (10%)</w:t>
            </w:r>
          </w:p>
          <w:p w:rsidR="00577A14" w:rsidRDefault="0066012F" w:rsidP="00577A14">
            <w:pPr>
              <w:jc w:val="center"/>
            </w:pPr>
            <w:r>
              <w:t>106 (35%</w:t>
            </w:r>
            <w:r w:rsidR="00577A14">
              <w:t>)</w:t>
            </w:r>
          </w:p>
          <w:p w:rsidR="00577A14" w:rsidRDefault="00577A14" w:rsidP="00577A14">
            <w:pPr>
              <w:jc w:val="center"/>
            </w:pPr>
            <w:r w:rsidRPr="003114C8">
              <w:t>70/106 (66</w:t>
            </w:r>
            <w:r w:rsidR="0066012F">
              <w:t>%</w:t>
            </w:r>
            <w:r w:rsidRPr="003114C8">
              <w:t>)</w:t>
            </w:r>
          </w:p>
          <w:p w:rsidR="00577A14" w:rsidRDefault="00577A14" w:rsidP="00E411BB"/>
          <w:p w:rsidR="00577A14" w:rsidRDefault="00577A14" w:rsidP="00577A14">
            <w:pPr>
              <w:jc w:val="center"/>
            </w:pPr>
            <w:r>
              <w:t>2</w:t>
            </w:r>
            <w:r w:rsidR="005A6847">
              <w:rPr>
                <w:rFonts w:cstheme="minorHAnsi"/>
              </w:rPr>
              <w:t>·</w:t>
            </w:r>
            <w:r>
              <w:t>5 (1</w:t>
            </w:r>
            <w:r w:rsidR="005A6847">
              <w:rPr>
                <w:rFonts w:cstheme="minorHAnsi"/>
              </w:rPr>
              <w:t>·</w:t>
            </w:r>
            <w:r>
              <w:t>3 to 4</w:t>
            </w:r>
            <w:r w:rsidR="005A6847">
              <w:rPr>
                <w:rFonts w:cstheme="minorHAnsi"/>
              </w:rPr>
              <w:t>·</w:t>
            </w:r>
            <w:r>
              <w:t>5)</w:t>
            </w:r>
          </w:p>
          <w:p w:rsidR="00577A14" w:rsidRDefault="00577A14" w:rsidP="00577A14">
            <w:pPr>
              <w:jc w:val="center"/>
            </w:pPr>
            <w:r>
              <w:t>2</w:t>
            </w:r>
            <w:r w:rsidR="005A6847">
              <w:rPr>
                <w:rFonts w:cstheme="minorHAnsi"/>
              </w:rPr>
              <w:t>·</w:t>
            </w:r>
            <w:r>
              <w:t>8 (1</w:t>
            </w:r>
            <w:r w:rsidR="005A6847">
              <w:rPr>
                <w:rFonts w:cstheme="minorHAnsi"/>
              </w:rPr>
              <w:t>·</w:t>
            </w:r>
            <w:r>
              <w:t>9</w:t>
            </w:r>
            <w:r w:rsidRPr="00C83D0D">
              <w:t xml:space="preserve"> to </w:t>
            </w:r>
            <w:r>
              <w:t>4</w:t>
            </w:r>
            <w:r w:rsidR="005A6847">
              <w:rPr>
                <w:rFonts w:cstheme="minorHAnsi"/>
              </w:rPr>
              <w:t>·</w:t>
            </w:r>
            <w:r>
              <w:t>5</w:t>
            </w:r>
            <w:r w:rsidRPr="00C83D0D">
              <w:t>)</w:t>
            </w:r>
          </w:p>
          <w:p w:rsidR="00577A14" w:rsidRDefault="00577A14" w:rsidP="005A6847">
            <w:pPr>
              <w:jc w:val="center"/>
            </w:pPr>
            <w:r w:rsidRPr="00C83D0D">
              <w:t>1</w:t>
            </w:r>
            <w:r w:rsidR="005A6847">
              <w:rPr>
                <w:rFonts w:cstheme="minorHAnsi"/>
              </w:rPr>
              <w:t>·</w:t>
            </w:r>
            <w:r w:rsidRPr="00C83D0D">
              <w:t>4 (0</w:t>
            </w:r>
            <w:r w:rsidR="005A6847">
              <w:rPr>
                <w:rFonts w:cstheme="minorHAnsi"/>
              </w:rPr>
              <w:t>·</w:t>
            </w:r>
            <w:r w:rsidRPr="00C83D0D">
              <w:t>5 to 3</w:t>
            </w:r>
            <w:r w:rsidR="005A6847">
              <w:rPr>
                <w:rFonts w:cstheme="minorHAnsi"/>
              </w:rPr>
              <w:t>·</w:t>
            </w:r>
            <w:r w:rsidRPr="00C83D0D">
              <w:t>5)</w:t>
            </w:r>
          </w:p>
        </w:tc>
        <w:tc>
          <w:tcPr>
            <w:tcW w:w="1559" w:type="dxa"/>
          </w:tcPr>
          <w:p w:rsidR="008E7288" w:rsidRDefault="008E7288" w:rsidP="00577A14">
            <w:pPr>
              <w:jc w:val="center"/>
            </w:pPr>
            <w:r>
              <w:t>26 (9%)</w:t>
            </w:r>
          </w:p>
          <w:p w:rsidR="00577A14" w:rsidRDefault="0066012F" w:rsidP="00577A14">
            <w:pPr>
              <w:jc w:val="center"/>
            </w:pPr>
            <w:r>
              <w:t>67 (22%</w:t>
            </w:r>
            <w:r w:rsidR="00577A14">
              <w:t>)</w:t>
            </w:r>
          </w:p>
          <w:p w:rsidR="00577A14" w:rsidRDefault="00577A14" w:rsidP="00E411BB">
            <w:pPr>
              <w:jc w:val="center"/>
            </w:pPr>
            <w:r w:rsidRPr="003114C8">
              <w:t>39/67 (58</w:t>
            </w:r>
            <w:r w:rsidR="0066012F">
              <w:t>%</w:t>
            </w:r>
            <w:r w:rsidRPr="003114C8">
              <w:t>)</w:t>
            </w:r>
          </w:p>
          <w:p w:rsidR="00577A14" w:rsidRDefault="00577A14" w:rsidP="00577A14">
            <w:pPr>
              <w:jc w:val="center"/>
            </w:pPr>
          </w:p>
          <w:p w:rsidR="00577A14" w:rsidRDefault="00577A14" w:rsidP="00577A14">
            <w:pPr>
              <w:jc w:val="center"/>
            </w:pPr>
            <w:r w:rsidRPr="006B65C5">
              <w:t>1</w:t>
            </w:r>
            <w:r w:rsidR="005A6847" w:rsidRPr="006B65C5">
              <w:rPr>
                <w:rFonts w:cstheme="minorHAnsi"/>
              </w:rPr>
              <w:t>·</w:t>
            </w:r>
            <w:r w:rsidRPr="006B65C5">
              <w:t>8 (1</w:t>
            </w:r>
            <w:r w:rsidR="005A6847" w:rsidRPr="006B65C5">
              <w:rPr>
                <w:rFonts w:cstheme="minorHAnsi"/>
              </w:rPr>
              <w:t>·</w:t>
            </w:r>
            <w:r w:rsidRPr="006B65C5">
              <w:t>0 to 4</w:t>
            </w:r>
            <w:r w:rsidR="005A6847" w:rsidRPr="006B65C5">
              <w:rPr>
                <w:rFonts w:cstheme="minorHAnsi"/>
              </w:rPr>
              <w:t>·</w:t>
            </w:r>
            <w:r w:rsidRPr="006B65C5">
              <w:t>4)</w:t>
            </w:r>
          </w:p>
          <w:p w:rsidR="00577A14" w:rsidRDefault="00577A14" w:rsidP="00577A14">
            <w:pPr>
              <w:jc w:val="center"/>
            </w:pPr>
            <w:r w:rsidRPr="00C83D0D">
              <w:t>2</w:t>
            </w:r>
            <w:r w:rsidR="005A6847">
              <w:rPr>
                <w:rFonts w:cstheme="minorHAnsi"/>
              </w:rPr>
              <w:t>·</w:t>
            </w:r>
            <w:r w:rsidRPr="00C83D0D">
              <w:t>4 (1</w:t>
            </w:r>
            <w:r w:rsidR="005A6847">
              <w:rPr>
                <w:rFonts w:cstheme="minorHAnsi"/>
              </w:rPr>
              <w:t>·</w:t>
            </w:r>
            <w:r w:rsidRPr="00C83D0D">
              <w:t>0 to 4</w:t>
            </w:r>
            <w:r w:rsidR="005A6847">
              <w:rPr>
                <w:rFonts w:cstheme="minorHAnsi"/>
              </w:rPr>
              <w:t>·</w:t>
            </w:r>
            <w:r w:rsidRPr="00C83D0D">
              <w:t>7)</w:t>
            </w:r>
          </w:p>
          <w:p w:rsidR="00577A14" w:rsidRDefault="00577A14" w:rsidP="005A6847">
            <w:pPr>
              <w:jc w:val="center"/>
            </w:pPr>
            <w:r w:rsidRPr="00FD2E69">
              <w:t>1</w:t>
            </w:r>
            <w:r w:rsidR="005A6847" w:rsidRPr="00FD2E69">
              <w:rPr>
                <w:rFonts w:cstheme="minorHAnsi"/>
              </w:rPr>
              <w:t>·</w:t>
            </w:r>
            <w:r w:rsidRPr="00FD2E69">
              <w:t>4 (1</w:t>
            </w:r>
            <w:r w:rsidR="005A6847" w:rsidRPr="00FD2E69">
              <w:rPr>
                <w:rFonts w:cstheme="minorHAnsi"/>
              </w:rPr>
              <w:t>·</w:t>
            </w:r>
            <w:r w:rsidRPr="00FD2E69">
              <w:t>0 to 3</w:t>
            </w:r>
            <w:r w:rsidR="005A6847" w:rsidRPr="00FD2E69">
              <w:rPr>
                <w:rFonts w:cstheme="minorHAnsi"/>
              </w:rPr>
              <w:t>·</w:t>
            </w:r>
            <w:r w:rsidRPr="00FD2E69">
              <w:t>9)</w:t>
            </w:r>
          </w:p>
        </w:tc>
        <w:tc>
          <w:tcPr>
            <w:tcW w:w="2126" w:type="dxa"/>
          </w:tcPr>
          <w:p w:rsidR="008E7288" w:rsidRDefault="008E7288" w:rsidP="00577A14">
            <w:pPr>
              <w:jc w:val="center"/>
            </w:pPr>
            <w:r>
              <w:t>1.2 (0.7 to 1.9)</w:t>
            </w:r>
          </w:p>
          <w:p w:rsidR="00577A14" w:rsidRDefault="00577A14" w:rsidP="00577A14">
            <w:pPr>
              <w:jc w:val="center"/>
            </w:pPr>
            <w:r>
              <w:t>1</w:t>
            </w:r>
            <w:r w:rsidR="005A6847">
              <w:rPr>
                <w:rFonts w:cstheme="minorHAnsi"/>
              </w:rPr>
              <w:t>·</w:t>
            </w:r>
            <w:r>
              <w:t>6 (1</w:t>
            </w:r>
            <w:r w:rsidR="005A6847">
              <w:rPr>
                <w:rFonts w:cstheme="minorHAnsi"/>
              </w:rPr>
              <w:t>·</w:t>
            </w:r>
            <w:r>
              <w:t>2 to 2</w:t>
            </w:r>
            <w:r w:rsidR="005A6847">
              <w:rPr>
                <w:rFonts w:cstheme="minorHAnsi"/>
              </w:rPr>
              <w:t>·</w:t>
            </w:r>
            <w:r>
              <w:t>1)</w:t>
            </w:r>
          </w:p>
          <w:p w:rsidR="00577A14" w:rsidRDefault="00577A14" w:rsidP="00577A14">
            <w:pPr>
              <w:jc w:val="center"/>
            </w:pPr>
            <w:r>
              <w:t>1</w:t>
            </w:r>
            <w:r w:rsidR="005A6847">
              <w:rPr>
                <w:rFonts w:cstheme="minorHAnsi"/>
              </w:rPr>
              <w:t>·</w:t>
            </w:r>
            <w:r>
              <w:t>1 (0</w:t>
            </w:r>
            <w:r w:rsidR="005A6847">
              <w:rPr>
                <w:rFonts w:cstheme="minorHAnsi"/>
              </w:rPr>
              <w:t>·</w:t>
            </w:r>
            <w:r>
              <w:t>9 to 1</w:t>
            </w:r>
            <w:r w:rsidR="005A6847">
              <w:rPr>
                <w:rFonts w:cstheme="minorHAnsi"/>
              </w:rPr>
              <w:t>·</w:t>
            </w:r>
            <w:r>
              <w:t>5)</w:t>
            </w:r>
          </w:p>
          <w:p w:rsidR="00577A14" w:rsidRDefault="00577A14" w:rsidP="00E411BB"/>
          <w:p w:rsidR="00577A14" w:rsidRPr="00786B6E" w:rsidRDefault="00577A14" w:rsidP="00577A14">
            <w:pPr>
              <w:jc w:val="center"/>
            </w:pPr>
            <w:r w:rsidRPr="006B65C5">
              <w:t>-0</w:t>
            </w:r>
            <w:r w:rsidR="005A6847" w:rsidRPr="006B65C5">
              <w:rPr>
                <w:rFonts w:cstheme="minorHAnsi"/>
              </w:rPr>
              <w:t>·</w:t>
            </w:r>
            <w:r w:rsidR="008E7288" w:rsidRPr="006B65C5">
              <w:t>7</w:t>
            </w:r>
            <w:r w:rsidR="005A6847" w:rsidRPr="006B65C5">
              <w:t xml:space="preserve"> (-0</w:t>
            </w:r>
            <w:r w:rsidR="005A6847" w:rsidRPr="006B65C5">
              <w:rPr>
                <w:rFonts w:cstheme="minorHAnsi"/>
              </w:rPr>
              <w:t>·</w:t>
            </w:r>
            <w:r w:rsidR="005A6847" w:rsidRPr="006B65C5">
              <w:t>9 to 0</w:t>
            </w:r>
            <w:r w:rsidR="005A6847" w:rsidRPr="006B65C5">
              <w:rPr>
                <w:rFonts w:cstheme="minorHAnsi"/>
              </w:rPr>
              <w:t>·</w:t>
            </w:r>
            <w:r w:rsidR="005A6847" w:rsidRPr="006B65C5">
              <w:t>3)</w:t>
            </w:r>
          </w:p>
          <w:p w:rsidR="00577A14" w:rsidRPr="00786B6E" w:rsidRDefault="00577A14" w:rsidP="00577A14">
            <w:pPr>
              <w:jc w:val="center"/>
            </w:pPr>
            <w:r w:rsidRPr="00786B6E">
              <w:t>-0</w:t>
            </w:r>
            <w:r w:rsidR="005A6847">
              <w:rPr>
                <w:rFonts w:cstheme="minorHAnsi"/>
              </w:rPr>
              <w:t>·</w:t>
            </w:r>
            <w:r w:rsidR="005A6847">
              <w:t>4 (-1</w:t>
            </w:r>
            <w:r w:rsidR="005A6847">
              <w:rPr>
                <w:rFonts w:cstheme="minorHAnsi"/>
              </w:rPr>
              <w:t>·</w:t>
            </w:r>
            <w:r w:rsidR="005A6847">
              <w:t>2 to 0</w:t>
            </w:r>
            <w:r w:rsidR="005A6847">
              <w:rPr>
                <w:rFonts w:cstheme="minorHAnsi"/>
              </w:rPr>
              <w:t>·</w:t>
            </w:r>
            <w:r w:rsidR="005A6847">
              <w:t>3</w:t>
            </w:r>
            <w:r w:rsidRPr="00786B6E">
              <w:t>)</w:t>
            </w:r>
          </w:p>
          <w:p w:rsidR="00577A14" w:rsidRPr="00786B6E" w:rsidRDefault="00577A14" w:rsidP="005A6847">
            <w:pPr>
              <w:jc w:val="center"/>
            </w:pPr>
            <w:r w:rsidRPr="00FD2E69">
              <w:t>0</w:t>
            </w:r>
            <w:r w:rsidR="005A6847" w:rsidRPr="00FD2E69">
              <w:rPr>
                <w:rFonts w:cstheme="minorHAnsi"/>
              </w:rPr>
              <w:t>·</w:t>
            </w:r>
            <w:r w:rsidR="004E0E6A" w:rsidRPr="00FD2E69">
              <w:t>0</w:t>
            </w:r>
            <w:r w:rsidR="005A6847" w:rsidRPr="00FD2E69">
              <w:t xml:space="preserve"> (-0</w:t>
            </w:r>
            <w:r w:rsidR="005A6847" w:rsidRPr="00FD2E69">
              <w:rPr>
                <w:rFonts w:cstheme="minorHAnsi"/>
              </w:rPr>
              <w:t>·</w:t>
            </w:r>
            <w:r w:rsidR="005A6847" w:rsidRPr="00FD2E69">
              <w:t>5 to 0</w:t>
            </w:r>
            <w:r w:rsidR="005A6847" w:rsidRPr="00FD2E69">
              <w:rPr>
                <w:rFonts w:cstheme="minorHAnsi"/>
              </w:rPr>
              <w:t>·</w:t>
            </w:r>
            <w:r w:rsidR="005A6847" w:rsidRPr="00FD2E69">
              <w:t>8</w:t>
            </w:r>
            <w:r w:rsidRPr="00FD2E69">
              <w:t>)</w:t>
            </w:r>
          </w:p>
        </w:tc>
        <w:tc>
          <w:tcPr>
            <w:tcW w:w="992" w:type="dxa"/>
          </w:tcPr>
          <w:p w:rsidR="008E7288" w:rsidRDefault="008E7288" w:rsidP="00577A14">
            <w:pPr>
              <w:jc w:val="center"/>
            </w:pPr>
            <w:r>
              <w:t>0.58</w:t>
            </w:r>
          </w:p>
          <w:p w:rsidR="00577A14" w:rsidRDefault="00577A14" w:rsidP="00577A14">
            <w:pPr>
              <w:jc w:val="center"/>
            </w:pPr>
            <w:r>
              <w:t>0</w:t>
            </w:r>
            <w:r w:rsidR="005A6847">
              <w:rPr>
                <w:rFonts w:cstheme="minorHAnsi"/>
              </w:rPr>
              <w:t>·</w:t>
            </w:r>
            <w:r>
              <w:t>00</w:t>
            </w:r>
            <w:r w:rsidR="00106FBF">
              <w:t>06</w:t>
            </w:r>
          </w:p>
          <w:p w:rsidR="00577A14" w:rsidRDefault="00577A14" w:rsidP="00E411BB">
            <w:pPr>
              <w:jc w:val="center"/>
            </w:pPr>
            <w:r w:rsidRPr="003114C8">
              <w:t>0</w:t>
            </w:r>
            <w:r w:rsidR="005A6847">
              <w:rPr>
                <w:rFonts w:cstheme="minorHAnsi"/>
              </w:rPr>
              <w:t>·</w:t>
            </w:r>
            <w:r w:rsidRPr="003114C8">
              <w:t>33</w:t>
            </w:r>
          </w:p>
          <w:p w:rsidR="00577A14" w:rsidRDefault="00577A14" w:rsidP="00577A14">
            <w:pPr>
              <w:jc w:val="center"/>
            </w:pPr>
          </w:p>
          <w:p w:rsidR="00577A14" w:rsidRPr="00EF3529" w:rsidRDefault="00577A14" w:rsidP="00577A14">
            <w:pPr>
              <w:jc w:val="center"/>
            </w:pPr>
            <w:r>
              <w:t>0</w:t>
            </w:r>
            <w:r w:rsidR="005A6847">
              <w:rPr>
                <w:rFonts w:cstheme="minorHAnsi"/>
              </w:rPr>
              <w:t>·</w:t>
            </w:r>
            <w:r>
              <w:t>29</w:t>
            </w:r>
          </w:p>
          <w:p w:rsidR="00577A14" w:rsidRPr="00EF3529" w:rsidRDefault="00577A14" w:rsidP="00577A14">
            <w:pPr>
              <w:jc w:val="center"/>
            </w:pPr>
            <w:r>
              <w:t>0</w:t>
            </w:r>
            <w:r w:rsidR="005A6847">
              <w:rPr>
                <w:rFonts w:cstheme="minorHAnsi"/>
              </w:rPr>
              <w:t>·</w:t>
            </w:r>
            <w:r>
              <w:t>21</w:t>
            </w:r>
          </w:p>
          <w:p w:rsidR="00577A14" w:rsidRDefault="00577A14" w:rsidP="005A6847">
            <w:pPr>
              <w:jc w:val="center"/>
            </w:pPr>
            <w:r w:rsidRPr="00786B6E">
              <w:t>0</w:t>
            </w:r>
            <w:r w:rsidR="005A6847">
              <w:rPr>
                <w:rFonts w:cstheme="minorHAnsi"/>
              </w:rPr>
              <w:t>·</w:t>
            </w:r>
            <w:r w:rsidRPr="00786B6E">
              <w:t>42</w:t>
            </w:r>
          </w:p>
        </w:tc>
      </w:tr>
    </w:tbl>
    <w:p w:rsidR="00577A14" w:rsidRPr="00886063" w:rsidRDefault="000525EF" w:rsidP="00577A14">
      <w:pPr>
        <w:spacing w:after="0" w:line="240" w:lineRule="auto"/>
        <w:jc w:val="both"/>
        <w:rPr>
          <w:bCs/>
        </w:rPr>
      </w:pPr>
      <w:r w:rsidRPr="000525EF">
        <w:rPr>
          <w:bCs/>
        </w:rPr>
        <w:t>Data are n (%) or median (IQR</w:t>
      </w:r>
      <w:r>
        <w:rPr>
          <w:bCs/>
        </w:rPr>
        <w:t>). CI=</w:t>
      </w:r>
      <w:r w:rsidR="00577A14" w:rsidRPr="00886063">
        <w:rPr>
          <w:bCs/>
        </w:rPr>
        <w:t>confidence interval</w:t>
      </w:r>
      <w:r w:rsidRPr="000525EF">
        <w:rPr>
          <w:bCs/>
        </w:rPr>
        <w:t>.*Based on those that were tested; for mPOCT group this is the turnaround time for mPOCT results, for the control group it is for laboratory PCR resul</w:t>
      </w:r>
      <w:r w:rsidR="00C1688E">
        <w:rPr>
          <w:bCs/>
        </w:rPr>
        <w:t xml:space="preserve">ts. </w:t>
      </w:r>
      <w:r w:rsidR="00C1688E">
        <w:rPr>
          <w:rFonts w:cstheme="minorHAnsi"/>
          <w:bCs/>
        </w:rPr>
        <w:t>†</w:t>
      </w:r>
      <w:r w:rsidR="00C1688E">
        <w:rPr>
          <w:bCs/>
        </w:rPr>
        <w:t xml:space="preserve">Isolation facility use relates </w:t>
      </w:r>
      <w:r w:rsidRPr="000525EF">
        <w:rPr>
          <w:bCs/>
        </w:rPr>
        <w:t>to the use of single room accommodation or dedicated influenza cohort bays for patients.</w:t>
      </w:r>
    </w:p>
    <w:p w:rsidR="00577A14" w:rsidRDefault="00577A14" w:rsidP="00577A14">
      <w:pPr>
        <w:spacing w:after="0" w:line="480" w:lineRule="auto"/>
        <w:jc w:val="both"/>
        <w:rPr>
          <w:b/>
          <w:bCs/>
          <w:sz w:val="32"/>
          <w:szCs w:val="32"/>
        </w:rPr>
      </w:pPr>
    </w:p>
    <w:p w:rsidR="00577A14" w:rsidRDefault="00577A14" w:rsidP="00577A14">
      <w:pPr>
        <w:spacing w:after="0" w:line="480" w:lineRule="auto"/>
        <w:jc w:val="both"/>
        <w:rPr>
          <w:b/>
          <w:bCs/>
          <w:sz w:val="32"/>
          <w:szCs w:val="32"/>
        </w:rPr>
      </w:pPr>
    </w:p>
    <w:p w:rsidR="00577A14" w:rsidRDefault="00577A14" w:rsidP="00577A14">
      <w:pPr>
        <w:spacing w:after="0" w:line="480" w:lineRule="auto"/>
        <w:jc w:val="both"/>
        <w:rPr>
          <w:b/>
          <w:bCs/>
          <w:sz w:val="32"/>
          <w:szCs w:val="32"/>
        </w:rPr>
      </w:pPr>
    </w:p>
    <w:p w:rsidR="00577A14" w:rsidRDefault="00577A14" w:rsidP="00577A14">
      <w:pPr>
        <w:spacing w:after="0" w:line="480" w:lineRule="auto"/>
        <w:jc w:val="both"/>
        <w:rPr>
          <w:b/>
          <w:bCs/>
          <w:sz w:val="32"/>
          <w:szCs w:val="32"/>
        </w:rPr>
      </w:pPr>
    </w:p>
    <w:p w:rsidR="00577A14" w:rsidRDefault="00577A14" w:rsidP="00577A14">
      <w:pPr>
        <w:spacing w:after="0" w:line="480" w:lineRule="auto"/>
        <w:jc w:val="both"/>
        <w:rPr>
          <w:b/>
          <w:bCs/>
          <w:sz w:val="32"/>
          <w:szCs w:val="32"/>
        </w:rPr>
      </w:pPr>
    </w:p>
    <w:p w:rsidR="00577A14" w:rsidRDefault="00577A14" w:rsidP="00577A14">
      <w:pPr>
        <w:spacing w:after="0" w:line="480" w:lineRule="auto"/>
        <w:jc w:val="both"/>
        <w:rPr>
          <w:b/>
          <w:bCs/>
          <w:sz w:val="24"/>
          <w:szCs w:val="24"/>
        </w:rPr>
      </w:pPr>
      <w:r w:rsidRPr="007040D8">
        <w:rPr>
          <w:b/>
          <w:bCs/>
          <w:i/>
          <w:sz w:val="24"/>
          <w:szCs w:val="24"/>
        </w:rPr>
        <w:lastRenderedPageBreak/>
        <w:t>Table 3</w:t>
      </w:r>
      <w:r w:rsidR="007040D8">
        <w:rPr>
          <w:b/>
          <w:bCs/>
          <w:sz w:val="24"/>
          <w:szCs w:val="24"/>
        </w:rPr>
        <w:t xml:space="preserve">: </w:t>
      </w:r>
      <w:r w:rsidRPr="007040D8">
        <w:rPr>
          <w:b/>
          <w:bCs/>
          <w:sz w:val="24"/>
          <w:szCs w:val="24"/>
        </w:rPr>
        <w:t>Outcomes in influenza-infected patients (ITTI</w:t>
      </w:r>
      <w:r w:rsidR="00CE181B">
        <w:rPr>
          <w:b/>
          <w:bCs/>
          <w:sz w:val="24"/>
          <w:szCs w:val="24"/>
        </w:rPr>
        <w:t xml:space="preserve"> population</w:t>
      </w:r>
      <w:r w:rsidRPr="007040D8">
        <w:rPr>
          <w:b/>
          <w:bCs/>
          <w:sz w:val="24"/>
          <w:szCs w:val="24"/>
        </w:rPr>
        <w:t>).</w:t>
      </w:r>
    </w:p>
    <w:tbl>
      <w:tblPr>
        <w:tblStyle w:val="TableGrid"/>
        <w:tblW w:w="9067" w:type="dxa"/>
        <w:tblLook w:val="04A0" w:firstRow="1" w:lastRow="0" w:firstColumn="1" w:lastColumn="0" w:noHBand="0" w:noVBand="1"/>
      </w:tblPr>
      <w:tblGrid>
        <w:gridCol w:w="3256"/>
        <w:gridCol w:w="1559"/>
        <w:gridCol w:w="1559"/>
        <w:gridCol w:w="1701"/>
        <w:gridCol w:w="992"/>
      </w:tblGrid>
      <w:tr w:rsidR="00577A14" w:rsidRPr="004632B1" w:rsidTr="00577A14">
        <w:tc>
          <w:tcPr>
            <w:tcW w:w="3256" w:type="dxa"/>
          </w:tcPr>
          <w:p w:rsidR="00577A14" w:rsidRPr="004632B1" w:rsidRDefault="00577A14" w:rsidP="00577A14">
            <w:pPr>
              <w:rPr>
                <w:b/>
              </w:rPr>
            </w:pPr>
            <w:r w:rsidRPr="004632B1">
              <w:rPr>
                <w:b/>
              </w:rPr>
              <w:t xml:space="preserve">Outcome </w:t>
            </w:r>
          </w:p>
        </w:tc>
        <w:tc>
          <w:tcPr>
            <w:tcW w:w="1559" w:type="dxa"/>
          </w:tcPr>
          <w:p w:rsidR="00577A14" w:rsidRPr="004632B1" w:rsidRDefault="00577A14" w:rsidP="007040D8">
            <w:pPr>
              <w:jc w:val="center"/>
              <w:rPr>
                <w:b/>
              </w:rPr>
            </w:pPr>
            <w:r w:rsidRPr="004632B1">
              <w:rPr>
                <w:b/>
              </w:rPr>
              <w:t xml:space="preserve">mPOCT </w:t>
            </w:r>
          </w:p>
          <w:p w:rsidR="00577A14" w:rsidRPr="004632B1" w:rsidRDefault="007040D8" w:rsidP="007040D8">
            <w:pPr>
              <w:jc w:val="center"/>
              <w:rPr>
                <w:b/>
              </w:rPr>
            </w:pPr>
            <w:r>
              <w:rPr>
                <w:b/>
              </w:rPr>
              <w:t>(n</w:t>
            </w:r>
            <w:r w:rsidR="00577A14" w:rsidRPr="004632B1">
              <w:rPr>
                <w:b/>
              </w:rPr>
              <w:t>=100)</w:t>
            </w:r>
          </w:p>
          <w:p w:rsidR="00577A14" w:rsidRPr="004632B1" w:rsidRDefault="00577A14" w:rsidP="007040D8">
            <w:pPr>
              <w:jc w:val="center"/>
              <w:rPr>
                <w:b/>
              </w:rPr>
            </w:pPr>
          </w:p>
        </w:tc>
        <w:tc>
          <w:tcPr>
            <w:tcW w:w="1559" w:type="dxa"/>
          </w:tcPr>
          <w:p w:rsidR="00577A14" w:rsidRPr="004632B1" w:rsidRDefault="00577A14" w:rsidP="007040D8">
            <w:pPr>
              <w:jc w:val="center"/>
              <w:rPr>
                <w:b/>
              </w:rPr>
            </w:pPr>
            <w:r w:rsidRPr="004632B1">
              <w:rPr>
                <w:b/>
              </w:rPr>
              <w:t xml:space="preserve">Control </w:t>
            </w:r>
          </w:p>
          <w:p w:rsidR="00577A14" w:rsidRDefault="007040D8" w:rsidP="007040D8">
            <w:pPr>
              <w:jc w:val="center"/>
            </w:pPr>
            <w:r>
              <w:rPr>
                <w:b/>
              </w:rPr>
              <w:t>(n</w:t>
            </w:r>
            <w:r w:rsidR="00577A14" w:rsidRPr="004632B1">
              <w:rPr>
                <w:b/>
              </w:rPr>
              <w:t>=102)</w:t>
            </w:r>
          </w:p>
        </w:tc>
        <w:tc>
          <w:tcPr>
            <w:tcW w:w="1701" w:type="dxa"/>
          </w:tcPr>
          <w:p w:rsidR="00577A14" w:rsidRPr="004632B1" w:rsidRDefault="00577A14" w:rsidP="007040D8">
            <w:pPr>
              <w:jc w:val="center"/>
              <w:rPr>
                <w:b/>
              </w:rPr>
            </w:pPr>
            <w:r w:rsidRPr="004632B1">
              <w:rPr>
                <w:b/>
              </w:rPr>
              <w:t xml:space="preserve">Difference </w:t>
            </w:r>
            <w:r>
              <w:rPr>
                <w:b/>
              </w:rPr>
              <w:t xml:space="preserve">or Relative Risk </w:t>
            </w:r>
            <w:r w:rsidRPr="004632B1">
              <w:rPr>
                <w:b/>
              </w:rPr>
              <w:t>(95% CI)</w:t>
            </w:r>
          </w:p>
        </w:tc>
        <w:tc>
          <w:tcPr>
            <w:tcW w:w="992" w:type="dxa"/>
          </w:tcPr>
          <w:p w:rsidR="00577A14" w:rsidRPr="004632B1" w:rsidRDefault="007040D8" w:rsidP="00577A14">
            <w:pPr>
              <w:rPr>
                <w:b/>
              </w:rPr>
            </w:pPr>
            <w:r>
              <w:rPr>
                <w:b/>
              </w:rPr>
              <w:t xml:space="preserve">p </w:t>
            </w:r>
            <w:r w:rsidR="00577A14" w:rsidRPr="004632B1">
              <w:rPr>
                <w:b/>
              </w:rPr>
              <w:t xml:space="preserve">value </w:t>
            </w:r>
          </w:p>
        </w:tc>
      </w:tr>
      <w:tr w:rsidR="00577A14" w:rsidTr="00577A14">
        <w:tc>
          <w:tcPr>
            <w:tcW w:w="3256" w:type="dxa"/>
          </w:tcPr>
          <w:p w:rsidR="00577A14" w:rsidRDefault="00577A14" w:rsidP="00577A14">
            <w:r w:rsidRPr="004632B1">
              <w:t>Diagnosis of influenza during admission</w:t>
            </w:r>
            <w:r>
              <w:t xml:space="preserve"> </w:t>
            </w:r>
          </w:p>
          <w:p w:rsidR="00577A14" w:rsidRDefault="00577A14" w:rsidP="00577A14">
            <w:r>
              <w:t xml:space="preserve">   PCR positive  </w:t>
            </w:r>
          </w:p>
          <w:p w:rsidR="00577A14" w:rsidRDefault="00577A14" w:rsidP="00577A14">
            <w:r>
              <w:t xml:space="preserve">   Clinical diagnosis*</w:t>
            </w:r>
          </w:p>
        </w:tc>
        <w:tc>
          <w:tcPr>
            <w:tcW w:w="1559" w:type="dxa"/>
          </w:tcPr>
          <w:p w:rsidR="00577A14" w:rsidRDefault="00577A14" w:rsidP="00577A14">
            <w:pPr>
              <w:jc w:val="center"/>
            </w:pPr>
            <w:r>
              <w:t>100 (100</w:t>
            </w:r>
            <w:r w:rsidR="0066012F">
              <w:t>%</w:t>
            </w:r>
            <w:r>
              <w:t>)</w:t>
            </w:r>
          </w:p>
          <w:p w:rsidR="00577A14" w:rsidRDefault="00577A14" w:rsidP="00577A14">
            <w:pPr>
              <w:jc w:val="center"/>
            </w:pPr>
          </w:p>
          <w:p w:rsidR="00577A14" w:rsidRDefault="00577A14" w:rsidP="00577A14">
            <w:pPr>
              <w:jc w:val="center"/>
            </w:pPr>
            <w:r>
              <w:t>100 (100</w:t>
            </w:r>
            <w:r w:rsidR="0066012F">
              <w:t>%</w:t>
            </w:r>
            <w:r>
              <w:t>)</w:t>
            </w:r>
          </w:p>
          <w:p w:rsidR="00577A14" w:rsidRDefault="00577A14" w:rsidP="00577A14">
            <w:pPr>
              <w:jc w:val="center"/>
            </w:pPr>
            <w:r>
              <w:t>0 (0</w:t>
            </w:r>
            <w:r w:rsidR="0066012F">
              <w:t>%</w:t>
            </w:r>
            <w:r>
              <w:t>)</w:t>
            </w:r>
          </w:p>
        </w:tc>
        <w:tc>
          <w:tcPr>
            <w:tcW w:w="1559" w:type="dxa"/>
          </w:tcPr>
          <w:p w:rsidR="00577A14" w:rsidRDefault="0066012F" w:rsidP="00577A14">
            <w:pPr>
              <w:jc w:val="center"/>
            </w:pPr>
            <w:r>
              <w:t>60 (59%</w:t>
            </w:r>
            <w:r w:rsidR="00577A14">
              <w:t>)</w:t>
            </w:r>
          </w:p>
          <w:p w:rsidR="00577A14" w:rsidRDefault="00577A14" w:rsidP="00577A14">
            <w:pPr>
              <w:jc w:val="center"/>
            </w:pPr>
          </w:p>
          <w:p w:rsidR="00577A14" w:rsidRDefault="0066012F" w:rsidP="00577A14">
            <w:pPr>
              <w:jc w:val="center"/>
            </w:pPr>
            <w:r>
              <w:t>55 (54%</w:t>
            </w:r>
            <w:r w:rsidR="00577A14">
              <w:t>)</w:t>
            </w:r>
          </w:p>
          <w:p w:rsidR="00577A14" w:rsidRDefault="0066012F" w:rsidP="00577A14">
            <w:pPr>
              <w:jc w:val="center"/>
            </w:pPr>
            <w:r>
              <w:t>5 (5%</w:t>
            </w:r>
            <w:r w:rsidR="00577A14">
              <w:t>)</w:t>
            </w:r>
          </w:p>
        </w:tc>
        <w:tc>
          <w:tcPr>
            <w:tcW w:w="1701" w:type="dxa"/>
          </w:tcPr>
          <w:p w:rsidR="00577A14" w:rsidRDefault="00577A14" w:rsidP="00577A14">
            <w:pPr>
              <w:jc w:val="center"/>
            </w:pPr>
            <w:r w:rsidRPr="00FD2E69">
              <w:t>1</w:t>
            </w:r>
            <w:r w:rsidR="00314E89" w:rsidRPr="00FD2E69">
              <w:rPr>
                <w:rFonts w:cstheme="minorHAnsi"/>
              </w:rPr>
              <w:t>·</w:t>
            </w:r>
            <w:r w:rsidRPr="00FD2E69">
              <w:t>7 (1</w:t>
            </w:r>
            <w:r w:rsidR="00314E89" w:rsidRPr="00FD2E69">
              <w:rPr>
                <w:rFonts w:cstheme="minorHAnsi"/>
              </w:rPr>
              <w:t>·</w:t>
            </w:r>
            <w:r w:rsidRPr="00FD2E69">
              <w:t>7 to 1</w:t>
            </w:r>
            <w:r w:rsidR="00314E89" w:rsidRPr="00FD2E69">
              <w:rPr>
                <w:rFonts w:cstheme="minorHAnsi"/>
              </w:rPr>
              <w:t>·</w:t>
            </w:r>
            <w:r w:rsidRPr="00FD2E69">
              <w:t>7)</w:t>
            </w:r>
          </w:p>
          <w:p w:rsidR="00577A14" w:rsidRDefault="00577A14" w:rsidP="00577A14">
            <w:pPr>
              <w:jc w:val="center"/>
            </w:pPr>
          </w:p>
          <w:p w:rsidR="00577A14" w:rsidRDefault="00577A14" w:rsidP="00577A14">
            <w:pPr>
              <w:jc w:val="center"/>
            </w:pPr>
          </w:p>
          <w:p w:rsidR="00577A14" w:rsidRDefault="00577A14" w:rsidP="00577A14">
            <w:pPr>
              <w:jc w:val="center"/>
            </w:pPr>
          </w:p>
        </w:tc>
        <w:tc>
          <w:tcPr>
            <w:tcW w:w="992" w:type="dxa"/>
          </w:tcPr>
          <w:p w:rsidR="00577A14" w:rsidRDefault="00577A14" w:rsidP="00577A14">
            <w:pPr>
              <w:jc w:val="center"/>
            </w:pPr>
            <w:r>
              <w:t>&lt;0</w:t>
            </w:r>
            <w:r w:rsidR="00314E89">
              <w:rPr>
                <w:rFonts w:cstheme="minorHAnsi"/>
              </w:rPr>
              <w:t>·</w:t>
            </w:r>
            <w:r>
              <w:t>00</w:t>
            </w:r>
            <w:r w:rsidR="00106FBF">
              <w:t>0</w:t>
            </w:r>
            <w:r>
              <w:t>1</w:t>
            </w:r>
          </w:p>
          <w:p w:rsidR="00577A14" w:rsidRDefault="00577A14" w:rsidP="00577A14">
            <w:pPr>
              <w:jc w:val="center"/>
            </w:pPr>
          </w:p>
          <w:p w:rsidR="00577A14" w:rsidRDefault="00577A14" w:rsidP="00577A14">
            <w:pPr>
              <w:jc w:val="center"/>
            </w:pPr>
          </w:p>
          <w:p w:rsidR="00577A14" w:rsidRDefault="00577A14" w:rsidP="00577A14">
            <w:pPr>
              <w:jc w:val="center"/>
            </w:pPr>
          </w:p>
        </w:tc>
      </w:tr>
      <w:tr w:rsidR="00577A14" w:rsidTr="00577A14">
        <w:tc>
          <w:tcPr>
            <w:tcW w:w="3256" w:type="dxa"/>
          </w:tcPr>
          <w:p w:rsidR="00577A14" w:rsidRDefault="00E411BB" w:rsidP="00E411BB">
            <w:r>
              <w:t>Turnaround time of results (hours)</w:t>
            </w:r>
          </w:p>
        </w:tc>
        <w:tc>
          <w:tcPr>
            <w:tcW w:w="1559" w:type="dxa"/>
          </w:tcPr>
          <w:p w:rsidR="00577A14" w:rsidRDefault="00577A14" w:rsidP="00314E89">
            <w:pPr>
              <w:jc w:val="center"/>
            </w:pPr>
            <w:r>
              <w:t>1</w:t>
            </w:r>
            <w:r w:rsidR="00314E89">
              <w:rPr>
                <w:rFonts w:cstheme="minorHAnsi"/>
              </w:rPr>
              <w:t>·</w:t>
            </w:r>
            <w:r>
              <w:t>2 (1</w:t>
            </w:r>
            <w:r w:rsidR="00314E89">
              <w:rPr>
                <w:rFonts w:cstheme="minorHAnsi"/>
              </w:rPr>
              <w:t>·</w:t>
            </w:r>
            <w:r>
              <w:t>1 to 1</w:t>
            </w:r>
            <w:r w:rsidR="00314E89">
              <w:rPr>
                <w:rFonts w:cstheme="minorHAnsi"/>
              </w:rPr>
              <w:t>·</w:t>
            </w:r>
            <w:r>
              <w:t>4)</w:t>
            </w:r>
          </w:p>
        </w:tc>
        <w:tc>
          <w:tcPr>
            <w:tcW w:w="1559" w:type="dxa"/>
          </w:tcPr>
          <w:p w:rsidR="00577A14" w:rsidRPr="00E204EC" w:rsidRDefault="00577A14" w:rsidP="00314E89">
            <w:pPr>
              <w:jc w:val="center"/>
            </w:pPr>
            <w:r w:rsidRPr="00E204EC">
              <w:t>23</w:t>
            </w:r>
            <w:r w:rsidR="00314E89">
              <w:rPr>
                <w:rFonts w:cstheme="minorHAnsi"/>
              </w:rPr>
              <w:t>·</w:t>
            </w:r>
            <w:r w:rsidRPr="00E204EC">
              <w:t>1 (13</w:t>
            </w:r>
            <w:r w:rsidR="00314E89">
              <w:rPr>
                <w:rFonts w:cstheme="minorHAnsi"/>
              </w:rPr>
              <w:t>·</w:t>
            </w:r>
            <w:r w:rsidRPr="00E204EC">
              <w:t>8 to 31</w:t>
            </w:r>
            <w:r w:rsidR="00314E89">
              <w:rPr>
                <w:rFonts w:cstheme="minorHAnsi"/>
              </w:rPr>
              <w:t>·</w:t>
            </w:r>
            <w:r w:rsidRPr="00E204EC">
              <w:t>5)</w:t>
            </w:r>
          </w:p>
        </w:tc>
        <w:tc>
          <w:tcPr>
            <w:tcW w:w="1701" w:type="dxa"/>
          </w:tcPr>
          <w:p w:rsidR="00577A14" w:rsidRPr="00E204EC" w:rsidRDefault="00577A14" w:rsidP="00314E89">
            <w:pPr>
              <w:jc w:val="center"/>
            </w:pPr>
            <w:r w:rsidRPr="00E204EC">
              <w:t>21</w:t>
            </w:r>
            <w:r w:rsidR="00314E89">
              <w:rPr>
                <w:rFonts w:cstheme="minorHAnsi"/>
              </w:rPr>
              <w:t>·</w:t>
            </w:r>
            <w:r w:rsidRPr="00E204EC">
              <w:t>9 (20</w:t>
            </w:r>
            <w:r w:rsidR="00314E89">
              <w:rPr>
                <w:rFonts w:cstheme="minorHAnsi"/>
              </w:rPr>
              <w:t>·</w:t>
            </w:r>
            <w:r w:rsidRPr="00E204EC">
              <w:t>2 to 23</w:t>
            </w:r>
            <w:r w:rsidR="00314E89">
              <w:rPr>
                <w:rFonts w:cstheme="minorHAnsi"/>
              </w:rPr>
              <w:t>·</w:t>
            </w:r>
            <w:r w:rsidRPr="00E204EC">
              <w:t>8)</w:t>
            </w:r>
          </w:p>
        </w:tc>
        <w:tc>
          <w:tcPr>
            <w:tcW w:w="992" w:type="dxa"/>
          </w:tcPr>
          <w:p w:rsidR="00577A14" w:rsidRDefault="00577A14" w:rsidP="00314E89">
            <w:pPr>
              <w:jc w:val="center"/>
            </w:pPr>
            <w:r>
              <w:t>&lt;0</w:t>
            </w:r>
            <w:r w:rsidR="00314E89">
              <w:rPr>
                <w:rFonts w:cstheme="minorHAnsi"/>
              </w:rPr>
              <w:t>·</w:t>
            </w:r>
            <w:r>
              <w:t>0</w:t>
            </w:r>
            <w:r w:rsidR="00106FBF">
              <w:t>0</w:t>
            </w:r>
            <w:r>
              <w:t>01</w:t>
            </w:r>
          </w:p>
        </w:tc>
      </w:tr>
      <w:tr w:rsidR="00577A14" w:rsidTr="00577A14">
        <w:tc>
          <w:tcPr>
            <w:tcW w:w="3256" w:type="dxa"/>
          </w:tcPr>
          <w:p w:rsidR="00577A14" w:rsidRPr="00721222" w:rsidRDefault="00577A14" w:rsidP="00577A14">
            <w:pPr>
              <w:rPr>
                <w:b/>
              </w:rPr>
            </w:pPr>
            <w:r w:rsidRPr="00721222">
              <w:rPr>
                <w:b/>
              </w:rPr>
              <w:t xml:space="preserve">Antiviral use </w:t>
            </w:r>
          </w:p>
        </w:tc>
        <w:tc>
          <w:tcPr>
            <w:tcW w:w="1559" w:type="dxa"/>
          </w:tcPr>
          <w:p w:rsidR="00577A14" w:rsidRDefault="00577A14" w:rsidP="00577A14">
            <w:pPr>
              <w:jc w:val="center"/>
            </w:pPr>
          </w:p>
        </w:tc>
        <w:tc>
          <w:tcPr>
            <w:tcW w:w="1559" w:type="dxa"/>
          </w:tcPr>
          <w:p w:rsidR="00577A14" w:rsidRDefault="00577A14" w:rsidP="00577A14">
            <w:pPr>
              <w:jc w:val="center"/>
            </w:pPr>
          </w:p>
        </w:tc>
        <w:tc>
          <w:tcPr>
            <w:tcW w:w="1701" w:type="dxa"/>
          </w:tcPr>
          <w:p w:rsidR="00577A14" w:rsidRDefault="00577A14" w:rsidP="00577A14">
            <w:pPr>
              <w:jc w:val="center"/>
            </w:pPr>
          </w:p>
        </w:tc>
        <w:tc>
          <w:tcPr>
            <w:tcW w:w="992" w:type="dxa"/>
          </w:tcPr>
          <w:p w:rsidR="00577A14" w:rsidRDefault="00577A14" w:rsidP="00577A14">
            <w:pPr>
              <w:jc w:val="center"/>
            </w:pPr>
          </w:p>
        </w:tc>
      </w:tr>
      <w:tr w:rsidR="00577A14" w:rsidTr="00577A14">
        <w:tc>
          <w:tcPr>
            <w:tcW w:w="3256" w:type="dxa"/>
          </w:tcPr>
          <w:p w:rsidR="00577A14" w:rsidRDefault="00577A14" w:rsidP="00577A14">
            <w:r>
              <w:t xml:space="preserve">Antiviral use </w:t>
            </w:r>
          </w:p>
          <w:p w:rsidR="00577A14" w:rsidRPr="00424C2A" w:rsidRDefault="00577A14" w:rsidP="00577A14">
            <w:r>
              <w:t xml:space="preserve">   </w:t>
            </w:r>
            <w:r w:rsidRPr="00424C2A">
              <w:t xml:space="preserve">Empirical </w:t>
            </w:r>
            <w:r>
              <w:t xml:space="preserve">antiviral </w:t>
            </w:r>
            <w:r w:rsidRPr="00424C2A">
              <w:t>use</w:t>
            </w:r>
            <w:r w:rsidR="00C1688E" w:rsidRPr="00C1688E">
              <w:t>†</w:t>
            </w:r>
          </w:p>
          <w:p w:rsidR="00577A14" w:rsidRDefault="00577A14" w:rsidP="00577A14">
            <w:r>
              <w:t xml:space="preserve">   Directed use</w:t>
            </w:r>
            <w:r w:rsidR="00C1688E" w:rsidRPr="00C1688E">
              <w:t>‡</w:t>
            </w:r>
          </w:p>
          <w:p w:rsidR="00577A14" w:rsidRDefault="00E411BB" w:rsidP="00577A14">
            <w:r>
              <w:t>T</w:t>
            </w:r>
            <w:r w:rsidR="00577A14" w:rsidRPr="00540858">
              <w:t xml:space="preserve">ime </w:t>
            </w:r>
            <w:r>
              <w:t>to antiviral use (</w:t>
            </w:r>
            <w:r w:rsidR="00577A14" w:rsidRPr="00540858">
              <w:t>h</w:t>
            </w:r>
            <w:r>
              <w:t>ou</w:t>
            </w:r>
            <w:r w:rsidR="00577A14" w:rsidRPr="00540858">
              <w:t>rs</w:t>
            </w:r>
            <w:r>
              <w:t>)</w:t>
            </w:r>
          </w:p>
          <w:p w:rsidR="00577A14" w:rsidRDefault="00E411BB" w:rsidP="00890BD1">
            <w:r>
              <w:t>T</w:t>
            </w:r>
            <w:r w:rsidR="00577A14" w:rsidRPr="00540858">
              <w:t xml:space="preserve">ime </w:t>
            </w:r>
            <w:r w:rsidR="00577A14">
              <w:t xml:space="preserve">to antiviral use, </w:t>
            </w:r>
            <w:r w:rsidR="00577A14" w:rsidRPr="00540858">
              <w:t>exclu</w:t>
            </w:r>
            <w:r>
              <w:t>ding those treated empirically (</w:t>
            </w:r>
            <w:r w:rsidR="00577A14" w:rsidRPr="00540858">
              <w:t>h</w:t>
            </w:r>
            <w:r>
              <w:t>ou</w:t>
            </w:r>
            <w:r w:rsidR="00577A14" w:rsidRPr="00540858">
              <w:t>rs</w:t>
            </w:r>
            <w:r>
              <w:t>)</w:t>
            </w:r>
          </w:p>
        </w:tc>
        <w:tc>
          <w:tcPr>
            <w:tcW w:w="1559" w:type="dxa"/>
          </w:tcPr>
          <w:p w:rsidR="00577A14" w:rsidRPr="00540858" w:rsidRDefault="00577A14" w:rsidP="00577A14">
            <w:pPr>
              <w:jc w:val="center"/>
            </w:pPr>
            <w:r>
              <w:t>9</w:t>
            </w:r>
            <w:r w:rsidR="0066012F">
              <w:t>9 (99%</w:t>
            </w:r>
            <w:r>
              <w:t>)</w:t>
            </w:r>
          </w:p>
          <w:p w:rsidR="00577A14" w:rsidRPr="00540858" w:rsidRDefault="0066012F" w:rsidP="00577A14">
            <w:pPr>
              <w:jc w:val="center"/>
            </w:pPr>
            <w:r>
              <w:t>30/99 (30%</w:t>
            </w:r>
            <w:r w:rsidR="00577A14" w:rsidRPr="00540858">
              <w:t>)</w:t>
            </w:r>
          </w:p>
          <w:p w:rsidR="00577A14" w:rsidRPr="00540858" w:rsidRDefault="0066012F" w:rsidP="00577A14">
            <w:pPr>
              <w:jc w:val="center"/>
            </w:pPr>
            <w:r>
              <w:t>69/99 (70%</w:t>
            </w:r>
            <w:r w:rsidR="00577A14" w:rsidRPr="00540858">
              <w:t>)</w:t>
            </w:r>
          </w:p>
          <w:p w:rsidR="00577A14" w:rsidRPr="00540858" w:rsidRDefault="00577A14" w:rsidP="00890BD1">
            <w:pPr>
              <w:jc w:val="center"/>
            </w:pPr>
            <w:r w:rsidRPr="00540858">
              <w:t>1</w:t>
            </w:r>
            <w:r w:rsidR="00314E89">
              <w:rPr>
                <w:rFonts w:cstheme="minorHAnsi"/>
              </w:rPr>
              <w:t>·</w:t>
            </w:r>
            <w:r>
              <w:t>0</w:t>
            </w:r>
            <w:r w:rsidRPr="00540858">
              <w:t xml:space="preserve"> (0 to 2</w:t>
            </w:r>
            <w:r w:rsidR="00314E89">
              <w:rPr>
                <w:rFonts w:cstheme="minorHAnsi"/>
              </w:rPr>
              <w:t>·</w:t>
            </w:r>
            <w:r>
              <w:t>0</w:t>
            </w:r>
            <w:r w:rsidR="00890BD1">
              <w:t>)</w:t>
            </w:r>
          </w:p>
          <w:p w:rsidR="00577A14" w:rsidRPr="00540858" w:rsidRDefault="00577A14" w:rsidP="00577A14">
            <w:pPr>
              <w:jc w:val="center"/>
            </w:pPr>
            <w:r w:rsidRPr="00540858">
              <w:t>2</w:t>
            </w:r>
            <w:r w:rsidR="00314E89">
              <w:rPr>
                <w:rFonts w:cstheme="minorHAnsi"/>
              </w:rPr>
              <w:t>·</w:t>
            </w:r>
            <w:r>
              <w:t>0</w:t>
            </w:r>
            <w:r w:rsidRPr="00540858">
              <w:t xml:space="preserve"> (1</w:t>
            </w:r>
            <w:r w:rsidR="00314E89">
              <w:rPr>
                <w:rFonts w:cstheme="minorHAnsi"/>
              </w:rPr>
              <w:t>·</w:t>
            </w:r>
            <w:r>
              <w:t>0</w:t>
            </w:r>
            <w:r w:rsidRPr="00540858">
              <w:t xml:space="preserve"> to 3</w:t>
            </w:r>
            <w:r w:rsidR="00314E89">
              <w:rPr>
                <w:rFonts w:cstheme="minorHAnsi"/>
              </w:rPr>
              <w:t>·</w:t>
            </w:r>
            <w:r>
              <w:t>0</w:t>
            </w:r>
            <w:r w:rsidRPr="00540858">
              <w:t>)</w:t>
            </w:r>
          </w:p>
          <w:p w:rsidR="00577A14" w:rsidRPr="00540858" w:rsidRDefault="00577A14" w:rsidP="00577A14">
            <w:pPr>
              <w:jc w:val="center"/>
            </w:pPr>
          </w:p>
        </w:tc>
        <w:tc>
          <w:tcPr>
            <w:tcW w:w="1559" w:type="dxa"/>
          </w:tcPr>
          <w:p w:rsidR="00577A14" w:rsidRPr="00540858" w:rsidRDefault="0066012F" w:rsidP="00577A14">
            <w:pPr>
              <w:jc w:val="center"/>
            </w:pPr>
            <w:r>
              <w:t>63 (62%</w:t>
            </w:r>
            <w:r w:rsidR="00577A14">
              <w:t>)</w:t>
            </w:r>
          </w:p>
          <w:p w:rsidR="00577A14" w:rsidRPr="00540858" w:rsidRDefault="0066012F" w:rsidP="00577A14">
            <w:pPr>
              <w:jc w:val="center"/>
            </w:pPr>
            <w:r>
              <w:t>41/63 (65%</w:t>
            </w:r>
            <w:r w:rsidR="00577A14" w:rsidRPr="00540858">
              <w:t>)</w:t>
            </w:r>
          </w:p>
          <w:p w:rsidR="00577A14" w:rsidRPr="00540858" w:rsidRDefault="0066012F" w:rsidP="00577A14">
            <w:pPr>
              <w:jc w:val="center"/>
            </w:pPr>
            <w:r>
              <w:t>22/63 (35%</w:t>
            </w:r>
            <w:r w:rsidR="00577A14" w:rsidRPr="00540858">
              <w:t>)</w:t>
            </w:r>
          </w:p>
          <w:p w:rsidR="00577A14" w:rsidRPr="00540858" w:rsidRDefault="00577A14" w:rsidP="00890BD1">
            <w:pPr>
              <w:jc w:val="center"/>
            </w:pPr>
            <w:r w:rsidRPr="00540858">
              <w:t>6</w:t>
            </w:r>
            <w:r w:rsidR="00314E89">
              <w:rPr>
                <w:rFonts w:cstheme="minorHAnsi"/>
              </w:rPr>
              <w:t>·</w:t>
            </w:r>
            <w:r>
              <w:t>0</w:t>
            </w:r>
            <w:r w:rsidRPr="00540858">
              <w:t xml:space="preserve"> (0 to 12</w:t>
            </w:r>
            <w:r w:rsidR="00314E89">
              <w:rPr>
                <w:rFonts w:cstheme="minorHAnsi"/>
              </w:rPr>
              <w:t>·</w:t>
            </w:r>
            <w:r>
              <w:t>0</w:t>
            </w:r>
            <w:r w:rsidR="00890BD1">
              <w:t>)</w:t>
            </w:r>
          </w:p>
          <w:p w:rsidR="00577A14" w:rsidRPr="00540858" w:rsidRDefault="00577A14" w:rsidP="00314E89">
            <w:pPr>
              <w:jc w:val="center"/>
            </w:pPr>
            <w:r w:rsidRPr="00540858">
              <w:t>30</w:t>
            </w:r>
            <w:r w:rsidR="00314E89">
              <w:rPr>
                <w:rFonts w:cstheme="minorHAnsi"/>
              </w:rPr>
              <w:t>·</w:t>
            </w:r>
            <w:r w:rsidRPr="00540858">
              <w:t>5 (12</w:t>
            </w:r>
            <w:r w:rsidR="00314E89">
              <w:rPr>
                <w:rFonts w:cstheme="minorHAnsi"/>
              </w:rPr>
              <w:t>·</w:t>
            </w:r>
            <w:r>
              <w:t>0</w:t>
            </w:r>
            <w:r w:rsidRPr="00540858">
              <w:t xml:space="preserve"> to 59</w:t>
            </w:r>
            <w:r w:rsidR="00314E89">
              <w:rPr>
                <w:rFonts w:cstheme="minorHAnsi"/>
              </w:rPr>
              <w:t>·</w:t>
            </w:r>
            <w:r>
              <w:t>0</w:t>
            </w:r>
            <w:r w:rsidRPr="00540858">
              <w:t>)</w:t>
            </w:r>
          </w:p>
        </w:tc>
        <w:tc>
          <w:tcPr>
            <w:tcW w:w="1701" w:type="dxa"/>
          </w:tcPr>
          <w:p w:rsidR="00577A14" w:rsidRDefault="00577A14" w:rsidP="00577A14">
            <w:pPr>
              <w:jc w:val="center"/>
            </w:pPr>
            <w:r>
              <w:t>1</w:t>
            </w:r>
            <w:r w:rsidR="00314E89">
              <w:rPr>
                <w:rFonts w:cstheme="minorHAnsi"/>
              </w:rPr>
              <w:t>·</w:t>
            </w:r>
            <w:r>
              <w:t>6 (1</w:t>
            </w:r>
            <w:r w:rsidR="00314E89">
              <w:rPr>
                <w:rFonts w:cstheme="minorHAnsi"/>
              </w:rPr>
              <w:t>·</w:t>
            </w:r>
            <w:r>
              <w:t>4 to 1</w:t>
            </w:r>
            <w:r w:rsidR="00314E89">
              <w:rPr>
                <w:rFonts w:cstheme="minorHAnsi"/>
              </w:rPr>
              <w:t>·</w:t>
            </w:r>
            <w:r>
              <w:t>9)</w:t>
            </w:r>
          </w:p>
          <w:p w:rsidR="00577A14" w:rsidRDefault="00577A14" w:rsidP="00577A14">
            <w:pPr>
              <w:jc w:val="center"/>
            </w:pPr>
            <w:r>
              <w:t>0</w:t>
            </w:r>
            <w:r w:rsidR="00314E89">
              <w:rPr>
                <w:rFonts w:cstheme="minorHAnsi"/>
              </w:rPr>
              <w:t>·</w:t>
            </w:r>
            <w:r>
              <w:t>6 (0</w:t>
            </w:r>
            <w:r w:rsidR="00314E89">
              <w:rPr>
                <w:rFonts w:cstheme="minorHAnsi"/>
              </w:rPr>
              <w:t>·</w:t>
            </w:r>
            <w:r>
              <w:t>4 to 0</w:t>
            </w:r>
            <w:r w:rsidR="00314E89">
              <w:rPr>
                <w:rFonts w:cstheme="minorHAnsi"/>
              </w:rPr>
              <w:t>·</w:t>
            </w:r>
            <w:r>
              <w:t>7)</w:t>
            </w:r>
          </w:p>
          <w:p w:rsidR="00577A14" w:rsidRDefault="00FD2E69" w:rsidP="00577A14">
            <w:pPr>
              <w:jc w:val="center"/>
            </w:pPr>
            <w:r w:rsidRPr="00FD2E69">
              <w:t>2.0 (1.4 to 2.9)</w:t>
            </w:r>
          </w:p>
          <w:p w:rsidR="00577A14" w:rsidRDefault="00577A14" w:rsidP="00890BD1">
            <w:pPr>
              <w:jc w:val="center"/>
            </w:pPr>
            <w:r>
              <w:t>5</w:t>
            </w:r>
            <w:r w:rsidR="00314E89">
              <w:rPr>
                <w:rFonts w:cstheme="minorHAnsi"/>
              </w:rPr>
              <w:t>·</w:t>
            </w:r>
            <w:r>
              <w:t>0 (0 to 6</w:t>
            </w:r>
            <w:r w:rsidR="00314E89">
              <w:rPr>
                <w:rFonts w:cstheme="minorHAnsi"/>
              </w:rPr>
              <w:t>·</w:t>
            </w:r>
            <w:r w:rsidR="00890BD1">
              <w:t>0)</w:t>
            </w:r>
          </w:p>
          <w:p w:rsidR="00577A14" w:rsidRDefault="00577A14" w:rsidP="00314E89">
            <w:pPr>
              <w:jc w:val="center"/>
            </w:pPr>
            <w:r>
              <w:t>28</w:t>
            </w:r>
            <w:r w:rsidR="00314E89">
              <w:rPr>
                <w:rFonts w:cstheme="minorHAnsi"/>
              </w:rPr>
              <w:t>·</w:t>
            </w:r>
            <w:r>
              <w:t>5 (18</w:t>
            </w:r>
            <w:r w:rsidR="00314E89">
              <w:rPr>
                <w:rFonts w:cstheme="minorHAnsi"/>
              </w:rPr>
              <w:t>·</w:t>
            </w:r>
            <w:r>
              <w:t>0 to 31</w:t>
            </w:r>
            <w:r w:rsidR="00314E89">
              <w:rPr>
                <w:rFonts w:cstheme="minorHAnsi"/>
              </w:rPr>
              <w:t>·</w:t>
            </w:r>
            <w:r>
              <w:t>0)</w:t>
            </w:r>
          </w:p>
        </w:tc>
        <w:tc>
          <w:tcPr>
            <w:tcW w:w="992" w:type="dxa"/>
          </w:tcPr>
          <w:p w:rsidR="00577A14" w:rsidRDefault="00577A14" w:rsidP="00577A14">
            <w:pPr>
              <w:jc w:val="center"/>
            </w:pPr>
            <w:r>
              <w:t>&lt;0</w:t>
            </w:r>
            <w:r w:rsidR="00314E89">
              <w:rPr>
                <w:rFonts w:cstheme="minorHAnsi"/>
              </w:rPr>
              <w:t>·</w:t>
            </w:r>
            <w:r>
              <w:t>00</w:t>
            </w:r>
            <w:r w:rsidR="00106FBF">
              <w:t>0</w:t>
            </w:r>
            <w:r>
              <w:t>1</w:t>
            </w:r>
          </w:p>
          <w:p w:rsidR="00577A14" w:rsidRPr="00DF7AF3" w:rsidRDefault="00577A14" w:rsidP="00577A14">
            <w:pPr>
              <w:jc w:val="center"/>
            </w:pPr>
            <w:r>
              <w:t>&lt;0</w:t>
            </w:r>
            <w:r w:rsidR="00314E89">
              <w:rPr>
                <w:rFonts w:cstheme="minorHAnsi"/>
              </w:rPr>
              <w:t>·</w:t>
            </w:r>
            <w:r>
              <w:t>00</w:t>
            </w:r>
            <w:r w:rsidR="00106FBF">
              <w:t>0</w:t>
            </w:r>
            <w:r w:rsidRPr="00DF7AF3">
              <w:t>1</w:t>
            </w:r>
          </w:p>
          <w:p w:rsidR="00577A14" w:rsidRPr="004E0E6A" w:rsidRDefault="004E0E6A" w:rsidP="00577A14">
            <w:pPr>
              <w:jc w:val="center"/>
            </w:pPr>
            <w:r w:rsidRPr="004E0E6A">
              <w:t>-</w:t>
            </w:r>
          </w:p>
          <w:p w:rsidR="00577A14" w:rsidRDefault="00106FBF" w:rsidP="00890BD1">
            <w:pPr>
              <w:jc w:val="center"/>
            </w:pPr>
            <w:r>
              <w:t>0</w:t>
            </w:r>
            <w:r w:rsidR="00314E89">
              <w:rPr>
                <w:rFonts w:cstheme="minorHAnsi"/>
              </w:rPr>
              <w:t>·</w:t>
            </w:r>
            <w:r>
              <w:t>0039</w:t>
            </w:r>
          </w:p>
          <w:p w:rsidR="00577A14" w:rsidRDefault="00577A14" w:rsidP="00314E89">
            <w:pPr>
              <w:jc w:val="center"/>
            </w:pPr>
            <w:r>
              <w:t>&lt;0</w:t>
            </w:r>
            <w:r w:rsidR="00314E89">
              <w:rPr>
                <w:rFonts w:cstheme="minorHAnsi"/>
              </w:rPr>
              <w:t>·</w:t>
            </w:r>
            <w:r>
              <w:t>0</w:t>
            </w:r>
            <w:r w:rsidR="00106FBF">
              <w:t>0</w:t>
            </w:r>
            <w:r>
              <w:t>01</w:t>
            </w:r>
          </w:p>
        </w:tc>
      </w:tr>
      <w:tr w:rsidR="00577A14" w:rsidTr="00577A14">
        <w:tc>
          <w:tcPr>
            <w:tcW w:w="3256" w:type="dxa"/>
          </w:tcPr>
          <w:p w:rsidR="00577A14" w:rsidRPr="00721222" w:rsidRDefault="00577A14" w:rsidP="005A6847">
            <w:pPr>
              <w:rPr>
                <w:b/>
              </w:rPr>
            </w:pPr>
            <w:r w:rsidRPr="00721222">
              <w:rPr>
                <w:b/>
              </w:rPr>
              <w:t>Isolation facility use</w:t>
            </w:r>
            <w:r w:rsidR="00C1688E" w:rsidRPr="005A6847">
              <w:t>§</w:t>
            </w:r>
          </w:p>
        </w:tc>
        <w:tc>
          <w:tcPr>
            <w:tcW w:w="1559" w:type="dxa"/>
          </w:tcPr>
          <w:p w:rsidR="00577A14" w:rsidRDefault="00577A14" w:rsidP="00577A14">
            <w:pPr>
              <w:jc w:val="center"/>
            </w:pPr>
          </w:p>
        </w:tc>
        <w:tc>
          <w:tcPr>
            <w:tcW w:w="1559" w:type="dxa"/>
          </w:tcPr>
          <w:p w:rsidR="00577A14" w:rsidRDefault="00577A14" w:rsidP="00577A14">
            <w:pPr>
              <w:jc w:val="center"/>
            </w:pPr>
          </w:p>
        </w:tc>
        <w:tc>
          <w:tcPr>
            <w:tcW w:w="1701" w:type="dxa"/>
          </w:tcPr>
          <w:p w:rsidR="00577A14" w:rsidRDefault="00577A14" w:rsidP="00577A14">
            <w:pPr>
              <w:jc w:val="center"/>
            </w:pPr>
          </w:p>
        </w:tc>
        <w:tc>
          <w:tcPr>
            <w:tcW w:w="992" w:type="dxa"/>
          </w:tcPr>
          <w:p w:rsidR="00577A14" w:rsidRDefault="00577A14" w:rsidP="00577A14">
            <w:pPr>
              <w:jc w:val="center"/>
            </w:pPr>
          </w:p>
        </w:tc>
      </w:tr>
      <w:tr w:rsidR="00577A14" w:rsidTr="00577A14">
        <w:tc>
          <w:tcPr>
            <w:tcW w:w="3256" w:type="dxa"/>
          </w:tcPr>
          <w:p w:rsidR="00577A14" w:rsidRPr="0073453C" w:rsidRDefault="00577A14" w:rsidP="00577A14">
            <w:r w:rsidRPr="00540858">
              <w:t xml:space="preserve">Isolated at presentation </w:t>
            </w:r>
          </w:p>
          <w:p w:rsidR="00577A14" w:rsidRPr="00540858" w:rsidRDefault="00577A14" w:rsidP="00577A14">
            <w:r w:rsidRPr="00540858">
              <w:t xml:space="preserve">Isolated </w:t>
            </w:r>
            <w:r>
              <w:t xml:space="preserve">during admission </w:t>
            </w:r>
          </w:p>
          <w:p w:rsidR="00577A14" w:rsidRDefault="00577A14" w:rsidP="00577A14">
            <w:r w:rsidRPr="00540858">
              <w:t>Isolated</w:t>
            </w:r>
            <w:r w:rsidR="00890BD1">
              <w:t xml:space="preserve"> during admission </w:t>
            </w:r>
            <w:r w:rsidRPr="00540858">
              <w:t xml:space="preserve">excluding </w:t>
            </w:r>
            <w:r w:rsidR="00890BD1">
              <w:t>exceptions</w:t>
            </w:r>
            <w:r w:rsidR="00C1688E" w:rsidRPr="00C1688E">
              <w:rPr>
                <w:rFonts w:cstheme="minorHAnsi"/>
              </w:rPr>
              <w:t>¶</w:t>
            </w:r>
          </w:p>
          <w:p w:rsidR="00577A14" w:rsidRDefault="000525EF" w:rsidP="00577A14">
            <w:r>
              <w:t>T</w:t>
            </w:r>
            <w:r w:rsidR="00577A14" w:rsidRPr="00C22270">
              <w:t>ime to isolation</w:t>
            </w:r>
            <w:r>
              <w:t xml:space="preserve"> (hours)</w:t>
            </w:r>
          </w:p>
          <w:p w:rsidR="00890BD1" w:rsidRPr="00C22270" w:rsidRDefault="00890BD1" w:rsidP="00577A14"/>
          <w:p w:rsidR="00577A14" w:rsidRDefault="000525EF" w:rsidP="00890BD1">
            <w:r>
              <w:t xml:space="preserve">Time </w:t>
            </w:r>
            <w:r w:rsidR="00890BD1">
              <w:t xml:space="preserve">to isolation, </w:t>
            </w:r>
            <w:r w:rsidR="00577A14" w:rsidRPr="00C22270">
              <w:t>excluding those iso</w:t>
            </w:r>
            <w:r>
              <w:t xml:space="preserve">lated empirically (hours) </w:t>
            </w:r>
          </w:p>
        </w:tc>
        <w:tc>
          <w:tcPr>
            <w:tcW w:w="1559" w:type="dxa"/>
          </w:tcPr>
          <w:p w:rsidR="00577A14" w:rsidRDefault="00577A14" w:rsidP="00577A14">
            <w:pPr>
              <w:jc w:val="center"/>
            </w:pPr>
            <w:r>
              <w:t>1</w:t>
            </w:r>
            <w:r w:rsidR="0066012F">
              <w:t>0 (10%</w:t>
            </w:r>
            <w:r w:rsidRPr="009C4CFA">
              <w:t>)</w:t>
            </w:r>
          </w:p>
          <w:p w:rsidR="00577A14" w:rsidRDefault="0066012F" w:rsidP="00890BD1">
            <w:pPr>
              <w:jc w:val="center"/>
            </w:pPr>
            <w:r>
              <w:t>70 (70%</w:t>
            </w:r>
            <w:r w:rsidR="00890BD1">
              <w:t>)</w:t>
            </w:r>
          </w:p>
          <w:p w:rsidR="00577A14" w:rsidRDefault="0066012F" w:rsidP="00577A14">
            <w:pPr>
              <w:jc w:val="center"/>
            </w:pPr>
            <w:r>
              <w:t>70/76 (92%</w:t>
            </w:r>
            <w:r w:rsidR="00577A14">
              <w:t>)</w:t>
            </w:r>
          </w:p>
          <w:p w:rsidR="00577A14" w:rsidRDefault="00577A14" w:rsidP="00890BD1"/>
          <w:p w:rsidR="00577A14" w:rsidRDefault="00577A14" w:rsidP="00890BD1">
            <w:pPr>
              <w:jc w:val="center"/>
            </w:pPr>
            <w:r>
              <w:t>4</w:t>
            </w:r>
            <w:r w:rsidR="00314E89">
              <w:rPr>
                <w:rFonts w:cstheme="minorHAnsi"/>
              </w:rPr>
              <w:t>·</w:t>
            </w:r>
            <w:r>
              <w:t>5 (1</w:t>
            </w:r>
            <w:r w:rsidR="00314E89">
              <w:rPr>
                <w:rFonts w:cstheme="minorHAnsi"/>
              </w:rPr>
              <w:t>·</w:t>
            </w:r>
            <w:r>
              <w:t>9 to 9</w:t>
            </w:r>
            <w:r w:rsidR="00314E89">
              <w:rPr>
                <w:rFonts w:cstheme="minorHAnsi"/>
              </w:rPr>
              <w:t>·</w:t>
            </w:r>
            <w:r w:rsidR="00890BD1">
              <w:t>8)</w:t>
            </w:r>
          </w:p>
          <w:p w:rsidR="00890BD1" w:rsidRDefault="00890BD1" w:rsidP="00890BD1">
            <w:pPr>
              <w:jc w:val="center"/>
            </w:pPr>
          </w:p>
          <w:p w:rsidR="00577A14" w:rsidRDefault="00577A14" w:rsidP="00314E89">
            <w:pPr>
              <w:jc w:val="center"/>
            </w:pPr>
            <w:r>
              <w:t>5</w:t>
            </w:r>
            <w:r w:rsidR="00314E89">
              <w:rPr>
                <w:rFonts w:cstheme="minorHAnsi"/>
              </w:rPr>
              <w:t>·</w:t>
            </w:r>
            <w:r>
              <w:t>0 (2</w:t>
            </w:r>
            <w:r w:rsidR="00314E89">
              <w:rPr>
                <w:rFonts w:cstheme="minorHAnsi"/>
              </w:rPr>
              <w:t>·</w:t>
            </w:r>
            <w:r>
              <w:t>0 to 12)</w:t>
            </w:r>
          </w:p>
        </w:tc>
        <w:tc>
          <w:tcPr>
            <w:tcW w:w="1559" w:type="dxa"/>
          </w:tcPr>
          <w:p w:rsidR="00577A14" w:rsidRDefault="0066012F" w:rsidP="00577A14">
            <w:pPr>
              <w:jc w:val="center"/>
            </w:pPr>
            <w:r>
              <w:t>9 (9%</w:t>
            </w:r>
            <w:r w:rsidR="00577A14">
              <w:t>)</w:t>
            </w:r>
          </w:p>
          <w:p w:rsidR="00577A14" w:rsidRDefault="0066012F" w:rsidP="00890BD1">
            <w:pPr>
              <w:jc w:val="center"/>
            </w:pPr>
            <w:r>
              <w:t>39 (38%</w:t>
            </w:r>
            <w:r w:rsidR="00890BD1">
              <w:t>)</w:t>
            </w:r>
          </w:p>
          <w:p w:rsidR="00577A14" w:rsidRDefault="0066012F" w:rsidP="00577A14">
            <w:pPr>
              <w:jc w:val="center"/>
            </w:pPr>
            <w:r>
              <w:t>39/90 (43%</w:t>
            </w:r>
            <w:r w:rsidR="00577A14">
              <w:t>)</w:t>
            </w:r>
          </w:p>
          <w:p w:rsidR="00577A14" w:rsidRDefault="00577A14" w:rsidP="00890BD1"/>
          <w:p w:rsidR="00577A14" w:rsidRDefault="00577A14" w:rsidP="00577A14">
            <w:pPr>
              <w:jc w:val="center"/>
            </w:pPr>
            <w:r>
              <w:t>25</w:t>
            </w:r>
            <w:r w:rsidR="00314E89">
              <w:rPr>
                <w:rFonts w:cstheme="minorHAnsi"/>
              </w:rPr>
              <w:t>·</w:t>
            </w:r>
            <w:r>
              <w:t>0 (3</w:t>
            </w:r>
            <w:r w:rsidR="00314E89">
              <w:rPr>
                <w:rFonts w:cstheme="minorHAnsi"/>
              </w:rPr>
              <w:t>·</w:t>
            </w:r>
            <w:r>
              <w:t>6 to 45</w:t>
            </w:r>
            <w:r w:rsidR="00314E89">
              <w:rPr>
                <w:rFonts w:cstheme="minorHAnsi"/>
              </w:rPr>
              <w:t>·</w:t>
            </w:r>
            <w:r w:rsidR="00FD2E69">
              <w:t>1</w:t>
            </w:r>
            <w:r>
              <w:t>)</w:t>
            </w:r>
          </w:p>
          <w:p w:rsidR="00577A14" w:rsidRDefault="00577A14" w:rsidP="00314E89">
            <w:pPr>
              <w:jc w:val="center"/>
            </w:pPr>
            <w:r>
              <w:t>32</w:t>
            </w:r>
            <w:r w:rsidR="00314E89">
              <w:rPr>
                <w:rFonts w:cstheme="minorHAnsi"/>
              </w:rPr>
              <w:t>·</w:t>
            </w:r>
            <w:r>
              <w:t>0 (16</w:t>
            </w:r>
            <w:r w:rsidR="00314E89">
              <w:rPr>
                <w:rFonts w:cstheme="minorHAnsi"/>
              </w:rPr>
              <w:t>·</w:t>
            </w:r>
            <w:r>
              <w:t>0 to 55</w:t>
            </w:r>
            <w:r w:rsidR="00314E89">
              <w:rPr>
                <w:rFonts w:cstheme="minorHAnsi"/>
              </w:rPr>
              <w:t>·</w:t>
            </w:r>
            <w:r>
              <w:t>0)</w:t>
            </w:r>
          </w:p>
        </w:tc>
        <w:tc>
          <w:tcPr>
            <w:tcW w:w="1701" w:type="dxa"/>
          </w:tcPr>
          <w:p w:rsidR="00577A14" w:rsidRDefault="00577A14" w:rsidP="00577A14">
            <w:pPr>
              <w:jc w:val="center"/>
            </w:pPr>
            <w:r>
              <w:t>1</w:t>
            </w:r>
            <w:r w:rsidR="00314E89">
              <w:rPr>
                <w:rFonts w:cstheme="minorHAnsi"/>
              </w:rPr>
              <w:t>·</w:t>
            </w:r>
            <w:r>
              <w:t>1 (0</w:t>
            </w:r>
            <w:r w:rsidR="00314E89">
              <w:rPr>
                <w:rFonts w:cstheme="minorHAnsi"/>
              </w:rPr>
              <w:t>·</w:t>
            </w:r>
            <w:r>
              <w:t>5 to 2</w:t>
            </w:r>
            <w:r w:rsidR="00314E89">
              <w:rPr>
                <w:rFonts w:cstheme="minorHAnsi"/>
              </w:rPr>
              <w:t>·</w:t>
            </w:r>
            <w:r>
              <w:t>7)</w:t>
            </w:r>
          </w:p>
          <w:p w:rsidR="00577A14" w:rsidRDefault="00577A14" w:rsidP="00890BD1">
            <w:pPr>
              <w:jc w:val="center"/>
            </w:pPr>
            <w:r>
              <w:t>1</w:t>
            </w:r>
            <w:r w:rsidR="00314E89">
              <w:rPr>
                <w:rFonts w:cstheme="minorHAnsi"/>
              </w:rPr>
              <w:t>·</w:t>
            </w:r>
            <w:r>
              <w:t>8 (1</w:t>
            </w:r>
            <w:r w:rsidR="00314E89">
              <w:rPr>
                <w:rFonts w:cstheme="minorHAnsi"/>
              </w:rPr>
              <w:t>·</w:t>
            </w:r>
            <w:r>
              <w:t>4 to 2</w:t>
            </w:r>
            <w:r w:rsidR="00314E89">
              <w:rPr>
                <w:rFonts w:cstheme="minorHAnsi"/>
              </w:rPr>
              <w:t>·</w:t>
            </w:r>
            <w:r w:rsidR="00890BD1">
              <w:t>4)</w:t>
            </w:r>
          </w:p>
          <w:p w:rsidR="00577A14" w:rsidRDefault="00577A14" w:rsidP="00577A14">
            <w:pPr>
              <w:jc w:val="center"/>
            </w:pPr>
            <w:r>
              <w:t>2</w:t>
            </w:r>
            <w:r w:rsidR="00314E89">
              <w:rPr>
                <w:rFonts w:cstheme="minorHAnsi"/>
              </w:rPr>
              <w:t>·</w:t>
            </w:r>
            <w:r>
              <w:t>1 (1</w:t>
            </w:r>
            <w:r w:rsidR="00314E89">
              <w:rPr>
                <w:rFonts w:cstheme="minorHAnsi"/>
              </w:rPr>
              <w:t>·</w:t>
            </w:r>
            <w:r>
              <w:t>7 to 2</w:t>
            </w:r>
            <w:r w:rsidR="00314E89">
              <w:rPr>
                <w:rFonts w:cstheme="minorHAnsi"/>
              </w:rPr>
              <w:t>·</w:t>
            </w:r>
            <w:r>
              <w:t>8)</w:t>
            </w:r>
          </w:p>
          <w:p w:rsidR="00577A14" w:rsidRDefault="00577A14" w:rsidP="00890BD1"/>
          <w:p w:rsidR="00577A14" w:rsidRDefault="00577A14" w:rsidP="00577A14">
            <w:pPr>
              <w:jc w:val="center"/>
            </w:pPr>
            <w:r w:rsidRPr="00FD2E69">
              <w:t>20</w:t>
            </w:r>
            <w:r w:rsidR="00314E89" w:rsidRPr="00FD2E69">
              <w:rPr>
                <w:rFonts w:cstheme="minorHAnsi"/>
              </w:rPr>
              <w:t>·</w:t>
            </w:r>
            <w:r w:rsidR="00FD2E69" w:rsidRPr="00FD2E69">
              <w:t>5</w:t>
            </w:r>
            <w:r w:rsidRPr="00FD2E69">
              <w:t xml:space="preserve"> (6</w:t>
            </w:r>
            <w:r w:rsidR="00314E89" w:rsidRPr="00FD2E69">
              <w:rPr>
                <w:rFonts w:cstheme="minorHAnsi"/>
              </w:rPr>
              <w:t>·</w:t>
            </w:r>
            <w:r w:rsidRPr="00FD2E69">
              <w:t>0 to 26</w:t>
            </w:r>
            <w:r w:rsidR="00314E89" w:rsidRPr="00FD2E69">
              <w:rPr>
                <w:rFonts w:cstheme="minorHAnsi"/>
              </w:rPr>
              <w:t>·</w:t>
            </w:r>
            <w:r w:rsidR="00FD2E69" w:rsidRPr="00FD2E69">
              <w:t>5</w:t>
            </w:r>
            <w:r w:rsidRPr="00FD2E69">
              <w:t>)</w:t>
            </w:r>
          </w:p>
          <w:p w:rsidR="00577A14" w:rsidRDefault="00577A14" w:rsidP="00314E89">
            <w:pPr>
              <w:jc w:val="center"/>
            </w:pPr>
            <w:r>
              <w:t>27</w:t>
            </w:r>
            <w:r w:rsidR="00314E89">
              <w:rPr>
                <w:rFonts w:cstheme="minorHAnsi"/>
              </w:rPr>
              <w:t>·</w:t>
            </w:r>
            <w:r>
              <w:t>0 (17</w:t>
            </w:r>
            <w:r w:rsidR="00314E89">
              <w:rPr>
                <w:rFonts w:cstheme="minorHAnsi"/>
              </w:rPr>
              <w:t>·</w:t>
            </w:r>
            <w:r>
              <w:t>0 to 33</w:t>
            </w:r>
            <w:r w:rsidR="00314E89">
              <w:rPr>
                <w:rFonts w:cstheme="minorHAnsi"/>
              </w:rPr>
              <w:t>·</w:t>
            </w:r>
            <w:r>
              <w:t>0)</w:t>
            </w:r>
          </w:p>
        </w:tc>
        <w:tc>
          <w:tcPr>
            <w:tcW w:w="992" w:type="dxa"/>
          </w:tcPr>
          <w:p w:rsidR="00577A14" w:rsidRDefault="00577A14" w:rsidP="00577A14">
            <w:pPr>
              <w:jc w:val="center"/>
            </w:pPr>
            <w:r>
              <w:t>0</w:t>
            </w:r>
            <w:r w:rsidR="00314E89">
              <w:rPr>
                <w:rFonts w:cstheme="minorHAnsi"/>
              </w:rPr>
              <w:t>·</w:t>
            </w:r>
            <w:r>
              <w:t>77</w:t>
            </w:r>
          </w:p>
          <w:p w:rsidR="00577A14" w:rsidRDefault="00577A14" w:rsidP="00890BD1">
            <w:pPr>
              <w:jc w:val="center"/>
            </w:pPr>
            <w:r>
              <w:t>&lt;0</w:t>
            </w:r>
            <w:r w:rsidR="00314E89">
              <w:rPr>
                <w:rFonts w:cstheme="minorHAnsi"/>
              </w:rPr>
              <w:t>·</w:t>
            </w:r>
            <w:r>
              <w:t>00</w:t>
            </w:r>
            <w:r w:rsidR="00106FBF">
              <w:t>0</w:t>
            </w:r>
            <w:r w:rsidR="00890BD1">
              <w:t>1</w:t>
            </w:r>
          </w:p>
          <w:p w:rsidR="00577A14" w:rsidRDefault="00577A14" w:rsidP="00577A14">
            <w:pPr>
              <w:jc w:val="center"/>
            </w:pPr>
            <w:r>
              <w:t>&lt;0</w:t>
            </w:r>
            <w:r w:rsidR="00314E89">
              <w:rPr>
                <w:rFonts w:cstheme="minorHAnsi"/>
              </w:rPr>
              <w:t>·</w:t>
            </w:r>
            <w:r>
              <w:t>0</w:t>
            </w:r>
            <w:r w:rsidR="00106FBF">
              <w:t>0</w:t>
            </w:r>
            <w:r>
              <w:t>01</w:t>
            </w:r>
          </w:p>
          <w:p w:rsidR="00577A14" w:rsidRDefault="00577A14" w:rsidP="00890BD1"/>
          <w:p w:rsidR="00577A14" w:rsidRDefault="00106FBF" w:rsidP="00577A14">
            <w:pPr>
              <w:jc w:val="center"/>
            </w:pPr>
            <w:r>
              <w:t>&lt;0</w:t>
            </w:r>
            <w:r w:rsidR="00314E89">
              <w:rPr>
                <w:rFonts w:cstheme="minorHAnsi"/>
              </w:rPr>
              <w:t>·</w:t>
            </w:r>
            <w:r>
              <w:t>0003</w:t>
            </w:r>
          </w:p>
          <w:p w:rsidR="00577A14" w:rsidRDefault="00577A14" w:rsidP="00577A14">
            <w:pPr>
              <w:jc w:val="center"/>
            </w:pPr>
          </w:p>
          <w:p w:rsidR="00577A14" w:rsidRDefault="00577A14" w:rsidP="00314E89">
            <w:pPr>
              <w:jc w:val="center"/>
            </w:pPr>
            <w:r>
              <w:t>&lt;0</w:t>
            </w:r>
            <w:r w:rsidR="00314E89">
              <w:rPr>
                <w:rFonts w:cstheme="minorHAnsi"/>
              </w:rPr>
              <w:t>·</w:t>
            </w:r>
            <w:r>
              <w:t>0</w:t>
            </w:r>
            <w:r w:rsidR="00106FBF">
              <w:t>0</w:t>
            </w:r>
            <w:r>
              <w:t>01</w:t>
            </w:r>
          </w:p>
        </w:tc>
      </w:tr>
      <w:tr w:rsidR="00577A14" w:rsidTr="00577A14">
        <w:tc>
          <w:tcPr>
            <w:tcW w:w="3256" w:type="dxa"/>
          </w:tcPr>
          <w:p w:rsidR="00577A14" w:rsidRPr="00721222" w:rsidRDefault="00577A14" w:rsidP="00577A14">
            <w:pPr>
              <w:rPr>
                <w:b/>
              </w:rPr>
            </w:pPr>
            <w:r w:rsidRPr="00721222">
              <w:rPr>
                <w:b/>
              </w:rPr>
              <w:t>Antibiotic use</w:t>
            </w:r>
          </w:p>
        </w:tc>
        <w:tc>
          <w:tcPr>
            <w:tcW w:w="1559" w:type="dxa"/>
          </w:tcPr>
          <w:p w:rsidR="00577A14" w:rsidRDefault="00577A14" w:rsidP="00577A14">
            <w:pPr>
              <w:jc w:val="center"/>
            </w:pPr>
          </w:p>
        </w:tc>
        <w:tc>
          <w:tcPr>
            <w:tcW w:w="1559" w:type="dxa"/>
          </w:tcPr>
          <w:p w:rsidR="00577A14" w:rsidRDefault="00577A14" w:rsidP="00577A14">
            <w:pPr>
              <w:jc w:val="center"/>
            </w:pPr>
          </w:p>
        </w:tc>
        <w:tc>
          <w:tcPr>
            <w:tcW w:w="1701" w:type="dxa"/>
          </w:tcPr>
          <w:p w:rsidR="00577A14" w:rsidRPr="00510B35" w:rsidRDefault="00577A14" w:rsidP="00577A14">
            <w:pPr>
              <w:jc w:val="center"/>
            </w:pPr>
          </w:p>
        </w:tc>
        <w:tc>
          <w:tcPr>
            <w:tcW w:w="992" w:type="dxa"/>
          </w:tcPr>
          <w:p w:rsidR="00577A14" w:rsidRDefault="00577A14" w:rsidP="00577A14">
            <w:pPr>
              <w:jc w:val="center"/>
            </w:pPr>
          </w:p>
        </w:tc>
      </w:tr>
      <w:tr w:rsidR="00577A14" w:rsidTr="00577A14">
        <w:tc>
          <w:tcPr>
            <w:tcW w:w="3256" w:type="dxa"/>
          </w:tcPr>
          <w:p w:rsidR="00577A14" w:rsidRPr="00721222" w:rsidRDefault="00577A14" w:rsidP="00577A14">
            <w:r>
              <w:t xml:space="preserve">Antibiotic use </w:t>
            </w:r>
            <w:r w:rsidR="00890BD1">
              <w:t>(any)</w:t>
            </w:r>
          </w:p>
          <w:p w:rsidR="00577A14" w:rsidRDefault="000525EF" w:rsidP="00577A14">
            <w:r>
              <w:t>D</w:t>
            </w:r>
            <w:r w:rsidR="00577A14" w:rsidRPr="003448B8">
              <w:t>uration of antibiotics</w:t>
            </w:r>
            <w:r>
              <w:t xml:space="preserve"> (days)</w:t>
            </w:r>
          </w:p>
          <w:p w:rsidR="00577A14" w:rsidRDefault="00577A14" w:rsidP="00577A14">
            <w:r>
              <w:t>Single</w:t>
            </w:r>
            <w:r w:rsidRPr="00D164AE">
              <w:t xml:space="preserve"> dose of antibiotics</w:t>
            </w:r>
            <w:r>
              <w:t xml:space="preserve"> only </w:t>
            </w:r>
          </w:p>
          <w:p w:rsidR="00577A14" w:rsidRPr="00D164AE" w:rsidRDefault="00577A14" w:rsidP="00577A14">
            <w:r>
              <w:t>Antibiotics given for &lt;</w:t>
            </w:r>
            <w:r w:rsidRPr="00D164AE">
              <w:t>24 hours</w:t>
            </w:r>
          </w:p>
          <w:p w:rsidR="00577A14" w:rsidRDefault="00577A14" w:rsidP="00577A14">
            <w:r w:rsidRPr="00D164AE">
              <w:t>IV antibiotics</w:t>
            </w:r>
          </w:p>
          <w:p w:rsidR="00577A14" w:rsidRDefault="000525EF" w:rsidP="00577A14">
            <w:r>
              <w:t>Duration of IV antibiotics (days)</w:t>
            </w:r>
            <w:r w:rsidR="00577A14" w:rsidRPr="00D164AE">
              <w:t xml:space="preserve"> </w:t>
            </w:r>
          </w:p>
          <w:p w:rsidR="00577A14" w:rsidRDefault="00577A14" w:rsidP="00577A14">
            <w:r>
              <w:t xml:space="preserve">Single </w:t>
            </w:r>
            <w:r w:rsidRPr="00D164AE">
              <w:t xml:space="preserve">dose of IV antibiotics </w:t>
            </w:r>
            <w:r w:rsidR="000525EF">
              <w:t>only</w:t>
            </w:r>
          </w:p>
          <w:p w:rsidR="00577A14" w:rsidRPr="00D164AE" w:rsidRDefault="00577A14" w:rsidP="000525EF">
            <w:r w:rsidRPr="00D164AE">
              <w:t xml:space="preserve">IV antibiotics </w:t>
            </w:r>
            <w:r>
              <w:t xml:space="preserve">given for </w:t>
            </w:r>
            <w:r w:rsidRPr="00D164AE">
              <w:t xml:space="preserve">&lt;24 hours </w:t>
            </w:r>
          </w:p>
        </w:tc>
        <w:tc>
          <w:tcPr>
            <w:tcW w:w="1559" w:type="dxa"/>
          </w:tcPr>
          <w:p w:rsidR="00577A14" w:rsidRDefault="00577A14" w:rsidP="00577A14">
            <w:pPr>
              <w:jc w:val="center"/>
            </w:pPr>
            <w:r>
              <w:t>9</w:t>
            </w:r>
            <w:r w:rsidR="0066012F">
              <w:t>0 (90%</w:t>
            </w:r>
            <w:r>
              <w:t>)</w:t>
            </w:r>
          </w:p>
          <w:p w:rsidR="00577A14" w:rsidRDefault="00577A14" w:rsidP="000525EF">
            <w:pPr>
              <w:jc w:val="center"/>
            </w:pPr>
            <w:r>
              <w:t>6</w:t>
            </w:r>
            <w:r w:rsidR="00314E89">
              <w:rPr>
                <w:rFonts w:cstheme="minorHAnsi"/>
              </w:rPr>
              <w:t>·</w:t>
            </w:r>
            <w:r>
              <w:t>1 (4</w:t>
            </w:r>
            <w:r w:rsidR="00314E89">
              <w:rPr>
                <w:rFonts w:cstheme="minorHAnsi"/>
              </w:rPr>
              <w:t>·</w:t>
            </w:r>
            <w:r>
              <w:t>1 to 7</w:t>
            </w:r>
            <w:r w:rsidR="00314E89">
              <w:rPr>
                <w:rFonts w:cstheme="minorHAnsi"/>
              </w:rPr>
              <w:t>·</w:t>
            </w:r>
            <w:r>
              <w:t>2</w:t>
            </w:r>
            <w:r w:rsidR="000525EF">
              <w:t>)</w:t>
            </w:r>
          </w:p>
          <w:p w:rsidR="00577A14" w:rsidRDefault="0066012F" w:rsidP="00890BD1">
            <w:pPr>
              <w:jc w:val="center"/>
            </w:pPr>
            <w:r>
              <w:t>9 (10%</w:t>
            </w:r>
            <w:r w:rsidR="00890BD1">
              <w:t>)</w:t>
            </w:r>
          </w:p>
          <w:p w:rsidR="00577A14" w:rsidRDefault="0066012F" w:rsidP="000525EF">
            <w:pPr>
              <w:jc w:val="center"/>
            </w:pPr>
            <w:r>
              <w:t>13 (14%</w:t>
            </w:r>
            <w:r w:rsidR="000525EF">
              <w:t>)</w:t>
            </w:r>
          </w:p>
          <w:p w:rsidR="00577A14" w:rsidRDefault="0066012F" w:rsidP="00577A14">
            <w:pPr>
              <w:jc w:val="center"/>
            </w:pPr>
            <w:r>
              <w:t>68 (68%</w:t>
            </w:r>
            <w:r w:rsidR="00577A14">
              <w:t>)</w:t>
            </w:r>
          </w:p>
          <w:p w:rsidR="00577A14" w:rsidRDefault="000525EF" w:rsidP="000525EF">
            <w:pPr>
              <w:jc w:val="center"/>
            </w:pPr>
            <w:r>
              <w:t>0</w:t>
            </w:r>
            <w:r w:rsidR="00314E89">
              <w:rPr>
                <w:rFonts w:cstheme="minorHAnsi"/>
              </w:rPr>
              <w:t>·</w:t>
            </w:r>
            <w:r>
              <w:t>5 (0</w:t>
            </w:r>
            <w:r w:rsidR="00314E89">
              <w:rPr>
                <w:rFonts w:cstheme="minorHAnsi"/>
              </w:rPr>
              <w:t>·</w:t>
            </w:r>
            <w:r>
              <w:t>1 to 1</w:t>
            </w:r>
            <w:r w:rsidR="00314E89">
              <w:rPr>
                <w:rFonts w:cstheme="minorHAnsi"/>
              </w:rPr>
              <w:t>·</w:t>
            </w:r>
            <w:r>
              <w:t>8)</w:t>
            </w:r>
          </w:p>
          <w:p w:rsidR="000525EF" w:rsidRDefault="0066012F" w:rsidP="00890BD1">
            <w:pPr>
              <w:jc w:val="center"/>
            </w:pPr>
            <w:r>
              <w:t>29/68 (43%</w:t>
            </w:r>
            <w:r w:rsidR="000525EF">
              <w:t>)</w:t>
            </w:r>
          </w:p>
          <w:p w:rsidR="00577A14" w:rsidRDefault="0066012F" w:rsidP="00577A14">
            <w:pPr>
              <w:jc w:val="center"/>
            </w:pPr>
            <w:r>
              <w:t>40/68 (59%</w:t>
            </w:r>
            <w:r w:rsidR="00577A14">
              <w:t>)</w:t>
            </w:r>
          </w:p>
        </w:tc>
        <w:tc>
          <w:tcPr>
            <w:tcW w:w="1559" w:type="dxa"/>
          </w:tcPr>
          <w:p w:rsidR="00577A14" w:rsidRDefault="0066012F" w:rsidP="00577A14">
            <w:pPr>
              <w:jc w:val="center"/>
            </w:pPr>
            <w:r>
              <w:t>98 (96%</w:t>
            </w:r>
            <w:r w:rsidR="00577A14">
              <w:t>)</w:t>
            </w:r>
          </w:p>
          <w:p w:rsidR="00577A14" w:rsidRDefault="000525EF" w:rsidP="000525EF">
            <w:pPr>
              <w:jc w:val="center"/>
            </w:pPr>
            <w:r>
              <w:t>5</w:t>
            </w:r>
            <w:r w:rsidR="00314E89">
              <w:rPr>
                <w:rFonts w:cstheme="minorHAnsi"/>
              </w:rPr>
              <w:t>·</w:t>
            </w:r>
            <w:r>
              <w:t>8 (4</w:t>
            </w:r>
            <w:r w:rsidR="00314E89">
              <w:rPr>
                <w:rFonts w:cstheme="minorHAnsi"/>
              </w:rPr>
              <w:t>·</w:t>
            </w:r>
            <w:r>
              <w:t>2 to 7</w:t>
            </w:r>
            <w:r w:rsidR="00314E89">
              <w:rPr>
                <w:rFonts w:cstheme="minorHAnsi"/>
              </w:rPr>
              <w:t>·</w:t>
            </w:r>
            <w:r>
              <w:t>4)</w:t>
            </w:r>
          </w:p>
          <w:p w:rsidR="00577A14" w:rsidRDefault="0066012F" w:rsidP="00890BD1">
            <w:pPr>
              <w:jc w:val="center"/>
            </w:pPr>
            <w:r>
              <w:t>6 (6%</w:t>
            </w:r>
            <w:r w:rsidR="00890BD1">
              <w:t>)</w:t>
            </w:r>
          </w:p>
          <w:p w:rsidR="00577A14" w:rsidRDefault="0066012F" w:rsidP="000525EF">
            <w:pPr>
              <w:jc w:val="center"/>
            </w:pPr>
            <w:r>
              <w:t>7 (7%</w:t>
            </w:r>
            <w:r w:rsidR="000525EF">
              <w:t>)</w:t>
            </w:r>
          </w:p>
          <w:p w:rsidR="00577A14" w:rsidRDefault="0066012F" w:rsidP="00577A14">
            <w:pPr>
              <w:jc w:val="center"/>
            </w:pPr>
            <w:r>
              <w:t>69 (68%</w:t>
            </w:r>
            <w:r w:rsidR="00577A14" w:rsidRPr="00776494">
              <w:t>)</w:t>
            </w:r>
          </w:p>
          <w:p w:rsidR="00577A14" w:rsidRDefault="000525EF" w:rsidP="000525EF">
            <w:pPr>
              <w:jc w:val="center"/>
            </w:pPr>
            <w:r>
              <w:t>1</w:t>
            </w:r>
            <w:r w:rsidR="00314E89">
              <w:rPr>
                <w:rFonts w:cstheme="minorHAnsi"/>
              </w:rPr>
              <w:t>·</w:t>
            </w:r>
            <w:r>
              <w:t>1 (0</w:t>
            </w:r>
            <w:r w:rsidR="00314E89">
              <w:rPr>
                <w:rFonts w:cstheme="minorHAnsi"/>
              </w:rPr>
              <w:t>·</w:t>
            </w:r>
            <w:r>
              <w:t>1 to 2</w:t>
            </w:r>
            <w:r w:rsidR="00314E89">
              <w:rPr>
                <w:rFonts w:cstheme="minorHAnsi"/>
              </w:rPr>
              <w:t>·</w:t>
            </w:r>
            <w:r>
              <w:t>0)</w:t>
            </w:r>
          </w:p>
          <w:p w:rsidR="000525EF" w:rsidRDefault="0066012F" w:rsidP="00890BD1">
            <w:pPr>
              <w:jc w:val="center"/>
            </w:pPr>
            <w:r>
              <w:t>19/68 (28%</w:t>
            </w:r>
            <w:r w:rsidR="000525EF">
              <w:t>)</w:t>
            </w:r>
          </w:p>
          <w:p w:rsidR="00577A14" w:rsidRDefault="0066012F" w:rsidP="00577A14">
            <w:pPr>
              <w:jc w:val="center"/>
            </w:pPr>
            <w:r>
              <w:t>34/68 (50%</w:t>
            </w:r>
            <w:r w:rsidR="00577A14">
              <w:t>)</w:t>
            </w:r>
          </w:p>
        </w:tc>
        <w:tc>
          <w:tcPr>
            <w:tcW w:w="1701" w:type="dxa"/>
          </w:tcPr>
          <w:p w:rsidR="00577A14" w:rsidRDefault="00577A14" w:rsidP="00577A14">
            <w:pPr>
              <w:jc w:val="center"/>
            </w:pPr>
            <w:r w:rsidRPr="00510B35">
              <w:t>0</w:t>
            </w:r>
            <w:r w:rsidR="00314E89">
              <w:rPr>
                <w:rFonts w:cstheme="minorHAnsi"/>
              </w:rPr>
              <w:t>·</w:t>
            </w:r>
            <w:r w:rsidRPr="00510B35">
              <w:t>9 (0</w:t>
            </w:r>
            <w:r w:rsidR="00314E89">
              <w:rPr>
                <w:rFonts w:cstheme="minorHAnsi"/>
              </w:rPr>
              <w:t>·</w:t>
            </w:r>
            <w:r w:rsidRPr="00510B35">
              <w:t>9 to 1</w:t>
            </w:r>
            <w:r w:rsidR="00314E89">
              <w:rPr>
                <w:rFonts w:cstheme="minorHAnsi"/>
              </w:rPr>
              <w:t>·</w:t>
            </w:r>
            <w:r w:rsidRPr="00510B35">
              <w:t>0)</w:t>
            </w:r>
          </w:p>
          <w:p w:rsidR="00577A14" w:rsidRDefault="00577A14" w:rsidP="000525EF">
            <w:pPr>
              <w:jc w:val="center"/>
            </w:pPr>
            <w:r w:rsidRPr="004C4412">
              <w:t>-</w:t>
            </w:r>
            <w:r w:rsidR="000525EF">
              <w:t>0</w:t>
            </w:r>
            <w:r w:rsidR="00314E89">
              <w:rPr>
                <w:rFonts w:cstheme="minorHAnsi"/>
              </w:rPr>
              <w:t>·</w:t>
            </w:r>
            <w:r w:rsidR="000525EF">
              <w:t>3 (-0</w:t>
            </w:r>
            <w:r w:rsidR="00314E89">
              <w:rPr>
                <w:rFonts w:cstheme="minorHAnsi"/>
              </w:rPr>
              <w:t>·</w:t>
            </w:r>
            <w:r w:rsidR="000525EF">
              <w:t>8 to 0</w:t>
            </w:r>
            <w:r w:rsidR="00314E89">
              <w:rPr>
                <w:rFonts w:cstheme="minorHAnsi"/>
              </w:rPr>
              <w:t>·</w:t>
            </w:r>
            <w:r w:rsidR="000525EF">
              <w:t>8)</w:t>
            </w:r>
          </w:p>
          <w:p w:rsidR="00577A14" w:rsidRDefault="00577A14" w:rsidP="00890BD1">
            <w:pPr>
              <w:jc w:val="center"/>
            </w:pPr>
            <w:r w:rsidRPr="00510B35">
              <w:t>0</w:t>
            </w:r>
            <w:r w:rsidR="00314E89">
              <w:rPr>
                <w:rFonts w:cstheme="minorHAnsi"/>
              </w:rPr>
              <w:t>·</w:t>
            </w:r>
            <w:r w:rsidRPr="00510B35">
              <w:t>9 (0</w:t>
            </w:r>
            <w:r w:rsidR="00314E89">
              <w:rPr>
                <w:rFonts w:cstheme="minorHAnsi"/>
              </w:rPr>
              <w:t>·</w:t>
            </w:r>
            <w:r w:rsidRPr="00510B35">
              <w:t>9 to 1</w:t>
            </w:r>
            <w:r w:rsidR="00314E89">
              <w:rPr>
                <w:rFonts w:cstheme="minorHAnsi"/>
              </w:rPr>
              <w:t>·</w:t>
            </w:r>
            <w:r w:rsidRPr="00510B35">
              <w:t>1)</w:t>
            </w:r>
          </w:p>
          <w:p w:rsidR="00577A14" w:rsidRDefault="00577A14" w:rsidP="000525EF">
            <w:pPr>
              <w:jc w:val="center"/>
            </w:pPr>
            <w:r w:rsidRPr="00510B35">
              <w:t>0</w:t>
            </w:r>
            <w:r w:rsidR="00314E89">
              <w:rPr>
                <w:rFonts w:cstheme="minorHAnsi"/>
              </w:rPr>
              <w:t>·</w:t>
            </w:r>
            <w:r w:rsidRPr="00510B35">
              <w:t>9 (0</w:t>
            </w:r>
            <w:r w:rsidR="00314E89">
              <w:rPr>
                <w:rFonts w:cstheme="minorHAnsi"/>
              </w:rPr>
              <w:t>·</w:t>
            </w:r>
            <w:r w:rsidRPr="00510B35">
              <w:t>8 to 1</w:t>
            </w:r>
            <w:r w:rsidR="00314E89">
              <w:rPr>
                <w:rFonts w:cstheme="minorHAnsi"/>
              </w:rPr>
              <w:t>·</w:t>
            </w:r>
            <w:r w:rsidRPr="00510B35">
              <w:t>1)</w:t>
            </w:r>
          </w:p>
          <w:p w:rsidR="00577A14" w:rsidRDefault="00577A14" w:rsidP="00577A14">
            <w:pPr>
              <w:jc w:val="center"/>
            </w:pPr>
            <w:r>
              <w:t>1</w:t>
            </w:r>
            <w:r w:rsidR="00314E89">
              <w:rPr>
                <w:rFonts w:cstheme="minorHAnsi"/>
              </w:rPr>
              <w:t>·</w:t>
            </w:r>
            <w:r>
              <w:t>0 (</w:t>
            </w:r>
            <w:r w:rsidRPr="00510B35">
              <w:t>0</w:t>
            </w:r>
            <w:r w:rsidR="00314E89">
              <w:rPr>
                <w:rFonts w:cstheme="minorHAnsi"/>
              </w:rPr>
              <w:t>·</w:t>
            </w:r>
            <w:r w:rsidRPr="00510B35">
              <w:t>8 to 1</w:t>
            </w:r>
            <w:r w:rsidR="00314E89">
              <w:rPr>
                <w:rFonts w:cstheme="minorHAnsi"/>
              </w:rPr>
              <w:t>·</w:t>
            </w:r>
            <w:r w:rsidRPr="00510B35">
              <w:t>2)</w:t>
            </w:r>
          </w:p>
          <w:p w:rsidR="00577A14" w:rsidRDefault="000525EF" w:rsidP="000525EF">
            <w:pPr>
              <w:jc w:val="center"/>
            </w:pPr>
            <w:r>
              <w:t>0</w:t>
            </w:r>
            <w:r w:rsidR="00314E89">
              <w:rPr>
                <w:rFonts w:cstheme="minorHAnsi"/>
              </w:rPr>
              <w:t>·</w:t>
            </w:r>
            <w:r>
              <w:t>6 (0 to 0</w:t>
            </w:r>
            <w:r w:rsidR="00314E89">
              <w:rPr>
                <w:rFonts w:cstheme="minorHAnsi"/>
              </w:rPr>
              <w:t>·</w:t>
            </w:r>
            <w:r w:rsidR="00314E89">
              <w:t>5</w:t>
            </w:r>
            <w:r>
              <w:t>)</w:t>
            </w:r>
          </w:p>
          <w:p w:rsidR="00577A14" w:rsidRDefault="00577A14" w:rsidP="00890BD1">
            <w:pPr>
              <w:jc w:val="center"/>
            </w:pPr>
            <w:r>
              <w:t>0.8 (0</w:t>
            </w:r>
            <w:r w:rsidR="00314E89">
              <w:rPr>
                <w:rFonts w:cstheme="minorHAnsi"/>
              </w:rPr>
              <w:t>·</w:t>
            </w:r>
            <w:r>
              <w:t>6 to 1</w:t>
            </w:r>
            <w:r w:rsidR="00314E89">
              <w:rPr>
                <w:rFonts w:cstheme="minorHAnsi"/>
              </w:rPr>
              <w:t>·</w:t>
            </w:r>
            <w:r w:rsidR="00890BD1">
              <w:t>0)</w:t>
            </w:r>
          </w:p>
          <w:p w:rsidR="00577A14" w:rsidRDefault="00577A14" w:rsidP="00314E89">
            <w:pPr>
              <w:jc w:val="center"/>
            </w:pPr>
            <w:r>
              <w:t>0</w:t>
            </w:r>
            <w:r w:rsidR="00314E89">
              <w:rPr>
                <w:rFonts w:cstheme="minorHAnsi"/>
              </w:rPr>
              <w:t>·</w:t>
            </w:r>
            <w:r>
              <w:t>8 (0</w:t>
            </w:r>
            <w:r w:rsidR="00314E89">
              <w:rPr>
                <w:rFonts w:cstheme="minorHAnsi"/>
              </w:rPr>
              <w:t>·</w:t>
            </w:r>
            <w:r>
              <w:t>6 to 1</w:t>
            </w:r>
            <w:r w:rsidR="00314E89">
              <w:rPr>
                <w:rFonts w:cstheme="minorHAnsi"/>
              </w:rPr>
              <w:t>·</w:t>
            </w:r>
            <w:r>
              <w:t>2)</w:t>
            </w:r>
          </w:p>
        </w:tc>
        <w:tc>
          <w:tcPr>
            <w:tcW w:w="992" w:type="dxa"/>
          </w:tcPr>
          <w:p w:rsidR="00577A14" w:rsidRDefault="00577A14" w:rsidP="00577A14">
            <w:pPr>
              <w:jc w:val="center"/>
            </w:pPr>
            <w:r>
              <w:t>0</w:t>
            </w:r>
            <w:r w:rsidR="00314E89">
              <w:rPr>
                <w:rFonts w:cstheme="minorHAnsi"/>
              </w:rPr>
              <w:t>·</w:t>
            </w:r>
            <w:r>
              <w:t>0</w:t>
            </w:r>
            <w:r w:rsidR="00106FBF">
              <w:t>8</w:t>
            </w:r>
            <w:r>
              <w:t>9</w:t>
            </w:r>
          </w:p>
          <w:p w:rsidR="00577A14" w:rsidRDefault="000525EF" w:rsidP="000525EF">
            <w:pPr>
              <w:jc w:val="center"/>
            </w:pPr>
            <w:r>
              <w:t>0</w:t>
            </w:r>
            <w:r w:rsidR="00314E89">
              <w:rPr>
                <w:rFonts w:cstheme="minorHAnsi"/>
              </w:rPr>
              <w:t>·</w:t>
            </w:r>
            <w:r>
              <w:t>96</w:t>
            </w:r>
          </w:p>
          <w:p w:rsidR="00577A14" w:rsidRDefault="00577A14" w:rsidP="00890BD1">
            <w:pPr>
              <w:jc w:val="center"/>
            </w:pPr>
            <w:r>
              <w:t>0</w:t>
            </w:r>
            <w:r w:rsidR="00314E89">
              <w:rPr>
                <w:rFonts w:cstheme="minorHAnsi"/>
              </w:rPr>
              <w:t>·</w:t>
            </w:r>
            <w:r w:rsidR="00890BD1">
              <w:t>32</w:t>
            </w:r>
          </w:p>
          <w:p w:rsidR="00577A14" w:rsidRDefault="000525EF" w:rsidP="000525EF">
            <w:pPr>
              <w:jc w:val="center"/>
            </w:pPr>
            <w:r>
              <w:t>0</w:t>
            </w:r>
            <w:r w:rsidR="00314E89">
              <w:rPr>
                <w:rFonts w:cstheme="minorHAnsi"/>
              </w:rPr>
              <w:t>·</w:t>
            </w:r>
            <w:r>
              <w:t>10</w:t>
            </w:r>
          </w:p>
          <w:p w:rsidR="00577A14" w:rsidRDefault="00577A14" w:rsidP="00577A14">
            <w:pPr>
              <w:jc w:val="center"/>
            </w:pPr>
            <w:r>
              <w:t>0</w:t>
            </w:r>
            <w:r w:rsidR="00314E89">
              <w:rPr>
                <w:rFonts w:cstheme="minorHAnsi"/>
              </w:rPr>
              <w:t>·</w:t>
            </w:r>
            <w:r>
              <w:t>96</w:t>
            </w:r>
          </w:p>
          <w:p w:rsidR="00577A14" w:rsidRDefault="000525EF" w:rsidP="000525EF">
            <w:pPr>
              <w:jc w:val="center"/>
            </w:pPr>
            <w:r>
              <w:t>0</w:t>
            </w:r>
            <w:r w:rsidR="00314E89">
              <w:rPr>
                <w:rFonts w:cstheme="minorHAnsi"/>
              </w:rPr>
              <w:t>·</w:t>
            </w:r>
            <w:r>
              <w:t>31</w:t>
            </w:r>
          </w:p>
          <w:p w:rsidR="00577A14" w:rsidRDefault="00577A14" w:rsidP="00890BD1">
            <w:pPr>
              <w:jc w:val="center"/>
            </w:pPr>
            <w:r>
              <w:t>0</w:t>
            </w:r>
            <w:r w:rsidR="00314E89">
              <w:rPr>
                <w:rFonts w:cstheme="minorHAnsi"/>
              </w:rPr>
              <w:t>·</w:t>
            </w:r>
            <w:r>
              <w:t>06</w:t>
            </w:r>
            <w:r w:rsidR="00106FBF">
              <w:t>4</w:t>
            </w:r>
          </w:p>
          <w:p w:rsidR="00577A14" w:rsidRDefault="00577A14" w:rsidP="00314E89">
            <w:pPr>
              <w:jc w:val="center"/>
            </w:pPr>
            <w:r>
              <w:t>0</w:t>
            </w:r>
            <w:r w:rsidR="00314E89">
              <w:rPr>
                <w:rFonts w:cstheme="minorHAnsi"/>
              </w:rPr>
              <w:t>·</w:t>
            </w:r>
            <w:r>
              <w:t>26</w:t>
            </w:r>
          </w:p>
        </w:tc>
      </w:tr>
      <w:tr w:rsidR="00577A14" w:rsidTr="00577A14">
        <w:tc>
          <w:tcPr>
            <w:tcW w:w="3256" w:type="dxa"/>
          </w:tcPr>
          <w:p w:rsidR="00577A14" w:rsidRPr="00721222" w:rsidRDefault="00577A14" w:rsidP="00577A14">
            <w:pPr>
              <w:rPr>
                <w:b/>
              </w:rPr>
            </w:pPr>
            <w:r w:rsidRPr="00721222">
              <w:rPr>
                <w:b/>
              </w:rPr>
              <w:t xml:space="preserve">Clinical outcome </w:t>
            </w:r>
            <w:r>
              <w:rPr>
                <w:b/>
              </w:rPr>
              <w:t>measures</w:t>
            </w:r>
          </w:p>
        </w:tc>
        <w:tc>
          <w:tcPr>
            <w:tcW w:w="1559" w:type="dxa"/>
          </w:tcPr>
          <w:p w:rsidR="00577A14" w:rsidRDefault="00577A14" w:rsidP="00577A14">
            <w:pPr>
              <w:jc w:val="center"/>
            </w:pPr>
          </w:p>
        </w:tc>
        <w:tc>
          <w:tcPr>
            <w:tcW w:w="1559" w:type="dxa"/>
          </w:tcPr>
          <w:p w:rsidR="00577A14" w:rsidRDefault="00577A14" w:rsidP="00577A14">
            <w:pPr>
              <w:jc w:val="center"/>
            </w:pPr>
          </w:p>
        </w:tc>
        <w:tc>
          <w:tcPr>
            <w:tcW w:w="1701" w:type="dxa"/>
          </w:tcPr>
          <w:p w:rsidR="00577A14" w:rsidRDefault="00577A14" w:rsidP="00577A14">
            <w:pPr>
              <w:jc w:val="center"/>
            </w:pPr>
          </w:p>
        </w:tc>
        <w:tc>
          <w:tcPr>
            <w:tcW w:w="992" w:type="dxa"/>
          </w:tcPr>
          <w:p w:rsidR="00577A14" w:rsidRDefault="00577A14" w:rsidP="00577A14">
            <w:pPr>
              <w:jc w:val="center"/>
            </w:pPr>
          </w:p>
        </w:tc>
      </w:tr>
      <w:tr w:rsidR="00577A14" w:rsidTr="00577A14">
        <w:tc>
          <w:tcPr>
            <w:tcW w:w="3256" w:type="dxa"/>
            <w:tcBorders>
              <w:bottom w:val="nil"/>
            </w:tcBorders>
          </w:tcPr>
          <w:p w:rsidR="000525EF" w:rsidRPr="00D164AE" w:rsidRDefault="000525EF" w:rsidP="00577A14">
            <w:r>
              <w:t>L</w:t>
            </w:r>
            <w:r w:rsidR="00577A14">
              <w:t>ength of stay (days</w:t>
            </w:r>
            <w:r>
              <w:t>)</w:t>
            </w:r>
          </w:p>
          <w:p w:rsidR="00577A14" w:rsidRDefault="00577A14" w:rsidP="000525EF">
            <w:r w:rsidRPr="00D164AE">
              <w:t xml:space="preserve">Discharged </w:t>
            </w:r>
            <w:r>
              <w:t xml:space="preserve">within </w:t>
            </w:r>
            <w:r w:rsidRPr="00D164AE">
              <w:t>24 hours</w:t>
            </w:r>
            <w:r>
              <w:t xml:space="preserve"> </w:t>
            </w:r>
          </w:p>
        </w:tc>
        <w:tc>
          <w:tcPr>
            <w:tcW w:w="1559" w:type="dxa"/>
            <w:tcBorders>
              <w:bottom w:val="nil"/>
            </w:tcBorders>
          </w:tcPr>
          <w:p w:rsidR="000525EF" w:rsidRDefault="00577A14" w:rsidP="00890BD1">
            <w:pPr>
              <w:jc w:val="center"/>
            </w:pPr>
            <w:r>
              <w:t>2</w:t>
            </w:r>
            <w:r w:rsidR="00314E89">
              <w:rPr>
                <w:rFonts w:cstheme="minorHAnsi"/>
              </w:rPr>
              <w:t>·</w:t>
            </w:r>
            <w:r>
              <w:t>7 (1</w:t>
            </w:r>
            <w:r w:rsidR="00314E89">
              <w:rPr>
                <w:rFonts w:cstheme="minorHAnsi"/>
              </w:rPr>
              <w:t>·</w:t>
            </w:r>
            <w:r>
              <w:t>1 to 4</w:t>
            </w:r>
            <w:r w:rsidR="00314E89">
              <w:rPr>
                <w:rFonts w:cstheme="minorHAnsi"/>
              </w:rPr>
              <w:t>·</w:t>
            </w:r>
            <w:r w:rsidR="00890BD1">
              <w:t>2)</w:t>
            </w:r>
          </w:p>
          <w:p w:rsidR="00577A14" w:rsidRDefault="0066012F" w:rsidP="00890BD1">
            <w:pPr>
              <w:jc w:val="center"/>
            </w:pPr>
            <w:r>
              <w:t>23 (23%</w:t>
            </w:r>
            <w:r w:rsidR="00890BD1">
              <w:t>)</w:t>
            </w:r>
          </w:p>
        </w:tc>
        <w:tc>
          <w:tcPr>
            <w:tcW w:w="1559" w:type="dxa"/>
            <w:tcBorders>
              <w:bottom w:val="nil"/>
            </w:tcBorders>
          </w:tcPr>
          <w:p w:rsidR="000525EF" w:rsidRDefault="00577A14" w:rsidP="00890BD1">
            <w:pPr>
              <w:jc w:val="center"/>
            </w:pPr>
            <w:r>
              <w:t>2</w:t>
            </w:r>
            <w:r w:rsidR="00314E89">
              <w:rPr>
                <w:rFonts w:cstheme="minorHAnsi"/>
              </w:rPr>
              <w:t>·</w:t>
            </w:r>
            <w:r>
              <w:t>7 (1</w:t>
            </w:r>
            <w:r w:rsidR="00314E89">
              <w:rPr>
                <w:rFonts w:cstheme="minorHAnsi"/>
              </w:rPr>
              <w:t>·</w:t>
            </w:r>
            <w:r>
              <w:t>1 to 5</w:t>
            </w:r>
            <w:r w:rsidR="00314E89">
              <w:rPr>
                <w:rFonts w:cstheme="minorHAnsi"/>
              </w:rPr>
              <w:t>·</w:t>
            </w:r>
            <w:r w:rsidR="00890BD1">
              <w:t>4)</w:t>
            </w:r>
          </w:p>
          <w:p w:rsidR="00577A14" w:rsidRDefault="0066012F" w:rsidP="00890BD1">
            <w:pPr>
              <w:jc w:val="center"/>
            </w:pPr>
            <w:r>
              <w:t>18 (18%</w:t>
            </w:r>
            <w:r w:rsidR="00890BD1">
              <w:t>)</w:t>
            </w:r>
          </w:p>
        </w:tc>
        <w:tc>
          <w:tcPr>
            <w:tcW w:w="1701" w:type="dxa"/>
            <w:tcBorders>
              <w:bottom w:val="nil"/>
            </w:tcBorders>
          </w:tcPr>
          <w:p w:rsidR="00314E89" w:rsidRDefault="00577A14" w:rsidP="00890BD1">
            <w:pPr>
              <w:jc w:val="center"/>
            </w:pPr>
            <w:r>
              <w:t>0</w:t>
            </w:r>
            <w:r w:rsidR="003E22FB">
              <w:rPr>
                <w:rFonts w:cstheme="minorHAnsi"/>
              </w:rPr>
              <w:t>·</w:t>
            </w:r>
            <w:r>
              <w:t>0 (-0</w:t>
            </w:r>
            <w:r w:rsidR="003E22FB">
              <w:rPr>
                <w:rFonts w:cstheme="minorHAnsi"/>
              </w:rPr>
              <w:t>·</w:t>
            </w:r>
            <w:r w:rsidR="00314E89">
              <w:t>4</w:t>
            </w:r>
            <w:r>
              <w:t xml:space="preserve"> to 0</w:t>
            </w:r>
            <w:r w:rsidR="003E22FB">
              <w:rPr>
                <w:rFonts w:cstheme="minorHAnsi"/>
              </w:rPr>
              <w:t>·</w:t>
            </w:r>
            <w:r w:rsidR="00314E89">
              <w:t>9</w:t>
            </w:r>
            <w:r>
              <w:t>)</w:t>
            </w:r>
          </w:p>
          <w:p w:rsidR="00577A14" w:rsidRDefault="00577A14" w:rsidP="00890BD1">
            <w:pPr>
              <w:jc w:val="center"/>
            </w:pPr>
            <w:r>
              <w:t>0</w:t>
            </w:r>
            <w:r w:rsidR="003E22FB">
              <w:rPr>
                <w:rFonts w:cstheme="minorHAnsi"/>
              </w:rPr>
              <w:t>·</w:t>
            </w:r>
            <w:r>
              <w:t>9 (0</w:t>
            </w:r>
            <w:r w:rsidR="003E22FB">
              <w:rPr>
                <w:rFonts w:cstheme="minorHAnsi"/>
              </w:rPr>
              <w:t>·</w:t>
            </w:r>
            <w:r>
              <w:t>8 to 1</w:t>
            </w:r>
            <w:r w:rsidR="003E22FB">
              <w:rPr>
                <w:rFonts w:cstheme="minorHAnsi"/>
              </w:rPr>
              <w:t>·</w:t>
            </w:r>
            <w:r w:rsidR="00890BD1">
              <w:t>1)</w:t>
            </w:r>
          </w:p>
        </w:tc>
        <w:tc>
          <w:tcPr>
            <w:tcW w:w="992" w:type="dxa"/>
            <w:tcBorders>
              <w:bottom w:val="nil"/>
            </w:tcBorders>
          </w:tcPr>
          <w:p w:rsidR="00577A14" w:rsidRDefault="00577A14" w:rsidP="00890BD1">
            <w:pPr>
              <w:jc w:val="center"/>
            </w:pPr>
            <w:r>
              <w:t>0</w:t>
            </w:r>
            <w:r w:rsidR="003E22FB">
              <w:rPr>
                <w:rFonts w:cstheme="minorHAnsi"/>
              </w:rPr>
              <w:t>·</w:t>
            </w:r>
            <w:r w:rsidR="00890BD1">
              <w:t>37</w:t>
            </w:r>
          </w:p>
          <w:p w:rsidR="00577A14" w:rsidRDefault="00577A14" w:rsidP="00890BD1">
            <w:pPr>
              <w:jc w:val="center"/>
            </w:pPr>
            <w:r>
              <w:t>0</w:t>
            </w:r>
            <w:r w:rsidR="003E22FB">
              <w:rPr>
                <w:rFonts w:cstheme="minorHAnsi"/>
              </w:rPr>
              <w:t>·</w:t>
            </w:r>
            <w:r w:rsidR="00890BD1">
              <w:t>34</w:t>
            </w:r>
          </w:p>
        </w:tc>
      </w:tr>
      <w:tr w:rsidR="00577A14" w:rsidTr="00577A14">
        <w:tc>
          <w:tcPr>
            <w:tcW w:w="3256" w:type="dxa"/>
            <w:tcBorders>
              <w:top w:val="nil"/>
              <w:bottom w:val="nil"/>
            </w:tcBorders>
          </w:tcPr>
          <w:p w:rsidR="00577A14" w:rsidRPr="00D164AE" w:rsidRDefault="000525EF" w:rsidP="000525EF">
            <w:r>
              <w:t>D</w:t>
            </w:r>
            <w:r w:rsidR="00577A14" w:rsidRPr="00D164AE">
              <w:t>uration of supplementary</w:t>
            </w:r>
            <w:r w:rsidR="00577A14">
              <w:t xml:space="preserve"> O</w:t>
            </w:r>
            <w:r w:rsidR="00577A14" w:rsidRPr="00C22270">
              <w:rPr>
                <w:vertAlign w:val="subscript"/>
              </w:rPr>
              <w:t>2</w:t>
            </w:r>
            <w:r w:rsidR="00577A14">
              <w:t xml:space="preserve"> (</w:t>
            </w:r>
            <w:r>
              <w:t xml:space="preserve">hours) </w:t>
            </w:r>
          </w:p>
        </w:tc>
        <w:tc>
          <w:tcPr>
            <w:tcW w:w="1559" w:type="dxa"/>
            <w:tcBorders>
              <w:top w:val="nil"/>
              <w:bottom w:val="nil"/>
            </w:tcBorders>
          </w:tcPr>
          <w:p w:rsidR="00577A14" w:rsidRDefault="00577A14" w:rsidP="00890BD1">
            <w:pPr>
              <w:jc w:val="center"/>
            </w:pPr>
            <w:r>
              <w:t>32</w:t>
            </w:r>
            <w:r w:rsidR="00314E89">
              <w:rPr>
                <w:rFonts w:cstheme="minorHAnsi"/>
              </w:rPr>
              <w:t>·</w:t>
            </w:r>
            <w:r>
              <w:t>0 (15</w:t>
            </w:r>
            <w:r w:rsidR="00314E89">
              <w:rPr>
                <w:rFonts w:cstheme="minorHAnsi"/>
              </w:rPr>
              <w:t>·</w:t>
            </w:r>
            <w:r>
              <w:t>0 to 59</w:t>
            </w:r>
            <w:r w:rsidR="00314E89">
              <w:rPr>
                <w:rFonts w:cstheme="minorHAnsi"/>
              </w:rPr>
              <w:t>·</w:t>
            </w:r>
            <w:r>
              <w:t>0)</w:t>
            </w:r>
          </w:p>
        </w:tc>
        <w:tc>
          <w:tcPr>
            <w:tcW w:w="1559" w:type="dxa"/>
            <w:tcBorders>
              <w:top w:val="nil"/>
              <w:bottom w:val="nil"/>
            </w:tcBorders>
          </w:tcPr>
          <w:p w:rsidR="00577A14" w:rsidRDefault="00577A14" w:rsidP="00890BD1">
            <w:pPr>
              <w:jc w:val="center"/>
            </w:pPr>
            <w:r>
              <w:t>33</w:t>
            </w:r>
            <w:r w:rsidR="00314E89">
              <w:rPr>
                <w:rFonts w:cstheme="minorHAnsi"/>
              </w:rPr>
              <w:t>·</w:t>
            </w:r>
            <w:r>
              <w:t>0 (14</w:t>
            </w:r>
            <w:r w:rsidR="00314E89">
              <w:rPr>
                <w:rFonts w:cstheme="minorHAnsi"/>
              </w:rPr>
              <w:t>·</w:t>
            </w:r>
            <w:r>
              <w:t>0 to 81</w:t>
            </w:r>
            <w:r w:rsidR="00314E89">
              <w:rPr>
                <w:rFonts w:cstheme="minorHAnsi"/>
              </w:rPr>
              <w:t>·</w:t>
            </w:r>
            <w:r>
              <w:t>0)</w:t>
            </w:r>
          </w:p>
        </w:tc>
        <w:tc>
          <w:tcPr>
            <w:tcW w:w="1701" w:type="dxa"/>
            <w:tcBorders>
              <w:top w:val="nil"/>
              <w:bottom w:val="nil"/>
            </w:tcBorders>
          </w:tcPr>
          <w:p w:rsidR="00577A14" w:rsidRDefault="00577A14" w:rsidP="00890BD1">
            <w:pPr>
              <w:jc w:val="center"/>
            </w:pPr>
            <w:r>
              <w:t>1</w:t>
            </w:r>
            <w:r w:rsidR="003E22FB">
              <w:rPr>
                <w:rFonts w:cstheme="minorHAnsi"/>
              </w:rPr>
              <w:t>·</w:t>
            </w:r>
            <w:r>
              <w:t>0 (-8</w:t>
            </w:r>
            <w:r w:rsidR="003E22FB">
              <w:rPr>
                <w:rFonts w:cstheme="minorHAnsi"/>
              </w:rPr>
              <w:t>·</w:t>
            </w:r>
            <w:r>
              <w:t>0 to 18</w:t>
            </w:r>
            <w:r w:rsidR="003E22FB">
              <w:rPr>
                <w:rFonts w:cstheme="minorHAnsi"/>
              </w:rPr>
              <w:t>·</w:t>
            </w:r>
            <w:r>
              <w:t>0)</w:t>
            </w:r>
          </w:p>
        </w:tc>
        <w:tc>
          <w:tcPr>
            <w:tcW w:w="992" w:type="dxa"/>
            <w:tcBorders>
              <w:top w:val="nil"/>
              <w:bottom w:val="nil"/>
            </w:tcBorders>
          </w:tcPr>
          <w:p w:rsidR="00577A14" w:rsidRDefault="00577A14" w:rsidP="00890BD1">
            <w:pPr>
              <w:jc w:val="center"/>
            </w:pPr>
            <w:r>
              <w:t>0</w:t>
            </w:r>
            <w:r w:rsidR="003E22FB">
              <w:rPr>
                <w:rFonts w:cstheme="minorHAnsi"/>
              </w:rPr>
              <w:t>·</w:t>
            </w:r>
            <w:r>
              <w:t>48</w:t>
            </w:r>
          </w:p>
        </w:tc>
      </w:tr>
      <w:tr w:rsidR="00577A14" w:rsidTr="00577A14">
        <w:tc>
          <w:tcPr>
            <w:tcW w:w="3256" w:type="dxa"/>
            <w:tcBorders>
              <w:top w:val="nil"/>
              <w:bottom w:val="nil"/>
            </w:tcBorders>
          </w:tcPr>
          <w:p w:rsidR="00577A14" w:rsidRPr="00D164AE" w:rsidRDefault="000525EF" w:rsidP="000525EF">
            <w:r>
              <w:t>T</w:t>
            </w:r>
            <w:r w:rsidR="00577A14" w:rsidRPr="00D164AE">
              <w:t>ime to clinical improvement</w:t>
            </w:r>
            <w:r w:rsidR="00577A14" w:rsidRPr="00886063">
              <w:rPr>
                <w:rFonts w:cstheme="minorHAnsi"/>
                <w:vertAlign w:val="superscript"/>
              </w:rPr>
              <w:t>ǁ</w:t>
            </w:r>
            <w:r w:rsidR="00577A14" w:rsidRPr="00D164AE">
              <w:t xml:space="preserve"> </w:t>
            </w:r>
            <w:r>
              <w:t>(</w:t>
            </w:r>
            <w:r w:rsidR="00577A14" w:rsidRPr="00D164AE">
              <w:t>h</w:t>
            </w:r>
            <w:r w:rsidR="00890BD1">
              <w:t>ou</w:t>
            </w:r>
            <w:r w:rsidR="00577A14" w:rsidRPr="00D164AE">
              <w:t>rs</w:t>
            </w:r>
            <w:r>
              <w:t>)</w:t>
            </w:r>
          </w:p>
        </w:tc>
        <w:tc>
          <w:tcPr>
            <w:tcW w:w="1559" w:type="dxa"/>
            <w:tcBorders>
              <w:top w:val="nil"/>
              <w:bottom w:val="nil"/>
            </w:tcBorders>
          </w:tcPr>
          <w:p w:rsidR="00577A14" w:rsidRDefault="00577A14" w:rsidP="00890BD1">
            <w:pPr>
              <w:jc w:val="center"/>
            </w:pPr>
            <w:r>
              <w:t>8</w:t>
            </w:r>
            <w:r w:rsidR="003E22FB">
              <w:rPr>
                <w:rFonts w:cstheme="minorHAnsi"/>
              </w:rPr>
              <w:t>·</w:t>
            </w:r>
            <w:r>
              <w:t>8 (3</w:t>
            </w:r>
            <w:r w:rsidR="003E22FB">
              <w:rPr>
                <w:rFonts w:cstheme="minorHAnsi"/>
              </w:rPr>
              <w:t>·</w:t>
            </w:r>
            <w:r>
              <w:t>2 to 23</w:t>
            </w:r>
            <w:r w:rsidR="003E22FB">
              <w:rPr>
                <w:rFonts w:cstheme="minorHAnsi"/>
              </w:rPr>
              <w:t>·</w:t>
            </w:r>
            <w:r>
              <w:t>9)</w:t>
            </w:r>
          </w:p>
        </w:tc>
        <w:tc>
          <w:tcPr>
            <w:tcW w:w="1559" w:type="dxa"/>
            <w:tcBorders>
              <w:top w:val="nil"/>
              <w:bottom w:val="nil"/>
            </w:tcBorders>
          </w:tcPr>
          <w:p w:rsidR="00577A14" w:rsidRDefault="00577A14" w:rsidP="00890BD1">
            <w:pPr>
              <w:jc w:val="center"/>
            </w:pPr>
            <w:r>
              <w:t>13</w:t>
            </w:r>
            <w:r w:rsidR="003E22FB">
              <w:rPr>
                <w:rFonts w:cstheme="minorHAnsi"/>
              </w:rPr>
              <w:t>·</w:t>
            </w:r>
            <w:r>
              <w:t>9 (5</w:t>
            </w:r>
            <w:r w:rsidR="003E22FB">
              <w:rPr>
                <w:rFonts w:cstheme="minorHAnsi"/>
              </w:rPr>
              <w:t>·</w:t>
            </w:r>
            <w:r>
              <w:t>1 to 42</w:t>
            </w:r>
            <w:r w:rsidR="003E22FB">
              <w:rPr>
                <w:rFonts w:cstheme="minorHAnsi"/>
              </w:rPr>
              <w:t>·</w:t>
            </w:r>
            <w:r>
              <w:t>5)</w:t>
            </w:r>
          </w:p>
        </w:tc>
        <w:tc>
          <w:tcPr>
            <w:tcW w:w="1701" w:type="dxa"/>
            <w:tcBorders>
              <w:top w:val="nil"/>
              <w:bottom w:val="nil"/>
            </w:tcBorders>
          </w:tcPr>
          <w:p w:rsidR="00577A14" w:rsidRDefault="00577A14" w:rsidP="00890BD1">
            <w:pPr>
              <w:jc w:val="center"/>
            </w:pPr>
            <w:r>
              <w:t>5</w:t>
            </w:r>
            <w:r w:rsidR="003E22FB">
              <w:rPr>
                <w:rFonts w:cstheme="minorHAnsi"/>
              </w:rPr>
              <w:t>·</w:t>
            </w:r>
            <w:r>
              <w:t>1 (-0</w:t>
            </w:r>
            <w:r w:rsidR="003E22FB">
              <w:rPr>
                <w:rFonts w:cstheme="minorHAnsi"/>
              </w:rPr>
              <w:t>·</w:t>
            </w:r>
            <w:r>
              <w:t>3 to 9</w:t>
            </w:r>
            <w:r w:rsidR="003E22FB">
              <w:rPr>
                <w:rFonts w:cstheme="minorHAnsi"/>
              </w:rPr>
              <w:t>·</w:t>
            </w:r>
            <w:r>
              <w:t>9)</w:t>
            </w:r>
          </w:p>
        </w:tc>
        <w:tc>
          <w:tcPr>
            <w:tcW w:w="992" w:type="dxa"/>
            <w:tcBorders>
              <w:top w:val="nil"/>
              <w:bottom w:val="nil"/>
            </w:tcBorders>
          </w:tcPr>
          <w:p w:rsidR="00577A14" w:rsidRDefault="00106FBF" w:rsidP="00890BD1">
            <w:pPr>
              <w:jc w:val="center"/>
            </w:pPr>
            <w:r>
              <w:t>0</w:t>
            </w:r>
            <w:r w:rsidR="003E22FB">
              <w:rPr>
                <w:rFonts w:cstheme="minorHAnsi"/>
              </w:rPr>
              <w:t>·</w:t>
            </w:r>
            <w:r>
              <w:t>077</w:t>
            </w:r>
          </w:p>
          <w:p w:rsidR="00577A14" w:rsidRDefault="00577A14" w:rsidP="00890BD1">
            <w:pPr>
              <w:jc w:val="center"/>
            </w:pPr>
          </w:p>
        </w:tc>
      </w:tr>
      <w:tr w:rsidR="00577A14" w:rsidRPr="003B1920" w:rsidTr="00577A14">
        <w:tc>
          <w:tcPr>
            <w:tcW w:w="3256" w:type="dxa"/>
            <w:tcBorders>
              <w:top w:val="nil"/>
            </w:tcBorders>
          </w:tcPr>
          <w:p w:rsidR="00577A14" w:rsidRDefault="00577A14" w:rsidP="00577A14">
            <w:r w:rsidRPr="00510B35">
              <w:t>HRS sco</w:t>
            </w:r>
            <w:r>
              <w:t>re</w:t>
            </w:r>
            <w:r w:rsidRPr="00886063">
              <w:rPr>
                <w:vertAlign w:val="superscript"/>
              </w:rPr>
              <w:t>ǁ</w:t>
            </w:r>
            <w:r w:rsidR="00890BD1">
              <w:t xml:space="preserve">, day 7 </w:t>
            </w:r>
          </w:p>
          <w:p w:rsidR="00577A14" w:rsidRDefault="00577A14" w:rsidP="00577A14">
            <w:r>
              <w:t xml:space="preserve"> 1. Home</w:t>
            </w:r>
          </w:p>
          <w:p w:rsidR="00577A14" w:rsidRDefault="00577A14" w:rsidP="00577A14">
            <w:r>
              <w:t xml:space="preserve"> 2. Hospital ward not requiring O</w:t>
            </w:r>
            <w:r w:rsidRPr="00C22270">
              <w:rPr>
                <w:vertAlign w:val="subscript"/>
              </w:rPr>
              <w:t>2</w:t>
            </w:r>
          </w:p>
          <w:p w:rsidR="00577A14" w:rsidRDefault="00577A14" w:rsidP="00577A14">
            <w:r>
              <w:t xml:space="preserve"> 3. Hospital ward requiring O</w:t>
            </w:r>
            <w:r w:rsidRPr="00C22270">
              <w:rPr>
                <w:vertAlign w:val="subscript"/>
              </w:rPr>
              <w:t>2</w:t>
            </w:r>
          </w:p>
          <w:p w:rsidR="00577A14" w:rsidRDefault="00577A14" w:rsidP="00577A14">
            <w:r>
              <w:t xml:space="preserve"> 4. ICU not ventilated</w:t>
            </w:r>
          </w:p>
          <w:p w:rsidR="00577A14" w:rsidRDefault="00577A14" w:rsidP="00577A14">
            <w:r>
              <w:t xml:space="preserve"> 5. ICU ventilated</w:t>
            </w:r>
          </w:p>
          <w:p w:rsidR="00577A14" w:rsidRPr="00510B35" w:rsidRDefault="00577A14" w:rsidP="00577A14">
            <w:r>
              <w:t xml:space="preserve"> 6. Death</w:t>
            </w:r>
          </w:p>
        </w:tc>
        <w:tc>
          <w:tcPr>
            <w:tcW w:w="1559" w:type="dxa"/>
            <w:tcBorders>
              <w:top w:val="nil"/>
            </w:tcBorders>
          </w:tcPr>
          <w:p w:rsidR="00577A14" w:rsidRPr="005A145A" w:rsidRDefault="00577A14" w:rsidP="00890BD1">
            <w:pPr>
              <w:jc w:val="center"/>
            </w:pPr>
          </w:p>
          <w:p w:rsidR="00577A14" w:rsidRPr="005A145A" w:rsidRDefault="00577A14" w:rsidP="00890BD1">
            <w:pPr>
              <w:jc w:val="center"/>
            </w:pPr>
            <w:r w:rsidRPr="005A145A">
              <w:t>90</w:t>
            </w:r>
            <w:r w:rsidR="0066012F">
              <w:t xml:space="preserve"> (90%</w:t>
            </w:r>
            <w:r>
              <w:t>)</w:t>
            </w:r>
          </w:p>
          <w:p w:rsidR="00577A14" w:rsidRPr="005A145A" w:rsidRDefault="00577A14" w:rsidP="00890BD1">
            <w:pPr>
              <w:jc w:val="center"/>
            </w:pPr>
            <w:r w:rsidRPr="005A145A">
              <w:t>8</w:t>
            </w:r>
            <w:r w:rsidR="0066012F">
              <w:t xml:space="preserve"> (8%</w:t>
            </w:r>
            <w:r>
              <w:t>)</w:t>
            </w:r>
          </w:p>
          <w:p w:rsidR="00577A14" w:rsidRPr="005A145A" w:rsidRDefault="00577A14" w:rsidP="00890BD1">
            <w:pPr>
              <w:jc w:val="center"/>
            </w:pPr>
            <w:r w:rsidRPr="005A145A">
              <w:t>2</w:t>
            </w:r>
            <w:r w:rsidR="0066012F">
              <w:t xml:space="preserve"> (2%</w:t>
            </w:r>
            <w:r>
              <w:t>)</w:t>
            </w:r>
          </w:p>
          <w:p w:rsidR="00577A14" w:rsidRPr="005A145A" w:rsidRDefault="00577A14" w:rsidP="00890BD1">
            <w:pPr>
              <w:jc w:val="center"/>
            </w:pPr>
            <w:r w:rsidRPr="005A145A">
              <w:t>0</w:t>
            </w:r>
            <w:r>
              <w:t xml:space="preserve"> (0</w:t>
            </w:r>
            <w:r w:rsidR="0066012F">
              <w:t>%</w:t>
            </w:r>
            <w:r>
              <w:t>)</w:t>
            </w:r>
          </w:p>
          <w:p w:rsidR="00577A14" w:rsidRPr="005A145A" w:rsidRDefault="00577A14" w:rsidP="00890BD1">
            <w:pPr>
              <w:jc w:val="center"/>
            </w:pPr>
            <w:r w:rsidRPr="005A145A">
              <w:t>0</w:t>
            </w:r>
            <w:r>
              <w:t xml:space="preserve"> (0</w:t>
            </w:r>
            <w:r w:rsidR="0066012F">
              <w:t>%</w:t>
            </w:r>
            <w:r>
              <w:t>)</w:t>
            </w:r>
          </w:p>
          <w:p w:rsidR="00577A14" w:rsidRPr="005A145A" w:rsidRDefault="00577A14" w:rsidP="00890BD1">
            <w:pPr>
              <w:jc w:val="center"/>
            </w:pPr>
            <w:r w:rsidRPr="005A145A">
              <w:t>0</w:t>
            </w:r>
            <w:r>
              <w:t xml:space="preserve"> (0</w:t>
            </w:r>
            <w:r w:rsidR="0066012F">
              <w:t>%</w:t>
            </w:r>
            <w:r>
              <w:t>)</w:t>
            </w:r>
          </w:p>
        </w:tc>
        <w:tc>
          <w:tcPr>
            <w:tcW w:w="1559" w:type="dxa"/>
            <w:tcBorders>
              <w:top w:val="nil"/>
            </w:tcBorders>
          </w:tcPr>
          <w:p w:rsidR="00577A14" w:rsidRPr="005A145A" w:rsidRDefault="00577A14" w:rsidP="00890BD1">
            <w:pPr>
              <w:jc w:val="center"/>
            </w:pPr>
          </w:p>
          <w:p w:rsidR="00577A14" w:rsidRPr="005A145A" w:rsidRDefault="00577A14" w:rsidP="00890BD1">
            <w:pPr>
              <w:jc w:val="center"/>
            </w:pPr>
            <w:r w:rsidRPr="005A145A">
              <w:t>82</w:t>
            </w:r>
            <w:r w:rsidR="0066012F">
              <w:t xml:space="preserve"> (80%</w:t>
            </w:r>
            <w:r>
              <w:t>)</w:t>
            </w:r>
          </w:p>
          <w:p w:rsidR="00577A14" w:rsidRPr="005A145A" w:rsidRDefault="00577A14" w:rsidP="00890BD1">
            <w:pPr>
              <w:jc w:val="center"/>
            </w:pPr>
            <w:r w:rsidRPr="005A145A">
              <w:t xml:space="preserve">12 </w:t>
            </w:r>
            <w:r w:rsidR="0066012F">
              <w:t>(12%</w:t>
            </w:r>
            <w:r>
              <w:t>)</w:t>
            </w:r>
          </w:p>
          <w:p w:rsidR="00577A14" w:rsidRPr="005A145A" w:rsidRDefault="00577A14" w:rsidP="00890BD1">
            <w:pPr>
              <w:jc w:val="center"/>
            </w:pPr>
            <w:r w:rsidRPr="005A145A">
              <w:t>5</w:t>
            </w:r>
            <w:r w:rsidR="0066012F">
              <w:t xml:space="preserve"> (5%</w:t>
            </w:r>
            <w:r>
              <w:t>)</w:t>
            </w:r>
          </w:p>
          <w:p w:rsidR="00577A14" w:rsidRPr="005A145A" w:rsidRDefault="00577A14" w:rsidP="00890BD1">
            <w:pPr>
              <w:jc w:val="center"/>
            </w:pPr>
            <w:r w:rsidRPr="005A145A">
              <w:t>1</w:t>
            </w:r>
            <w:r w:rsidR="0066012F">
              <w:t xml:space="preserve"> (1%</w:t>
            </w:r>
            <w:r>
              <w:t>)</w:t>
            </w:r>
          </w:p>
          <w:p w:rsidR="00577A14" w:rsidRPr="005A145A" w:rsidRDefault="00577A14" w:rsidP="00890BD1">
            <w:pPr>
              <w:jc w:val="center"/>
            </w:pPr>
            <w:r w:rsidRPr="005A145A">
              <w:t>1</w:t>
            </w:r>
            <w:r w:rsidR="0066012F">
              <w:t xml:space="preserve"> (1%</w:t>
            </w:r>
            <w:r>
              <w:t>)</w:t>
            </w:r>
          </w:p>
          <w:p w:rsidR="00577A14" w:rsidRPr="005A145A" w:rsidRDefault="00577A14" w:rsidP="00890BD1">
            <w:pPr>
              <w:jc w:val="center"/>
            </w:pPr>
            <w:r w:rsidRPr="005A145A">
              <w:t>1</w:t>
            </w:r>
            <w:r w:rsidR="0066012F">
              <w:t xml:space="preserve"> (1%</w:t>
            </w:r>
            <w:r>
              <w:t>)</w:t>
            </w:r>
          </w:p>
        </w:tc>
        <w:tc>
          <w:tcPr>
            <w:tcW w:w="1701" w:type="dxa"/>
            <w:tcBorders>
              <w:top w:val="nil"/>
            </w:tcBorders>
          </w:tcPr>
          <w:p w:rsidR="00577A14" w:rsidRPr="003B1920" w:rsidRDefault="00577A14" w:rsidP="00890BD1">
            <w:pPr>
              <w:jc w:val="center"/>
              <w:rPr>
                <w:highlight w:val="yellow"/>
              </w:rPr>
            </w:pPr>
          </w:p>
          <w:p w:rsidR="00577A14" w:rsidRPr="003B1920" w:rsidRDefault="00577A14" w:rsidP="00890BD1">
            <w:pPr>
              <w:jc w:val="center"/>
              <w:rPr>
                <w:highlight w:val="yellow"/>
              </w:rPr>
            </w:pPr>
          </w:p>
          <w:p w:rsidR="00577A14" w:rsidRPr="003B1920" w:rsidRDefault="00577A14" w:rsidP="00890BD1">
            <w:pPr>
              <w:jc w:val="center"/>
              <w:rPr>
                <w:highlight w:val="yellow"/>
              </w:rPr>
            </w:pPr>
          </w:p>
        </w:tc>
        <w:tc>
          <w:tcPr>
            <w:tcW w:w="992" w:type="dxa"/>
            <w:tcBorders>
              <w:top w:val="nil"/>
            </w:tcBorders>
          </w:tcPr>
          <w:p w:rsidR="00577A14" w:rsidRPr="003B1920" w:rsidRDefault="00577A14" w:rsidP="00890BD1">
            <w:pPr>
              <w:jc w:val="center"/>
              <w:rPr>
                <w:highlight w:val="yellow"/>
              </w:rPr>
            </w:pPr>
          </w:p>
          <w:p w:rsidR="00577A14" w:rsidRPr="003B1920" w:rsidRDefault="00577A14" w:rsidP="00C1688E">
            <w:pPr>
              <w:jc w:val="center"/>
              <w:rPr>
                <w:highlight w:val="yellow"/>
              </w:rPr>
            </w:pPr>
            <w:r>
              <w:t>0</w:t>
            </w:r>
            <w:r w:rsidR="003E22FB">
              <w:rPr>
                <w:rFonts w:cstheme="minorHAnsi"/>
              </w:rPr>
              <w:t>·</w:t>
            </w:r>
            <w:r>
              <w:t>04</w:t>
            </w:r>
            <w:r w:rsidR="00106FBF">
              <w:t>5</w:t>
            </w:r>
            <w:r w:rsidR="00C1688E">
              <w:t>**</w:t>
            </w:r>
          </w:p>
        </w:tc>
      </w:tr>
    </w:tbl>
    <w:p w:rsidR="00577A14" w:rsidRPr="00886063" w:rsidRDefault="000525EF" w:rsidP="00577A14">
      <w:pPr>
        <w:spacing w:after="0" w:line="240" w:lineRule="auto"/>
        <w:jc w:val="both"/>
        <w:rPr>
          <w:bCs/>
        </w:rPr>
      </w:pPr>
      <w:r w:rsidRPr="000525EF">
        <w:rPr>
          <w:bCs/>
        </w:rPr>
        <w:lastRenderedPageBreak/>
        <w:t>Data are n (%) or median (IQR).</w:t>
      </w:r>
      <w:r>
        <w:rPr>
          <w:bCs/>
        </w:rPr>
        <w:t xml:space="preserve"> PCR=polymerase chain reaction, IV=</w:t>
      </w:r>
      <w:r w:rsidRPr="000525EF">
        <w:rPr>
          <w:bCs/>
        </w:rPr>
        <w:t>intravenous</w:t>
      </w:r>
      <w:r>
        <w:rPr>
          <w:bCs/>
        </w:rPr>
        <w:t>, ICU=intensive care unit, O</w:t>
      </w:r>
      <w:r w:rsidRPr="000525EF">
        <w:rPr>
          <w:bCs/>
          <w:vertAlign w:val="subscript"/>
        </w:rPr>
        <w:t>2</w:t>
      </w:r>
      <w:r>
        <w:rPr>
          <w:bCs/>
        </w:rPr>
        <w:t>=Oxygen</w:t>
      </w:r>
      <w:r w:rsidRPr="000525EF">
        <w:rPr>
          <w:bCs/>
        </w:rPr>
        <w:t xml:space="preserve"> </w:t>
      </w:r>
      <w:r w:rsidR="00577A14" w:rsidRPr="00886063">
        <w:rPr>
          <w:bCs/>
        </w:rPr>
        <w:t>*A clinical diagnosis of influenza is defined as either influenza listed as a diagnosis on the discharge summary or a full 5 day course of oseltamivir given, in the</w:t>
      </w:r>
      <w:r w:rsidR="00577A14">
        <w:rPr>
          <w:bCs/>
        </w:rPr>
        <w:t xml:space="preserve"> absence of diagnostic testing </w:t>
      </w:r>
      <w:r w:rsidR="00577A14" w:rsidRPr="00886063">
        <w:rPr>
          <w:bCs/>
        </w:rPr>
        <w:t>performed.</w:t>
      </w:r>
      <w:r w:rsidR="00C1688E">
        <w:rPr>
          <w:bCs/>
        </w:rPr>
        <w:t xml:space="preserve"> </w:t>
      </w:r>
      <w:r w:rsidR="00C1688E" w:rsidRPr="00C1688E">
        <w:rPr>
          <w:bCs/>
        </w:rPr>
        <w:t>†</w:t>
      </w:r>
      <w:r w:rsidR="00577A14" w:rsidRPr="00886063">
        <w:rPr>
          <w:bCs/>
        </w:rPr>
        <w:t>Empirical antiviral use denotes antivirals started in patients with a presumptive clinical diagnosis of influenza bef</w:t>
      </w:r>
      <w:r w:rsidR="005A6847">
        <w:rPr>
          <w:bCs/>
        </w:rPr>
        <w:t xml:space="preserve">ore diagnostic results were </w:t>
      </w:r>
      <w:r w:rsidR="00577A14" w:rsidRPr="00886063">
        <w:rPr>
          <w:bCs/>
        </w:rPr>
        <w:t xml:space="preserve">available. </w:t>
      </w:r>
      <w:r w:rsidR="00C1688E">
        <w:rPr>
          <w:rFonts w:cstheme="minorHAnsi"/>
          <w:bCs/>
        </w:rPr>
        <w:t>‡</w:t>
      </w:r>
      <w:r w:rsidR="00577A14" w:rsidRPr="00886063">
        <w:rPr>
          <w:bCs/>
        </w:rPr>
        <w:t>Directed antiviral use denotes antiviral use started once diagnosis has been confirm</w:t>
      </w:r>
      <w:r w:rsidR="00577A14">
        <w:rPr>
          <w:bCs/>
        </w:rPr>
        <w:t>ed</w:t>
      </w:r>
      <w:r w:rsidR="00577A14" w:rsidRPr="00886063">
        <w:rPr>
          <w:bCs/>
        </w:rPr>
        <w:t xml:space="preserve"> by a positive diagnostic test. All antiviral use was with oseltamivir. </w:t>
      </w:r>
      <w:r w:rsidR="00C1688E" w:rsidRPr="00C1688E">
        <w:rPr>
          <w:bCs/>
        </w:rPr>
        <w:t>§</w:t>
      </w:r>
      <w:r w:rsidR="00577A14" w:rsidRPr="00886063">
        <w:rPr>
          <w:bCs/>
        </w:rPr>
        <w:t>Isolation facility use relate</w:t>
      </w:r>
      <w:r w:rsidR="00577A14">
        <w:rPr>
          <w:bCs/>
        </w:rPr>
        <w:t>s</w:t>
      </w:r>
      <w:r w:rsidR="00577A14" w:rsidRPr="00886063">
        <w:rPr>
          <w:bCs/>
        </w:rPr>
        <w:t xml:space="preserve"> to the use of single room accommodation or dedicated influenza cohort bays for patients.</w:t>
      </w:r>
      <w:r w:rsidR="005A6847" w:rsidRPr="005A6847">
        <w:rPr>
          <w:bCs/>
        </w:rPr>
        <w:t xml:space="preserve"> </w:t>
      </w:r>
      <w:r w:rsidR="00C1688E">
        <w:rPr>
          <w:rFonts w:cstheme="minorHAnsi"/>
          <w:bCs/>
        </w:rPr>
        <w:t>¶</w:t>
      </w:r>
      <w:r w:rsidR="005A6847">
        <w:rPr>
          <w:bCs/>
        </w:rPr>
        <w:t>Exceptions are those patients d</w:t>
      </w:r>
      <w:r w:rsidR="005A6847" w:rsidRPr="00890BD1">
        <w:rPr>
          <w:bCs/>
        </w:rPr>
        <w:t xml:space="preserve">ischarged rapidly or nursed in areas without </w:t>
      </w:r>
      <w:r w:rsidR="005A6847">
        <w:rPr>
          <w:bCs/>
        </w:rPr>
        <w:t xml:space="preserve">isolation </w:t>
      </w:r>
      <w:r w:rsidR="005A6847" w:rsidRPr="00890BD1">
        <w:rPr>
          <w:bCs/>
        </w:rPr>
        <w:t>facilities</w:t>
      </w:r>
      <w:r w:rsidR="005A6847">
        <w:rPr>
          <w:bCs/>
        </w:rPr>
        <w:t>.</w:t>
      </w:r>
      <w:r w:rsidR="00577A14" w:rsidRPr="00886063">
        <w:rPr>
          <w:bCs/>
        </w:rPr>
        <w:t xml:space="preserve"> ǁTime to clinical improvement and the Hospital Recovery Score (HRS) are defined in</w:t>
      </w:r>
      <w:r w:rsidR="00C1688E">
        <w:rPr>
          <w:bCs/>
        </w:rPr>
        <w:t xml:space="preserve"> </w:t>
      </w:r>
      <w:r w:rsidR="00AA5354">
        <w:rPr>
          <w:bCs/>
        </w:rPr>
        <w:t>the supplementary appendices. **Mann Whitney U test</w:t>
      </w:r>
      <w:r w:rsidR="00577A14">
        <w:rPr>
          <w:bCs/>
        </w:rPr>
        <w:t xml:space="preserve">. </w:t>
      </w:r>
    </w:p>
    <w:p w:rsidR="00577A14" w:rsidRDefault="00577A14" w:rsidP="00577A14">
      <w:pPr>
        <w:spacing w:after="0" w:line="480" w:lineRule="auto"/>
        <w:jc w:val="both"/>
        <w:rPr>
          <w:b/>
          <w:bCs/>
          <w:sz w:val="32"/>
          <w:szCs w:val="32"/>
        </w:rPr>
      </w:pPr>
    </w:p>
    <w:p w:rsidR="00F66C82" w:rsidRDefault="00F66C82" w:rsidP="00696592">
      <w:pPr>
        <w:rPr>
          <w:b/>
          <w:bCs/>
          <w:sz w:val="32"/>
          <w:szCs w:val="32"/>
        </w:rPr>
      </w:pPr>
    </w:p>
    <w:p w:rsidR="00577A14" w:rsidRDefault="00577A14" w:rsidP="00696592">
      <w:pPr>
        <w:rPr>
          <w:b/>
          <w:bCs/>
          <w:sz w:val="32"/>
          <w:szCs w:val="32"/>
        </w:rPr>
      </w:pPr>
    </w:p>
    <w:p w:rsidR="00577A14" w:rsidRDefault="00577A14" w:rsidP="00696592">
      <w:pPr>
        <w:rPr>
          <w:b/>
          <w:bCs/>
          <w:sz w:val="32"/>
          <w:szCs w:val="32"/>
        </w:rPr>
      </w:pPr>
    </w:p>
    <w:p w:rsidR="00577A14" w:rsidRDefault="00577A14" w:rsidP="00696592">
      <w:pPr>
        <w:rPr>
          <w:b/>
          <w:bCs/>
          <w:sz w:val="32"/>
          <w:szCs w:val="32"/>
        </w:rPr>
      </w:pPr>
    </w:p>
    <w:p w:rsidR="00577A14" w:rsidRDefault="00577A14" w:rsidP="00696592">
      <w:pPr>
        <w:rPr>
          <w:b/>
          <w:bCs/>
          <w:sz w:val="32"/>
          <w:szCs w:val="32"/>
        </w:rPr>
      </w:pPr>
    </w:p>
    <w:p w:rsidR="00F65C5F" w:rsidRDefault="00F65C5F" w:rsidP="00696592">
      <w:pPr>
        <w:rPr>
          <w:b/>
          <w:bCs/>
          <w:sz w:val="32"/>
          <w:szCs w:val="32"/>
        </w:rPr>
      </w:pPr>
    </w:p>
    <w:p w:rsidR="00F65C5F" w:rsidRDefault="00F65C5F" w:rsidP="00696592">
      <w:pPr>
        <w:rPr>
          <w:b/>
          <w:bCs/>
          <w:sz w:val="32"/>
          <w:szCs w:val="32"/>
        </w:rPr>
      </w:pPr>
    </w:p>
    <w:p w:rsidR="00F65C5F" w:rsidRDefault="00F65C5F" w:rsidP="00696592">
      <w:pPr>
        <w:rPr>
          <w:b/>
          <w:bCs/>
          <w:sz w:val="32"/>
          <w:szCs w:val="32"/>
        </w:rPr>
      </w:pPr>
    </w:p>
    <w:p w:rsidR="005A6847" w:rsidRDefault="005A6847" w:rsidP="00696592">
      <w:pPr>
        <w:rPr>
          <w:b/>
          <w:bCs/>
          <w:sz w:val="32"/>
          <w:szCs w:val="32"/>
        </w:rPr>
      </w:pPr>
    </w:p>
    <w:p w:rsidR="005A6847" w:rsidRDefault="005A6847" w:rsidP="00696592">
      <w:pPr>
        <w:rPr>
          <w:b/>
          <w:bCs/>
          <w:sz w:val="32"/>
          <w:szCs w:val="32"/>
        </w:rPr>
      </w:pPr>
    </w:p>
    <w:p w:rsidR="005A6847" w:rsidRDefault="005A6847" w:rsidP="00696592">
      <w:pPr>
        <w:rPr>
          <w:b/>
          <w:bCs/>
          <w:sz w:val="32"/>
          <w:szCs w:val="32"/>
        </w:rPr>
      </w:pPr>
    </w:p>
    <w:p w:rsidR="00F65C5F" w:rsidRDefault="00F65C5F" w:rsidP="00696592">
      <w:pPr>
        <w:rPr>
          <w:b/>
          <w:bCs/>
          <w:sz w:val="32"/>
          <w:szCs w:val="32"/>
        </w:rPr>
      </w:pPr>
    </w:p>
    <w:p w:rsidR="00F65C5F" w:rsidRDefault="00F65C5F" w:rsidP="00696592">
      <w:pPr>
        <w:rPr>
          <w:b/>
          <w:bCs/>
          <w:sz w:val="32"/>
          <w:szCs w:val="32"/>
        </w:rPr>
      </w:pPr>
    </w:p>
    <w:p w:rsidR="000525EF" w:rsidRDefault="000525EF" w:rsidP="00696592">
      <w:pPr>
        <w:rPr>
          <w:b/>
          <w:bCs/>
          <w:sz w:val="32"/>
          <w:szCs w:val="32"/>
        </w:rPr>
      </w:pPr>
    </w:p>
    <w:p w:rsidR="00221231" w:rsidRDefault="00221231" w:rsidP="00696592">
      <w:pPr>
        <w:rPr>
          <w:b/>
          <w:bCs/>
          <w:sz w:val="32"/>
          <w:szCs w:val="32"/>
        </w:rPr>
      </w:pPr>
    </w:p>
    <w:p w:rsidR="000525EF" w:rsidRDefault="000525EF" w:rsidP="00696592">
      <w:pPr>
        <w:rPr>
          <w:b/>
          <w:bCs/>
          <w:sz w:val="32"/>
          <w:szCs w:val="32"/>
        </w:rPr>
      </w:pPr>
    </w:p>
    <w:p w:rsidR="00BC2B53" w:rsidRPr="00F65C5F" w:rsidRDefault="00F65C5F" w:rsidP="00696592">
      <w:pPr>
        <w:rPr>
          <w:bCs/>
          <w:sz w:val="24"/>
          <w:szCs w:val="24"/>
        </w:rPr>
      </w:pPr>
      <w:r w:rsidRPr="007040D8">
        <w:rPr>
          <w:b/>
          <w:bCs/>
          <w:i/>
          <w:sz w:val="24"/>
          <w:szCs w:val="24"/>
        </w:rPr>
        <w:lastRenderedPageBreak/>
        <w:t>Table 4</w:t>
      </w:r>
      <w:r w:rsidR="007040D8">
        <w:rPr>
          <w:bCs/>
          <w:sz w:val="24"/>
          <w:szCs w:val="24"/>
        </w:rPr>
        <w:t xml:space="preserve">: </w:t>
      </w:r>
      <w:r w:rsidRPr="007040D8">
        <w:rPr>
          <w:b/>
          <w:bCs/>
          <w:sz w:val="24"/>
          <w:szCs w:val="24"/>
        </w:rPr>
        <w:t>Adverse events in influenza-infected patients (ITTI).</w:t>
      </w:r>
    </w:p>
    <w:tbl>
      <w:tblPr>
        <w:tblStyle w:val="TableGrid"/>
        <w:tblW w:w="9067" w:type="dxa"/>
        <w:tblLook w:val="04A0" w:firstRow="1" w:lastRow="0" w:firstColumn="1" w:lastColumn="0" w:noHBand="0" w:noVBand="1"/>
      </w:tblPr>
      <w:tblGrid>
        <w:gridCol w:w="3823"/>
        <w:gridCol w:w="1275"/>
        <w:gridCol w:w="1276"/>
        <w:gridCol w:w="1701"/>
        <w:gridCol w:w="992"/>
      </w:tblGrid>
      <w:tr w:rsidR="00F65C5F" w:rsidRPr="003B1920" w:rsidTr="00F65C5F">
        <w:tc>
          <w:tcPr>
            <w:tcW w:w="3823" w:type="dxa"/>
            <w:tcBorders>
              <w:bottom w:val="single" w:sz="4" w:space="0" w:color="auto"/>
            </w:tcBorders>
          </w:tcPr>
          <w:p w:rsidR="00F65C5F" w:rsidRPr="00721222" w:rsidRDefault="00F65C5F" w:rsidP="00F65C5F">
            <w:pPr>
              <w:rPr>
                <w:b/>
              </w:rPr>
            </w:pPr>
            <w:r>
              <w:rPr>
                <w:b/>
              </w:rPr>
              <w:t>Adverse event</w:t>
            </w:r>
          </w:p>
        </w:tc>
        <w:tc>
          <w:tcPr>
            <w:tcW w:w="1275" w:type="dxa"/>
          </w:tcPr>
          <w:p w:rsidR="00F65C5F" w:rsidRPr="004632B1" w:rsidRDefault="00F65C5F" w:rsidP="00F65C5F">
            <w:pPr>
              <w:jc w:val="center"/>
              <w:rPr>
                <w:b/>
              </w:rPr>
            </w:pPr>
            <w:r w:rsidRPr="004632B1">
              <w:rPr>
                <w:b/>
              </w:rPr>
              <w:t xml:space="preserve">mPOCT </w:t>
            </w:r>
          </w:p>
          <w:p w:rsidR="00F65C5F" w:rsidRPr="004632B1" w:rsidRDefault="007040D8" w:rsidP="007040D8">
            <w:pPr>
              <w:jc w:val="center"/>
              <w:rPr>
                <w:b/>
              </w:rPr>
            </w:pPr>
            <w:r>
              <w:rPr>
                <w:b/>
              </w:rPr>
              <w:t>(n=100)</w:t>
            </w:r>
          </w:p>
        </w:tc>
        <w:tc>
          <w:tcPr>
            <w:tcW w:w="1276" w:type="dxa"/>
          </w:tcPr>
          <w:p w:rsidR="00F65C5F" w:rsidRPr="004632B1" w:rsidRDefault="00F65C5F" w:rsidP="00F65C5F">
            <w:pPr>
              <w:jc w:val="center"/>
              <w:rPr>
                <w:b/>
              </w:rPr>
            </w:pPr>
            <w:r w:rsidRPr="004632B1">
              <w:rPr>
                <w:b/>
              </w:rPr>
              <w:t xml:space="preserve">Control </w:t>
            </w:r>
          </w:p>
          <w:p w:rsidR="00F65C5F" w:rsidRDefault="007040D8" w:rsidP="00F65C5F">
            <w:pPr>
              <w:jc w:val="center"/>
            </w:pPr>
            <w:r>
              <w:rPr>
                <w:b/>
              </w:rPr>
              <w:t>(n</w:t>
            </w:r>
            <w:r w:rsidR="00F65C5F" w:rsidRPr="004632B1">
              <w:rPr>
                <w:b/>
              </w:rPr>
              <w:t>=102)</w:t>
            </w:r>
          </w:p>
        </w:tc>
        <w:tc>
          <w:tcPr>
            <w:tcW w:w="1701" w:type="dxa"/>
          </w:tcPr>
          <w:p w:rsidR="007040D8" w:rsidRPr="004632B1" w:rsidRDefault="00F65C5F" w:rsidP="00975261">
            <w:pPr>
              <w:jc w:val="center"/>
              <w:rPr>
                <w:b/>
              </w:rPr>
            </w:pPr>
            <w:r>
              <w:rPr>
                <w:b/>
              </w:rPr>
              <w:t xml:space="preserve">Relative Risk </w:t>
            </w:r>
            <w:r w:rsidRPr="004632B1">
              <w:rPr>
                <w:b/>
              </w:rPr>
              <w:t>(95% CI)</w:t>
            </w:r>
          </w:p>
        </w:tc>
        <w:tc>
          <w:tcPr>
            <w:tcW w:w="992" w:type="dxa"/>
          </w:tcPr>
          <w:p w:rsidR="00F65C5F" w:rsidRPr="004632B1" w:rsidRDefault="007040D8" w:rsidP="00F65C5F">
            <w:pPr>
              <w:jc w:val="center"/>
              <w:rPr>
                <w:b/>
              </w:rPr>
            </w:pPr>
            <w:r>
              <w:rPr>
                <w:b/>
              </w:rPr>
              <w:t>p</w:t>
            </w:r>
            <w:r w:rsidR="00F65C5F" w:rsidRPr="004632B1">
              <w:rPr>
                <w:b/>
              </w:rPr>
              <w:t xml:space="preserve"> value</w:t>
            </w:r>
          </w:p>
        </w:tc>
      </w:tr>
      <w:tr w:rsidR="00F65C5F" w:rsidRPr="003B1920" w:rsidTr="00F65C5F">
        <w:tc>
          <w:tcPr>
            <w:tcW w:w="3823" w:type="dxa"/>
            <w:tcBorders>
              <w:bottom w:val="nil"/>
            </w:tcBorders>
          </w:tcPr>
          <w:p w:rsidR="00F65C5F" w:rsidRPr="00510B35" w:rsidRDefault="00F65C5F" w:rsidP="00F65C5F">
            <w:r>
              <w:t xml:space="preserve">Total number of </w:t>
            </w:r>
            <w:r w:rsidRPr="0000570E">
              <w:t xml:space="preserve">Adverse Events </w:t>
            </w:r>
            <w:r>
              <w:t>(AEs)</w:t>
            </w:r>
          </w:p>
        </w:tc>
        <w:tc>
          <w:tcPr>
            <w:tcW w:w="1275" w:type="dxa"/>
            <w:tcBorders>
              <w:bottom w:val="nil"/>
            </w:tcBorders>
          </w:tcPr>
          <w:p w:rsidR="00F65C5F" w:rsidRPr="0000570E" w:rsidRDefault="00F65C5F" w:rsidP="00F65C5F">
            <w:pPr>
              <w:jc w:val="center"/>
            </w:pPr>
            <w:r>
              <w:t>19</w:t>
            </w:r>
          </w:p>
        </w:tc>
        <w:tc>
          <w:tcPr>
            <w:tcW w:w="1276" w:type="dxa"/>
            <w:tcBorders>
              <w:bottom w:val="nil"/>
            </w:tcBorders>
          </w:tcPr>
          <w:p w:rsidR="00F65C5F" w:rsidRPr="003B1920" w:rsidRDefault="00F65C5F" w:rsidP="00F65C5F">
            <w:pPr>
              <w:jc w:val="center"/>
              <w:rPr>
                <w:highlight w:val="yellow"/>
              </w:rPr>
            </w:pPr>
            <w:r w:rsidRPr="009124AD">
              <w:t>34</w:t>
            </w:r>
          </w:p>
        </w:tc>
        <w:tc>
          <w:tcPr>
            <w:tcW w:w="1701" w:type="dxa"/>
            <w:tcBorders>
              <w:bottom w:val="nil"/>
            </w:tcBorders>
          </w:tcPr>
          <w:p w:rsidR="00F65C5F" w:rsidRPr="003B1920" w:rsidRDefault="00F65C5F" w:rsidP="00F65C5F">
            <w:pPr>
              <w:jc w:val="center"/>
              <w:rPr>
                <w:highlight w:val="yellow"/>
              </w:rPr>
            </w:pPr>
          </w:p>
        </w:tc>
        <w:tc>
          <w:tcPr>
            <w:tcW w:w="992" w:type="dxa"/>
            <w:tcBorders>
              <w:bottom w:val="nil"/>
            </w:tcBorders>
          </w:tcPr>
          <w:p w:rsidR="00F65C5F" w:rsidRPr="003B1920" w:rsidRDefault="00F65C5F" w:rsidP="00F65C5F">
            <w:pPr>
              <w:jc w:val="center"/>
              <w:rPr>
                <w:highlight w:val="yellow"/>
              </w:rPr>
            </w:pPr>
          </w:p>
        </w:tc>
      </w:tr>
      <w:tr w:rsidR="00F65C5F" w:rsidRPr="003B1920" w:rsidTr="00F65C5F">
        <w:tc>
          <w:tcPr>
            <w:tcW w:w="3823" w:type="dxa"/>
            <w:tcBorders>
              <w:top w:val="nil"/>
              <w:bottom w:val="nil"/>
            </w:tcBorders>
          </w:tcPr>
          <w:p w:rsidR="00F65C5F" w:rsidRPr="00510B35" w:rsidRDefault="00F65C5F" w:rsidP="000525EF">
            <w:pPr>
              <w:jc w:val="both"/>
            </w:pPr>
            <w:r w:rsidRPr="0000570E">
              <w:t xml:space="preserve">Patients with AE </w:t>
            </w:r>
          </w:p>
        </w:tc>
        <w:tc>
          <w:tcPr>
            <w:tcW w:w="1275" w:type="dxa"/>
            <w:tcBorders>
              <w:top w:val="nil"/>
              <w:bottom w:val="nil"/>
            </w:tcBorders>
          </w:tcPr>
          <w:p w:rsidR="00F65C5F" w:rsidRPr="0000570E" w:rsidRDefault="00F65C5F" w:rsidP="00F65C5F">
            <w:pPr>
              <w:jc w:val="center"/>
            </w:pPr>
            <w:r>
              <w:t>1</w:t>
            </w:r>
            <w:r w:rsidR="000525EF">
              <w:t>6 (16</w:t>
            </w:r>
            <w:r w:rsidR="0066012F">
              <w:t>%</w:t>
            </w:r>
            <w:r>
              <w:t>)</w:t>
            </w:r>
          </w:p>
        </w:tc>
        <w:tc>
          <w:tcPr>
            <w:tcW w:w="1276" w:type="dxa"/>
            <w:tcBorders>
              <w:top w:val="nil"/>
              <w:bottom w:val="nil"/>
            </w:tcBorders>
          </w:tcPr>
          <w:p w:rsidR="00F65C5F" w:rsidRPr="0000570E" w:rsidRDefault="000525EF" w:rsidP="00F65C5F">
            <w:pPr>
              <w:jc w:val="center"/>
            </w:pPr>
            <w:r>
              <w:t>23 (23</w:t>
            </w:r>
            <w:r w:rsidR="0066012F">
              <w:t>%</w:t>
            </w:r>
            <w:r w:rsidR="00F65C5F">
              <w:t>)</w:t>
            </w:r>
          </w:p>
        </w:tc>
        <w:tc>
          <w:tcPr>
            <w:tcW w:w="1701" w:type="dxa"/>
            <w:tcBorders>
              <w:top w:val="nil"/>
              <w:bottom w:val="nil"/>
            </w:tcBorders>
          </w:tcPr>
          <w:p w:rsidR="00F65C5F" w:rsidRPr="003B1920" w:rsidRDefault="00F65C5F" w:rsidP="000525EF">
            <w:pPr>
              <w:jc w:val="center"/>
              <w:rPr>
                <w:highlight w:val="yellow"/>
              </w:rPr>
            </w:pPr>
            <w:r>
              <w:t>0</w:t>
            </w:r>
            <w:r w:rsidR="000525EF">
              <w:rPr>
                <w:rFonts w:cstheme="minorHAnsi"/>
              </w:rPr>
              <w:t>·</w:t>
            </w:r>
            <w:r>
              <w:t>7 (0</w:t>
            </w:r>
            <w:r w:rsidR="000525EF">
              <w:rPr>
                <w:rFonts w:cstheme="minorHAnsi"/>
              </w:rPr>
              <w:t>·</w:t>
            </w:r>
            <w:r>
              <w:t>4 to 1</w:t>
            </w:r>
            <w:r w:rsidR="000525EF">
              <w:rPr>
                <w:rFonts w:cstheme="minorHAnsi"/>
              </w:rPr>
              <w:t>·</w:t>
            </w:r>
            <w:r>
              <w:t>3)</w:t>
            </w:r>
          </w:p>
        </w:tc>
        <w:tc>
          <w:tcPr>
            <w:tcW w:w="992" w:type="dxa"/>
            <w:tcBorders>
              <w:top w:val="nil"/>
              <w:bottom w:val="nil"/>
            </w:tcBorders>
          </w:tcPr>
          <w:p w:rsidR="00F65C5F" w:rsidRPr="003B1920" w:rsidRDefault="00F65C5F" w:rsidP="0066012F">
            <w:pPr>
              <w:jc w:val="center"/>
              <w:rPr>
                <w:highlight w:val="yellow"/>
              </w:rPr>
            </w:pPr>
            <w:r w:rsidRPr="00D2208C">
              <w:t>0</w:t>
            </w:r>
            <w:r w:rsidR="0066012F">
              <w:rPr>
                <w:rFonts w:cstheme="minorHAnsi"/>
              </w:rPr>
              <w:t>·</w:t>
            </w:r>
            <w:r w:rsidRPr="00D2208C">
              <w:t>24</w:t>
            </w:r>
          </w:p>
        </w:tc>
      </w:tr>
      <w:tr w:rsidR="00F65C5F" w:rsidRPr="003B1920" w:rsidTr="00F65C5F">
        <w:tc>
          <w:tcPr>
            <w:tcW w:w="3823" w:type="dxa"/>
            <w:tcBorders>
              <w:top w:val="nil"/>
              <w:bottom w:val="nil"/>
            </w:tcBorders>
          </w:tcPr>
          <w:p w:rsidR="00F65C5F" w:rsidRPr="00510B35" w:rsidRDefault="00862264" w:rsidP="000525EF">
            <w:r>
              <w:t>ICU or HDU admission</w:t>
            </w:r>
          </w:p>
        </w:tc>
        <w:tc>
          <w:tcPr>
            <w:tcW w:w="1275" w:type="dxa"/>
            <w:tcBorders>
              <w:top w:val="nil"/>
              <w:bottom w:val="nil"/>
            </w:tcBorders>
          </w:tcPr>
          <w:p w:rsidR="00F65C5F" w:rsidRPr="00AA728F" w:rsidRDefault="00F65C5F" w:rsidP="00F65C5F">
            <w:pPr>
              <w:jc w:val="center"/>
              <w:rPr>
                <w:highlight w:val="yellow"/>
              </w:rPr>
            </w:pPr>
            <w:r w:rsidRPr="00AA728F">
              <w:t>1</w:t>
            </w:r>
            <w:r w:rsidR="000525EF" w:rsidRPr="00AA728F">
              <w:t xml:space="preserve"> (1</w:t>
            </w:r>
            <w:r w:rsidRPr="00AA728F">
              <w:t>0</w:t>
            </w:r>
            <w:r w:rsidR="0066012F" w:rsidRPr="00AA728F">
              <w:t>%</w:t>
            </w:r>
            <w:r w:rsidRPr="00AA728F">
              <w:t>)</w:t>
            </w:r>
            <w:r w:rsidR="00862264" w:rsidRPr="00AA728F">
              <w:t>*</w:t>
            </w:r>
          </w:p>
        </w:tc>
        <w:tc>
          <w:tcPr>
            <w:tcW w:w="1276" w:type="dxa"/>
            <w:tcBorders>
              <w:top w:val="nil"/>
              <w:bottom w:val="nil"/>
            </w:tcBorders>
          </w:tcPr>
          <w:p w:rsidR="00F65C5F" w:rsidRPr="00AA728F" w:rsidRDefault="000525EF" w:rsidP="00F65C5F">
            <w:pPr>
              <w:jc w:val="center"/>
            </w:pPr>
            <w:r w:rsidRPr="00AA728F">
              <w:t>6 (6</w:t>
            </w:r>
            <w:r w:rsidR="0066012F" w:rsidRPr="00AA728F">
              <w:t>%</w:t>
            </w:r>
            <w:r w:rsidR="00F65C5F" w:rsidRPr="00AA728F">
              <w:t>)</w:t>
            </w:r>
            <w:r w:rsidR="001C5815" w:rsidRPr="00AA728F">
              <w:rPr>
                <w:bCs/>
              </w:rPr>
              <w:t>†</w:t>
            </w:r>
          </w:p>
        </w:tc>
        <w:tc>
          <w:tcPr>
            <w:tcW w:w="1701" w:type="dxa"/>
            <w:tcBorders>
              <w:top w:val="nil"/>
              <w:bottom w:val="nil"/>
            </w:tcBorders>
          </w:tcPr>
          <w:p w:rsidR="00F65C5F" w:rsidRPr="003B1920" w:rsidRDefault="00F65C5F" w:rsidP="000525EF">
            <w:pPr>
              <w:jc w:val="center"/>
              <w:rPr>
                <w:highlight w:val="yellow"/>
              </w:rPr>
            </w:pPr>
            <w:r>
              <w:t>0</w:t>
            </w:r>
            <w:r w:rsidR="000525EF">
              <w:rPr>
                <w:rFonts w:cstheme="minorHAnsi"/>
              </w:rPr>
              <w:t>·</w:t>
            </w:r>
            <w:r>
              <w:t>2 (0</w:t>
            </w:r>
            <w:r w:rsidR="000525EF">
              <w:rPr>
                <w:rFonts w:cstheme="minorHAnsi"/>
              </w:rPr>
              <w:t>·</w:t>
            </w:r>
            <w:r>
              <w:t>0 to 1</w:t>
            </w:r>
            <w:r w:rsidR="000525EF">
              <w:rPr>
                <w:rFonts w:cstheme="minorHAnsi"/>
              </w:rPr>
              <w:t>·</w:t>
            </w:r>
            <w:r>
              <w:t>4)</w:t>
            </w:r>
          </w:p>
        </w:tc>
        <w:tc>
          <w:tcPr>
            <w:tcW w:w="992" w:type="dxa"/>
            <w:tcBorders>
              <w:top w:val="nil"/>
              <w:bottom w:val="nil"/>
            </w:tcBorders>
          </w:tcPr>
          <w:p w:rsidR="00F65C5F" w:rsidRPr="003B1920" w:rsidRDefault="004E15EB" w:rsidP="0066012F">
            <w:pPr>
              <w:jc w:val="center"/>
              <w:rPr>
                <w:highlight w:val="yellow"/>
              </w:rPr>
            </w:pPr>
            <w:r>
              <w:t>0</w:t>
            </w:r>
            <w:r w:rsidR="0066012F">
              <w:rPr>
                <w:rFonts w:cstheme="minorHAnsi"/>
              </w:rPr>
              <w:t>·</w:t>
            </w:r>
            <w:r>
              <w:t>058</w:t>
            </w:r>
          </w:p>
        </w:tc>
      </w:tr>
      <w:tr w:rsidR="00F65C5F" w:rsidRPr="0000570E" w:rsidTr="00F65C5F">
        <w:tc>
          <w:tcPr>
            <w:tcW w:w="3823" w:type="dxa"/>
            <w:tcBorders>
              <w:top w:val="nil"/>
              <w:bottom w:val="nil"/>
            </w:tcBorders>
          </w:tcPr>
          <w:p w:rsidR="00F65C5F" w:rsidRPr="0000570E" w:rsidRDefault="00F65C5F" w:rsidP="00F65C5F">
            <w:r w:rsidRPr="0000570E">
              <w:t xml:space="preserve">Death </w:t>
            </w:r>
          </w:p>
          <w:p w:rsidR="00F65C5F" w:rsidRPr="0000570E" w:rsidRDefault="00F65C5F" w:rsidP="00F65C5F">
            <w:r w:rsidRPr="0000570E">
              <w:t xml:space="preserve">   In hospital</w:t>
            </w:r>
          </w:p>
          <w:p w:rsidR="00F65C5F" w:rsidRPr="0000570E" w:rsidRDefault="00F65C5F" w:rsidP="00F65C5F">
            <w:r w:rsidRPr="0000570E">
              <w:t xml:space="preserve">   Within 30 days</w:t>
            </w:r>
          </w:p>
        </w:tc>
        <w:tc>
          <w:tcPr>
            <w:tcW w:w="1275" w:type="dxa"/>
            <w:tcBorders>
              <w:top w:val="nil"/>
              <w:bottom w:val="nil"/>
            </w:tcBorders>
          </w:tcPr>
          <w:p w:rsidR="00F65C5F" w:rsidRPr="00AA728F" w:rsidRDefault="00F65C5F" w:rsidP="00F65C5F">
            <w:pPr>
              <w:jc w:val="center"/>
            </w:pPr>
          </w:p>
          <w:p w:rsidR="00F65C5F" w:rsidRPr="00AA728F" w:rsidRDefault="00F65C5F" w:rsidP="00F65C5F">
            <w:pPr>
              <w:jc w:val="center"/>
            </w:pPr>
            <w:r w:rsidRPr="00AA728F">
              <w:t>0 (0</w:t>
            </w:r>
            <w:r w:rsidR="0066012F" w:rsidRPr="00AA728F">
              <w:t>%</w:t>
            </w:r>
            <w:r w:rsidRPr="00AA728F">
              <w:t>)</w:t>
            </w:r>
          </w:p>
          <w:p w:rsidR="00F65C5F" w:rsidRPr="00AA728F" w:rsidRDefault="00F65C5F" w:rsidP="00F65C5F">
            <w:pPr>
              <w:jc w:val="center"/>
            </w:pPr>
            <w:r w:rsidRPr="00AA728F">
              <w:t>0 (0</w:t>
            </w:r>
            <w:r w:rsidR="0066012F" w:rsidRPr="00AA728F">
              <w:t>%</w:t>
            </w:r>
            <w:r w:rsidRPr="00AA728F">
              <w:t>)</w:t>
            </w:r>
          </w:p>
        </w:tc>
        <w:tc>
          <w:tcPr>
            <w:tcW w:w="1276" w:type="dxa"/>
            <w:tcBorders>
              <w:top w:val="nil"/>
              <w:bottom w:val="nil"/>
            </w:tcBorders>
          </w:tcPr>
          <w:p w:rsidR="00F65C5F" w:rsidRPr="00AA728F" w:rsidRDefault="00F65C5F" w:rsidP="00F65C5F">
            <w:pPr>
              <w:jc w:val="center"/>
            </w:pPr>
          </w:p>
          <w:p w:rsidR="00F65C5F" w:rsidRPr="00AA728F" w:rsidRDefault="00F65C5F" w:rsidP="00F65C5F">
            <w:pPr>
              <w:jc w:val="center"/>
            </w:pPr>
            <w:r w:rsidRPr="00AA728F">
              <w:t>2 (2</w:t>
            </w:r>
            <w:r w:rsidR="0066012F" w:rsidRPr="00AA728F">
              <w:t>%</w:t>
            </w:r>
            <w:r w:rsidRPr="00AA728F">
              <w:t>)</w:t>
            </w:r>
            <w:r w:rsidR="001C5815" w:rsidRPr="00AA728F">
              <w:rPr>
                <w:rFonts w:cstheme="minorHAnsi"/>
                <w:bCs/>
              </w:rPr>
              <w:t>‡</w:t>
            </w:r>
          </w:p>
          <w:p w:rsidR="00F65C5F" w:rsidRPr="00AA728F" w:rsidRDefault="000525EF" w:rsidP="00F65C5F">
            <w:pPr>
              <w:jc w:val="center"/>
            </w:pPr>
            <w:r w:rsidRPr="00AA728F">
              <w:t>2 (2</w:t>
            </w:r>
            <w:r w:rsidR="0066012F" w:rsidRPr="00AA728F">
              <w:t>%</w:t>
            </w:r>
            <w:r w:rsidR="00F65C5F" w:rsidRPr="00AA728F">
              <w:t>)</w:t>
            </w:r>
            <w:r w:rsidR="001C5815" w:rsidRPr="00AA728F">
              <w:rPr>
                <w:rFonts w:cstheme="minorHAnsi"/>
                <w:bCs/>
              </w:rPr>
              <w:t>‡</w:t>
            </w:r>
          </w:p>
        </w:tc>
        <w:tc>
          <w:tcPr>
            <w:tcW w:w="1701" w:type="dxa"/>
            <w:tcBorders>
              <w:top w:val="nil"/>
              <w:bottom w:val="nil"/>
            </w:tcBorders>
          </w:tcPr>
          <w:p w:rsidR="00F65C5F" w:rsidRPr="0000570E" w:rsidRDefault="00F65C5F" w:rsidP="00F65C5F">
            <w:pPr>
              <w:jc w:val="center"/>
            </w:pPr>
          </w:p>
          <w:p w:rsidR="00F65C5F" w:rsidRDefault="00F65C5F" w:rsidP="00F65C5F">
            <w:pPr>
              <w:jc w:val="center"/>
            </w:pPr>
            <w:r w:rsidRPr="0000570E">
              <w:t>NA</w:t>
            </w:r>
          </w:p>
          <w:p w:rsidR="00F65C5F" w:rsidRPr="0000570E" w:rsidRDefault="00F65C5F" w:rsidP="00F65C5F">
            <w:pPr>
              <w:jc w:val="center"/>
            </w:pPr>
            <w:r>
              <w:t>NA</w:t>
            </w:r>
          </w:p>
        </w:tc>
        <w:tc>
          <w:tcPr>
            <w:tcW w:w="992" w:type="dxa"/>
            <w:tcBorders>
              <w:top w:val="nil"/>
              <w:bottom w:val="nil"/>
            </w:tcBorders>
          </w:tcPr>
          <w:p w:rsidR="00F65C5F" w:rsidRPr="0000570E" w:rsidRDefault="00F65C5F" w:rsidP="00F65C5F">
            <w:pPr>
              <w:jc w:val="center"/>
            </w:pPr>
          </w:p>
          <w:p w:rsidR="00F65C5F" w:rsidRDefault="00F65C5F" w:rsidP="00F65C5F">
            <w:pPr>
              <w:jc w:val="center"/>
            </w:pPr>
            <w:r>
              <w:t>0</w:t>
            </w:r>
            <w:r w:rsidR="0066012F">
              <w:rPr>
                <w:rFonts w:cstheme="minorHAnsi"/>
              </w:rPr>
              <w:t>·</w:t>
            </w:r>
            <w:r>
              <w:t>16</w:t>
            </w:r>
          </w:p>
          <w:p w:rsidR="00F65C5F" w:rsidRPr="0000570E" w:rsidRDefault="00F65C5F" w:rsidP="0066012F">
            <w:pPr>
              <w:jc w:val="center"/>
            </w:pPr>
            <w:r>
              <w:t>0</w:t>
            </w:r>
            <w:r w:rsidR="0066012F">
              <w:rPr>
                <w:rFonts w:cstheme="minorHAnsi"/>
              </w:rPr>
              <w:t>·</w:t>
            </w:r>
            <w:r>
              <w:t>16</w:t>
            </w:r>
          </w:p>
        </w:tc>
      </w:tr>
      <w:tr w:rsidR="00F65C5F" w:rsidRPr="003B1920" w:rsidTr="00F65C5F">
        <w:tc>
          <w:tcPr>
            <w:tcW w:w="3823" w:type="dxa"/>
            <w:tcBorders>
              <w:top w:val="nil"/>
              <w:bottom w:val="nil"/>
            </w:tcBorders>
          </w:tcPr>
          <w:p w:rsidR="00F65C5F" w:rsidRPr="00510B35" w:rsidRDefault="00F65C5F" w:rsidP="000525EF">
            <w:r>
              <w:t xml:space="preserve">Readmission within 30 days </w:t>
            </w:r>
          </w:p>
        </w:tc>
        <w:tc>
          <w:tcPr>
            <w:tcW w:w="1275" w:type="dxa"/>
            <w:tcBorders>
              <w:top w:val="nil"/>
              <w:bottom w:val="nil"/>
            </w:tcBorders>
          </w:tcPr>
          <w:p w:rsidR="00F65C5F" w:rsidRPr="0000570E" w:rsidRDefault="00F65C5F" w:rsidP="00F65C5F">
            <w:pPr>
              <w:jc w:val="center"/>
            </w:pPr>
            <w:r w:rsidRPr="0000570E">
              <w:t>6 (6</w:t>
            </w:r>
            <w:r w:rsidR="0066012F">
              <w:t>%</w:t>
            </w:r>
            <w:r w:rsidRPr="0000570E">
              <w:t>)</w:t>
            </w:r>
          </w:p>
        </w:tc>
        <w:tc>
          <w:tcPr>
            <w:tcW w:w="1276" w:type="dxa"/>
            <w:tcBorders>
              <w:top w:val="nil"/>
              <w:bottom w:val="nil"/>
            </w:tcBorders>
          </w:tcPr>
          <w:p w:rsidR="00F65C5F" w:rsidRPr="0000570E" w:rsidRDefault="00F65C5F" w:rsidP="00F65C5F">
            <w:pPr>
              <w:jc w:val="center"/>
            </w:pPr>
            <w:r w:rsidRPr="0000570E">
              <w:t>5</w:t>
            </w:r>
            <w:r w:rsidR="000525EF">
              <w:t xml:space="preserve"> (5</w:t>
            </w:r>
            <w:r w:rsidR="0066012F">
              <w:t>%</w:t>
            </w:r>
            <w:r w:rsidRPr="0000570E">
              <w:t>)</w:t>
            </w:r>
          </w:p>
        </w:tc>
        <w:tc>
          <w:tcPr>
            <w:tcW w:w="1701" w:type="dxa"/>
            <w:tcBorders>
              <w:top w:val="nil"/>
              <w:bottom w:val="nil"/>
            </w:tcBorders>
          </w:tcPr>
          <w:p w:rsidR="00F65C5F" w:rsidRPr="003B1920" w:rsidRDefault="00F65C5F" w:rsidP="000525EF">
            <w:pPr>
              <w:jc w:val="center"/>
              <w:rPr>
                <w:highlight w:val="yellow"/>
              </w:rPr>
            </w:pPr>
            <w:r>
              <w:t>1</w:t>
            </w:r>
            <w:r w:rsidR="000525EF">
              <w:rPr>
                <w:rFonts w:cstheme="minorHAnsi"/>
              </w:rPr>
              <w:t>·</w:t>
            </w:r>
            <w:r>
              <w:t>2 (0</w:t>
            </w:r>
            <w:r w:rsidR="000525EF">
              <w:rPr>
                <w:rFonts w:cstheme="minorHAnsi"/>
              </w:rPr>
              <w:t>·</w:t>
            </w:r>
            <w:r>
              <w:t>4 to 3</w:t>
            </w:r>
            <w:r w:rsidR="000525EF">
              <w:rPr>
                <w:rFonts w:cstheme="minorHAnsi"/>
              </w:rPr>
              <w:t>·</w:t>
            </w:r>
            <w:r>
              <w:t>8)</w:t>
            </w:r>
          </w:p>
        </w:tc>
        <w:tc>
          <w:tcPr>
            <w:tcW w:w="992" w:type="dxa"/>
            <w:tcBorders>
              <w:top w:val="nil"/>
              <w:bottom w:val="nil"/>
            </w:tcBorders>
          </w:tcPr>
          <w:p w:rsidR="00F65C5F" w:rsidRPr="003B1920" w:rsidRDefault="00F65C5F" w:rsidP="0066012F">
            <w:pPr>
              <w:jc w:val="center"/>
              <w:rPr>
                <w:highlight w:val="yellow"/>
              </w:rPr>
            </w:pPr>
            <w:r>
              <w:t>0</w:t>
            </w:r>
            <w:r w:rsidR="0066012F">
              <w:rPr>
                <w:rFonts w:cstheme="minorHAnsi"/>
              </w:rPr>
              <w:t>·</w:t>
            </w:r>
            <w:r>
              <w:t>76</w:t>
            </w:r>
          </w:p>
        </w:tc>
      </w:tr>
      <w:tr w:rsidR="00F65C5F" w:rsidRPr="0000570E" w:rsidTr="00F65C5F">
        <w:tc>
          <w:tcPr>
            <w:tcW w:w="3823" w:type="dxa"/>
            <w:tcBorders>
              <w:top w:val="nil"/>
              <w:bottom w:val="nil"/>
            </w:tcBorders>
          </w:tcPr>
          <w:p w:rsidR="00F65C5F" w:rsidRPr="00510B35" w:rsidRDefault="00F65C5F" w:rsidP="000525EF">
            <w:r w:rsidRPr="0000570E">
              <w:t>Representation</w:t>
            </w:r>
            <w:r>
              <w:t xml:space="preserve"> to hospital but without admission, </w:t>
            </w:r>
            <w:r w:rsidRPr="0000570E">
              <w:t xml:space="preserve">within 30 days </w:t>
            </w:r>
          </w:p>
        </w:tc>
        <w:tc>
          <w:tcPr>
            <w:tcW w:w="1275" w:type="dxa"/>
            <w:tcBorders>
              <w:top w:val="nil"/>
              <w:bottom w:val="nil"/>
            </w:tcBorders>
          </w:tcPr>
          <w:p w:rsidR="00F65C5F" w:rsidRPr="0000570E" w:rsidRDefault="00F65C5F" w:rsidP="00F65C5F">
            <w:pPr>
              <w:jc w:val="center"/>
            </w:pPr>
            <w:r>
              <w:t>2</w:t>
            </w:r>
            <w:r w:rsidR="000525EF">
              <w:t xml:space="preserve"> (2</w:t>
            </w:r>
            <w:r w:rsidR="0066012F">
              <w:t>%</w:t>
            </w:r>
            <w:r>
              <w:t>)</w:t>
            </w:r>
          </w:p>
        </w:tc>
        <w:tc>
          <w:tcPr>
            <w:tcW w:w="1276" w:type="dxa"/>
            <w:tcBorders>
              <w:top w:val="nil"/>
              <w:bottom w:val="nil"/>
            </w:tcBorders>
          </w:tcPr>
          <w:p w:rsidR="00F65C5F" w:rsidRPr="0000570E" w:rsidRDefault="0066012F" w:rsidP="00F65C5F">
            <w:pPr>
              <w:jc w:val="center"/>
            </w:pPr>
            <w:r>
              <w:t>1 (1%</w:t>
            </w:r>
            <w:r w:rsidR="00F65C5F">
              <w:t>)</w:t>
            </w:r>
          </w:p>
        </w:tc>
        <w:tc>
          <w:tcPr>
            <w:tcW w:w="1701" w:type="dxa"/>
            <w:tcBorders>
              <w:top w:val="nil"/>
              <w:bottom w:val="nil"/>
            </w:tcBorders>
          </w:tcPr>
          <w:p w:rsidR="00F65C5F" w:rsidRPr="003B1920" w:rsidRDefault="00F65C5F" w:rsidP="000525EF">
            <w:pPr>
              <w:jc w:val="center"/>
              <w:rPr>
                <w:highlight w:val="yellow"/>
              </w:rPr>
            </w:pPr>
            <w:r>
              <w:t>2</w:t>
            </w:r>
            <w:r w:rsidR="000525EF">
              <w:rPr>
                <w:rFonts w:cstheme="minorHAnsi"/>
              </w:rPr>
              <w:t>·</w:t>
            </w:r>
            <w:r>
              <w:t>0 (0</w:t>
            </w:r>
            <w:r w:rsidR="000525EF">
              <w:rPr>
                <w:rFonts w:cstheme="minorHAnsi"/>
              </w:rPr>
              <w:t>·</w:t>
            </w:r>
            <w:r>
              <w:t>2 to 21</w:t>
            </w:r>
            <w:r w:rsidR="000525EF">
              <w:rPr>
                <w:rFonts w:cstheme="minorHAnsi"/>
              </w:rPr>
              <w:t>·</w:t>
            </w:r>
            <w:r>
              <w:t>7)</w:t>
            </w:r>
          </w:p>
        </w:tc>
        <w:tc>
          <w:tcPr>
            <w:tcW w:w="992" w:type="dxa"/>
            <w:tcBorders>
              <w:top w:val="nil"/>
              <w:bottom w:val="nil"/>
            </w:tcBorders>
          </w:tcPr>
          <w:p w:rsidR="00F65C5F" w:rsidRPr="0000570E" w:rsidRDefault="00F65C5F" w:rsidP="0066012F">
            <w:pPr>
              <w:jc w:val="center"/>
            </w:pPr>
            <w:r>
              <w:t>0</w:t>
            </w:r>
            <w:r w:rsidR="0066012F">
              <w:rPr>
                <w:rFonts w:cstheme="minorHAnsi"/>
              </w:rPr>
              <w:t>·</w:t>
            </w:r>
            <w:r>
              <w:t>56</w:t>
            </w:r>
          </w:p>
        </w:tc>
      </w:tr>
      <w:tr w:rsidR="00A56829" w:rsidRPr="00A56829" w:rsidTr="00F65C5F">
        <w:tc>
          <w:tcPr>
            <w:tcW w:w="3823" w:type="dxa"/>
            <w:tcBorders>
              <w:top w:val="nil"/>
            </w:tcBorders>
          </w:tcPr>
          <w:p w:rsidR="00F65C5F" w:rsidRPr="00A56829" w:rsidRDefault="00F65C5F" w:rsidP="000525EF">
            <w:r w:rsidRPr="00A56829">
              <w:t>Prolon</w:t>
            </w:r>
            <w:r w:rsidR="000525EF" w:rsidRPr="00A56829">
              <w:t xml:space="preserve">ged hospitalisation (&gt;7 days) </w:t>
            </w:r>
          </w:p>
        </w:tc>
        <w:tc>
          <w:tcPr>
            <w:tcW w:w="1275" w:type="dxa"/>
            <w:tcBorders>
              <w:top w:val="nil"/>
            </w:tcBorders>
          </w:tcPr>
          <w:p w:rsidR="00F65C5F" w:rsidRPr="00A56829" w:rsidRDefault="00F65C5F" w:rsidP="00F65C5F">
            <w:pPr>
              <w:jc w:val="center"/>
            </w:pPr>
            <w:r w:rsidRPr="00A56829">
              <w:t>10 (10</w:t>
            </w:r>
            <w:r w:rsidR="0066012F" w:rsidRPr="00A56829">
              <w:t>%</w:t>
            </w:r>
            <w:r w:rsidRPr="00A56829">
              <w:t>)</w:t>
            </w:r>
          </w:p>
        </w:tc>
        <w:tc>
          <w:tcPr>
            <w:tcW w:w="1276" w:type="dxa"/>
            <w:tcBorders>
              <w:top w:val="nil"/>
            </w:tcBorders>
          </w:tcPr>
          <w:p w:rsidR="00F65C5F" w:rsidRPr="00A56829" w:rsidRDefault="000525EF" w:rsidP="00F65C5F">
            <w:pPr>
              <w:jc w:val="center"/>
            </w:pPr>
            <w:r w:rsidRPr="00A56829">
              <w:t>20 (20</w:t>
            </w:r>
            <w:r w:rsidR="0066012F" w:rsidRPr="00A56829">
              <w:t>%</w:t>
            </w:r>
            <w:r w:rsidR="00F65C5F" w:rsidRPr="00A56829">
              <w:t>)</w:t>
            </w:r>
          </w:p>
        </w:tc>
        <w:tc>
          <w:tcPr>
            <w:tcW w:w="1701" w:type="dxa"/>
            <w:tcBorders>
              <w:top w:val="nil"/>
            </w:tcBorders>
          </w:tcPr>
          <w:p w:rsidR="00F65C5F" w:rsidRPr="00A56829" w:rsidRDefault="00F65C5F" w:rsidP="000525EF">
            <w:pPr>
              <w:jc w:val="center"/>
              <w:rPr>
                <w:highlight w:val="yellow"/>
              </w:rPr>
            </w:pPr>
            <w:r w:rsidRPr="00A56829">
              <w:t>0</w:t>
            </w:r>
            <w:r w:rsidR="000525EF" w:rsidRPr="00A56829">
              <w:rPr>
                <w:rFonts w:cstheme="minorHAnsi"/>
              </w:rPr>
              <w:t>·</w:t>
            </w:r>
            <w:r w:rsidRPr="00A56829">
              <w:t>5 (0</w:t>
            </w:r>
            <w:r w:rsidR="000525EF" w:rsidRPr="00A56829">
              <w:rPr>
                <w:rFonts w:cstheme="minorHAnsi"/>
              </w:rPr>
              <w:t>·</w:t>
            </w:r>
            <w:r w:rsidRPr="00A56829">
              <w:t>3 to 1</w:t>
            </w:r>
            <w:r w:rsidR="000525EF" w:rsidRPr="00A56829">
              <w:rPr>
                <w:rFonts w:cstheme="minorHAnsi"/>
              </w:rPr>
              <w:t>·</w:t>
            </w:r>
            <w:r w:rsidRPr="00A56829">
              <w:t>0)</w:t>
            </w:r>
          </w:p>
        </w:tc>
        <w:tc>
          <w:tcPr>
            <w:tcW w:w="992" w:type="dxa"/>
            <w:tcBorders>
              <w:top w:val="nil"/>
            </w:tcBorders>
          </w:tcPr>
          <w:p w:rsidR="00F65C5F" w:rsidRPr="00A56829" w:rsidRDefault="00F65C5F" w:rsidP="00F65C5F">
            <w:pPr>
              <w:jc w:val="center"/>
            </w:pPr>
            <w:r w:rsidRPr="00A56829">
              <w:t>0</w:t>
            </w:r>
            <w:r w:rsidR="0066012F" w:rsidRPr="00A56829">
              <w:rPr>
                <w:rFonts w:cstheme="minorHAnsi"/>
              </w:rPr>
              <w:t>·</w:t>
            </w:r>
            <w:r w:rsidRPr="00A56829">
              <w:t>05</w:t>
            </w:r>
            <w:r w:rsidR="004E15EB" w:rsidRPr="00A56829">
              <w:t>5</w:t>
            </w:r>
          </w:p>
        </w:tc>
      </w:tr>
    </w:tbl>
    <w:p w:rsidR="00F65C5F" w:rsidRPr="00A56829" w:rsidRDefault="000525EF" w:rsidP="001C5815">
      <w:pPr>
        <w:spacing w:after="0" w:line="240" w:lineRule="auto"/>
        <w:jc w:val="both"/>
        <w:rPr>
          <w:bCs/>
        </w:rPr>
      </w:pPr>
      <w:r w:rsidRPr="00A56829">
        <w:rPr>
          <w:bCs/>
        </w:rPr>
        <w:t>Data are n (%) unless stated otherwise. ICU=intensive care unit, HDU=</w:t>
      </w:r>
      <w:r w:rsidR="00862264" w:rsidRPr="00A56829">
        <w:rPr>
          <w:bCs/>
        </w:rPr>
        <w:t>high dependency unit. *Influenza A H3</w:t>
      </w:r>
      <w:r w:rsidR="001C5815" w:rsidRPr="00A56829">
        <w:rPr>
          <w:bCs/>
        </w:rPr>
        <w:t>. †</w:t>
      </w:r>
      <w:r w:rsidR="00862264" w:rsidRPr="00A56829">
        <w:rPr>
          <w:bCs/>
        </w:rPr>
        <w:t>Influenza A H3</w:t>
      </w:r>
      <w:r w:rsidR="001C5815" w:rsidRPr="00A56829">
        <w:rPr>
          <w:bCs/>
        </w:rPr>
        <w:t xml:space="preserve"> x</w:t>
      </w:r>
      <w:r w:rsidR="00862264" w:rsidRPr="00A56829">
        <w:rPr>
          <w:bCs/>
        </w:rPr>
        <w:t xml:space="preserve">2, Influenza A </w:t>
      </w:r>
      <w:r w:rsidR="001C5815" w:rsidRPr="00A56829">
        <w:rPr>
          <w:bCs/>
        </w:rPr>
        <w:t>H1 x</w:t>
      </w:r>
      <w:r w:rsidR="00862264" w:rsidRPr="00A56829">
        <w:rPr>
          <w:bCs/>
        </w:rPr>
        <w:t xml:space="preserve">1, </w:t>
      </w:r>
      <w:r w:rsidR="001C5815" w:rsidRPr="00A56829">
        <w:rPr>
          <w:bCs/>
        </w:rPr>
        <w:t xml:space="preserve">Influenza A untypable x1, </w:t>
      </w:r>
      <w:r w:rsidR="00862264" w:rsidRPr="00A56829">
        <w:rPr>
          <w:bCs/>
        </w:rPr>
        <w:t xml:space="preserve">Influenza </w:t>
      </w:r>
      <w:r w:rsidR="001C5815" w:rsidRPr="00A56829">
        <w:rPr>
          <w:bCs/>
        </w:rPr>
        <w:t>B x2</w:t>
      </w:r>
      <w:r w:rsidR="00862264" w:rsidRPr="00A56829">
        <w:rPr>
          <w:bCs/>
        </w:rPr>
        <w:t xml:space="preserve">. </w:t>
      </w:r>
      <w:r w:rsidR="001C5815" w:rsidRPr="00A56829">
        <w:rPr>
          <w:rFonts w:cstheme="minorHAnsi"/>
          <w:bCs/>
        </w:rPr>
        <w:t xml:space="preserve">‡Influenza B x1, Influenza A untypable x1. </w:t>
      </w:r>
    </w:p>
    <w:p w:rsidR="001C5815" w:rsidRDefault="001C5815" w:rsidP="0003582C">
      <w:pPr>
        <w:spacing w:after="0" w:line="480" w:lineRule="auto"/>
        <w:jc w:val="both"/>
        <w:rPr>
          <w:bCs/>
        </w:rPr>
      </w:pPr>
    </w:p>
    <w:p w:rsidR="001C5815" w:rsidRPr="00C1688E" w:rsidRDefault="001C5815" w:rsidP="0003582C">
      <w:pPr>
        <w:spacing w:after="0" w:line="480" w:lineRule="auto"/>
        <w:jc w:val="both"/>
        <w:rPr>
          <w:bCs/>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65C5F" w:rsidRDefault="00F65C5F" w:rsidP="0003582C">
      <w:pPr>
        <w:spacing w:after="0" w:line="480" w:lineRule="auto"/>
        <w:jc w:val="both"/>
        <w:rPr>
          <w:bCs/>
          <w:sz w:val="24"/>
          <w:szCs w:val="24"/>
        </w:rPr>
      </w:pPr>
    </w:p>
    <w:p w:rsidR="00F857CC" w:rsidRPr="00D03127" w:rsidRDefault="00B41D0A" w:rsidP="0003582C">
      <w:pPr>
        <w:spacing w:after="0" w:line="480" w:lineRule="auto"/>
        <w:jc w:val="both"/>
        <w:rPr>
          <w:b/>
          <w:bCs/>
          <w:sz w:val="32"/>
          <w:szCs w:val="32"/>
        </w:rPr>
      </w:pPr>
      <w:r w:rsidRPr="00D03127">
        <w:rPr>
          <w:b/>
          <w:bCs/>
          <w:sz w:val="32"/>
          <w:szCs w:val="32"/>
        </w:rPr>
        <w:lastRenderedPageBreak/>
        <w:t>Figure legends</w:t>
      </w:r>
    </w:p>
    <w:p w:rsidR="008842AE" w:rsidRPr="007040D8" w:rsidRDefault="00F334FF" w:rsidP="0003582C">
      <w:pPr>
        <w:spacing w:after="0" w:line="480" w:lineRule="auto"/>
        <w:jc w:val="both"/>
        <w:rPr>
          <w:b/>
          <w:bCs/>
        </w:rPr>
      </w:pPr>
      <w:r w:rsidRPr="007040D8">
        <w:rPr>
          <w:b/>
          <w:bCs/>
          <w:i/>
          <w:iCs/>
        </w:rPr>
        <w:t>Figure 1</w:t>
      </w:r>
      <w:r w:rsidRPr="007040D8">
        <w:rPr>
          <w:b/>
          <w:bCs/>
        </w:rPr>
        <w:t>:</w:t>
      </w:r>
      <w:r w:rsidR="00B41D0A" w:rsidRPr="007040D8">
        <w:rPr>
          <w:b/>
          <w:bCs/>
        </w:rPr>
        <w:t xml:space="preserve"> Trial profile</w:t>
      </w:r>
    </w:p>
    <w:p w:rsidR="00F66C82" w:rsidRPr="007040D8" w:rsidRDefault="00F66C82" w:rsidP="0003582C">
      <w:pPr>
        <w:spacing w:after="0" w:line="480" w:lineRule="auto"/>
        <w:jc w:val="both"/>
        <w:rPr>
          <w:b/>
          <w:bCs/>
        </w:rPr>
      </w:pPr>
      <w:r w:rsidRPr="007040D8">
        <w:rPr>
          <w:b/>
          <w:bCs/>
          <w:i/>
        </w:rPr>
        <w:t>Figure 2</w:t>
      </w:r>
      <w:r w:rsidRPr="007040D8">
        <w:rPr>
          <w:b/>
          <w:bCs/>
        </w:rPr>
        <w:t xml:space="preserve">: </w:t>
      </w:r>
      <w:r w:rsidR="009E53A8">
        <w:rPr>
          <w:b/>
          <w:bCs/>
        </w:rPr>
        <w:t>Time-to-</w:t>
      </w:r>
      <w:r w:rsidR="00A94701">
        <w:rPr>
          <w:b/>
          <w:bCs/>
        </w:rPr>
        <w:t>event curv</w:t>
      </w:r>
      <w:r w:rsidR="009E53A8">
        <w:rPr>
          <w:b/>
          <w:bCs/>
        </w:rPr>
        <w:t xml:space="preserve">e showing </w:t>
      </w:r>
      <w:r w:rsidR="00A94701">
        <w:rPr>
          <w:b/>
          <w:bCs/>
        </w:rPr>
        <w:t xml:space="preserve">antiviral </w:t>
      </w:r>
      <w:r w:rsidRPr="007040D8">
        <w:rPr>
          <w:b/>
          <w:bCs/>
        </w:rPr>
        <w:t xml:space="preserve">use </w:t>
      </w:r>
      <w:r w:rsidR="009E53A8">
        <w:rPr>
          <w:b/>
          <w:bCs/>
        </w:rPr>
        <w:t xml:space="preserve">over time </w:t>
      </w:r>
      <w:r w:rsidR="008842AE" w:rsidRPr="007040D8">
        <w:rPr>
          <w:b/>
          <w:bCs/>
        </w:rPr>
        <w:t xml:space="preserve">in influenza-infected patients </w:t>
      </w:r>
    </w:p>
    <w:p w:rsidR="00F66C82" w:rsidRPr="007040D8" w:rsidRDefault="00CE181B" w:rsidP="0003582C">
      <w:pPr>
        <w:spacing w:after="0" w:line="480" w:lineRule="auto"/>
        <w:jc w:val="both"/>
        <w:rPr>
          <w:b/>
          <w:bCs/>
        </w:rPr>
      </w:pPr>
      <w:r>
        <w:rPr>
          <w:b/>
          <w:bCs/>
          <w:i/>
        </w:rPr>
        <w:t>Figure 3</w:t>
      </w:r>
      <w:r w:rsidR="00F66C82" w:rsidRPr="007040D8">
        <w:rPr>
          <w:b/>
          <w:bCs/>
        </w:rPr>
        <w:t xml:space="preserve">: </w:t>
      </w:r>
      <w:r w:rsidR="009E53A8">
        <w:rPr>
          <w:b/>
          <w:bCs/>
        </w:rPr>
        <w:t>Time-to-event curve showing isolation facility use over time i</w:t>
      </w:r>
      <w:r w:rsidR="008842AE" w:rsidRPr="007040D8">
        <w:rPr>
          <w:b/>
          <w:bCs/>
        </w:rPr>
        <w:t>n influenza-infected patients</w:t>
      </w:r>
    </w:p>
    <w:p w:rsidR="00B41D0A" w:rsidRPr="00D03127" w:rsidRDefault="00B41D0A" w:rsidP="0003582C">
      <w:pPr>
        <w:spacing w:after="0" w:line="480" w:lineRule="auto"/>
        <w:jc w:val="both"/>
        <w:rPr>
          <w:sz w:val="24"/>
          <w:szCs w:val="24"/>
        </w:rPr>
      </w:pPr>
    </w:p>
    <w:p w:rsidR="007257E3" w:rsidRDefault="00B41D0A" w:rsidP="00B41D0A">
      <w:pPr>
        <w:spacing w:after="0" w:line="480" w:lineRule="auto"/>
        <w:jc w:val="both"/>
        <w:rPr>
          <w:b/>
          <w:bCs/>
          <w:sz w:val="32"/>
          <w:szCs w:val="32"/>
        </w:rPr>
      </w:pPr>
      <w:r w:rsidRPr="00D03127">
        <w:rPr>
          <w:b/>
          <w:bCs/>
          <w:sz w:val="32"/>
          <w:szCs w:val="32"/>
        </w:rPr>
        <w:t>Supplementary Figures</w:t>
      </w:r>
    </w:p>
    <w:p w:rsidR="007257E3" w:rsidRPr="00A56829" w:rsidRDefault="00CE181B" w:rsidP="00CE181B">
      <w:pPr>
        <w:spacing w:after="0" w:line="480" w:lineRule="auto"/>
        <w:jc w:val="both"/>
        <w:rPr>
          <w:b/>
          <w:bCs/>
        </w:rPr>
      </w:pPr>
      <w:r w:rsidRPr="00A56829">
        <w:rPr>
          <w:b/>
          <w:bCs/>
          <w:i/>
        </w:rPr>
        <w:t>Figure S1</w:t>
      </w:r>
      <w:r w:rsidRPr="00A56829">
        <w:rPr>
          <w:b/>
          <w:bCs/>
        </w:rPr>
        <w:t>.</w:t>
      </w:r>
      <w:r w:rsidR="007257E3" w:rsidRPr="00A56829">
        <w:rPr>
          <w:b/>
          <w:bCs/>
        </w:rPr>
        <w:t xml:space="preserve">Details for subgroup analysis for time to antiviral and time to isolation facility use in influenza infected patients </w:t>
      </w:r>
    </w:p>
    <w:p w:rsidR="00CE181B" w:rsidRPr="00A56829" w:rsidRDefault="007257E3" w:rsidP="00CE181B">
      <w:pPr>
        <w:spacing w:after="0" w:line="480" w:lineRule="auto"/>
        <w:jc w:val="both"/>
        <w:rPr>
          <w:b/>
          <w:bCs/>
        </w:rPr>
      </w:pPr>
      <w:r w:rsidRPr="00A56829">
        <w:rPr>
          <w:b/>
          <w:bCs/>
        </w:rPr>
        <w:t xml:space="preserve">Figure S2. </w:t>
      </w:r>
      <w:r w:rsidR="00CE181B" w:rsidRPr="00A56829">
        <w:rPr>
          <w:b/>
          <w:bCs/>
        </w:rPr>
        <w:t xml:space="preserve">Hospital Recovery Scale (HRS) for influenza-infected patients on </w:t>
      </w:r>
    </w:p>
    <w:p w:rsidR="00CE181B" w:rsidRPr="00A56829" w:rsidRDefault="00CE181B" w:rsidP="00CE181B">
      <w:pPr>
        <w:spacing w:after="0" w:line="480" w:lineRule="auto"/>
        <w:jc w:val="both"/>
        <w:rPr>
          <w:b/>
          <w:bCs/>
        </w:rPr>
      </w:pPr>
      <w:r w:rsidRPr="00A56829">
        <w:rPr>
          <w:b/>
          <w:bCs/>
        </w:rPr>
        <w:t>day 4 (a) and day 7 (b)</w:t>
      </w:r>
    </w:p>
    <w:p w:rsidR="00CE181B" w:rsidRPr="00A56829" w:rsidRDefault="007257E3" w:rsidP="00CE181B">
      <w:pPr>
        <w:spacing w:after="0" w:line="480" w:lineRule="auto"/>
        <w:jc w:val="both"/>
        <w:rPr>
          <w:b/>
          <w:bCs/>
        </w:rPr>
      </w:pPr>
      <w:r w:rsidRPr="00A56829">
        <w:rPr>
          <w:b/>
          <w:bCs/>
          <w:i/>
        </w:rPr>
        <w:t>Figure S3</w:t>
      </w:r>
      <w:r w:rsidR="00CE181B" w:rsidRPr="00A56829">
        <w:rPr>
          <w:b/>
          <w:bCs/>
        </w:rPr>
        <w:t xml:space="preserve">. Time to clinical improvement (TCCI) for influenza-infected patients </w:t>
      </w:r>
      <w:r w:rsidR="00CE181B" w:rsidRPr="00A56829">
        <w:rPr>
          <w:b/>
          <w:bCs/>
        </w:rPr>
        <w:tab/>
      </w:r>
      <w:r w:rsidR="00CE181B" w:rsidRPr="00A56829">
        <w:rPr>
          <w:b/>
          <w:bCs/>
        </w:rPr>
        <w:tab/>
      </w:r>
    </w:p>
    <w:p w:rsidR="00CE181B" w:rsidRPr="00A56829" w:rsidRDefault="007257E3" w:rsidP="00CE181B">
      <w:pPr>
        <w:spacing w:after="0" w:line="480" w:lineRule="auto"/>
        <w:jc w:val="both"/>
        <w:rPr>
          <w:b/>
          <w:bCs/>
        </w:rPr>
      </w:pPr>
      <w:r w:rsidRPr="00A56829">
        <w:rPr>
          <w:b/>
          <w:bCs/>
          <w:i/>
        </w:rPr>
        <w:t>Figure S4</w:t>
      </w:r>
      <w:r w:rsidR="00CE181B" w:rsidRPr="00A56829">
        <w:rPr>
          <w:b/>
          <w:bCs/>
        </w:rPr>
        <w:t>. Time on supplementary Oxygen for influenza-infected patients</w:t>
      </w:r>
      <w:r w:rsidR="00CE181B" w:rsidRPr="00A56829">
        <w:rPr>
          <w:b/>
          <w:bCs/>
        </w:rPr>
        <w:tab/>
      </w:r>
      <w:r w:rsidR="00CE181B" w:rsidRPr="00A56829">
        <w:rPr>
          <w:b/>
          <w:bCs/>
        </w:rPr>
        <w:tab/>
      </w:r>
    </w:p>
    <w:p w:rsidR="00CE181B" w:rsidRPr="00A56829" w:rsidRDefault="007257E3" w:rsidP="00CE181B">
      <w:pPr>
        <w:spacing w:after="0" w:line="480" w:lineRule="auto"/>
        <w:jc w:val="both"/>
        <w:rPr>
          <w:b/>
          <w:bCs/>
        </w:rPr>
      </w:pPr>
      <w:r w:rsidRPr="00A56829">
        <w:rPr>
          <w:b/>
          <w:bCs/>
          <w:i/>
        </w:rPr>
        <w:t>Figure S5</w:t>
      </w:r>
      <w:r w:rsidR="00CE181B" w:rsidRPr="00A56829">
        <w:rPr>
          <w:b/>
          <w:bCs/>
        </w:rPr>
        <w:t>. Time to discharge for influenza-infected patients</w:t>
      </w:r>
    </w:p>
    <w:p w:rsidR="00B41D0A" w:rsidRDefault="00B41D0A" w:rsidP="0003582C">
      <w:pPr>
        <w:spacing w:after="0" w:line="480" w:lineRule="auto"/>
        <w:jc w:val="both"/>
      </w:pPr>
    </w:p>
    <w:p w:rsidR="008842AE" w:rsidRDefault="008842AE" w:rsidP="0003582C">
      <w:pPr>
        <w:spacing w:after="0" w:line="480" w:lineRule="auto"/>
        <w:jc w:val="both"/>
      </w:pPr>
    </w:p>
    <w:p w:rsidR="008842AE" w:rsidRDefault="008842AE" w:rsidP="0003582C">
      <w:pPr>
        <w:spacing w:after="0" w:line="480" w:lineRule="auto"/>
        <w:jc w:val="both"/>
      </w:pPr>
    </w:p>
    <w:p w:rsidR="008842AE" w:rsidRPr="00D03127" w:rsidRDefault="008842AE" w:rsidP="0003582C">
      <w:pPr>
        <w:spacing w:after="0" w:line="480" w:lineRule="auto"/>
        <w:jc w:val="both"/>
        <w:rPr>
          <w:sz w:val="24"/>
          <w:szCs w:val="24"/>
        </w:rPr>
      </w:pPr>
    </w:p>
    <w:p w:rsidR="00B41D0A" w:rsidRPr="00D03127" w:rsidRDefault="00B41D0A" w:rsidP="0003582C">
      <w:pPr>
        <w:spacing w:after="0" w:line="480" w:lineRule="auto"/>
        <w:jc w:val="both"/>
        <w:rPr>
          <w:sz w:val="24"/>
          <w:szCs w:val="24"/>
        </w:rPr>
      </w:pPr>
    </w:p>
    <w:p w:rsidR="00B41D0A" w:rsidRDefault="00B41D0A" w:rsidP="0003582C">
      <w:pPr>
        <w:spacing w:after="0" w:line="480" w:lineRule="auto"/>
        <w:jc w:val="both"/>
        <w:rPr>
          <w:sz w:val="24"/>
          <w:szCs w:val="24"/>
        </w:rPr>
      </w:pPr>
    </w:p>
    <w:p w:rsidR="00BC2B53" w:rsidRDefault="00BC2B53" w:rsidP="0003582C">
      <w:pPr>
        <w:spacing w:after="0" w:line="480" w:lineRule="auto"/>
        <w:jc w:val="both"/>
        <w:rPr>
          <w:sz w:val="24"/>
          <w:szCs w:val="24"/>
        </w:rPr>
      </w:pPr>
    </w:p>
    <w:p w:rsidR="00BC2B53" w:rsidRDefault="00BC2B53" w:rsidP="0003582C">
      <w:pPr>
        <w:spacing w:after="0" w:line="480" w:lineRule="auto"/>
        <w:jc w:val="both"/>
        <w:rPr>
          <w:sz w:val="24"/>
          <w:szCs w:val="24"/>
        </w:rPr>
      </w:pPr>
    </w:p>
    <w:p w:rsidR="00BC2B53" w:rsidRDefault="00BC2B53" w:rsidP="0003582C">
      <w:pPr>
        <w:spacing w:after="0" w:line="480" w:lineRule="auto"/>
        <w:jc w:val="both"/>
        <w:rPr>
          <w:sz w:val="24"/>
          <w:szCs w:val="24"/>
        </w:rPr>
      </w:pPr>
    </w:p>
    <w:p w:rsidR="00BC2B53" w:rsidRDefault="00BC2B53" w:rsidP="0003582C">
      <w:pPr>
        <w:spacing w:after="0" w:line="480" w:lineRule="auto"/>
        <w:jc w:val="both"/>
        <w:rPr>
          <w:sz w:val="24"/>
          <w:szCs w:val="24"/>
        </w:rPr>
      </w:pPr>
    </w:p>
    <w:p w:rsidR="00BC2B53" w:rsidRDefault="00BC2B53" w:rsidP="0003582C">
      <w:pPr>
        <w:spacing w:after="0" w:line="480" w:lineRule="auto"/>
        <w:jc w:val="both"/>
        <w:rPr>
          <w:sz w:val="24"/>
          <w:szCs w:val="24"/>
        </w:rPr>
      </w:pPr>
    </w:p>
    <w:p w:rsidR="00AB2301" w:rsidRPr="00D03127" w:rsidRDefault="00AB2301" w:rsidP="00B41D0A">
      <w:pPr>
        <w:spacing w:line="480" w:lineRule="auto"/>
        <w:rPr>
          <w:b/>
          <w:bCs/>
          <w:sz w:val="32"/>
          <w:szCs w:val="32"/>
        </w:rPr>
      </w:pPr>
      <w:r w:rsidRPr="00D03127">
        <w:rPr>
          <w:b/>
          <w:bCs/>
          <w:sz w:val="32"/>
          <w:szCs w:val="32"/>
        </w:rPr>
        <w:lastRenderedPageBreak/>
        <w:t>Research in context</w:t>
      </w:r>
    </w:p>
    <w:p w:rsidR="00AB2301" w:rsidRPr="00D03127" w:rsidRDefault="00AB2301" w:rsidP="00B41D0A">
      <w:pPr>
        <w:spacing w:after="0" w:line="480" w:lineRule="auto"/>
        <w:jc w:val="both"/>
        <w:rPr>
          <w:b/>
          <w:bCs/>
        </w:rPr>
      </w:pPr>
      <w:r w:rsidRPr="00D03127">
        <w:rPr>
          <w:b/>
          <w:bCs/>
        </w:rPr>
        <w:t>Evidence before this study</w:t>
      </w:r>
    </w:p>
    <w:p w:rsidR="00AB2301" w:rsidRPr="00D03127" w:rsidRDefault="00AB2301" w:rsidP="00B41D0A">
      <w:pPr>
        <w:spacing w:after="0" w:line="480" w:lineRule="auto"/>
        <w:jc w:val="both"/>
      </w:pPr>
      <w:r w:rsidRPr="00D03127">
        <w:t xml:space="preserve">We searched PubMed, the Cochrane Controlled Clinical Trials Register and ClinicalTrials.gov database, for relevant published articles and ongoing trials assessing the clinical impact of molecular POCT </w:t>
      </w:r>
      <w:r w:rsidR="008842AE">
        <w:t xml:space="preserve">(mPOCT) </w:t>
      </w:r>
      <w:r w:rsidRPr="00D03127">
        <w:t xml:space="preserve">for </w:t>
      </w:r>
      <w:r w:rsidR="00BA6ED9">
        <w:t xml:space="preserve">influenza </w:t>
      </w:r>
      <w:r w:rsidRPr="00D03127">
        <w:t>in hospitalised adults with acute respiratory ill</w:t>
      </w:r>
      <w:r w:rsidR="00B41BCC">
        <w:t xml:space="preserve">ness. We used the search terms; </w:t>
      </w:r>
      <w:r w:rsidRPr="00D03127">
        <w:t>”point-of-care tes</w:t>
      </w:r>
      <w:r w:rsidR="003063B4">
        <w:t xml:space="preserve">ting” or “rapid PCR testing” </w:t>
      </w:r>
      <w:r w:rsidR="00BA6ED9">
        <w:t>or ‘’rapid molecular testing’’ and</w:t>
      </w:r>
      <w:r w:rsidRPr="00D03127">
        <w:t xml:space="preserve"> “influenza” and “hospital” and “adult” and “clinical trial” or “randomised controlled trial” or </w:t>
      </w:r>
      <w:r w:rsidR="00BA6ED9">
        <w:t xml:space="preserve">‘’trial’’ or </w:t>
      </w:r>
      <w:r w:rsidRPr="00D03127">
        <w:t>“study”. We limited the search to studies published betw</w:t>
      </w:r>
      <w:r w:rsidR="005B6B02">
        <w:t>een Jan 1, 1980, and Jan</w:t>
      </w:r>
      <w:r w:rsidR="00221231">
        <w:t xml:space="preserve"> </w:t>
      </w:r>
      <w:r w:rsidR="008842AE">
        <w:t>1</w:t>
      </w:r>
      <w:r w:rsidR="00221231">
        <w:t>, 2020</w:t>
      </w:r>
      <w:r w:rsidRPr="00D03127">
        <w:t xml:space="preserve">, in English.  We excluded studies using antigen-based </w:t>
      </w:r>
      <w:r w:rsidR="00BA6ED9">
        <w:t xml:space="preserve">(including digital immunoassays) </w:t>
      </w:r>
      <w:r w:rsidR="001D5DB2">
        <w:t xml:space="preserve">point-of-care </w:t>
      </w:r>
      <w:r w:rsidRPr="00D03127">
        <w:t>tests for</w:t>
      </w:r>
      <w:r w:rsidR="00BA6ED9">
        <w:t xml:space="preserve"> influenza,</w:t>
      </w:r>
      <w:r w:rsidRPr="00D03127">
        <w:t xml:space="preserve"> studies in children, and studies reporting only diagnostic accuracy. We found no Cochrane systematic reviews </w:t>
      </w:r>
      <w:r w:rsidR="00BA6ED9">
        <w:t xml:space="preserve">for </w:t>
      </w:r>
      <w:r w:rsidR="008842AE">
        <w:t>m</w:t>
      </w:r>
      <w:r w:rsidR="00BA6ED9">
        <w:t xml:space="preserve">POCT </w:t>
      </w:r>
      <w:r w:rsidRPr="00D03127">
        <w:t xml:space="preserve">in adults. We </w:t>
      </w:r>
      <w:r w:rsidR="001D5DB2">
        <w:t xml:space="preserve">found </w:t>
      </w:r>
      <w:r w:rsidR="00BA6ED9">
        <w:t xml:space="preserve">2 </w:t>
      </w:r>
      <w:r w:rsidRPr="00D03127">
        <w:t>randomised</w:t>
      </w:r>
      <w:r w:rsidR="00226B2F">
        <w:t xml:space="preserve"> controlled trials of m</w:t>
      </w:r>
      <w:r w:rsidRPr="00D03127">
        <w:t xml:space="preserve">POCT </w:t>
      </w:r>
      <w:r w:rsidR="00BA6ED9">
        <w:t>for influenza</w:t>
      </w:r>
      <w:r w:rsidR="001D5DB2">
        <w:t xml:space="preserve"> and other respiratory viruses evaluating</w:t>
      </w:r>
      <w:r w:rsidRPr="00D03127">
        <w:t xml:space="preserve"> clinical outcomes</w:t>
      </w:r>
      <w:r w:rsidR="00BA6ED9">
        <w:t xml:space="preserve"> and 1 quasi-randomised trial of low quality</w:t>
      </w:r>
      <w:r w:rsidRPr="00D03127">
        <w:t xml:space="preserve">. </w:t>
      </w:r>
      <w:r w:rsidR="001D5DB2">
        <w:t xml:space="preserve">One of these studies was performed in China and did not </w:t>
      </w:r>
      <w:r w:rsidR="008842AE">
        <w:t xml:space="preserve">specifically </w:t>
      </w:r>
      <w:r w:rsidR="001D5DB2">
        <w:t>report the impact of influenza detec</w:t>
      </w:r>
      <w:r w:rsidR="00226B2F">
        <w:t>tion on outcomes</w:t>
      </w:r>
      <w:r w:rsidR="001D5DB2">
        <w:t xml:space="preserve">. The other two studies suggested improvement in </w:t>
      </w:r>
      <w:r w:rsidR="00226B2F">
        <w:t xml:space="preserve">neuraminidase inhibitor (NAI) </w:t>
      </w:r>
      <w:r w:rsidR="001D5DB2">
        <w:t>use and isolation</w:t>
      </w:r>
      <w:r w:rsidR="00226B2F">
        <w:t xml:space="preserve"> facility use with mPOCT but were constrained by low number of influenza infected patients or other methodological issues. </w:t>
      </w:r>
      <w:r w:rsidRPr="00D03127">
        <w:t xml:space="preserve">We found </w:t>
      </w:r>
      <w:r w:rsidR="001D5DB2">
        <w:t xml:space="preserve">several </w:t>
      </w:r>
      <w:r w:rsidRPr="00D03127">
        <w:t xml:space="preserve">retrospective </w:t>
      </w:r>
      <w:r w:rsidR="001D5DB2">
        <w:t>observational studies</w:t>
      </w:r>
      <w:r w:rsidRPr="00D03127">
        <w:t xml:space="preserve"> </w:t>
      </w:r>
      <w:r w:rsidR="001D5DB2">
        <w:t xml:space="preserve">in hospitalised adults </w:t>
      </w:r>
      <w:r w:rsidRPr="00D03127">
        <w:t xml:space="preserve">evaluating </w:t>
      </w:r>
      <w:r w:rsidR="001D5DB2">
        <w:t xml:space="preserve">the impact of mPOCT on clinical outcomes including </w:t>
      </w:r>
      <w:r w:rsidR="00226B2F">
        <w:t xml:space="preserve">NAI </w:t>
      </w:r>
      <w:r w:rsidR="001D5DB2">
        <w:t xml:space="preserve">use, antibiotics, length of stay and number of investigations. </w:t>
      </w:r>
      <w:r w:rsidR="00226B2F">
        <w:t xml:space="preserve">These all </w:t>
      </w:r>
      <w:r w:rsidR="00B41BCC">
        <w:t xml:space="preserve">broadly </w:t>
      </w:r>
      <w:r w:rsidR="00226B2F">
        <w:t xml:space="preserve">suggested improvements in NAI use and investigations but did not reliably evaluate isolation facility use and were conflicting regarding the impact on antibiotic use. One study suggested a reduction in nosocomial spread of influenza. </w:t>
      </w:r>
      <w:r w:rsidR="008842AE">
        <w:t xml:space="preserve">No studies reported on the impact of mPOCT for influenza on clinical outcomes other than length of stay. </w:t>
      </w:r>
      <w:r w:rsidR="001D5DB2">
        <w:t xml:space="preserve">We found a systematic review of studies evaluating </w:t>
      </w:r>
      <w:r w:rsidR="001D5DB2" w:rsidRPr="001D5DB2">
        <w:t xml:space="preserve">clinical impact and diagnostic accuracy of rapid molecular test </w:t>
      </w:r>
      <w:r w:rsidR="008842AE">
        <w:t xml:space="preserve">for respiratory viruses, </w:t>
      </w:r>
      <w:r w:rsidR="00226B2F">
        <w:t xml:space="preserve">only </w:t>
      </w:r>
      <w:r w:rsidR="001D5DB2">
        <w:t xml:space="preserve">some </w:t>
      </w:r>
      <w:r w:rsidR="00B41BCC">
        <w:t xml:space="preserve">of which were </w:t>
      </w:r>
      <w:r w:rsidR="001D5DB2">
        <w:t xml:space="preserve">performed at </w:t>
      </w:r>
      <w:r w:rsidR="008842AE">
        <w:t>the point of care and</w:t>
      </w:r>
      <w:r w:rsidR="001D5DB2">
        <w:t xml:space="preserve"> all are </w:t>
      </w:r>
      <w:r w:rsidR="00226B2F">
        <w:t xml:space="preserve">already </w:t>
      </w:r>
      <w:r w:rsidR="001D5DB2">
        <w:t xml:space="preserve">mentioned above. </w:t>
      </w:r>
    </w:p>
    <w:p w:rsidR="00AB2301" w:rsidRPr="00D03127" w:rsidRDefault="00AB2301" w:rsidP="00B41D0A">
      <w:pPr>
        <w:spacing w:after="0" w:line="480" w:lineRule="auto"/>
        <w:jc w:val="both"/>
      </w:pPr>
    </w:p>
    <w:p w:rsidR="00AB2301" w:rsidRDefault="00AB2301" w:rsidP="00B41D0A">
      <w:pPr>
        <w:spacing w:after="0" w:line="480" w:lineRule="auto"/>
        <w:jc w:val="both"/>
        <w:rPr>
          <w:b/>
          <w:bCs/>
        </w:rPr>
      </w:pPr>
      <w:r w:rsidRPr="00D03127">
        <w:rPr>
          <w:b/>
          <w:bCs/>
        </w:rPr>
        <w:lastRenderedPageBreak/>
        <w:t>Added value of this study</w:t>
      </w:r>
    </w:p>
    <w:p w:rsidR="003063B4" w:rsidRPr="00AA728F" w:rsidRDefault="007755EA" w:rsidP="00B41D0A">
      <w:pPr>
        <w:spacing w:after="0" w:line="480" w:lineRule="auto"/>
        <w:jc w:val="both"/>
        <w:rPr>
          <w:bCs/>
          <w:color w:val="FF0000"/>
        </w:rPr>
      </w:pPr>
      <w:r>
        <w:rPr>
          <w:bCs/>
        </w:rPr>
        <w:t xml:space="preserve">This </w:t>
      </w:r>
      <w:r w:rsidR="008842AE">
        <w:rPr>
          <w:bCs/>
        </w:rPr>
        <w:t xml:space="preserve">multicentre, pragmatic, </w:t>
      </w:r>
      <w:r>
        <w:rPr>
          <w:bCs/>
        </w:rPr>
        <w:t xml:space="preserve">randomised control trial </w:t>
      </w:r>
      <w:r w:rsidR="00B41BCC">
        <w:rPr>
          <w:bCs/>
        </w:rPr>
        <w:t xml:space="preserve">of </w:t>
      </w:r>
      <w:r w:rsidR="008842AE">
        <w:rPr>
          <w:bCs/>
        </w:rPr>
        <w:t>m</w:t>
      </w:r>
      <w:r w:rsidR="00B41BCC">
        <w:rPr>
          <w:bCs/>
        </w:rPr>
        <w:t xml:space="preserve">POCT for influenza </w:t>
      </w:r>
      <w:r w:rsidR="001D5DB2">
        <w:rPr>
          <w:bCs/>
        </w:rPr>
        <w:t>was d</w:t>
      </w:r>
      <w:r w:rsidR="00BA6ED9">
        <w:rPr>
          <w:bCs/>
        </w:rPr>
        <w:t xml:space="preserve">esigned and powered </w:t>
      </w:r>
      <w:r w:rsidR="001D5DB2">
        <w:rPr>
          <w:bCs/>
        </w:rPr>
        <w:t xml:space="preserve">to </w:t>
      </w:r>
      <w:r w:rsidR="00BA6ED9">
        <w:rPr>
          <w:bCs/>
        </w:rPr>
        <w:t>evaluate</w:t>
      </w:r>
      <w:r w:rsidR="00B41BCC">
        <w:rPr>
          <w:bCs/>
        </w:rPr>
        <w:t xml:space="preserve"> influenza-</w:t>
      </w:r>
      <w:r w:rsidR="003063B4">
        <w:rPr>
          <w:bCs/>
        </w:rPr>
        <w:t>specific o</w:t>
      </w:r>
      <w:r w:rsidR="001D5DB2">
        <w:rPr>
          <w:bCs/>
        </w:rPr>
        <w:t xml:space="preserve">utcomes in hospitalised </w:t>
      </w:r>
      <w:r w:rsidR="008842AE">
        <w:rPr>
          <w:bCs/>
        </w:rPr>
        <w:t>adults</w:t>
      </w:r>
      <w:r w:rsidR="001D5DB2">
        <w:rPr>
          <w:bCs/>
        </w:rPr>
        <w:t>.</w:t>
      </w:r>
      <w:r w:rsidR="003063B4">
        <w:rPr>
          <w:bCs/>
        </w:rPr>
        <w:t xml:space="preserve"> </w:t>
      </w:r>
      <w:r w:rsidR="00B41BCC">
        <w:rPr>
          <w:bCs/>
        </w:rPr>
        <w:t>Retrospective t</w:t>
      </w:r>
      <w:r w:rsidR="006615E3">
        <w:rPr>
          <w:bCs/>
        </w:rPr>
        <w:t xml:space="preserve">esting for influenza in </w:t>
      </w:r>
      <w:r w:rsidR="00B41BCC">
        <w:rPr>
          <w:bCs/>
        </w:rPr>
        <w:t xml:space="preserve">all patients in </w:t>
      </w:r>
      <w:r w:rsidR="006615E3">
        <w:rPr>
          <w:bCs/>
        </w:rPr>
        <w:t>the control group allows a direct assessment of missed diagnoses and comparison of ou</w:t>
      </w:r>
      <w:r w:rsidR="00B41BCC">
        <w:rPr>
          <w:bCs/>
        </w:rPr>
        <w:t>tcomes in all influenza-infected</w:t>
      </w:r>
      <w:r w:rsidR="006615E3">
        <w:rPr>
          <w:bCs/>
        </w:rPr>
        <w:t xml:space="preserve"> patients managed with </w:t>
      </w:r>
      <w:r w:rsidR="00B41BCC">
        <w:rPr>
          <w:bCs/>
        </w:rPr>
        <w:t>mPOCT or</w:t>
      </w:r>
      <w:r w:rsidR="001D5DB2">
        <w:rPr>
          <w:bCs/>
        </w:rPr>
        <w:t xml:space="preserve"> </w:t>
      </w:r>
      <w:r w:rsidR="006615E3">
        <w:rPr>
          <w:bCs/>
        </w:rPr>
        <w:t>routine clinical care. The use of clinical outcomes measures such as</w:t>
      </w:r>
      <w:r w:rsidR="008842AE">
        <w:rPr>
          <w:bCs/>
        </w:rPr>
        <w:t xml:space="preserve"> time to clinical improvement, </w:t>
      </w:r>
      <w:r w:rsidR="008842AE" w:rsidRPr="008842AE">
        <w:rPr>
          <w:bCs/>
        </w:rPr>
        <w:t xml:space="preserve">time on supplementary oxygen, </w:t>
      </w:r>
      <w:r w:rsidR="006615E3">
        <w:rPr>
          <w:bCs/>
        </w:rPr>
        <w:t xml:space="preserve">and </w:t>
      </w:r>
      <w:r w:rsidR="008842AE">
        <w:rPr>
          <w:bCs/>
        </w:rPr>
        <w:t xml:space="preserve">the hospital recovery scale </w:t>
      </w:r>
      <w:r w:rsidR="006615E3">
        <w:rPr>
          <w:bCs/>
        </w:rPr>
        <w:t xml:space="preserve">score, allows assessment of the impact of mPOCT on </w:t>
      </w:r>
      <w:r w:rsidR="006615E3" w:rsidRPr="0084461E">
        <w:rPr>
          <w:bCs/>
        </w:rPr>
        <w:t>clinical out</w:t>
      </w:r>
      <w:r w:rsidR="00B41BCC" w:rsidRPr="0084461E">
        <w:rPr>
          <w:bCs/>
        </w:rPr>
        <w:t xml:space="preserve">comes in addition to the impact on </w:t>
      </w:r>
      <w:r w:rsidR="006615E3" w:rsidRPr="0084461E">
        <w:rPr>
          <w:bCs/>
        </w:rPr>
        <w:t>clinical management</w:t>
      </w:r>
      <w:r w:rsidR="00B41BCC" w:rsidRPr="0084461E">
        <w:rPr>
          <w:bCs/>
        </w:rPr>
        <w:t xml:space="preserve"> (use of antivirals, antibiotics, isolation facility use etc)</w:t>
      </w:r>
      <w:r w:rsidR="006615E3" w:rsidRPr="0084461E">
        <w:rPr>
          <w:bCs/>
        </w:rPr>
        <w:t xml:space="preserve">. </w:t>
      </w:r>
      <w:r w:rsidR="00AA728F" w:rsidRPr="0084461E">
        <w:rPr>
          <w:bCs/>
        </w:rPr>
        <w:t>Whilst this study does not definitively exclude the possibility that</w:t>
      </w:r>
      <w:r w:rsidR="00481073" w:rsidRPr="0084461E">
        <w:rPr>
          <w:bCs/>
        </w:rPr>
        <w:t xml:space="preserve"> routine l</w:t>
      </w:r>
      <w:r w:rsidR="00AA728F" w:rsidRPr="0084461E">
        <w:rPr>
          <w:bCs/>
        </w:rPr>
        <w:t>aboratory PCR testing could lead to some of the improvements seen with POCT, this would require dramatic reductions in current turnaround times that are unlikely to be achievable in most laboratories</w:t>
      </w:r>
      <w:r w:rsidR="00FB3341" w:rsidRPr="0084461E">
        <w:rPr>
          <w:bCs/>
        </w:rPr>
        <w:t xml:space="preserve"> due to batch testing and other constraints.</w:t>
      </w:r>
    </w:p>
    <w:p w:rsidR="00AA728F" w:rsidRPr="003063B4" w:rsidRDefault="00AA728F" w:rsidP="00B41D0A">
      <w:pPr>
        <w:spacing w:after="0" w:line="480" w:lineRule="auto"/>
        <w:jc w:val="both"/>
        <w:rPr>
          <w:bCs/>
        </w:rPr>
      </w:pPr>
    </w:p>
    <w:p w:rsidR="00AB2301" w:rsidRPr="00D03127" w:rsidRDefault="00AB2301" w:rsidP="00B41D0A">
      <w:pPr>
        <w:spacing w:after="0" w:line="480" w:lineRule="auto"/>
        <w:jc w:val="both"/>
        <w:rPr>
          <w:b/>
          <w:bCs/>
        </w:rPr>
      </w:pPr>
      <w:r w:rsidRPr="00D03127">
        <w:rPr>
          <w:b/>
          <w:bCs/>
        </w:rPr>
        <w:t>Implications of all the available evidence</w:t>
      </w:r>
    </w:p>
    <w:p w:rsidR="00AB2301" w:rsidRPr="00BA6ED9" w:rsidRDefault="00D343D5" w:rsidP="003063B4">
      <w:pPr>
        <w:spacing w:after="0" w:line="480" w:lineRule="auto"/>
        <w:jc w:val="both"/>
      </w:pPr>
      <w:r>
        <w:t>R</w:t>
      </w:r>
      <w:r w:rsidR="003063B4" w:rsidRPr="00BA6ED9">
        <w:t>outine m</w:t>
      </w:r>
      <w:r w:rsidR="006615E3">
        <w:t>POCT</w:t>
      </w:r>
      <w:r>
        <w:t xml:space="preserve"> for influenza in</w:t>
      </w:r>
      <w:r w:rsidR="003063B4" w:rsidRPr="00BA6ED9">
        <w:t xml:space="preserve"> hospitalised</w:t>
      </w:r>
      <w:r>
        <w:t xml:space="preserve"> adults </w:t>
      </w:r>
      <w:r w:rsidR="003063B4" w:rsidRPr="00BA6ED9">
        <w:t xml:space="preserve">improves the detection rate of influenza, </w:t>
      </w:r>
      <w:r>
        <w:t xml:space="preserve">and </w:t>
      </w:r>
      <w:r w:rsidR="003063B4" w:rsidRPr="00BA6ED9">
        <w:t>the appropria</w:t>
      </w:r>
      <w:r w:rsidR="008842AE">
        <w:t xml:space="preserve">te use of influenza antivirals and isolation facilities. It was also associated with </w:t>
      </w:r>
      <w:r w:rsidR="003063B4" w:rsidRPr="00BA6ED9">
        <w:t>improvements in clinical outcome</w:t>
      </w:r>
      <w:r>
        <w:t xml:space="preserve"> in influenza</w:t>
      </w:r>
      <w:r w:rsidR="00B41BCC">
        <w:t>-</w:t>
      </w:r>
      <w:r>
        <w:t>infected</w:t>
      </w:r>
      <w:r w:rsidR="00B41BCC">
        <w:t xml:space="preserve"> </w:t>
      </w:r>
      <w:r>
        <w:t>patients</w:t>
      </w:r>
      <w:r w:rsidR="003063B4" w:rsidRPr="00BA6ED9">
        <w:t>.</w:t>
      </w:r>
      <w:r w:rsidR="008842AE">
        <w:t xml:space="preserve"> R</w:t>
      </w:r>
      <w:r w:rsidR="003063B4" w:rsidRPr="00BA6ED9">
        <w:t xml:space="preserve">outine </w:t>
      </w:r>
      <w:r w:rsidR="008842AE">
        <w:t>m</w:t>
      </w:r>
      <w:r w:rsidR="003063B4" w:rsidRPr="00BA6ED9">
        <w:t>POCT for influenza should become standard of care in hospitals during influenza season.</w:t>
      </w:r>
    </w:p>
    <w:sectPr w:rsidR="00AB2301" w:rsidRPr="00BA6ED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58" w:rsidRDefault="00815F58" w:rsidP="00D81623">
      <w:pPr>
        <w:spacing w:after="0" w:line="240" w:lineRule="auto"/>
      </w:pPr>
      <w:r>
        <w:separator/>
      </w:r>
    </w:p>
  </w:endnote>
  <w:endnote w:type="continuationSeparator" w:id="0">
    <w:p w:rsidR="00815F58" w:rsidRDefault="00815F58" w:rsidP="00D8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171436"/>
      <w:docPartObj>
        <w:docPartGallery w:val="Page Numbers (Bottom of Page)"/>
        <w:docPartUnique/>
      </w:docPartObj>
    </w:sdtPr>
    <w:sdtEndPr>
      <w:rPr>
        <w:noProof/>
      </w:rPr>
    </w:sdtEndPr>
    <w:sdtContent>
      <w:p w:rsidR="00815F58" w:rsidRDefault="00815F58">
        <w:pPr>
          <w:pStyle w:val="Footer"/>
          <w:jc w:val="center"/>
        </w:pPr>
        <w:r>
          <w:fldChar w:fldCharType="begin"/>
        </w:r>
        <w:r>
          <w:instrText xml:space="preserve"> PAGE   \* MERGEFORMAT </w:instrText>
        </w:r>
        <w:r>
          <w:fldChar w:fldCharType="separate"/>
        </w:r>
        <w:r w:rsidR="0084461E">
          <w:rPr>
            <w:noProof/>
          </w:rPr>
          <w:t>1</w:t>
        </w:r>
        <w:r>
          <w:rPr>
            <w:noProof/>
          </w:rPr>
          <w:fldChar w:fldCharType="end"/>
        </w:r>
      </w:p>
    </w:sdtContent>
  </w:sdt>
  <w:p w:rsidR="00815F58" w:rsidRDefault="00815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038571"/>
      <w:docPartObj>
        <w:docPartGallery w:val="Page Numbers (Bottom of Page)"/>
        <w:docPartUnique/>
      </w:docPartObj>
    </w:sdtPr>
    <w:sdtEndPr>
      <w:rPr>
        <w:noProof/>
      </w:rPr>
    </w:sdtEndPr>
    <w:sdtContent>
      <w:p w:rsidR="00815F58" w:rsidRDefault="00815F58">
        <w:pPr>
          <w:pStyle w:val="Footer"/>
          <w:jc w:val="center"/>
        </w:pPr>
        <w:r>
          <w:fldChar w:fldCharType="begin"/>
        </w:r>
        <w:r>
          <w:instrText xml:space="preserve"> PAGE   \* MERGEFORMAT </w:instrText>
        </w:r>
        <w:r>
          <w:fldChar w:fldCharType="separate"/>
        </w:r>
        <w:r w:rsidR="0084461E">
          <w:rPr>
            <w:noProof/>
          </w:rPr>
          <w:t>32</w:t>
        </w:r>
        <w:r>
          <w:rPr>
            <w:noProof/>
          </w:rPr>
          <w:fldChar w:fldCharType="end"/>
        </w:r>
      </w:p>
    </w:sdtContent>
  </w:sdt>
  <w:p w:rsidR="00815F58" w:rsidRDefault="00815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58" w:rsidRDefault="00815F58" w:rsidP="00D81623">
      <w:pPr>
        <w:spacing w:after="0" w:line="240" w:lineRule="auto"/>
      </w:pPr>
      <w:r>
        <w:separator/>
      </w:r>
    </w:p>
  </w:footnote>
  <w:footnote w:type="continuationSeparator" w:id="0">
    <w:p w:rsidR="00815F58" w:rsidRDefault="00815F58" w:rsidP="00D8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45D2"/>
    <w:multiLevelType w:val="hybridMultilevel"/>
    <w:tmpl w:val="DA463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9816B5"/>
    <w:multiLevelType w:val="hybridMultilevel"/>
    <w:tmpl w:val="0440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D73128"/>
    <w:multiLevelType w:val="hybridMultilevel"/>
    <w:tmpl w:val="D89E9E4C"/>
    <w:lvl w:ilvl="0" w:tplc="44FC0C8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A0"/>
    <w:rsid w:val="0000178B"/>
    <w:rsid w:val="00004463"/>
    <w:rsid w:val="00005700"/>
    <w:rsid w:val="000070DA"/>
    <w:rsid w:val="00010EEF"/>
    <w:rsid w:val="000143D6"/>
    <w:rsid w:val="0002047E"/>
    <w:rsid w:val="0002329B"/>
    <w:rsid w:val="000274C0"/>
    <w:rsid w:val="00032CC1"/>
    <w:rsid w:val="000340D3"/>
    <w:rsid w:val="0003582C"/>
    <w:rsid w:val="00041B98"/>
    <w:rsid w:val="0004498B"/>
    <w:rsid w:val="0004733C"/>
    <w:rsid w:val="000511FD"/>
    <w:rsid w:val="00052549"/>
    <w:rsid w:val="000525EF"/>
    <w:rsid w:val="00052707"/>
    <w:rsid w:val="0006002B"/>
    <w:rsid w:val="00061BBB"/>
    <w:rsid w:val="000621E3"/>
    <w:rsid w:val="0006500E"/>
    <w:rsid w:val="00073295"/>
    <w:rsid w:val="000748C4"/>
    <w:rsid w:val="000777C3"/>
    <w:rsid w:val="00077C2C"/>
    <w:rsid w:val="000814DC"/>
    <w:rsid w:val="0008468B"/>
    <w:rsid w:val="00085BA9"/>
    <w:rsid w:val="000911EE"/>
    <w:rsid w:val="000914C5"/>
    <w:rsid w:val="00093E6A"/>
    <w:rsid w:val="000A4342"/>
    <w:rsid w:val="000A4660"/>
    <w:rsid w:val="000A6874"/>
    <w:rsid w:val="000A6AEE"/>
    <w:rsid w:val="000B250C"/>
    <w:rsid w:val="000B3E7C"/>
    <w:rsid w:val="000B3FC3"/>
    <w:rsid w:val="000C0CC9"/>
    <w:rsid w:val="000C15E5"/>
    <w:rsid w:val="000C1CBA"/>
    <w:rsid w:val="000D072E"/>
    <w:rsid w:val="000E0D48"/>
    <w:rsid w:val="000E1CCA"/>
    <w:rsid w:val="000F5FB5"/>
    <w:rsid w:val="000F7D39"/>
    <w:rsid w:val="00100A5C"/>
    <w:rsid w:val="0010265A"/>
    <w:rsid w:val="00103D4C"/>
    <w:rsid w:val="00106FBF"/>
    <w:rsid w:val="00112452"/>
    <w:rsid w:val="001132FC"/>
    <w:rsid w:val="001172F9"/>
    <w:rsid w:val="00123799"/>
    <w:rsid w:val="001258AE"/>
    <w:rsid w:val="00126978"/>
    <w:rsid w:val="00131BE2"/>
    <w:rsid w:val="00131C0D"/>
    <w:rsid w:val="0013301F"/>
    <w:rsid w:val="001340C4"/>
    <w:rsid w:val="00135088"/>
    <w:rsid w:val="00152CFD"/>
    <w:rsid w:val="00153EBD"/>
    <w:rsid w:val="00163E2E"/>
    <w:rsid w:val="00170040"/>
    <w:rsid w:val="00171CC4"/>
    <w:rsid w:val="00176452"/>
    <w:rsid w:val="0018178F"/>
    <w:rsid w:val="001866C2"/>
    <w:rsid w:val="00191078"/>
    <w:rsid w:val="00194BDA"/>
    <w:rsid w:val="0019759F"/>
    <w:rsid w:val="001A04CA"/>
    <w:rsid w:val="001A33CE"/>
    <w:rsid w:val="001A7509"/>
    <w:rsid w:val="001B5CDA"/>
    <w:rsid w:val="001C0B67"/>
    <w:rsid w:val="001C5815"/>
    <w:rsid w:val="001C7D2C"/>
    <w:rsid w:val="001D0EE0"/>
    <w:rsid w:val="001D27FD"/>
    <w:rsid w:val="001D5DB2"/>
    <w:rsid w:val="001D62B2"/>
    <w:rsid w:val="001F2347"/>
    <w:rsid w:val="002045FF"/>
    <w:rsid w:val="0020630A"/>
    <w:rsid w:val="00207502"/>
    <w:rsid w:val="002129FA"/>
    <w:rsid w:val="00215D8B"/>
    <w:rsid w:val="00221231"/>
    <w:rsid w:val="00223748"/>
    <w:rsid w:val="00223D11"/>
    <w:rsid w:val="00226B2F"/>
    <w:rsid w:val="00226F1A"/>
    <w:rsid w:val="00227485"/>
    <w:rsid w:val="0023208A"/>
    <w:rsid w:val="00233A41"/>
    <w:rsid w:val="002373BD"/>
    <w:rsid w:val="00237E19"/>
    <w:rsid w:val="002416F2"/>
    <w:rsid w:val="0024524B"/>
    <w:rsid w:val="00246FB7"/>
    <w:rsid w:val="00252B12"/>
    <w:rsid w:val="002555E9"/>
    <w:rsid w:val="002568D1"/>
    <w:rsid w:val="0025714E"/>
    <w:rsid w:val="00267F14"/>
    <w:rsid w:val="00272E54"/>
    <w:rsid w:val="002743D8"/>
    <w:rsid w:val="00275327"/>
    <w:rsid w:val="002813F2"/>
    <w:rsid w:val="00283AD8"/>
    <w:rsid w:val="00283C46"/>
    <w:rsid w:val="00286094"/>
    <w:rsid w:val="00286AE5"/>
    <w:rsid w:val="00286AF5"/>
    <w:rsid w:val="00287519"/>
    <w:rsid w:val="002905A0"/>
    <w:rsid w:val="002928C0"/>
    <w:rsid w:val="00293079"/>
    <w:rsid w:val="00294F70"/>
    <w:rsid w:val="0029590F"/>
    <w:rsid w:val="002A6C30"/>
    <w:rsid w:val="002B1C7A"/>
    <w:rsid w:val="002B68B9"/>
    <w:rsid w:val="002B69BF"/>
    <w:rsid w:val="002C0250"/>
    <w:rsid w:val="002C372D"/>
    <w:rsid w:val="002C7CE5"/>
    <w:rsid w:val="002D1B7E"/>
    <w:rsid w:val="002D2F35"/>
    <w:rsid w:val="002E0610"/>
    <w:rsid w:val="002E4F4C"/>
    <w:rsid w:val="002E6C05"/>
    <w:rsid w:val="002E75C6"/>
    <w:rsid w:val="002F1E00"/>
    <w:rsid w:val="002F7020"/>
    <w:rsid w:val="00302398"/>
    <w:rsid w:val="00304E0E"/>
    <w:rsid w:val="003063B4"/>
    <w:rsid w:val="003065A5"/>
    <w:rsid w:val="00313C56"/>
    <w:rsid w:val="00314E89"/>
    <w:rsid w:val="003205BB"/>
    <w:rsid w:val="00322D43"/>
    <w:rsid w:val="003230B4"/>
    <w:rsid w:val="003248F7"/>
    <w:rsid w:val="0033196B"/>
    <w:rsid w:val="00353190"/>
    <w:rsid w:val="0035323F"/>
    <w:rsid w:val="003563BE"/>
    <w:rsid w:val="00365BF7"/>
    <w:rsid w:val="0038006E"/>
    <w:rsid w:val="00386DF9"/>
    <w:rsid w:val="00393547"/>
    <w:rsid w:val="003956EC"/>
    <w:rsid w:val="003A08D7"/>
    <w:rsid w:val="003A54FE"/>
    <w:rsid w:val="003A7DEE"/>
    <w:rsid w:val="003B00DE"/>
    <w:rsid w:val="003B2CD0"/>
    <w:rsid w:val="003B4F6F"/>
    <w:rsid w:val="003C3074"/>
    <w:rsid w:val="003D380B"/>
    <w:rsid w:val="003D6CC1"/>
    <w:rsid w:val="003D7710"/>
    <w:rsid w:val="003E22FB"/>
    <w:rsid w:val="003E7593"/>
    <w:rsid w:val="003F58F0"/>
    <w:rsid w:val="003F5E2E"/>
    <w:rsid w:val="00400608"/>
    <w:rsid w:val="00401156"/>
    <w:rsid w:val="004022C4"/>
    <w:rsid w:val="0040287B"/>
    <w:rsid w:val="004064DB"/>
    <w:rsid w:val="00406F73"/>
    <w:rsid w:val="00423965"/>
    <w:rsid w:val="00424174"/>
    <w:rsid w:val="00424E3D"/>
    <w:rsid w:val="00425477"/>
    <w:rsid w:val="00431305"/>
    <w:rsid w:val="00432CA7"/>
    <w:rsid w:val="00442682"/>
    <w:rsid w:val="0044344E"/>
    <w:rsid w:val="00446292"/>
    <w:rsid w:val="00446F84"/>
    <w:rsid w:val="00447D89"/>
    <w:rsid w:val="004574F7"/>
    <w:rsid w:val="0046002D"/>
    <w:rsid w:val="00461417"/>
    <w:rsid w:val="00466DCC"/>
    <w:rsid w:val="004739C1"/>
    <w:rsid w:val="00474463"/>
    <w:rsid w:val="00474A82"/>
    <w:rsid w:val="00481073"/>
    <w:rsid w:val="00482B3E"/>
    <w:rsid w:val="00482DD3"/>
    <w:rsid w:val="00483376"/>
    <w:rsid w:val="004919BC"/>
    <w:rsid w:val="004935EE"/>
    <w:rsid w:val="0049641D"/>
    <w:rsid w:val="004A392A"/>
    <w:rsid w:val="004A3949"/>
    <w:rsid w:val="004A652E"/>
    <w:rsid w:val="004A6BA4"/>
    <w:rsid w:val="004B3784"/>
    <w:rsid w:val="004B3ED5"/>
    <w:rsid w:val="004B4802"/>
    <w:rsid w:val="004C35B1"/>
    <w:rsid w:val="004C46E9"/>
    <w:rsid w:val="004C4C52"/>
    <w:rsid w:val="004C66C9"/>
    <w:rsid w:val="004D0373"/>
    <w:rsid w:val="004D4214"/>
    <w:rsid w:val="004D6FC9"/>
    <w:rsid w:val="004E0E6A"/>
    <w:rsid w:val="004E15EB"/>
    <w:rsid w:val="004E3B3A"/>
    <w:rsid w:val="004E5D0E"/>
    <w:rsid w:val="00500377"/>
    <w:rsid w:val="00510766"/>
    <w:rsid w:val="00511115"/>
    <w:rsid w:val="0051295E"/>
    <w:rsid w:val="005142EC"/>
    <w:rsid w:val="0051715D"/>
    <w:rsid w:val="0051776E"/>
    <w:rsid w:val="00524DF9"/>
    <w:rsid w:val="00524F10"/>
    <w:rsid w:val="00526B34"/>
    <w:rsid w:val="00527354"/>
    <w:rsid w:val="00530FEA"/>
    <w:rsid w:val="00531FE1"/>
    <w:rsid w:val="00532853"/>
    <w:rsid w:val="00536F74"/>
    <w:rsid w:val="005376F8"/>
    <w:rsid w:val="00540F30"/>
    <w:rsid w:val="00545F9A"/>
    <w:rsid w:val="00546BE1"/>
    <w:rsid w:val="005479C1"/>
    <w:rsid w:val="00547BB3"/>
    <w:rsid w:val="00553429"/>
    <w:rsid w:val="005621A2"/>
    <w:rsid w:val="005637BC"/>
    <w:rsid w:val="00570636"/>
    <w:rsid w:val="00572561"/>
    <w:rsid w:val="00575547"/>
    <w:rsid w:val="005762D6"/>
    <w:rsid w:val="005775CF"/>
    <w:rsid w:val="00577A14"/>
    <w:rsid w:val="00581B26"/>
    <w:rsid w:val="00582336"/>
    <w:rsid w:val="0058464B"/>
    <w:rsid w:val="005868BA"/>
    <w:rsid w:val="005923B0"/>
    <w:rsid w:val="00595B17"/>
    <w:rsid w:val="00597935"/>
    <w:rsid w:val="005A02C8"/>
    <w:rsid w:val="005A4F04"/>
    <w:rsid w:val="005A6847"/>
    <w:rsid w:val="005B06E0"/>
    <w:rsid w:val="005B6B02"/>
    <w:rsid w:val="005C009D"/>
    <w:rsid w:val="005C1144"/>
    <w:rsid w:val="005C4530"/>
    <w:rsid w:val="005D5188"/>
    <w:rsid w:val="005D5FD5"/>
    <w:rsid w:val="005E7700"/>
    <w:rsid w:val="005F0442"/>
    <w:rsid w:val="005F2A1C"/>
    <w:rsid w:val="005F371F"/>
    <w:rsid w:val="005F4DCC"/>
    <w:rsid w:val="005F583E"/>
    <w:rsid w:val="005F715B"/>
    <w:rsid w:val="0060183C"/>
    <w:rsid w:val="00607B30"/>
    <w:rsid w:val="00610725"/>
    <w:rsid w:val="006145C7"/>
    <w:rsid w:val="00616DEC"/>
    <w:rsid w:val="006244C2"/>
    <w:rsid w:val="0062589C"/>
    <w:rsid w:val="00627E13"/>
    <w:rsid w:val="00637286"/>
    <w:rsid w:val="006430B4"/>
    <w:rsid w:val="00646D92"/>
    <w:rsid w:val="00651BB3"/>
    <w:rsid w:val="0065474B"/>
    <w:rsid w:val="0065746D"/>
    <w:rsid w:val="0066012F"/>
    <w:rsid w:val="00660326"/>
    <w:rsid w:val="006615E3"/>
    <w:rsid w:val="00661DBC"/>
    <w:rsid w:val="0066259A"/>
    <w:rsid w:val="00667552"/>
    <w:rsid w:val="00672506"/>
    <w:rsid w:val="006811DF"/>
    <w:rsid w:val="00683984"/>
    <w:rsid w:val="00683CEB"/>
    <w:rsid w:val="00685DB9"/>
    <w:rsid w:val="00690153"/>
    <w:rsid w:val="00690E76"/>
    <w:rsid w:val="006929E6"/>
    <w:rsid w:val="00694896"/>
    <w:rsid w:val="00696592"/>
    <w:rsid w:val="00697562"/>
    <w:rsid w:val="006A0A19"/>
    <w:rsid w:val="006A330F"/>
    <w:rsid w:val="006A7C6B"/>
    <w:rsid w:val="006B2009"/>
    <w:rsid w:val="006B65C5"/>
    <w:rsid w:val="006B6C33"/>
    <w:rsid w:val="006C6A24"/>
    <w:rsid w:val="006D229E"/>
    <w:rsid w:val="006D3F5E"/>
    <w:rsid w:val="006D6D80"/>
    <w:rsid w:val="006F5AB1"/>
    <w:rsid w:val="006F5E09"/>
    <w:rsid w:val="007040D8"/>
    <w:rsid w:val="00704D66"/>
    <w:rsid w:val="00707098"/>
    <w:rsid w:val="007071CE"/>
    <w:rsid w:val="00707E4A"/>
    <w:rsid w:val="00717C06"/>
    <w:rsid w:val="00723421"/>
    <w:rsid w:val="007257E3"/>
    <w:rsid w:val="00726395"/>
    <w:rsid w:val="00740576"/>
    <w:rsid w:val="00741898"/>
    <w:rsid w:val="007427AA"/>
    <w:rsid w:val="00745B22"/>
    <w:rsid w:val="007518B2"/>
    <w:rsid w:val="0075239B"/>
    <w:rsid w:val="007546B9"/>
    <w:rsid w:val="007574C0"/>
    <w:rsid w:val="00764D4B"/>
    <w:rsid w:val="00773657"/>
    <w:rsid w:val="007755EA"/>
    <w:rsid w:val="007813B2"/>
    <w:rsid w:val="007A29DE"/>
    <w:rsid w:val="007A3ECB"/>
    <w:rsid w:val="007B27A8"/>
    <w:rsid w:val="007B2B5B"/>
    <w:rsid w:val="007B7071"/>
    <w:rsid w:val="007B7091"/>
    <w:rsid w:val="007C191D"/>
    <w:rsid w:val="007C4B37"/>
    <w:rsid w:val="007C4BEE"/>
    <w:rsid w:val="007C5487"/>
    <w:rsid w:val="007D3E34"/>
    <w:rsid w:val="007D6B2B"/>
    <w:rsid w:val="007D6FA1"/>
    <w:rsid w:val="007D74DF"/>
    <w:rsid w:val="007E5C40"/>
    <w:rsid w:val="007F36E9"/>
    <w:rsid w:val="007F7298"/>
    <w:rsid w:val="00805CCC"/>
    <w:rsid w:val="00806809"/>
    <w:rsid w:val="0080769F"/>
    <w:rsid w:val="00810CB6"/>
    <w:rsid w:val="00815F58"/>
    <w:rsid w:val="008218FE"/>
    <w:rsid w:val="00821D59"/>
    <w:rsid w:val="0082718B"/>
    <w:rsid w:val="008336DB"/>
    <w:rsid w:val="00841582"/>
    <w:rsid w:val="0084461E"/>
    <w:rsid w:val="0084745E"/>
    <w:rsid w:val="008478DD"/>
    <w:rsid w:val="00847B74"/>
    <w:rsid w:val="00856366"/>
    <w:rsid w:val="00862264"/>
    <w:rsid w:val="008639BF"/>
    <w:rsid w:val="00864E84"/>
    <w:rsid w:val="00865BA1"/>
    <w:rsid w:val="0086659A"/>
    <w:rsid w:val="0087536A"/>
    <w:rsid w:val="008842AE"/>
    <w:rsid w:val="00890BD1"/>
    <w:rsid w:val="008968D7"/>
    <w:rsid w:val="008A1912"/>
    <w:rsid w:val="008A2262"/>
    <w:rsid w:val="008A5607"/>
    <w:rsid w:val="008A57FB"/>
    <w:rsid w:val="008B653E"/>
    <w:rsid w:val="008C4E44"/>
    <w:rsid w:val="008D0D76"/>
    <w:rsid w:val="008D3B4B"/>
    <w:rsid w:val="008E04B1"/>
    <w:rsid w:val="008E47B6"/>
    <w:rsid w:val="008E4C85"/>
    <w:rsid w:val="008E7288"/>
    <w:rsid w:val="008F79F6"/>
    <w:rsid w:val="00900CB6"/>
    <w:rsid w:val="00901A5A"/>
    <w:rsid w:val="00905347"/>
    <w:rsid w:val="00905A0C"/>
    <w:rsid w:val="00910021"/>
    <w:rsid w:val="009113DF"/>
    <w:rsid w:val="0091435B"/>
    <w:rsid w:val="009158FA"/>
    <w:rsid w:val="0091644D"/>
    <w:rsid w:val="00916528"/>
    <w:rsid w:val="00922E97"/>
    <w:rsid w:val="00923273"/>
    <w:rsid w:val="00923AAD"/>
    <w:rsid w:val="009251AE"/>
    <w:rsid w:val="00927602"/>
    <w:rsid w:val="00930BCD"/>
    <w:rsid w:val="009375E2"/>
    <w:rsid w:val="0095722B"/>
    <w:rsid w:val="009617FA"/>
    <w:rsid w:val="00963A96"/>
    <w:rsid w:val="00971DC7"/>
    <w:rsid w:val="00973849"/>
    <w:rsid w:val="00975261"/>
    <w:rsid w:val="00976AB7"/>
    <w:rsid w:val="009828E1"/>
    <w:rsid w:val="009841DB"/>
    <w:rsid w:val="009A1D45"/>
    <w:rsid w:val="009A760A"/>
    <w:rsid w:val="009B160E"/>
    <w:rsid w:val="009B61B3"/>
    <w:rsid w:val="009B7182"/>
    <w:rsid w:val="009C78F7"/>
    <w:rsid w:val="009D154E"/>
    <w:rsid w:val="009D445C"/>
    <w:rsid w:val="009E3A3A"/>
    <w:rsid w:val="009E53A8"/>
    <w:rsid w:val="009E5A31"/>
    <w:rsid w:val="009E777C"/>
    <w:rsid w:val="009F066B"/>
    <w:rsid w:val="009F32C8"/>
    <w:rsid w:val="009F4A78"/>
    <w:rsid w:val="00A00496"/>
    <w:rsid w:val="00A07E92"/>
    <w:rsid w:val="00A128D4"/>
    <w:rsid w:val="00A14E93"/>
    <w:rsid w:val="00A1550D"/>
    <w:rsid w:val="00A34080"/>
    <w:rsid w:val="00A3677E"/>
    <w:rsid w:val="00A42461"/>
    <w:rsid w:val="00A429E7"/>
    <w:rsid w:val="00A4355F"/>
    <w:rsid w:val="00A52CDB"/>
    <w:rsid w:val="00A56829"/>
    <w:rsid w:val="00A62C79"/>
    <w:rsid w:val="00A65A7E"/>
    <w:rsid w:val="00A66C3D"/>
    <w:rsid w:val="00A823ED"/>
    <w:rsid w:val="00A8306C"/>
    <w:rsid w:val="00A83D6C"/>
    <w:rsid w:val="00A933B1"/>
    <w:rsid w:val="00A94701"/>
    <w:rsid w:val="00AA0091"/>
    <w:rsid w:val="00AA5354"/>
    <w:rsid w:val="00AA5E36"/>
    <w:rsid w:val="00AA728F"/>
    <w:rsid w:val="00AB0C37"/>
    <w:rsid w:val="00AB2301"/>
    <w:rsid w:val="00AB6657"/>
    <w:rsid w:val="00AB68CE"/>
    <w:rsid w:val="00AC4A46"/>
    <w:rsid w:val="00AD03C8"/>
    <w:rsid w:val="00AD6B09"/>
    <w:rsid w:val="00AE111B"/>
    <w:rsid w:val="00AE4287"/>
    <w:rsid w:val="00AF2144"/>
    <w:rsid w:val="00AF4090"/>
    <w:rsid w:val="00AF7C1A"/>
    <w:rsid w:val="00AF7EBA"/>
    <w:rsid w:val="00B03C2A"/>
    <w:rsid w:val="00B118B2"/>
    <w:rsid w:val="00B120C0"/>
    <w:rsid w:val="00B13E39"/>
    <w:rsid w:val="00B1404A"/>
    <w:rsid w:val="00B14A68"/>
    <w:rsid w:val="00B160C3"/>
    <w:rsid w:val="00B1711A"/>
    <w:rsid w:val="00B17D13"/>
    <w:rsid w:val="00B22657"/>
    <w:rsid w:val="00B2519D"/>
    <w:rsid w:val="00B26777"/>
    <w:rsid w:val="00B31814"/>
    <w:rsid w:val="00B3740B"/>
    <w:rsid w:val="00B40936"/>
    <w:rsid w:val="00B410EC"/>
    <w:rsid w:val="00B41BCC"/>
    <w:rsid w:val="00B41D0A"/>
    <w:rsid w:val="00B50ACF"/>
    <w:rsid w:val="00B5366C"/>
    <w:rsid w:val="00B54304"/>
    <w:rsid w:val="00B546A2"/>
    <w:rsid w:val="00B65862"/>
    <w:rsid w:val="00B67368"/>
    <w:rsid w:val="00B72B07"/>
    <w:rsid w:val="00B73EC2"/>
    <w:rsid w:val="00B8008B"/>
    <w:rsid w:val="00B83BF6"/>
    <w:rsid w:val="00BA2CF1"/>
    <w:rsid w:val="00BA6A81"/>
    <w:rsid w:val="00BA6ED9"/>
    <w:rsid w:val="00BA77D9"/>
    <w:rsid w:val="00BC0F87"/>
    <w:rsid w:val="00BC21C5"/>
    <w:rsid w:val="00BC29CB"/>
    <w:rsid w:val="00BC2B53"/>
    <w:rsid w:val="00BD0345"/>
    <w:rsid w:val="00BD4A53"/>
    <w:rsid w:val="00BD6EB0"/>
    <w:rsid w:val="00BE1306"/>
    <w:rsid w:val="00BE19F7"/>
    <w:rsid w:val="00BE1B98"/>
    <w:rsid w:val="00BE581A"/>
    <w:rsid w:val="00BF2109"/>
    <w:rsid w:val="00BF491A"/>
    <w:rsid w:val="00C00C8F"/>
    <w:rsid w:val="00C01ADA"/>
    <w:rsid w:val="00C06CB7"/>
    <w:rsid w:val="00C12979"/>
    <w:rsid w:val="00C13541"/>
    <w:rsid w:val="00C1688E"/>
    <w:rsid w:val="00C179F9"/>
    <w:rsid w:val="00C223CA"/>
    <w:rsid w:val="00C22626"/>
    <w:rsid w:val="00C32AA7"/>
    <w:rsid w:val="00C33D9A"/>
    <w:rsid w:val="00C35C8F"/>
    <w:rsid w:val="00C40F9B"/>
    <w:rsid w:val="00C431E5"/>
    <w:rsid w:val="00C51C28"/>
    <w:rsid w:val="00C5294D"/>
    <w:rsid w:val="00C57199"/>
    <w:rsid w:val="00C65E30"/>
    <w:rsid w:val="00C72C0C"/>
    <w:rsid w:val="00C73845"/>
    <w:rsid w:val="00C74DD4"/>
    <w:rsid w:val="00C77ABF"/>
    <w:rsid w:val="00C839E6"/>
    <w:rsid w:val="00C85A6F"/>
    <w:rsid w:val="00C9278B"/>
    <w:rsid w:val="00C93994"/>
    <w:rsid w:val="00C93E74"/>
    <w:rsid w:val="00C94C05"/>
    <w:rsid w:val="00C95138"/>
    <w:rsid w:val="00C9771A"/>
    <w:rsid w:val="00CA1850"/>
    <w:rsid w:val="00CB0D33"/>
    <w:rsid w:val="00CB5F82"/>
    <w:rsid w:val="00CC0DEB"/>
    <w:rsid w:val="00CC1D6B"/>
    <w:rsid w:val="00CD13FC"/>
    <w:rsid w:val="00CD2D53"/>
    <w:rsid w:val="00CD3142"/>
    <w:rsid w:val="00CE0089"/>
    <w:rsid w:val="00CE181B"/>
    <w:rsid w:val="00CE1DB8"/>
    <w:rsid w:val="00CE721D"/>
    <w:rsid w:val="00CF3BE4"/>
    <w:rsid w:val="00CF76CF"/>
    <w:rsid w:val="00D00B45"/>
    <w:rsid w:val="00D03127"/>
    <w:rsid w:val="00D04478"/>
    <w:rsid w:val="00D074F0"/>
    <w:rsid w:val="00D13992"/>
    <w:rsid w:val="00D1630C"/>
    <w:rsid w:val="00D1735E"/>
    <w:rsid w:val="00D20A74"/>
    <w:rsid w:val="00D25270"/>
    <w:rsid w:val="00D279AC"/>
    <w:rsid w:val="00D314A1"/>
    <w:rsid w:val="00D343D5"/>
    <w:rsid w:val="00D366CB"/>
    <w:rsid w:val="00D40089"/>
    <w:rsid w:val="00D47897"/>
    <w:rsid w:val="00D56DE9"/>
    <w:rsid w:val="00D65474"/>
    <w:rsid w:val="00D66668"/>
    <w:rsid w:val="00D67CD7"/>
    <w:rsid w:val="00D71753"/>
    <w:rsid w:val="00D722C1"/>
    <w:rsid w:val="00D81623"/>
    <w:rsid w:val="00D9037E"/>
    <w:rsid w:val="00DB5056"/>
    <w:rsid w:val="00DB747F"/>
    <w:rsid w:val="00DC3BAE"/>
    <w:rsid w:val="00DC4FE9"/>
    <w:rsid w:val="00DD2F25"/>
    <w:rsid w:val="00DD7F5C"/>
    <w:rsid w:val="00DF2DA8"/>
    <w:rsid w:val="00DF57E8"/>
    <w:rsid w:val="00DF6288"/>
    <w:rsid w:val="00DF74DC"/>
    <w:rsid w:val="00E03787"/>
    <w:rsid w:val="00E11AFC"/>
    <w:rsid w:val="00E12100"/>
    <w:rsid w:val="00E15FDB"/>
    <w:rsid w:val="00E175F6"/>
    <w:rsid w:val="00E222DA"/>
    <w:rsid w:val="00E255DA"/>
    <w:rsid w:val="00E30436"/>
    <w:rsid w:val="00E30E27"/>
    <w:rsid w:val="00E411BB"/>
    <w:rsid w:val="00E41340"/>
    <w:rsid w:val="00E42196"/>
    <w:rsid w:val="00E44D2C"/>
    <w:rsid w:val="00E46468"/>
    <w:rsid w:val="00E5002D"/>
    <w:rsid w:val="00E56AC1"/>
    <w:rsid w:val="00E61BA0"/>
    <w:rsid w:val="00E637F8"/>
    <w:rsid w:val="00E65462"/>
    <w:rsid w:val="00E65951"/>
    <w:rsid w:val="00E65B4C"/>
    <w:rsid w:val="00E7732E"/>
    <w:rsid w:val="00E802AE"/>
    <w:rsid w:val="00E804C9"/>
    <w:rsid w:val="00E814CF"/>
    <w:rsid w:val="00E849EC"/>
    <w:rsid w:val="00E87132"/>
    <w:rsid w:val="00E95D3C"/>
    <w:rsid w:val="00E96996"/>
    <w:rsid w:val="00EA0576"/>
    <w:rsid w:val="00EA194A"/>
    <w:rsid w:val="00EA537E"/>
    <w:rsid w:val="00EA6BE4"/>
    <w:rsid w:val="00EB4279"/>
    <w:rsid w:val="00EB54C1"/>
    <w:rsid w:val="00EC71B2"/>
    <w:rsid w:val="00ED73D6"/>
    <w:rsid w:val="00EE3FAF"/>
    <w:rsid w:val="00EE4380"/>
    <w:rsid w:val="00EE6BDB"/>
    <w:rsid w:val="00EE7535"/>
    <w:rsid w:val="00F01AFE"/>
    <w:rsid w:val="00F06E81"/>
    <w:rsid w:val="00F104D7"/>
    <w:rsid w:val="00F1473F"/>
    <w:rsid w:val="00F24174"/>
    <w:rsid w:val="00F24E7A"/>
    <w:rsid w:val="00F261B8"/>
    <w:rsid w:val="00F334FF"/>
    <w:rsid w:val="00F35996"/>
    <w:rsid w:val="00F40164"/>
    <w:rsid w:val="00F4347E"/>
    <w:rsid w:val="00F453A8"/>
    <w:rsid w:val="00F46226"/>
    <w:rsid w:val="00F46C6D"/>
    <w:rsid w:val="00F55815"/>
    <w:rsid w:val="00F60D51"/>
    <w:rsid w:val="00F62903"/>
    <w:rsid w:val="00F6330A"/>
    <w:rsid w:val="00F63C35"/>
    <w:rsid w:val="00F65C5F"/>
    <w:rsid w:val="00F66C82"/>
    <w:rsid w:val="00F679B0"/>
    <w:rsid w:val="00F71E8E"/>
    <w:rsid w:val="00F7225C"/>
    <w:rsid w:val="00F743F1"/>
    <w:rsid w:val="00F749AD"/>
    <w:rsid w:val="00F74D9C"/>
    <w:rsid w:val="00F74F9E"/>
    <w:rsid w:val="00F75657"/>
    <w:rsid w:val="00F81AC9"/>
    <w:rsid w:val="00F857CC"/>
    <w:rsid w:val="00F86C6B"/>
    <w:rsid w:val="00F871F7"/>
    <w:rsid w:val="00F9344B"/>
    <w:rsid w:val="00F96EC1"/>
    <w:rsid w:val="00FA5901"/>
    <w:rsid w:val="00FB31EB"/>
    <w:rsid w:val="00FB3341"/>
    <w:rsid w:val="00FB379F"/>
    <w:rsid w:val="00FB7015"/>
    <w:rsid w:val="00FC0D16"/>
    <w:rsid w:val="00FC0EEC"/>
    <w:rsid w:val="00FC0FC2"/>
    <w:rsid w:val="00FC12E7"/>
    <w:rsid w:val="00FC4551"/>
    <w:rsid w:val="00FC7827"/>
    <w:rsid w:val="00FD06E3"/>
    <w:rsid w:val="00FD2E69"/>
    <w:rsid w:val="00FD3E9D"/>
    <w:rsid w:val="00FD501F"/>
    <w:rsid w:val="00FD53E7"/>
    <w:rsid w:val="00FE07B6"/>
    <w:rsid w:val="00FE0BE7"/>
    <w:rsid w:val="00FE0C48"/>
    <w:rsid w:val="00FE2E56"/>
    <w:rsid w:val="00FF2AD2"/>
    <w:rsid w:val="00FF43A7"/>
    <w:rsid w:val="00FF5516"/>
    <w:rsid w:val="00FF574C"/>
    <w:rsid w:val="00FF59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9C29"/>
  <w15:docId w15:val="{81E72963-7540-4E42-B9A9-C233A787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44D"/>
    <w:pPr>
      <w:ind w:left="720"/>
      <w:contextualSpacing/>
    </w:pPr>
  </w:style>
  <w:style w:type="character" w:styleId="Hyperlink">
    <w:name w:val="Hyperlink"/>
    <w:basedOn w:val="DefaultParagraphFont"/>
    <w:uiPriority w:val="99"/>
    <w:unhideWhenUsed/>
    <w:rsid w:val="0082718B"/>
    <w:rPr>
      <w:color w:val="0000FF" w:themeColor="hyperlink"/>
      <w:u w:val="single"/>
    </w:rPr>
  </w:style>
  <w:style w:type="paragraph" w:styleId="BodyText">
    <w:name w:val="Body Text"/>
    <w:basedOn w:val="Normal"/>
    <w:link w:val="BodyTextChar"/>
    <w:uiPriority w:val="1"/>
    <w:qFormat/>
    <w:rsid w:val="00D279AC"/>
    <w:pPr>
      <w:widowControl w:val="0"/>
      <w:spacing w:after="0" w:line="240" w:lineRule="auto"/>
      <w:ind w:left="190"/>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D279AC"/>
    <w:rPr>
      <w:rFonts w:ascii="Arial" w:eastAsia="Arial" w:hAnsi="Arial"/>
      <w:sz w:val="20"/>
      <w:szCs w:val="20"/>
      <w:lang w:val="en-US" w:eastAsia="en-US"/>
    </w:rPr>
  </w:style>
  <w:style w:type="character" w:customStyle="1" w:styleId="highlight2">
    <w:name w:val="highlight2"/>
    <w:basedOn w:val="DefaultParagraphFont"/>
    <w:rsid w:val="00D1735E"/>
  </w:style>
  <w:style w:type="character" w:styleId="FollowedHyperlink">
    <w:name w:val="FollowedHyperlink"/>
    <w:basedOn w:val="DefaultParagraphFont"/>
    <w:uiPriority w:val="99"/>
    <w:semiHidden/>
    <w:unhideWhenUsed/>
    <w:rsid w:val="007B7091"/>
    <w:rPr>
      <w:color w:val="800080" w:themeColor="followedHyperlink"/>
      <w:u w:val="single"/>
    </w:rPr>
  </w:style>
  <w:style w:type="paragraph" w:styleId="Header">
    <w:name w:val="header"/>
    <w:basedOn w:val="Normal"/>
    <w:link w:val="HeaderChar"/>
    <w:uiPriority w:val="99"/>
    <w:unhideWhenUsed/>
    <w:rsid w:val="00D81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623"/>
  </w:style>
  <w:style w:type="paragraph" w:styleId="Footer">
    <w:name w:val="footer"/>
    <w:basedOn w:val="Normal"/>
    <w:link w:val="FooterChar"/>
    <w:uiPriority w:val="99"/>
    <w:unhideWhenUsed/>
    <w:rsid w:val="00D81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623"/>
  </w:style>
  <w:style w:type="character" w:styleId="PlaceholderText">
    <w:name w:val="Placeholder Text"/>
    <w:basedOn w:val="DefaultParagraphFont"/>
    <w:uiPriority w:val="99"/>
    <w:semiHidden/>
    <w:rsid w:val="00C95138"/>
    <w:rPr>
      <w:color w:val="808080"/>
    </w:rPr>
  </w:style>
  <w:style w:type="paragraph" w:styleId="BalloonText">
    <w:name w:val="Balloon Text"/>
    <w:basedOn w:val="Normal"/>
    <w:link w:val="BalloonTextChar"/>
    <w:uiPriority w:val="99"/>
    <w:semiHidden/>
    <w:unhideWhenUsed/>
    <w:rsid w:val="00C95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38"/>
    <w:rPr>
      <w:rFonts w:ascii="Tahoma" w:hAnsi="Tahoma" w:cs="Tahoma"/>
      <w:sz w:val="16"/>
      <w:szCs w:val="16"/>
    </w:rPr>
  </w:style>
  <w:style w:type="character" w:styleId="CommentReference">
    <w:name w:val="annotation reference"/>
    <w:basedOn w:val="DefaultParagraphFont"/>
    <w:uiPriority w:val="99"/>
    <w:semiHidden/>
    <w:unhideWhenUsed/>
    <w:rsid w:val="004D6FC9"/>
    <w:rPr>
      <w:sz w:val="16"/>
      <w:szCs w:val="16"/>
    </w:rPr>
  </w:style>
  <w:style w:type="paragraph" w:styleId="CommentText">
    <w:name w:val="annotation text"/>
    <w:basedOn w:val="Normal"/>
    <w:link w:val="CommentTextChar"/>
    <w:uiPriority w:val="99"/>
    <w:semiHidden/>
    <w:unhideWhenUsed/>
    <w:rsid w:val="004D6FC9"/>
    <w:pPr>
      <w:spacing w:line="240" w:lineRule="auto"/>
    </w:pPr>
    <w:rPr>
      <w:sz w:val="20"/>
      <w:szCs w:val="20"/>
    </w:rPr>
  </w:style>
  <w:style w:type="character" w:customStyle="1" w:styleId="CommentTextChar">
    <w:name w:val="Comment Text Char"/>
    <w:basedOn w:val="DefaultParagraphFont"/>
    <w:link w:val="CommentText"/>
    <w:uiPriority w:val="99"/>
    <w:semiHidden/>
    <w:rsid w:val="004D6FC9"/>
    <w:rPr>
      <w:sz w:val="20"/>
      <w:szCs w:val="20"/>
    </w:rPr>
  </w:style>
  <w:style w:type="paragraph" w:styleId="CommentSubject">
    <w:name w:val="annotation subject"/>
    <w:basedOn w:val="CommentText"/>
    <w:next w:val="CommentText"/>
    <w:link w:val="CommentSubjectChar"/>
    <w:uiPriority w:val="99"/>
    <w:semiHidden/>
    <w:unhideWhenUsed/>
    <w:rsid w:val="004D6FC9"/>
    <w:rPr>
      <w:b/>
      <w:bCs/>
    </w:rPr>
  </w:style>
  <w:style w:type="character" w:customStyle="1" w:styleId="CommentSubjectChar">
    <w:name w:val="Comment Subject Char"/>
    <w:basedOn w:val="CommentTextChar"/>
    <w:link w:val="CommentSubject"/>
    <w:uiPriority w:val="99"/>
    <w:semiHidden/>
    <w:rsid w:val="004D6FC9"/>
    <w:rPr>
      <w:b/>
      <w:bCs/>
      <w:sz w:val="20"/>
      <w:szCs w:val="20"/>
    </w:rPr>
  </w:style>
  <w:style w:type="table" w:styleId="TableGrid">
    <w:name w:val="Table Grid"/>
    <w:basedOn w:val="TableNormal"/>
    <w:uiPriority w:val="39"/>
    <w:rsid w:val="00577A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jopen.bmj.com/content/9/12/e031674.long.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W.Clark@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33572/PHE_guidance_antivirals_influenza_2019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8478</Words>
  <Characters>48331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T.W.</dc:creator>
  <cp:lastModifiedBy>Tristan Clark</cp:lastModifiedBy>
  <cp:revision>2</cp:revision>
  <dcterms:created xsi:type="dcterms:W3CDTF">2020-11-02T12:19:00Z</dcterms:created>
  <dcterms:modified xsi:type="dcterms:W3CDTF">2020-11-02T12:19:00Z</dcterms:modified>
</cp:coreProperties>
</file>