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A55CF" w14:textId="0672DEA2" w:rsidR="009F072D" w:rsidRPr="00031169" w:rsidRDefault="009F072D" w:rsidP="00B92ABD">
      <w:pPr>
        <w:spacing w:line="276" w:lineRule="auto"/>
        <w:jc w:val="center"/>
        <w:rPr>
          <w:b/>
          <w:bCs/>
          <w:sz w:val="32"/>
          <w:szCs w:val="32"/>
        </w:rPr>
      </w:pPr>
      <w:bookmarkStart w:id="0" w:name="_Hlk53934758"/>
      <w:r w:rsidRPr="00031169">
        <w:rPr>
          <w:b/>
          <w:bCs/>
          <w:sz w:val="32"/>
          <w:szCs w:val="32"/>
        </w:rPr>
        <w:t xml:space="preserve">Biosecurity </w:t>
      </w:r>
      <w:r w:rsidR="00B04E0C" w:rsidRPr="00031169">
        <w:rPr>
          <w:b/>
          <w:bCs/>
          <w:sz w:val="32"/>
          <w:szCs w:val="32"/>
        </w:rPr>
        <w:t>P</w:t>
      </w:r>
      <w:r w:rsidRPr="00031169">
        <w:rPr>
          <w:b/>
          <w:bCs/>
          <w:sz w:val="32"/>
          <w:szCs w:val="32"/>
        </w:rPr>
        <w:t xml:space="preserve">olicy </w:t>
      </w:r>
      <w:r w:rsidR="00B04E0C" w:rsidRPr="00031169">
        <w:rPr>
          <w:b/>
          <w:bCs/>
          <w:sz w:val="32"/>
          <w:szCs w:val="32"/>
        </w:rPr>
        <w:t>C</w:t>
      </w:r>
      <w:r w:rsidRPr="00031169">
        <w:rPr>
          <w:b/>
          <w:bCs/>
          <w:sz w:val="32"/>
          <w:szCs w:val="32"/>
        </w:rPr>
        <w:t xml:space="preserve">hallenges: </w:t>
      </w:r>
      <w:r w:rsidR="00B04E0C" w:rsidRPr="00031169">
        <w:rPr>
          <w:b/>
          <w:bCs/>
          <w:sz w:val="32"/>
          <w:szCs w:val="32"/>
        </w:rPr>
        <w:t>D</w:t>
      </w:r>
      <w:r w:rsidRPr="00031169">
        <w:rPr>
          <w:b/>
          <w:bCs/>
          <w:sz w:val="32"/>
          <w:szCs w:val="32"/>
        </w:rPr>
        <w:t xml:space="preserve">isease </w:t>
      </w:r>
      <w:r w:rsidR="00B04E0C" w:rsidRPr="00031169">
        <w:rPr>
          <w:b/>
          <w:bCs/>
          <w:sz w:val="32"/>
          <w:szCs w:val="32"/>
        </w:rPr>
        <w:t>R</w:t>
      </w:r>
      <w:r w:rsidRPr="00031169">
        <w:rPr>
          <w:b/>
          <w:bCs/>
          <w:sz w:val="32"/>
          <w:szCs w:val="32"/>
        </w:rPr>
        <w:t xml:space="preserve">isks and </w:t>
      </w:r>
      <w:r w:rsidR="00B04E0C" w:rsidRPr="00031169">
        <w:rPr>
          <w:b/>
          <w:bCs/>
          <w:sz w:val="32"/>
          <w:szCs w:val="32"/>
        </w:rPr>
        <w:t>R</w:t>
      </w:r>
      <w:r w:rsidRPr="00031169">
        <w:rPr>
          <w:b/>
          <w:bCs/>
          <w:sz w:val="32"/>
          <w:szCs w:val="32"/>
        </w:rPr>
        <w:t xml:space="preserve">isky </w:t>
      </w:r>
      <w:r w:rsidR="00B04E0C" w:rsidRPr="00031169">
        <w:rPr>
          <w:b/>
          <w:bCs/>
          <w:sz w:val="32"/>
          <w:szCs w:val="32"/>
        </w:rPr>
        <w:t>R</w:t>
      </w:r>
      <w:r w:rsidRPr="00031169">
        <w:rPr>
          <w:b/>
          <w:bCs/>
          <w:sz w:val="32"/>
          <w:szCs w:val="32"/>
        </w:rPr>
        <w:t>esponses</w:t>
      </w:r>
      <w:bookmarkEnd w:id="0"/>
    </w:p>
    <w:p w14:paraId="37D9A34F" w14:textId="77777777" w:rsidR="001A26E3" w:rsidRPr="00031169" w:rsidRDefault="001A26E3" w:rsidP="00B92ABD">
      <w:pPr>
        <w:spacing w:line="276" w:lineRule="auto"/>
        <w:rPr>
          <w:sz w:val="26"/>
          <w:szCs w:val="26"/>
        </w:rPr>
      </w:pPr>
    </w:p>
    <w:p w14:paraId="7FE974A6" w14:textId="77777777" w:rsidR="009F072D" w:rsidRPr="00031169" w:rsidRDefault="009F072D" w:rsidP="00B92ABD">
      <w:pPr>
        <w:spacing w:line="276" w:lineRule="auto"/>
        <w:jc w:val="center"/>
        <w:rPr>
          <w:sz w:val="26"/>
          <w:szCs w:val="26"/>
        </w:rPr>
      </w:pPr>
      <w:r w:rsidRPr="00031169">
        <w:rPr>
          <w:sz w:val="26"/>
          <w:szCs w:val="26"/>
        </w:rPr>
        <w:t xml:space="preserve">Submission to the </w:t>
      </w:r>
      <w:bookmarkStart w:id="1" w:name="_Hlk53738669"/>
      <w:r w:rsidRPr="00031169">
        <w:rPr>
          <w:sz w:val="26"/>
          <w:szCs w:val="26"/>
        </w:rPr>
        <w:t>Inquiry on Biosecurity and National Security</w:t>
      </w:r>
      <w:bookmarkEnd w:id="1"/>
    </w:p>
    <w:p w14:paraId="3A2D0089" w14:textId="77777777" w:rsidR="009F072D" w:rsidRPr="00031169" w:rsidRDefault="009F072D" w:rsidP="00B92ABD">
      <w:pPr>
        <w:spacing w:line="276" w:lineRule="auto"/>
        <w:jc w:val="center"/>
        <w:rPr>
          <w:sz w:val="26"/>
          <w:szCs w:val="26"/>
        </w:rPr>
      </w:pPr>
      <w:r w:rsidRPr="00031169">
        <w:rPr>
          <w:sz w:val="26"/>
          <w:szCs w:val="26"/>
        </w:rPr>
        <w:t>Joint Committee on the National Security Strategy</w:t>
      </w:r>
    </w:p>
    <w:p w14:paraId="6B7A67E6" w14:textId="77777777" w:rsidR="009F072D" w:rsidRPr="00031169" w:rsidRDefault="009F072D" w:rsidP="00B92ABD">
      <w:pPr>
        <w:spacing w:line="276" w:lineRule="auto"/>
        <w:jc w:val="center"/>
        <w:rPr>
          <w:sz w:val="26"/>
          <w:szCs w:val="26"/>
        </w:rPr>
      </w:pPr>
      <w:r w:rsidRPr="00031169">
        <w:rPr>
          <w:sz w:val="26"/>
          <w:szCs w:val="26"/>
        </w:rPr>
        <w:t>UK Parliament</w:t>
      </w:r>
    </w:p>
    <w:p w14:paraId="24E1F05B" w14:textId="7E62626F" w:rsidR="001A26E3" w:rsidRPr="00031169" w:rsidRDefault="001A26E3" w:rsidP="00B92ABD">
      <w:pPr>
        <w:spacing w:line="276" w:lineRule="auto"/>
        <w:rPr>
          <w:sz w:val="26"/>
          <w:szCs w:val="26"/>
        </w:rPr>
      </w:pPr>
    </w:p>
    <w:p w14:paraId="1F67497E" w14:textId="77777777" w:rsidR="00910ACF" w:rsidRPr="00031169" w:rsidRDefault="00910ACF" w:rsidP="00B92ABD">
      <w:pPr>
        <w:spacing w:line="276" w:lineRule="auto"/>
        <w:rPr>
          <w:sz w:val="26"/>
          <w:szCs w:val="26"/>
        </w:rPr>
      </w:pPr>
    </w:p>
    <w:p w14:paraId="2E2626C2" w14:textId="223CE0B5" w:rsidR="007433C0" w:rsidRPr="00031169" w:rsidRDefault="00996170" w:rsidP="00B92ABD">
      <w:pPr>
        <w:spacing w:line="276" w:lineRule="auto"/>
        <w:jc w:val="center"/>
        <w:rPr>
          <w:sz w:val="26"/>
          <w:szCs w:val="26"/>
        </w:rPr>
      </w:pPr>
      <w:r w:rsidRPr="00031169">
        <w:rPr>
          <w:sz w:val="26"/>
          <w:szCs w:val="26"/>
        </w:rPr>
        <w:t xml:space="preserve">Prof. </w:t>
      </w:r>
      <w:r w:rsidR="007433C0" w:rsidRPr="00031169">
        <w:rPr>
          <w:sz w:val="26"/>
          <w:szCs w:val="26"/>
        </w:rPr>
        <w:t>Christian Enemark</w:t>
      </w:r>
    </w:p>
    <w:p w14:paraId="4AABA699" w14:textId="16DF4822" w:rsidR="007F600D" w:rsidRPr="00031169" w:rsidRDefault="007F600D" w:rsidP="00B92ABD">
      <w:pPr>
        <w:spacing w:line="276" w:lineRule="auto"/>
        <w:jc w:val="center"/>
        <w:rPr>
          <w:sz w:val="26"/>
          <w:szCs w:val="26"/>
        </w:rPr>
      </w:pPr>
      <w:r w:rsidRPr="00031169">
        <w:rPr>
          <w:sz w:val="26"/>
          <w:szCs w:val="26"/>
        </w:rPr>
        <w:t>Professor of International Relations</w:t>
      </w:r>
    </w:p>
    <w:p w14:paraId="0EDF0630" w14:textId="1C283AFA" w:rsidR="00A85237" w:rsidRPr="00031169" w:rsidRDefault="00A85237" w:rsidP="00B92ABD">
      <w:pPr>
        <w:spacing w:line="276" w:lineRule="auto"/>
        <w:jc w:val="center"/>
        <w:rPr>
          <w:sz w:val="26"/>
          <w:szCs w:val="26"/>
        </w:rPr>
      </w:pPr>
      <w:r w:rsidRPr="00031169">
        <w:rPr>
          <w:sz w:val="26"/>
          <w:szCs w:val="26"/>
        </w:rPr>
        <w:t>School of Economic, Social and Political Sciences</w:t>
      </w:r>
    </w:p>
    <w:p w14:paraId="14165DFD" w14:textId="4A5E1571" w:rsidR="009A2B3D" w:rsidRPr="00031169" w:rsidRDefault="00011C8E" w:rsidP="00B92ABD">
      <w:pPr>
        <w:spacing w:line="276" w:lineRule="auto"/>
        <w:jc w:val="center"/>
        <w:rPr>
          <w:sz w:val="26"/>
          <w:szCs w:val="26"/>
        </w:rPr>
      </w:pPr>
      <w:r w:rsidRPr="00031169">
        <w:rPr>
          <w:sz w:val="26"/>
          <w:szCs w:val="26"/>
        </w:rPr>
        <w:t>University of Southampton</w:t>
      </w:r>
    </w:p>
    <w:p w14:paraId="700E872B" w14:textId="587B2257" w:rsidR="001A26E3" w:rsidRPr="00031169" w:rsidRDefault="001A26E3" w:rsidP="00B92ABD">
      <w:pPr>
        <w:spacing w:line="276" w:lineRule="auto"/>
        <w:rPr>
          <w:sz w:val="26"/>
          <w:szCs w:val="26"/>
        </w:rPr>
      </w:pPr>
    </w:p>
    <w:p w14:paraId="06E14CF5" w14:textId="77777777" w:rsidR="00910ACF" w:rsidRPr="00031169" w:rsidRDefault="00910ACF" w:rsidP="00B92ABD">
      <w:pPr>
        <w:spacing w:line="276" w:lineRule="auto"/>
        <w:rPr>
          <w:sz w:val="26"/>
          <w:szCs w:val="26"/>
        </w:rPr>
      </w:pPr>
    </w:p>
    <w:p w14:paraId="36A29949" w14:textId="46FBA9AF" w:rsidR="00A85237" w:rsidRPr="00031169" w:rsidRDefault="00463C5F" w:rsidP="00B92ABD">
      <w:pPr>
        <w:spacing w:line="276" w:lineRule="auto"/>
        <w:jc w:val="center"/>
        <w:rPr>
          <w:sz w:val="26"/>
          <w:szCs w:val="26"/>
        </w:rPr>
      </w:pPr>
      <w:r w:rsidRPr="00031169">
        <w:rPr>
          <w:sz w:val="26"/>
          <w:szCs w:val="26"/>
        </w:rPr>
        <w:t>1</w:t>
      </w:r>
      <w:r w:rsidR="003240F4">
        <w:rPr>
          <w:sz w:val="26"/>
          <w:szCs w:val="26"/>
        </w:rPr>
        <w:t>9</w:t>
      </w:r>
      <w:r w:rsidR="00661BCE" w:rsidRPr="00031169">
        <w:rPr>
          <w:sz w:val="26"/>
          <w:szCs w:val="26"/>
        </w:rPr>
        <w:t xml:space="preserve"> </w:t>
      </w:r>
      <w:r w:rsidR="007F600D" w:rsidRPr="00031169">
        <w:rPr>
          <w:sz w:val="26"/>
          <w:szCs w:val="26"/>
        </w:rPr>
        <w:t>October 2020</w:t>
      </w:r>
    </w:p>
    <w:p w14:paraId="3FBF974D" w14:textId="77777777" w:rsidR="001A26E3" w:rsidRPr="00031169" w:rsidRDefault="001A26E3" w:rsidP="00B92ABD">
      <w:pPr>
        <w:spacing w:line="276" w:lineRule="auto"/>
        <w:rPr>
          <w:sz w:val="26"/>
          <w:szCs w:val="26"/>
        </w:rPr>
      </w:pPr>
    </w:p>
    <w:p w14:paraId="7F31EE6D" w14:textId="77777777" w:rsidR="004D2D0A" w:rsidRPr="00031169" w:rsidRDefault="004D2D0A" w:rsidP="00B92ABD">
      <w:pPr>
        <w:shd w:val="clear" w:color="auto" w:fill="FFFFFF" w:themeFill="background1"/>
        <w:spacing w:line="276" w:lineRule="auto"/>
        <w:jc w:val="both"/>
        <w:rPr>
          <w:sz w:val="26"/>
          <w:szCs w:val="26"/>
        </w:rPr>
      </w:pPr>
    </w:p>
    <w:p w14:paraId="180A4353" w14:textId="49D97677" w:rsidR="002D7B38" w:rsidRPr="00031169" w:rsidRDefault="00207872" w:rsidP="00B92ABD">
      <w:pPr>
        <w:pStyle w:val="Heading1"/>
        <w:shd w:val="clear" w:color="auto" w:fill="FFFFFF" w:themeFill="background1"/>
        <w:spacing w:line="276" w:lineRule="auto"/>
        <w:jc w:val="center"/>
        <w:rPr>
          <w:sz w:val="26"/>
          <w:szCs w:val="26"/>
        </w:rPr>
      </w:pPr>
      <w:r w:rsidRPr="00031169">
        <w:rPr>
          <w:sz w:val="26"/>
          <w:szCs w:val="26"/>
        </w:rPr>
        <w:t>Summary</w:t>
      </w:r>
    </w:p>
    <w:p w14:paraId="7B7D9B9A" w14:textId="400155D9" w:rsidR="00207872" w:rsidRPr="00031169" w:rsidRDefault="00207872" w:rsidP="00B92ABD">
      <w:pPr>
        <w:shd w:val="clear" w:color="auto" w:fill="FFFFFF" w:themeFill="background1"/>
        <w:spacing w:line="276" w:lineRule="auto"/>
        <w:jc w:val="both"/>
        <w:rPr>
          <w:sz w:val="26"/>
          <w:szCs w:val="26"/>
        </w:rPr>
      </w:pPr>
    </w:p>
    <w:p w14:paraId="5DB0432C" w14:textId="5BD01A92" w:rsidR="0088770B" w:rsidRPr="00031169" w:rsidRDefault="0088770B" w:rsidP="00B92ABD">
      <w:pPr>
        <w:pStyle w:val="ListParagraph"/>
        <w:numPr>
          <w:ilvl w:val="0"/>
          <w:numId w:val="2"/>
        </w:numPr>
        <w:shd w:val="clear" w:color="auto" w:fill="FFFFFF" w:themeFill="background1"/>
        <w:spacing w:line="276" w:lineRule="auto"/>
        <w:ind w:left="360"/>
        <w:jc w:val="both"/>
        <w:rPr>
          <w:sz w:val="26"/>
          <w:szCs w:val="26"/>
        </w:rPr>
      </w:pPr>
      <w:r w:rsidRPr="00031169">
        <w:rPr>
          <w:sz w:val="26"/>
          <w:szCs w:val="26"/>
        </w:rPr>
        <w:t xml:space="preserve">When </w:t>
      </w:r>
      <w:r w:rsidR="005509E8" w:rsidRPr="00031169">
        <w:rPr>
          <w:sz w:val="26"/>
          <w:szCs w:val="26"/>
        </w:rPr>
        <w:t>a</w:t>
      </w:r>
      <w:r w:rsidR="00F62A79" w:rsidRPr="00031169">
        <w:rPr>
          <w:sz w:val="26"/>
          <w:szCs w:val="26"/>
        </w:rPr>
        <w:t xml:space="preserve"> government approaches </w:t>
      </w:r>
      <w:r w:rsidRPr="00031169">
        <w:rPr>
          <w:sz w:val="26"/>
          <w:szCs w:val="26"/>
        </w:rPr>
        <w:t>infectious disease</w:t>
      </w:r>
      <w:r w:rsidR="00816B5B" w:rsidRPr="00031169">
        <w:rPr>
          <w:sz w:val="26"/>
          <w:szCs w:val="26"/>
        </w:rPr>
        <w:t>s</w:t>
      </w:r>
      <w:r w:rsidRPr="00031169">
        <w:rPr>
          <w:sz w:val="26"/>
          <w:szCs w:val="26"/>
        </w:rPr>
        <w:t xml:space="preserve"> as </w:t>
      </w:r>
      <w:r w:rsidR="00816B5B" w:rsidRPr="00031169">
        <w:rPr>
          <w:sz w:val="26"/>
          <w:szCs w:val="26"/>
        </w:rPr>
        <w:t>problem</w:t>
      </w:r>
      <w:r w:rsidR="00627882" w:rsidRPr="00031169">
        <w:rPr>
          <w:sz w:val="26"/>
          <w:szCs w:val="26"/>
        </w:rPr>
        <w:t>s</w:t>
      </w:r>
      <w:r w:rsidR="00816B5B" w:rsidRPr="00031169">
        <w:rPr>
          <w:sz w:val="26"/>
          <w:szCs w:val="26"/>
        </w:rPr>
        <w:t xml:space="preserve"> of </w:t>
      </w:r>
      <w:r w:rsidRPr="00031169">
        <w:rPr>
          <w:sz w:val="26"/>
          <w:szCs w:val="26"/>
        </w:rPr>
        <w:t xml:space="preserve">national security </w:t>
      </w:r>
      <w:r w:rsidR="00816B5B" w:rsidRPr="00031169">
        <w:rPr>
          <w:sz w:val="26"/>
          <w:szCs w:val="26"/>
        </w:rPr>
        <w:t>(as well as public health)</w:t>
      </w:r>
      <w:r w:rsidRPr="00031169">
        <w:rPr>
          <w:sz w:val="26"/>
          <w:szCs w:val="26"/>
        </w:rPr>
        <w:t xml:space="preserve">, there is </w:t>
      </w:r>
      <w:r w:rsidR="00582124" w:rsidRPr="00031169">
        <w:rPr>
          <w:sz w:val="26"/>
          <w:szCs w:val="26"/>
        </w:rPr>
        <w:t>greater potential for rally</w:t>
      </w:r>
      <w:r w:rsidR="00B1723E" w:rsidRPr="00031169">
        <w:rPr>
          <w:sz w:val="26"/>
          <w:szCs w:val="26"/>
        </w:rPr>
        <w:t>ing</w:t>
      </w:r>
      <w:r w:rsidR="00582124" w:rsidRPr="00031169">
        <w:rPr>
          <w:sz w:val="26"/>
          <w:szCs w:val="26"/>
        </w:rPr>
        <w:t xml:space="preserve"> </w:t>
      </w:r>
      <w:r w:rsidR="00EB5C6F" w:rsidRPr="00031169">
        <w:rPr>
          <w:sz w:val="26"/>
          <w:szCs w:val="26"/>
        </w:rPr>
        <w:t xml:space="preserve">powers and </w:t>
      </w:r>
      <w:r w:rsidR="00582124" w:rsidRPr="00031169">
        <w:rPr>
          <w:sz w:val="26"/>
          <w:szCs w:val="26"/>
        </w:rPr>
        <w:t xml:space="preserve">resources, but there is also </w:t>
      </w:r>
      <w:r w:rsidR="00816B5B" w:rsidRPr="00031169">
        <w:rPr>
          <w:sz w:val="26"/>
          <w:szCs w:val="26"/>
        </w:rPr>
        <w:t xml:space="preserve">a </w:t>
      </w:r>
      <w:r w:rsidRPr="00031169">
        <w:rPr>
          <w:sz w:val="26"/>
          <w:szCs w:val="26"/>
        </w:rPr>
        <w:t xml:space="preserve">risk </w:t>
      </w:r>
      <w:r w:rsidR="00965FD8" w:rsidRPr="00031169">
        <w:rPr>
          <w:sz w:val="26"/>
          <w:szCs w:val="26"/>
        </w:rPr>
        <w:t>of</w:t>
      </w:r>
      <w:r w:rsidRPr="00031169">
        <w:rPr>
          <w:sz w:val="26"/>
          <w:szCs w:val="26"/>
        </w:rPr>
        <w:t xml:space="preserve"> </w:t>
      </w:r>
      <w:r w:rsidR="00B1723E" w:rsidRPr="00031169">
        <w:rPr>
          <w:sz w:val="26"/>
          <w:szCs w:val="26"/>
        </w:rPr>
        <w:t>biosecurity</w:t>
      </w:r>
      <w:r w:rsidRPr="00031169">
        <w:rPr>
          <w:sz w:val="26"/>
          <w:szCs w:val="26"/>
        </w:rPr>
        <w:t xml:space="preserve"> </w:t>
      </w:r>
      <w:r w:rsidR="00B1723E" w:rsidRPr="00031169">
        <w:rPr>
          <w:sz w:val="26"/>
          <w:szCs w:val="26"/>
        </w:rPr>
        <w:t>measures</w:t>
      </w:r>
      <w:r w:rsidR="00816B5B" w:rsidRPr="00031169">
        <w:rPr>
          <w:sz w:val="26"/>
          <w:szCs w:val="26"/>
        </w:rPr>
        <w:t xml:space="preserve"> </w:t>
      </w:r>
      <w:r w:rsidR="00965FD8" w:rsidRPr="00031169">
        <w:rPr>
          <w:sz w:val="26"/>
          <w:szCs w:val="26"/>
        </w:rPr>
        <w:t>doing</w:t>
      </w:r>
      <w:r w:rsidR="00F62A79" w:rsidRPr="00031169">
        <w:rPr>
          <w:sz w:val="26"/>
          <w:szCs w:val="26"/>
        </w:rPr>
        <w:t xml:space="preserve"> more harm than good</w:t>
      </w:r>
      <w:r w:rsidRPr="00031169">
        <w:rPr>
          <w:sz w:val="26"/>
          <w:szCs w:val="26"/>
        </w:rPr>
        <w:t>.</w:t>
      </w:r>
    </w:p>
    <w:p w14:paraId="1E64458B" w14:textId="77777777" w:rsidR="00816B5B" w:rsidRPr="00031169" w:rsidRDefault="00816B5B" w:rsidP="00B92ABD">
      <w:pPr>
        <w:shd w:val="clear" w:color="auto" w:fill="FFFFFF" w:themeFill="background1"/>
        <w:spacing w:line="276" w:lineRule="auto"/>
        <w:jc w:val="both"/>
        <w:rPr>
          <w:sz w:val="26"/>
          <w:szCs w:val="26"/>
        </w:rPr>
      </w:pPr>
    </w:p>
    <w:p w14:paraId="1329405E" w14:textId="48113D2C" w:rsidR="00816B5B" w:rsidRPr="00031169" w:rsidRDefault="009F072D" w:rsidP="00B92ABD">
      <w:pPr>
        <w:pStyle w:val="ListParagraph"/>
        <w:numPr>
          <w:ilvl w:val="0"/>
          <w:numId w:val="2"/>
        </w:numPr>
        <w:shd w:val="clear" w:color="auto" w:fill="FFFFFF" w:themeFill="background1"/>
        <w:spacing w:line="276" w:lineRule="auto"/>
        <w:ind w:left="360"/>
        <w:jc w:val="both"/>
        <w:rPr>
          <w:sz w:val="26"/>
          <w:szCs w:val="26"/>
        </w:rPr>
      </w:pPr>
      <w:r w:rsidRPr="00031169">
        <w:rPr>
          <w:sz w:val="26"/>
          <w:szCs w:val="26"/>
        </w:rPr>
        <w:t>According to its 2018 Biological Security Strategy</w:t>
      </w:r>
      <w:r w:rsidR="00816B5B" w:rsidRPr="00031169">
        <w:rPr>
          <w:sz w:val="26"/>
          <w:szCs w:val="26"/>
        </w:rPr>
        <w:t xml:space="preserve">, </w:t>
      </w:r>
      <w:r w:rsidR="00B1723E" w:rsidRPr="00031169">
        <w:rPr>
          <w:sz w:val="26"/>
          <w:szCs w:val="26"/>
        </w:rPr>
        <w:t xml:space="preserve">the </w:t>
      </w:r>
      <w:r w:rsidRPr="00031169">
        <w:rPr>
          <w:sz w:val="26"/>
          <w:szCs w:val="26"/>
        </w:rPr>
        <w:t xml:space="preserve">UK </w:t>
      </w:r>
      <w:r w:rsidR="00B1723E" w:rsidRPr="00031169">
        <w:rPr>
          <w:sz w:val="26"/>
          <w:szCs w:val="26"/>
        </w:rPr>
        <w:t>government ha</w:t>
      </w:r>
      <w:r w:rsidRPr="00031169">
        <w:rPr>
          <w:sz w:val="26"/>
          <w:szCs w:val="26"/>
        </w:rPr>
        <w:t>s</w:t>
      </w:r>
      <w:r w:rsidR="00B1723E" w:rsidRPr="00031169">
        <w:rPr>
          <w:sz w:val="26"/>
          <w:szCs w:val="26"/>
        </w:rPr>
        <w:t xml:space="preserve"> a limited</w:t>
      </w:r>
      <w:r w:rsidR="00816B5B" w:rsidRPr="00031169">
        <w:rPr>
          <w:sz w:val="26"/>
          <w:szCs w:val="26"/>
        </w:rPr>
        <w:t xml:space="preserve"> </w:t>
      </w:r>
      <w:r w:rsidRPr="00031169">
        <w:rPr>
          <w:sz w:val="26"/>
          <w:szCs w:val="26"/>
        </w:rPr>
        <w:t>awareness of</w:t>
      </w:r>
      <w:r w:rsidR="00B1723E" w:rsidRPr="00031169">
        <w:rPr>
          <w:sz w:val="26"/>
          <w:szCs w:val="26"/>
        </w:rPr>
        <w:t xml:space="preserve"> national b</w:t>
      </w:r>
      <w:r w:rsidR="00816B5B" w:rsidRPr="00031169">
        <w:rPr>
          <w:sz w:val="26"/>
          <w:szCs w:val="26"/>
        </w:rPr>
        <w:t xml:space="preserve">iosecurity </w:t>
      </w:r>
      <w:r w:rsidR="003C2ADF">
        <w:rPr>
          <w:sz w:val="26"/>
          <w:szCs w:val="26"/>
        </w:rPr>
        <w:t>as</w:t>
      </w:r>
      <w:r w:rsidR="00816B5B" w:rsidRPr="00031169">
        <w:rPr>
          <w:sz w:val="26"/>
          <w:szCs w:val="26"/>
        </w:rPr>
        <w:t xml:space="preserve"> a ‘two-edged sword’</w:t>
      </w:r>
      <w:r w:rsidR="00B1723E" w:rsidRPr="00031169">
        <w:rPr>
          <w:sz w:val="26"/>
          <w:szCs w:val="26"/>
        </w:rPr>
        <w:t xml:space="preserve">: it </w:t>
      </w:r>
      <w:r w:rsidR="00EB5C6F" w:rsidRPr="00031169">
        <w:rPr>
          <w:sz w:val="26"/>
          <w:szCs w:val="26"/>
        </w:rPr>
        <w:t>is</w:t>
      </w:r>
      <w:r w:rsidR="00816B5B" w:rsidRPr="00031169">
        <w:rPr>
          <w:sz w:val="26"/>
          <w:szCs w:val="26"/>
        </w:rPr>
        <w:t xml:space="preserve"> aware of the challenge of </w:t>
      </w:r>
      <w:r w:rsidR="00B1723E" w:rsidRPr="00031169">
        <w:rPr>
          <w:sz w:val="26"/>
          <w:szCs w:val="26"/>
        </w:rPr>
        <w:t>securing</w:t>
      </w:r>
      <w:r w:rsidR="00816B5B" w:rsidRPr="00031169">
        <w:rPr>
          <w:sz w:val="26"/>
          <w:szCs w:val="26"/>
        </w:rPr>
        <w:t xml:space="preserve"> laboratory </w:t>
      </w:r>
      <w:r w:rsidR="00B1723E" w:rsidRPr="00031169">
        <w:rPr>
          <w:sz w:val="26"/>
          <w:szCs w:val="26"/>
        </w:rPr>
        <w:t>research</w:t>
      </w:r>
      <w:r w:rsidR="00816B5B" w:rsidRPr="00031169">
        <w:rPr>
          <w:sz w:val="26"/>
          <w:szCs w:val="26"/>
        </w:rPr>
        <w:t xml:space="preserve"> (to </w:t>
      </w:r>
      <w:r w:rsidR="00B1723E" w:rsidRPr="00031169">
        <w:rPr>
          <w:sz w:val="26"/>
          <w:szCs w:val="26"/>
        </w:rPr>
        <w:t>reduce</w:t>
      </w:r>
      <w:r w:rsidR="00816B5B" w:rsidRPr="00031169">
        <w:rPr>
          <w:sz w:val="26"/>
          <w:szCs w:val="26"/>
        </w:rPr>
        <w:t xml:space="preserve"> </w:t>
      </w:r>
      <w:r w:rsidRPr="00031169">
        <w:rPr>
          <w:sz w:val="26"/>
          <w:szCs w:val="26"/>
        </w:rPr>
        <w:t xml:space="preserve">the risks of </w:t>
      </w:r>
      <w:r w:rsidR="00816B5B" w:rsidRPr="00031169">
        <w:rPr>
          <w:sz w:val="26"/>
          <w:szCs w:val="26"/>
        </w:rPr>
        <w:t>accidental outbreak</w:t>
      </w:r>
      <w:r w:rsidRPr="00031169">
        <w:rPr>
          <w:sz w:val="26"/>
          <w:szCs w:val="26"/>
        </w:rPr>
        <w:t xml:space="preserve">s </w:t>
      </w:r>
      <w:r w:rsidR="00816B5B" w:rsidRPr="00031169">
        <w:rPr>
          <w:sz w:val="26"/>
          <w:szCs w:val="26"/>
        </w:rPr>
        <w:t>and deliberate misuse</w:t>
      </w:r>
      <w:r w:rsidR="00B1723E" w:rsidRPr="00031169">
        <w:rPr>
          <w:sz w:val="26"/>
          <w:szCs w:val="26"/>
        </w:rPr>
        <w:t xml:space="preserve"> </w:t>
      </w:r>
      <w:r w:rsidR="00816B5B" w:rsidRPr="00031169">
        <w:rPr>
          <w:sz w:val="26"/>
          <w:szCs w:val="26"/>
        </w:rPr>
        <w:t xml:space="preserve">of </w:t>
      </w:r>
      <w:r w:rsidR="00B1723E" w:rsidRPr="00031169">
        <w:rPr>
          <w:sz w:val="26"/>
          <w:szCs w:val="26"/>
        </w:rPr>
        <w:t>pathogens</w:t>
      </w:r>
      <w:r w:rsidR="00816B5B" w:rsidRPr="00031169">
        <w:rPr>
          <w:sz w:val="26"/>
          <w:szCs w:val="26"/>
        </w:rPr>
        <w:t xml:space="preserve">) without undermining </w:t>
      </w:r>
      <w:r w:rsidR="003C2ADF">
        <w:rPr>
          <w:sz w:val="26"/>
          <w:szCs w:val="26"/>
        </w:rPr>
        <w:t xml:space="preserve">potentially </w:t>
      </w:r>
      <w:r w:rsidR="00816B5B" w:rsidRPr="00031169">
        <w:rPr>
          <w:sz w:val="26"/>
          <w:szCs w:val="26"/>
        </w:rPr>
        <w:t>life-</w:t>
      </w:r>
      <w:r w:rsidR="00B1723E" w:rsidRPr="00031169">
        <w:rPr>
          <w:sz w:val="26"/>
          <w:szCs w:val="26"/>
        </w:rPr>
        <w:t>saving</w:t>
      </w:r>
      <w:r w:rsidR="00816B5B" w:rsidRPr="00031169">
        <w:rPr>
          <w:sz w:val="26"/>
          <w:szCs w:val="26"/>
        </w:rPr>
        <w:t xml:space="preserve"> scientific research</w:t>
      </w:r>
      <w:r w:rsidR="00B1723E" w:rsidRPr="00031169">
        <w:rPr>
          <w:sz w:val="26"/>
          <w:szCs w:val="26"/>
        </w:rPr>
        <w:t>.</w:t>
      </w:r>
    </w:p>
    <w:p w14:paraId="0E473B07" w14:textId="77777777" w:rsidR="0088770B" w:rsidRPr="00031169" w:rsidRDefault="0088770B" w:rsidP="00B92ABD">
      <w:pPr>
        <w:shd w:val="clear" w:color="auto" w:fill="FFFFFF" w:themeFill="background1"/>
        <w:spacing w:line="276" w:lineRule="auto"/>
        <w:jc w:val="both"/>
        <w:rPr>
          <w:sz w:val="26"/>
          <w:szCs w:val="26"/>
        </w:rPr>
      </w:pPr>
    </w:p>
    <w:p w14:paraId="79C27CDC" w14:textId="17F96C28" w:rsidR="00EF7A5F" w:rsidRPr="00031169" w:rsidRDefault="00816B5B" w:rsidP="00B92ABD">
      <w:pPr>
        <w:pStyle w:val="ListParagraph"/>
        <w:numPr>
          <w:ilvl w:val="0"/>
          <w:numId w:val="2"/>
        </w:numPr>
        <w:shd w:val="clear" w:color="auto" w:fill="FFFFFF" w:themeFill="background1"/>
        <w:spacing w:line="276" w:lineRule="auto"/>
        <w:ind w:left="360"/>
        <w:jc w:val="both"/>
        <w:rPr>
          <w:sz w:val="26"/>
          <w:szCs w:val="26"/>
        </w:rPr>
      </w:pPr>
      <w:r w:rsidRPr="00031169">
        <w:rPr>
          <w:sz w:val="26"/>
          <w:szCs w:val="26"/>
        </w:rPr>
        <w:t>The COVID-19 experience in the UK</w:t>
      </w:r>
      <w:r w:rsidR="00B1723E" w:rsidRPr="00031169">
        <w:rPr>
          <w:sz w:val="26"/>
          <w:szCs w:val="26"/>
        </w:rPr>
        <w:t xml:space="preserve"> shows that the g</w:t>
      </w:r>
      <w:r w:rsidR="00207872" w:rsidRPr="00031169">
        <w:rPr>
          <w:sz w:val="26"/>
          <w:szCs w:val="26"/>
        </w:rPr>
        <w:t>overnment</w:t>
      </w:r>
      <w:r w:rsidR="00627882" w:rsidRPr="00031169">
        <w:rPr>
          <w:sz w:val="26"/>
          <w:szCs w:val="26"/>
        </w:rPr>
        <w:t>’s biosecurity strategy</w:t>
      </w:r>
      <w:r w:rsidR="00207872" w:rsidRPr="00031169">
        <w:rPr>
          <w:sz w:val="26"/>
          <w:szCs w:val="26"/>
        </w:rPr>
        <w:t xml:space="preserve"> </w:t>
      </w:r>
      <w:r w:rsidR="00277431" w:rsidRPr="00031169">
        <w:rPr>
          <w:sz w:val="26"/>
          <w:szCs w:val="26"/>
        </w:rPr>
        <w:t xml:space="preserve">did not adequately </w:t>
      </w:r>
      <w:r w:rsidR="00207872" w:rsidRPr="00031169">
        <w:rPr>
          <w:sz w:val="26"/>
          <w:szCs w:val="26"/>
        </w:rPr>
        <w:t>anticipate</w:t>
      </w:r>
      <w:r w:rsidR="00277431" w:rsidRPr="00031169">
        <w:rPr>
          <w:sz w:val="26"/>
          <w:szCs w:val="26"/>
        </w:rPr>
        <w:t xml:space="preserve"> </w:t>
      </w:r>
      <w:r w:rsidR="00B1723E" w:rsidRPr="00031169">
        <w:rPr>
          <w:sz w:val="26"/>
          <w:szCs w:val="26"/>
        </w:rPr>
        <w:t xml:space="preserve">another ‘biosecurity dilemma’: </w:t>
      </w:r>
      <w:r w:rsidR="00207872" w:rsidRPr="00031169">
        <w:rPr>
          <w:sz w:val="26"/>
          <w:szCs w:val="26"/>
        </w:rPr>
        <w:t xml:space="preserve">the </w:t>
      </w:r>
      <w:r w:rsidRPr="00031169">
        <w:rPr>
          <w:sz w:val="26"/>
          <w:szCs w:val="26"/>
        </w:rPr>
        <w:t xml:space="preserve">challenge of </w:t>
      </w:r>
      <w:r w:rsidR="00B1723E" w:rsidRPr="00031169">
        <w:rPr>
          <w:sz w:val="26"/>
          <w:szCs w:val="26"/>
        </w:rPr>
        <w:t>implementing</w:t>
      </w:r>
      <w:r w:rsidR="00207872" w:rsidRPr="00031169">
        <w:rPr>
          <w:sz w:val="26"/>
          <w:szCs w:val="26"/>
        </w:rPr>
        <w:t xml:space="preserve"> </w:t>
      </w:r>
      <w:r w:rsidR="00F62A79" w:rsidRPr="00031169">
        <w:rPr>
          <w:sz w:val="26"/>
          <w:szCs w:val="26"/>
        </w:rPr>
        <w:t>nonpharmaceutical responses</w:t>
      </w:r>
      <w:r w:rsidR="00B1723E" w:rsidRPr="00031169">
        <w:rPr>
          <w:sz w:val="26"/>
          <w:szCs w:val="26"/>
        </w:rPr>
        <w:t xml:space="preserve"> to a significant disease outbreak without causing excessive harm to society</w:t>
      </w:r>
      <w:r w:rsidR="002D7B38" w:rsidRPr="00031169">
        <w:rPr>
          <w:sz w:val="26"/>
          <w:szCs w:val="26"/>
        </w:rPr>
        <w:t>.</w:t>
      </w:r>
    </w:p>
    <w:p w14:paraId="38B4D600" w14:textId="0C82A0D5" w:rsidR="00207872" w:rsidRPr="00031169" w:rsidRDefault="00207872" w:rsidP="00B92ABD">
      <w:pPr>
        <w:shd w:val="clear" w:color="auto" w:fill="FFFFFF" w:themeFill="background1"/>
        <w:spacing w:line="276" w:lineRule="auto"/>
        <w:jc w:val="both"/>
        <w:rPr>
          <w:sz w:val="26"/>
          <w:szCs w:val="26"/>
        </w:rPr>
      </w:pPr>
    </w:p>
    <w:p w14:paraId="536DB313" w14:textId="4AD61B3A" w:rsidR="00965FD8" w:rsidRPr="00031169" w:rsidRDefault="00207872" w:rsidP="00B92ABD">
      <w:pPr>
        <w:pStyle w:val="ListParagraph"/>
        <w:numPr>
          <w:ilvl w:val="0"/>
          <w:numId w:val="2"/>
        </w:numPr>
        <w:shd w:val="clear" w:color="auto" w:fill="FFFFFF" w:themeFill="background1"/>
        <w:spacing w:line="276" w:lineRule="auto"/>
        <w:ind w:left="360"/>
        <w:jc w:val="both"/>
        <w:rPr>
          <w:sz w:val="26"/>
          <w:szCs w:val="26"/>
        </w:rPr>
      </w:pPr>
      <w:r w:rsidRPr="00031169">
        <w:rPr>
          <w:sz w:val="26"/>
          <w:szCs w:val="26"/>
        </w:rPr>
        <w:t xml:space="preserve">A national biological </w:t>
      </w:r>
      <w:r w:rsidR="00B1723E" w:rsidRPr="00031169">
        <w:rPr>
          <w:sz w:val="26"/>
          <w:szCs w:val="26"/>
        </w:rPr>
        <w:t xml:space="preserve">security </w:t>
      </w:r>
      <w:r w:rsidRPr="00031169">
        <w:rPr>
          <w:sz w:val="26"/>
          <w:szCs w:val="26"/>
        </w:rPr>
        <w:t>strategy</w:t>
      </w:r>
      <w:r w:rsidR="0088770B" w:rsidRPr="00031169">
        <w:rPr>
          <w:sz w:val="26"/>
          <w:szCs w:val="26"/>
        </w:rPr>
        <w:t xml:space="preserve"> should</w:t>
      </w:r>
      <w:r w:rsidRPr="00031169">
        <w:rPr>
          <w:sz w:val="26"/>
          <w:szCs w:val="26"/>
        </w:rPr>
        <w:t>:</w:t>
      </w:r>
    </w:p>
    <w:p w14:paraId="12DF5CD6" w14:textId="77777777" w:rsidR="00965FD8" w:rsidRPr="00031169" w:rsidRDefault="00965FD8" w:rsidP="00B92ABD">
      <w:pPr>
        <w:shd w:val="clear" w:color="auto" w:fill="FFFFFF" w:themeFill="background1"/>
        <w:spacing w:line="276" w:lineRule="auto"/>
        <w:jc w:val="both"/>
        <w:rPr>
          <w:sz w:val="26"/>
          <w:szCs w:val="26"/>
        </w:rPr>
      </w:pPr>
    </w:p>
    <w:p w14:paraId="347BEDC1" w14:textId="77777777" w:rsidR="00EB5C6F" w:rsidRPr="00031169" w:rsidRDefault="00996170" w:rsidP="00B92ABD">
      <w:pPr>
        <w:shd w:val="clear" w:color="auto" w:fill="FFFFFF" w:themeFill="background1"/>
        <w:spacing w:line="276" w:lineRule="auto"/>
        <w:ind w:firstLine="360"/>
        <w:jc w:val="both"/>
        <w:rPr>
          <w:sz w:val="26"/>
          <w:szCs w:val="26"/>
        </w:rPr>
      </w:pPr>
      <w:r w:rsidRPr="00031169">
        <w:rPr>
          <w:sz w:val="26"/>
          <w:szCs w:val="26"/>
        </w:rPr>
        <w:t xml:space="preserve">- </w:t>
      </w:r>
      <w:r w:rsidR="00207872" w:rsidRPr="00031169">
        <w:rPr>
          <w:sz w:val="26"/>
          <w:szCs w:val="26"/>
        </w:rPr>
        <w:t xml:space="preserve">guide efforts to address </w:t>
      </w:r>
      <w:r w:rsidR="005509E8" w:rsidRPr="00031169">
        <w:rPr>
          <w:sz w:val="26"/>
          <w:szCs w:val="26"/>
        </w:rPr>
        <w:t xml:space="preserve">effectively </w:t>
      </w:r>
      <w:r w:rsidR="00EB5C6F" w:rsidRPr="00031169">
        <w:rPr>
          <w:sz w:val="26"/>
          <w:szCs w:val="26"/>
        </w:rPr>
        <w:t xml:space="preserve">and comprehensively </w:t>
      </w:r>
      <w:r w:rsidR="00207872" w:rsidRPr="00031169">
        <w:rPr>
          <w:sz w:val="26"/>
          <w:szCs w:val="26"/>
        </w:rPr>
        <w:t xml:space="preserve">the </w:t>
      </w:r>
      <w:r w:rsidR="00E977D5" w:rsidRPr="00031169">
        <w:rPr>
          <w:sz w:val="26"/>
          <w:szCs w:val="26"/>
        </w:rPr>
        <w:t xml:space="preserve">health and </w:t>
      </w:r>
    </w:p>
    <w:p w14:paraId="3AE7B66E" w14:textId="115CE579" w:rsidR="00965FD8" w:rsidRPr="00031169" w:rsidRDefault="00E977D5" w:rsidP="00B92ABD">
      <w:pPr>
        <w:shd w:val="clear" w:color="auto" w:fill="FFFFFF" w:themeFill="background1"/>
        <w:spacing w:line="276" w:lineRule="auto"/>
        <w:ind w:firstLine="360"/>
        <w:jc w:val="both"/>
        <w:rPr>
          <w:sz w:val="26"/>
          <w:szCs w:val="26"/>
        </w:rPr>
      </w:pPr>
      <w:r w:rsidRPr="00031169">
        <w:rPr>
          <w:sz w:val="26"/>
          <w:szCs w:val="26"/>
        </w:rPr>
        <w:t xml:space="preserve">security </w:t>
      </w:r>
      <w:r w:rsidR="00B1723E" w:rsidRPr="00031169">
        <w:rPr>
          <w:sz w:val="26"/>
          <w:szCs w:val="26"/>
        </w:rPr>
        <w:t xml:space="preserve">risks </w:t>
      </w:r>
      <w:r w:rsidR="00207872" w:rsidRPr="00031169">
        <w:rPr>
          <w:sz w:val="26"/>
          <w:szCs w:val="26"/>
        </w:rPr>
        <w:t xml:space="preserve">posed by pathogenic microorganisms; and </w:t>
      </w:r>
    </w:p>
    <w:p w14:paraId="664E7AC5" w14:textId="77777777" w:rsidR="00965FD8" w:rsidRPr="00031169" w:rsidRDefault="00965FD8" w:rsidP="00B92ABD">
      <w:pPr>
        <w:shd w:val="clear" w:color="auto" w:fill="FFFFFF" w:themeFill="background1"/>
        <w:spacing w:line="276" w:lineRule="auto"/>
        <w:jc w:val="both"/>
        <w:rPr>
          <w:sz w:val="26"/>
          <w:szCs w:val="26"/>
        </w:rPr>
      </w:pPr>
    </w:p>
    <w:p w14:paraId="7FAF87BA" w14:textId="77777777" w:rsidR="00EB5C6F" w:rsidRPr="00031169" w:rsidRDefault="00996170" w:rsidP="00B92ABD">
      <w:pPr>
        <w:shd w:val="clear" w:color="auto" w:fill="FFFFFF" w:themeFill="background1"/>
        <w:spacing w:line="276" w:lineRule="auto"/>
        <w:ind w:firstLine="360"/>
        <w:jc w:val="both"/>
        <w:rPr>
          <w:sz w:val="26"/>
          <w:szCs w:val="26"/>
        </w:rPr>
      </w:pPr>
      <w:r w:rsidRPr="00031169">
        <w:rPr>
          <w:sz w:val="26"/>
          <w:szCs w:val="26"/>
        </w:rPr>
        <w:t xml:space="preserve">- </w:t>
      </w:r>
      <w:r w:rsidR="00965FD8" w:rsidRPr="00031169">
        <w:rPr>
          <w:sz w:val="26"/>
          <w:szCs w:val="26"/>
        </w:rPr>
        <w:t xml:space="preserve">anticipate, and </w:t>
      </w:r>
      <w:r w:rsidR="00207872" w:rsidRPr="00031169">
        <w:rPr>
          <w:sz w:val="26"/>
          <w:szCs w:val="26"/>
        </w:rPr>
        <w:t>support the management of</w:t>
      </w:r>
      <w:r w:rsidR="00965FD8" w:rsidRPr="00031169">
        <w:rPr>
          <w:sz w:val="26"/>
          <w:szCs w:val="26"/>
        </w:rPr>
        <w:t xml:space="preserve">, </w:t>
      </w:r>
      <w:r w:rsidR="00E977D5" w:rsidRPr="00031169">
        <w:rPr>
          <w:sz w:val="26"/>
          <w:szCs w:val="26"/>
        </w:rPr>
        <w:t>the potential</w:t>
      </w:r>
      <w:r w:rsidR="00207872" w:rsidRPr="00031169">
        <w:rPr>
          <w:sz w:val="26"/>
          <w:szCs w:val="26"/>
        </w:rPr>
        <w:t xml:space="preserve"> </w:t>
      </w:r>
      <w:r w:rsidR="00B1723E" w:rsidRPr="00031169">
        <w:rPr>
          <w:sz w:val="26"/>
          <w:szCs w:val="26"/>
        </w:rPr>
        <w:t>downside</w:t>
      </w:r>
      <w:r w:rsidR="00E977D5" w:rsidRPr="00031169">
        <w:rPr>
          <w:sz w:val="26"/>
          <w:szCs w:val="26"/>
        </w:rPr>
        <w:t>s to</w:t>
      </w:r>
      <w:r w:rsidR="00EB5C6F" w:rsidRPr="00031169">
        <w:rPr>
          <w:sz w:val="26"/>
          <w:szCs w:val="26"/>
        </w:rPr>
        <w:t xml:space="preserve"> </w:t>
      </w:r>
    </w:p>
    <w:p w14:paraId="7B9C17A2" w14:textId="0C521552" w:rsidR="00627882" w:rsidRPr="00031169" w:rsidRDefault="00E06C00" w:rsidP="00B92ABD">
      <w:pPr>
        <w:shd w:val="clear" w:color="auto" w:fill="FFFFFF" w:themeFill="background1"/>
        <w:spacing w:line="276" w:lineRule="auto"/>
        <w:ind w:firstLine="360"/>
        <w:jc w:val="both"/>
        <w:rPr>
          <w:sz w:val="26"/>
          <w:szCs w:val="26"/>
        </w:rPr>
      </w:pPr>
      <w:r w:rsidRPr="00031169">
        <w:rPr>
          <w:sz w:val="26"/>
          <w:szCs w:val="26"/>
        </w:rPr>
        <w:t>implement</w:t>
      </w:r>
      <w:r w:rsidR="00E977D5" w:rsidRPr="00031169">
        <w:rPr>
          <w:sz w:val="26"/>
          <w:szCs w:val="26"/>
        </w:rPr>
        <w:t>ing</w:t>
      </w:r>
      <w:r w:rsidR="00207872" w:rsidRPr="00031169">
        <w:rPr>
          <w:sz w:val="26"/>
          <w:szCs w:val="26"/>
        </w:rPr>
        <w:t xml:space="preserve"> </w:t>
      </w:r>
      <w:r w:rsidR="00E977D5" w:rsidRPr="00031169">
        <w:rPr>
          <w:sz w:val="26"/>
          <w:szCs w:val="26"/>
        </w:rPr>
        <w:t xml:space="preserve">certain kinds of </w:t>
      </w:r>
      <w:r w:rsidR="005509E8" w:rsidRPr="00031169">
        <w:rPr>
          <w:sz w:val="26"/>
          <w:szCs w:val="26"/>
        </w:rPr>
        <w:t xml:space="preserve">biosecurity </w:t>
      </w:r>
      <w:r w:rsidR="00965FD8" w:rsidRPr="00031169">
        <w:rPr>
          <w:sz w:val="26"/>
          <w:szCs w:val="26"/>
        </w:rPr>
        <w:t>measures</w:t>
      </w:r>
      <w:r w:rsidR="00207872" w:rsidRPr="00031169">
        <w:rPr>
          <w:sz w:val="26"/>
          <w:szCs w:val="26"/>
        </w:rPr>
        <w:t>.</w:t>
      </w:r>
    </w:p>
    <w:p w14:paraId="18E6F29F" w14:textId="417EF9B9" w:rsidR="00F87F80" w:rsidRPr="00031169" w:rsidRDefault="00B04E0C" w:rsidP="00B92ABD">
      <w:pPr>
        <w:spacing w:line="276" w:lineRule="auto"/>
        <w:jc w:val="center"/>
        <w:rPr>
          <w:b/>
          <w:bCs/>
          <w:sz w:val="32"/>
          <w:szCs w:val="32"/>
        </w:rPr>
      </w:pPr>
      <w:bookmarkStart w:id="2" w:name="_Hlk53921551"/>
      <w:r w:rsidRPr="00031169">
        <w:rPr>
          <w:b/>
          <w:bCs/>
          <w:sz w:val="32"/>
          <w:szCs w:val="32"/>
        </w:rPr>
        <w:lastRenderedPageBreak/>
        <w:t>Biosecurity Policy Challenges: Disease Risks and Risky Responses</w:t>
      </w:r>
    </w:p>
    <w:bookmarkEnd w:id="2"/>
    <w:p w14:paraId="1A38D6E2" w14:textId="77777777" w:rsidR="00F87F80" w:rsidRPr="00031169" w:rsidRDefault="00F87F80" w:rsidP="00B92ABD">
      <w:pPr>
        <w:spacing w:line="276" w:lineRule="auto"/>
        <w:jc w:val="both"/>
      </w:pPr>
    </w:p>
    <w:p w14:paraId="47BE583F" w14:textId="62829D3C" w:rsidR="00965FD8" w:rsidRPr="00031169" w:rsidRDefault="00C977C3" w:rsidP="00B92ABD">
      <w:pPr>
        <w:spacing w:line="276" w:lineRule="auto"/>
        <w:jc w:val="both"/>
      </w:pPr>
      <w:r w:rsidRPr="00031169">
        <w:t>T</w:t>
      </w:r>
      <w:r w:rsidR="00965FD8" w:rsidRPr="00031169">
        <w:t xml:space="preserve">his submission </w:t>
      </w:r>
      <w:r w:rsidR="00D737F1" w:rsidRPr="00031169">
        <w:t>relates to</w:t>
      </w:r>
      <w:r w:rsidR="007F1F11" w:rsidRPr="00031169">
        <w:t xml:space="preserve"> </w:t>
      </w:r>
      <w:r w:rsidR="00965FD8" w:rsidRPr="00031169">
        <w:t xml:space="preserve">the </w:t>
      </w:r>
      <w:r w:rsidR="008F5CC3" w:rsidRPr="00031169">
        <w:t xml:space="preserve">Joint </w:t>
      </w:r>
      <w:r w:rsidR="00965FD8" w:rsidRPr="00031169">
        <w:t xml:space="preserve">Committee’s </w:t>
      </w:r>
      <w:r w:rsidR="005B7F5E" w:rsidRPr="00031169">
        <w:t>interest in</w:t>
      </w:r>
      <w:r w:rsidR="00965FD8" w:rsidRPr="00031169">
        <w:t>:</w:t>
      </w:r>
    </w:p>
    <w:p w14:paraId="6C4C4A5E" w14:textId="77777777" w:rsidR="00965FD8" w:rsidRPr="00031169" w:rsidRDefault="00965FD8" w:rsidP="00B92ABD">
      <w:pPr>
        <w:spacing w:line="276" w:lineRule="auto"/>
        <w:jc w:val="both"/>
      </w:pPr>
    </w:p>
    <w:p w14:paraId="45CDDE0D" w14:textId="531AEA4F" w:rsidR="00965FD8" w:rsidRPr="00031169" w:rsidRDefault="00965FD8" w:rsidP="00B92ABD">
      <w:pPr>
        <w:spacing w:line="276" w:lineRule="auto"/>
        <w:ind w:left="720"/>
        <w:jc w:val="both"/>
        <w:rPr>
          <w:lang w:val="en-AU"/>
        </w:rPr>
      </w:pPr>
      <w:r w:rsidRPr="00031169">
        <w:rPr>
          <w:i/>
          <w:iCs/>
          <w:lang w:val="en-AU"/>
        </w:rPr>
        <w:t>How, and how effectively, [biosecurity risks to human health in the UK] are monitored and assessed by the UK Government, and by whom; and whether the specific type of risk to the UK represented by Covid-19 fell within such monitoring and assessment processes</w:t>
      </w:r>
      <w:r w:rsidR="000B5CE9" w:rsidRPr="00031169">
        <w:rPr>
          <w:i/>
          <w:iCs/>
          <w:lang w:val="en-AU"/>
        </w:rPr>
        <w:t xml:space="preserve"> … </w:t>
      </w:r>
      <w:r w:rsidR="000B5CE9" w:rsidRPr="00031169">
        <w:rPr>
          <w:lang w:val="en-AU"/>
        </w:rPr>
        <w:t>[and]</w:t>
      </w:r>
    </w:p>
    <w:p w14:paraId="01C56E31" w14:textId="77777777" w:rsidR="00965FD8" w:rsidRPr="00031169" w:rsidRDefault="00965FD8" w:rsidP="00B92ABD">
      <w:pPr>
        <w:spacing w:line="276" w:lineRule="auto"/>
        <w:jc w:val="both"/>
        <w:rPr>
          <w:lang w:val="en-AU"/>
        </w:rPr>
      </w:pPr>
    </w:p>
    <w:p w14:paraId="0E20FBA9" w14:textId="35709BC5" w:rsidR="00965FD8" w:rsidRPr="00031169" w:rsidRDefault="00965FD8" w:rsidP="00B92ABD">
      <w:pPr>
        <w:spacing w:line="276" w:lineRule="auto"/>
        <w:ind w:left="720"/>
        <w:jc w:val="both"/>
        <w:rPr>
          <w:i/>
          <w:iCs/>
          <w:lang w:val="en-AU"/>
        </w:rPr>
      </w:pPr>
      <w:r w:rsidRPr="00031169">
        <w:rPr>
          <w:i/>
          <w:iCs/>
          <w:lang w:val="en-AU"/>
        </w:rPr>
        <w:t>The extent to which the Government's planning for pandemics in the 2015 Strategic Defence &amp; Security Review, the subsequent National Security Capability Review and the 2018 Biosecurity Strategy helped in guiding [</w:t>
      </w:r>
      <w:r w:rsidRPr="00031169">
        <w:rPr>
          <w:rStyle w:val="normaltextrun"/>
          <w:rFonts w:eastAsia="Times New Roman"/>
          <w:i/>
          <w:iCs/>
          <w:lang w:val="en-AU"/>
        </w:rPr>
        <w:t>domestic preparedness against biosecurity risks]</w:t>
      </w:r>
    </w:p>
    <w:p w14:paraId="4CF75680" w14:textId="5C47F918" w:rsidR="00965FD8" w:rsidRPr="00031169" w:rsidRDefault="00965FD8" w:rsidP="00B92ABD">
      <w:pPr>
        <w:spacing w:line="276" w:lineRule="auto"/>
        <w:jc w:val="both"/>
      </w:pPr>
    </w:p>
    <w:p w14:paraId="3D586656" w14:textId="77777777" w:rsidR="00C0578C" w:rsidRPr="00031169" w:rsidRDefault="004F6088" w:rsidP="00B92ABD">
      <w:pPr>
        <w:spacing w:line="276" w:lineRule="auto"/>
        <w:jc w:val="both"/>
        <w:rPr>
          <w:lang w:val="en-US"/>
        </w:rPr>
      </w:pPr>
      <w:r w:rsidRPr="00031169">
        <w:t xml:space="preserve">For </w:t>
      </w:r>
      <w:r w:rsidR="00D737F1" w:rsidRPr="00031169">
        <w:t>present</w:t>
      </w:r>
      <w:r w:rsidRPr="00031169">
        <w:t xml:space="preserve"> </w:t>
      </w:r>
      <w:r w:rsidR="003D214C" w:rsidRPr="00031169">
        <w:t>purpos</w:t>
      </w:r>
      <w:r w:rsidR="00D737F1" w:rsidRPr="00031169">
        <w:t>es</w:t>
      </w:r>
      <w:r w:rsidRPr="00031169">
        <w:t xml:space="preserve">, </w:t>
      </w:r>
      <w:r w:rsidR="005B7F5E" w:rsidRPr="00031169">
        <w:t xml:space="preserve">‘biosecurity’ </w:t>
      </w:r>
      <w:r w:rsidR="003D214C" w:rsidRPr="00031169">
        <w:t xml:space="preserve">means </w:t>
      </w:r>
      <w:r w:rsidR="00E6209C" w:rsidRPr="00031169">
        <w:rPr>
          <w:lang w:val="en-US"/>
        </w:rPr>
        <w:t xml:space="preserve">the safeguarding of populations within and among states against selected infectious disease risks. </w:t>
      </w:r>
    </w:p>
    <w:p w14:paraId="4DAF107B" w14:textId="77777777" w:rsidR="00C0578C" w:rsidRPr="00031169" w:rsidRDefault="00C0578C" w:rsidP="00B92ABD">
      <w:pPr>
        <w:spacing w:line="276" w:lineRule="auto"/>
        <w:jc w:val="both"/>
        <w:rPr>
          <w:lang w:val="en-US"/>
        </w:rPr>
      </w:pPr>
    </w:p>
    <w:p w14:paraId="6742A644" w14:textId="77777777" w:rsidR="007B393E" w:rsidRPr="00031169" w:rsidRDefault="008F5CC3" w:rsidP="00B92ABD">
      <w:pPr>
        <w:spacing w:line="276" w:lineRule="auto"/>
        <w:jc w:val="both"/>
        <w:rPr>
          <w:lang w:val="en-US"/>
        </w:rPr>
      </w:pPr>
      <w:r w:rsidRPr="00031169">
        <w:rPr>
          <w:lang w:val="en-US"/>
        </w:rPr>
        <w:t xml:space="preserve">Among the many risks to human health that exist or might emerge, sudden outbreaks of deadly infectious diseases have </w:t>
      </w:r>
      <w:r w:rsidR="007B393E" w:rsidRPr="00031169">
        <w:rPr>
          <w:lang w:val="en-US"/>
        </w:rPr>
        <w:t>the greatest</w:t>
      </w:r>
      <w:r w:rsidRPr="00031169">
        <w:rPr>
          <w:lang w:val="en-US"/>
        </w:rPr>
        <w:t xml:space="preserve"> tendency to excite the urgent attention of policymakers concerned about national security. However, the adoption of a security-oriented approach to preventing or responding to disease outbreaks is not necessarily a good thing. </w:t>
      </w:r>
    </w:p>
    <w:p w14:paraId="0422ED07" w14:textId="77777777" w:rsidR="007B393E" w:rsidRPr="00031169" w:rsidRDefault="007B393E" w:rsidP="00B92ABD">
      <w:pPr>
        <w:spacing w:line="276" w:lineRule="auto"/>
        <w:jc w:val="both"/>
        <w:rPr>
          <w:lang w:val="en-US"/>
        </w:rPr>
      </w:pPr>
    </w:p>
    <w:p w14:paraId="281EA540" w14:textId="77777777" w:rsidR="00E67B10" w:rsidRPr="00031169" w:rsidRDefault="008F5CC3" w:rsidP="00B92ABD">
      <w:pPr>
        <w:spacing w:line="276" w:lineRule="auto"/>
        <w:jc w:val="both"/>
        <w:rPr>
          <w:lang w:val="en-US"/>
        </w:rPr>
      </w:pPr>
      <w:r w:rsidRPr="00031169">
        <w:rPr>
          <w:lang w:val="en-US"/>
        </w:rPr>
        <w:t>When populations within and among states confront a dreaded disease risk</w:t>
      </w:r>
      <w:r w:rsidR="00632E23" w:rsidRPr="00031169">
        <w:rPr>
          <w:lang w:val="en-US"/>
        </w:rPr>
        <w:t xml:space="preserve">, </w:t>
      </w:r>
      <w:r w:rsidRPr="00031169">
        <w:rPr>
          <w:lang w:val="en-US"/>
        </w:rPr>
        <w:t>governments often assume a responsibility to address the cause of that dread</w:t>
      </w:r>
      <w:r w:rsidR="00632E23" w:rsidRPr="00031169">
        <w:rPr>
          <w:lang w:val="en-US"/>
        </w:rPr>
        <w:t xml:space="preserve">, but it is important for policymakers always to be sensitive to the possibility of a </w:t>
      </w:r>
      <w:r w:rsidR="00D737F1" w:rsidRPr="00031169">
        <w:rPr>
          <w:lang w:val="en-US"/>
        </w:rPr>
        <w:t>biosecurity</w:t>
      </w:r>
      <w:r w:rsidR="00632E23" w:rsidRPr="00031169">
        <w:rPr>
          <w:lang w:val="en-US"/>
        </w:rPr>
        <w:t xml:space="preserve"> practice doing more harm than good. Adopting a security-</w:t>
      </w:r>
      <w:r w:rsidR="007B393E" w:rsidRPr="00031169">
        <w:rPr>
          <w:lang w:val="en-US"/>
        </w:rPr>
        <w:t>based</w:t>
      </w:r>
      <w:r w:rsidR="00632E23" w:rsidRPr="00031169">
        <w:rPr>
          <w:lang w:val="en-US"/>
        </w:rPr>
        <w:t xml:space="preserve"> approach to </w:t>
      </w:r>
      <w:r w:rsidR="007B393E" w:rsidRPr="00031169">
        <w:rPr>
          <w:lang w:val="en-US"/>
        </w:rPr>
        <w:t>addressing</w:t>
      </w:r>
      <w:r w:rsidR="00632E23" w:rsidRPr="00031169">
        <w:rPr>
          <w:lang w:val="en-US"/>
        </w:rPr>
        <w:t xml:space="preserve"> infectious disease risks can garner extra resources and stronger regulatory powers for risk-reduction purposes, but such an approach can sometimes manifest in policies and practices that are ineffective, counterproductive or unjust. </w:t>
      </w:r>
    </w:p>
    <w:p w14:paraId="7DF2AB29" w14:textId="77777777" w:rsidR="00E67B10" w:rsidRPr="00031169" w:rsidRDefault="00E67B10" w:rsidP="00B92ABD">
      <w:pPr>
        <w:spacing w:line="276" w:lineRule="auto"/>
        <w:jc w:val="both"/>
        <w:rPr>
          <w:lang w:val="en-US"/>
        </w:rPr>
      </w:pPr>
    </w:p>
    <w:p w14:paraId="57E3B862" w14:textId="3AB647F1" w:rsidR="00632E23" w:rsidRPr="00031169" w:rsidRDefault="00632E23" w:rsidP="00B92ABD">
      <w:pPr>
        <w:spacing w:line="276" w:lineRule="auto"/>
        <w:jc w:val="both"/>
        <w:rPr>
          <w:bCs/>
          <w:lang w:val="en-US"/>
        </w:rPr>
      </w:pPr>
      <w:r w:rsidRPr="00031169">
        <w:rPr>
          <w:lang w:val="en-US"/>
        </w:rPr>
        <w:t xml:space="preserve">This </w:t>
      </w:r>
      <w:r w:rsidR="007B393E" w:rsidRPr="00031169">
        <w:rPr>
          <w:lang w:val="en-US"/>
        </w:rPr>
        <w:t>problem potentially arises</w:t>
      </w:r>
      <w:r w:rsidRPr="00031169">
        <w:rPr>
          <w:lang w:val="en-US"/>
        </w:rPr>
        <w:t xml:space="preserve"> in at least four </w:t>
      </w:r>
      <w:r w:rsidRPr="00031169">
        <w:rPr>
          <w:bCs/>
          <w:lang w:val="en-US"/>
        </w:rPr>
        <w:t xml:space="preserve">overlapping </w:t>
      </w:r>
      <w:r w:rsidRPr="00031169">
        <w:rPr>
          <w:lang w:val="en-US"/>
        </w:rPr>
        <w:t xml:space="preserve">areas of </w:t>
      </w:r>
      <w:r w:rsidR="001A26E3" w:rsidRPr="00031169">
        <w:rPr>
          <w:lang w:val="en-US"/>
        </w:rPr>
        <w:t xml:space="preserve">biosecurity </w:t>
      </w:r>
      <w:r w:rsidRPr="00031169">
        <w:rPr>
          <w:bCs/>
          <w:lang w:val="en-US"/>
        </w:rPr>
        <w:t>policy concern:</w:t>
      </w:r>
    </w:p>
    <w:p w14:paraId="72AABC68" w14:textId="77777777" w:rsidR="00AB5BCE" w:rsidRPr="00031169" w:rsidRDefault="00AB5BCE" w:rsidP="00B92ABD">
      <w:pPr>
        <w:spacing w:line="276" w:lineRule="auto"/>
        <w:jc w:val="both"/>
        <w:rPr>
          <w:lang w:val="en-US"/>
        </w:rPr>
      </w:pPr>
    </w:p>
    <w:p w14:paraId="73B6169B" w14:textId="14F39F8B" w:rsidR="00632E23" w:rsidRPr="00031169" w:rsidRDefault="00632E23" w:rsidP="00B92ABD">
      <w:pPr>
        <w:pStyle w:val="ListParagraph"/>
        <w:numPr>
          <w:ilvl w:val="0"/>
          <w:numId w:val="9"/>
        </w:numPr>
        <w:spacing w:line="276" w:lineRule="auto"/>
        <w:jc w:val="both"/>
        <w:rPr>
          <w:bCs/>
          <w:lang w:val="en-US"/>
        </w:rPr>
      </w:pPr>
      <w:r w:rsidRPr="00031169">
        <w:rPr>
          <w:bCs/>
          <w:lang w:val="en-US"/>
        </w:rPr>
        <w:t>the threat of biological weapons</w:t>
      </w:r>
      <w:r w:rsidR="00AB5BCE" w:rsidRPr="00031169">
        <w:rPr>
          <w:bCs/>
          <w:lang w:val="en-US"/>
        </w:rPr>
        <w:t xml:space="preserve"> proliferation and use</w:t>
      </w:r>
      <w:r w:rsidR="00703C20" w:rsidRPr="00031169">
        <w:rPr>
          <w:bCs/>
          <w:lang w:val="en-US"/>
        </w:rPr>
        <w:t>;</w:t>
      </w:r>
      <w:r w:rsidRPr="00031169">
        <w:rPr>
          <w:bCs/>
          <w:lang w:val="en-US"/>
        </w:rPr>
        <w:t xml:space="preserve"> </w:t>
      </w:r>
    </w:p>
    <w:p w14:paraId="0A90A5F7" w14:textId="639F24A6" w:rsidR="00632E23" w:rsidRPr="00031169" w:rsidRDefault="00632E23" w:rsidP="00B92ABD">
      <w:pPr>
        <w:pStyle w:val="ListParagraph"/>
        <w:numPr>
          <w:ilvl w:val="0"/>
          <w:numId w:val="9"/>
        </w:numPr>
        <w:spacing w:line="276" w:lineRule="auto"/>
        <w:jc w:val="both"/>
        <w:rPr>
          <w:bCs/>
          <w:lang w:val="en-US"/>
        </w:rPr>
      </w:pPr>
      <w:r w:rsidRPr="00031169">
        <w:rPr>
          <w:bCs/>
          <w:lang w:val="en-US"/>
        </w:rPr>
        <w:t xml:space="preserve">the </w:t>
      </w:r>
      <w:r w:rsidR="00AB5BCE" w:rsidRPr="00031169">
        <w:rPr>
          <w:bCs/>
          <w:lang w:val="en-US"/>
        </w:rPr>
        <w:t xml:space="preserve">safety and security </w:t>
      </w:r>
      <w:r w:rsidRPr="00031169">
        <w:rPr>
          <w:bCs/>
          <w:lang w:val="en-US"/>
        </w:rPr>
        <w:t>risks of laboratory research on pathogenic microorganisms</w:t>
      </w:r>
      <w:r w:rsidR="00703C20" w:rsidRPr="00031169">
        <w:rPr>
          <w:bCs/>
          <w:lang w:val="en-US"/>
        </w:rPr>
        <w:t>;</w:t>
      </w:r>
      <w:r w:rsidRPr="00031169">
        <w:rPr>
          <w:bCs/>
          <w:lang w:val="en-US"/>
        </w:rPr>
        <w:t xml:space="preserve"> </w:t>
      </w:r>
    </w:p>
    <w:p w14:paraId="0B4C867A" w14:textId="3DA641DA" w:rsidR="00632E23" w:rsidRPr="00031169" w:rsidRDefault="00632E23" w:rsidP="00B92ABD">
      <w:pPr>
        <w:pStyle w:val="ListParagraph"/>
        <w:numPr>
          <w:ilvl w:val="0"/>
          <w:numId w:val="9"/>
        </w:numPr>
        <w:spacing w:line="276" w:lineRule="auto"/>
        <w:jc w:val="both"/>
        <w:rPr>
          <w:bCs/>
          <w:lang w:val="en-US"/>
        </w:rPr>
      </w:pPr>
      <w:r w:rsidRPr="00031169">
        <w:rPr>
          <w:bCs/>
          <w:lang w:val="en-US"/>
        </w:rPr>
        <w:t xml:space="preserve">the impact on societies of </w:t>
      </w:r>
      <w:r w:rsidR="00703C20" w:rsidRPr="00031169">
        <w:rPr>
          <w:bCs/>
          <w:lang w:val="en-US"/>
        </w:rPr>
        <w:t>naturally occurring</w:t>
      </w:r>
      <w:r w:rsidRPr="00031169">
        <w:rPr>
          <w:bCs/>
          <w:lang w:val="en-US"/>
        </w:rPr>
        <w:t xml:space="preserve"> disease outbreaks</w:t>
      </w:r>
      <w:r w:rsidR="00703C20" w:rsidRPr="00031169">
        <w:rPr>
          <w:bCs/>
          <w:lang w:val="en-US"/>
        </w:rPr>
        <w:t>;</w:t>
      </w:r>
      <w:r w:rsidRPr="00031169">
        <w:rPr>
          <w:bCs/>
          <w:lang w:val="en-US"/>
        </w:rPr>
        <w:t xml:space="preserve"> and </w:t>
      </w:r>
    </w:p>
    <w:p w14:paraId="7F451CA8" w14:textId="0707ED3E" w:rsidR="00632E23" w:rsidRPr="00031169" w:rsidRDefault="00632E23" w:rsidP="00B92ABD">
      <w:pPr>
        <w:pStyle w:val="ListParagraph"/>
        <w:numPr>
          <w:ilvl w:val="0"/>
          <w:numId w:val="9"/>
        </w:numPr>
        <w:spacing w:line="276" w:lineRule="auto"/>
        <w:jc w:val="both"/>
        <w:rPr>
          <w:bCs/>
          <w:lang w:val="en-US"/>
        </w:rPr>
      </w:pPr>
      <w:r w:rsidRPr="00031169">
        <w:rPr>
          <w:bCs/>
          <w:lang w:val="en-US"/>
        </w:rPr>
        <w:t xml:space="preserve">the </w:t>
      </w:r>
      <w:r w:rsidR="00703C20" w:rsidRPr="00031169">
        <w:rPr>
          <w:bCs/>
          <w:lang w:val="en-US"/>
        </w:rPr>
        <w:t>impact</w:t>
      </w:r>
      <w:r w:rsidRPr="00031169">
        <w:rPr>
          <w:bCs/>
          <w:lang w:val="en-US"/>
        </w:rPr>
        <w:t xml:space="preserve"> of disease risks </w:t>
      </w:r>
      <w:r w:rsidR="00703C20" w:rsidRPr="00031169">
        <w:rPr>
          <w:bCs/>
          <w:lang w:val="en-US"/>
        </w:rPr>
        <w:t>(</w:t>
      </w:r>
      <w:r w:rsidRPr="00031169">
        <w:rPr>
          <w:bCs/>
          <w:lang w:val="en-US"/>
        </w:rPr>
        <w:t xml:space="preserve">and </w:t>
      </w:r>
      <w:r w:rsidR="00703C20" w:rsidRPr="00031169">
        <w:rPr>
          <w:bCs/>
          <w:lang w:val="en-US"/>
        </w:rPr>
        <w:t>responses to them)</w:t>
      </w:r>
      <w:r w:rsidRPr="00031169">
        <w:rPr>
          <w:bCs/>
          <w:lang w:val="en-US"/>
        </w:rPr>
        <w:t xml:space="preserve"> on international relations.</w:t>
      </w:r>
    </w:p>
    <w:p w14:paraId="2034EDEA" w14:textId="196947B4" w:rsidR="00632E23" w:rsidRPr="00031169" w:rsidRDefault="00632E23" w:rsidP="00B92ABD">
      <w:pPr>
        <w:spacing w:line="276" w:lineRule="auto"/>
        <w:jc w:val="both"/>
        <w:rPr>
          <w:b/>
          <w:bCs/>
          <w:lang w:val="en-US"/>
        </w:rPr>
      </w:pPr>
    </w:p>
    <w:p w14:paraId="6B7F5C16" w14:textId="77777777" w:rsidR="00703C20" w:rsidRPr="00031169" w:rsidRDefault="00703C20" w:rsidP="00B92ABD">
      <w:pPr>
        <w:pStyle w:val="Heading1"/>
        <w:spacing w:line="276" w:lineRule="auto"/>
        <w:jc w:val="both"/>
      </w:pPr>
      <w:r w:rsidRPr="00031169">
        <w:t>Four challenge areas for biosecurity policy</w:t>
      </w:r>
    </w:p>
    <w:p w14:paraId="0FFCBA85" w14:textId="77777777" w:rsidR="00703C20" w:rsidRPr="00031169" w:rsidRDefault="00703C20" w:rsidP="00B92ABD">
      <w:pPr>
        <w:spacing w:line="276" w:lineRule="auto"/>
        <w:jc w:val="both"/>
      </w:pPr>
    </w:p>
    <w:p w14:paraId="78ABBBA1" w14:textId="57DE3156" w:rsidR="000B5CE9" w:rsidRPr="00031169" w:rsidRDefault="000B5CE9" w:rsidP="00B92ABD">
      <w:pPr>
        <w:spacing w:line="276" w:lineRule="auto"/>
        <w:jc w:val="both"/>
        <w:rPr>
          <w:lang w:val="en-US"/>
        </w:rPr>
      </w:pPr>
      <w:r w:rsidRPr="00031169">
        <w:t xml:space="preserve">One kind of dilemma for biosecurity policymakers could be called </w:t>
      </w:r>
      <w:r w:rsidRPr="00031169">
        <w:rPr>
          <w:b/>
          <w:bCs/>
        </w:rPr>
        <w:t>‘protect or proliferate’</w:t>
      </w:r>
      <w:r w:rsidRPr="00031169">
        <w:t xml:space="preserve">. </w:t>
      </w:r>
      <w:r w:rsidR="003C099E" w:rsidRPr="00031169">
        <w:rPr>
          <w:lang w:val="en-US"/>
        </w:rPr>
        <w:t xml:space="preserve">This </w:t>
      </w:r>
      <w:r w:rsidR="003146F2" w:rsidRPr="00031169">
        <w:rPr>
          <w:lang w:val="en-US"/>
        </w:rPr>
        <w:t>relates mainly to</w:t>
      </w:r>
      <w:r w:rsidR="003C099E" w:rsidRPr="00031169">
        <w:rPr>
          <w:lang w:val="en-US"/>
        </w:rPr>
        <w:t xml:space="preserve"> research conducted by states for the purpose of defending against biological attacks (biodefen</w:t>
      </w:r>
      <w:r w:rsidR="00C0578C" w:rsidRPr="00031169">
        <w:rPr>
          <w:lang w:val="en-US"/>
        </w:rPr>
        <w:t>c</w:t>
      </w:r>
      <w:r w:rsidR="003C099E" w:rsidRPr="00031169">
        <w:rPr>
          <w:lang w:val="en-US"/>
        </w:rPr>
        <w:t xml:space="preserve">e), and </w:t>
      </w:r>
      <w:r w:rsidR="003146F2" w:rsidRPr="00031169">
        <w:rPr>
          <w:lang w:val="en-US"/>
        </w:rPr>
        <w:t>a policy dilemma</w:t>
      </w:r>
      <w:r w:rsidR="003C099E" w:rsidRPr="00031169">
        <w:rPr>
          <w:lang w:val="en-US"/>
        </w:rPr>
        <w:t xml:space="preserve"> can be encountered at an international or domestic level. At the international level, some of the biodefen</w:t>
      </w:r>
      <w:r w:rsidR="00C0578C" w:rsidRPr="00031169">
        <w:rPr>
          <w:lang w:val="en-US"/>
        </w:rPr>
        <w:t>c</w:t>
      </w:r>
      <w:r w:rsidR="003C099E" w:rsidRPr="00031169">
        <w:rPr>
          <w:lang w:val="en-US"/>
        </w:rPr>
        <w:t>e efforts and technologies of one state, purportedly aimed at affording protection against microorganisms that are deliberately disseminated, might be perceived by another state as having an offensive purpose.</w:t>
      </w:r>
      <w:r w:rsidR="00772C79">
        <w:rPr>
          <w:lang w:val="en-US"/>
        </w:rPr>
        <w:t xml:space="preserve"> </w:t>
      </w:r>
      <w:r w:rsidR="003C099E" w:rsidRPr="00031169">
        <w:rPr>
          <w:lang w:val="en-US"/>
        </w:rPr>
        <w:t>For example, experimentation with dissemination mechanisms for ‘threat assessment’ purposes could appear suspicious. And if offense-defense differentiation were extremely difficult, and the suspicions of that other state drove it to engage in the same ‘biodefen</w:t>
      </w:r>
      <w:r w:rsidR="00C0578C" w:rsidRPr="00031169">
        <w:rPr>
          <w:lang w:val="en-US"/>
        </w:rPr>
        <w:t>c</w:t>
      </w:r>
      <w:r w:rsidR="003C099E" w:rsidRPr="00031169">
        <w:rPr>
          <w:lang w:val="en-US"/>
        </w:rPr>
        <w:t xml:space="preserve">e’ activities, the result could be a proliferation of biological weapons risks and an increased likelihood of attacks while each side competed for advantage. </w:t>
      </w:r>
    </w:p>
    <w:p w14:paraId="04DBE6FC" w14:textId="77777777" w:rsidR="000B5CE9" w:rsidRPr="00031169" w:rsidRDefault="000B5CE9" w:rsidP="00B92ABD">
      <w:pPr>
        <w:spacing w:line="276" w:lineRule="auto"/>
        <w:jc w:val="both"/>
        <w:rPr>
          <w:lang w:val="en-US"/>
        </w:rPr>
      </w:pPr>
    </w:p>
    <w:p w14:paraId="29439CA2" w14:textId="0D781F6D" w:rsidR="003C099E" w:rsidRPr="00031169" w:rsidRDefault="003C099E" w:rsidP="00B92ABD">
      <w:pPr>
        <w:spacing w:line="276" w:lineRule="auto"/>
        <w:jc w:val="both"/>
      </w:pPr>
      <w:r w:rsidRPr="00031169">
        <w:rPr>
          <w:lang w:val="en-US"/>
        </w:rPr>
        <w:t xml:space="preserve">The maintenance of a technological edge is an issue </w:t>
      </w:r>
      <w:r w:rsidR="000B5CE9" w:rsidRPr="00031169">
        <w:rPr>
          <w:lang w:val="en-US"/>
        </w:rPr>
        <w:t>also</w:t>
      </w:r>
      <w:r w:rsidRPr="00031169">
        <w:rPr>
          <w:lang w:val="en-US"/>
        </w:rPr>
        <w:t xml:space="preserve"> </w:t>
      </w:r>
      <w:r w:rsidR="000B5CE9" w:rsidRPr="00031169">
        <w:rPr>
          <w:lang w:val="en-US"/>
        </w:rPr>
        <w:t>when</w:t>
      </w:r>
      <w:r w:rsidRPr="00031169">
        <w:rPr>
          <w:lang w:val="en-US"/>
        </w:rPr>
        <w:t xml:space="preserve"> the ‘protect or proliferate’ dilemma is considered at the domestic level. Here</w:t>
      </w:r>
      <w:r w:rsidR="00C0578C" w:rsidRPr="00031169">
        <w:rPr>
          <w:lang w:val="en-US"/>
        </w:rPr>
        <w:t>,</w:t>
      </w:r>
      <w:r w:rsidRPr="00031169">
        <w:rPr>
          <w:lang w:val="en-US"/>
        </w:rPr>
        <w:t xml:space="preserve"> the subject of concern is the potential for an increase in biological weapons risks </w:t>
      </w:r>
      <w:r w:rsidRPr="00E3071D">
        <w:rPr>
          <w:i/>
          <w:lang w:val="en-US"/>
        </w:rPr>
        <w:t>within</w:t>
      </w:r>
      <w:r w:rsidRPr="00031169">
        <w:rPr>
          <w:lang w:val="en-US"/>
        </w:rPr>
        <w:t xml:space="preserve"> a state (vertical proliferation) resulting from an expansion of its biodefen</w:t>
      </w:r>
      <w:r w:rsidR="00C0578C" w:rsidRPr="00031169">
        <w:rPr>
          <w:lang w:val="en-US"/>
        </w:rPr>
        <w:t>c</w:t>
      </w:r>
      <w:r w:rsidRPr="00031169">
        <w:rPr>
          <w:lang w:val="en-US"/>
        </w:rPr>
        <w:t xml:space="preserve">e activities. </w:t>
      </w:r>
      <w:r w:rsidR="00C0578C" w:rsidRPr="00031169">
        <w:rPr>
          <w:lang w:val="en-US"/>
        </w:rPr>
        <w:t>In a large</w:t>
      </w:r>
      <w:r w:rsidRPr="00031169">
        <w:rPr>
          <w:lang w:val="en-US"/>
        </w:rPr>
        <w:t xml:space="preserve"> </w:t>
      </w:r>
      <w:r w:rsidR="00C0578C" w:rsidRPr="00031169">
        <w:rPr>
          <w:lang w:val="en-US"/>
        </w:rPr>
        <w:t>biodefence</w:t>
      </w:r>
      <w:r w:rsidRPr="00031169">
        <w:rPr>
          <w:lang w:val="en-US"/>
        </w:rPr>
        <w:t xml:space="preserve"> program </w:t>
      </w:r>
      <w:r w:rsidR="00C0578C" w:rsidRPr="00031169">
        <w:rPr>
          <w:lang w:val="en-US"/>
        </w:rPr>
        <w:t xml:space="preserve">involving </w:t>
      </w:r>
      <w:r w:rsidRPr="00031169">
        <w:rPr>
          <w:lang w:val="en-US"/>
        </w:rPr>
        <w:t xml:space="preserve">many people engaged in such work, there is an increased chance of a pathogenic microorganism leaking out due to a laboratory accident or being harmfully misused by a </w:t>
      </w:r>
      <w:r w:rsidR="00C0578C" w:rsidRPr="00031169">
        <w:rPr>
          <w:lang w:val="en-US"/>
        </w:rPr>
        <w:t xml:space="preserve">rogue </w:t>
      </w:r>
      <w:r w:rsidRPr="00031169">
        <w:rPr>
          <w:lang w:val="en-US"/>
        </w:rPr>
        <w:t>scientist.</w:t>
      </w:r>
    </w:p>
    <w:p w14:paraId="21DCAD86" w14:textId="77777777" w:rsidR="003C099E" w:rsidRPr="00031169" w:rsidRDefault="003C099E" w:rsidP="00B92ABD">
      <w:pPr>
        <w:spacing w:line="276" w:lineRule="auto"/>
        <w:jc w:val="both"/>
        <w:rPr>
          <w:lang w:val="en-US"/>
        </w:rPr>
      </w:pPr>
    </w:p>
    <w:p w14:paraId="1F589F89" w14:textId="70F19AD0" w:rsidR="00E67B10" w:rsidRPr="00031169" w:rsidRDefault="003C099E" w:rsidP="00B92ABD">
      <w:pPr>
        <w:spacing w:line="276" w:lineRule="auto"/>
        <w:jc w:val="both"/>
        <w:rPr>
          <w:lang w:val="en-US"/>
        </w:rPr>
      </w:pPr>
      <w:r w:rsidRPr="00031169">
        <w:rPr>
          <w:lang w:val="en-US"/>
        </w:rPr>
        <w:t xml:space="preserve">The management of the latter risk </w:t>
      </w:r>
      <w:r w:rsidR="00C0578C" w:rsidRPr="00031169">
        <w:rPr>
          <w:lang w:val="en-US"/>
        </w:rPr>
        <w:t>gives rise to a</w:t>
      </w:r>
      <w:r w:rsidRPr="00031169">
        <w:rPr>
          <w:lang w:val="en-US"/>
        </w:rPr>
        <w:t xml:space="preserve"> second </w:t>
      </w:r>
      <w:r w:rsidR="00C0578C" w:rsidRPr="00031169">
        <w:rPr>
          <w:lang w:val="en-US"/>
        </w:rPr>
        <w:t xml:space="preserve">kind of </w:t>
      </w:r>
      <w:r w:rsidRPr="00031169">
        <w:rPr>
          <w:lang w:val="en-US"/>
        </w:rPr>
        <w:t xml:space="preserve">biosecurity dilemma: </w:t>
      </w:r>
      <w:r w:rsidRPr="00031169">
        <w:rPr>
          <w:b/>
          <w:bCs/>
          <w:lang w:val="en-US"/>
        </w:rPr>
        <w:t>‘secure or stifle’</w:t>
      </w:r>
      <w:r w:rsidRPr="00031169">
        <w:rPr>
          <w:lang w:val="en-US"/>
        </w:rPr>
        <w:t xml:space="preserve">. This </w:t>
      </w:r>
      <w:r w:rsidR="00E67B10" w:rsidRPr="00031169">
        <w:rPr>
          <w:lang w:val="en-US"/>
        </w:rPr>
        <w:t>relates to</w:t>
      </w:r>
      <w:r w:rsidRPr="00031169">
        <w:rPr>
          <w:lang w:val="en-US"/>
        </w:rPr>
        <w:t xml:space="preserve"> government attempts to prevent biological attacks by regulating the conduct of pathogen research by scientists and the transfer of research-relevant materials and information. The difficulty </w:t>
      </w:r>
      <w:r w:rsidR="00E3071D">
        <w:rPr>
          <w:lang w:val="en-US"/>
        </w:rPr>
        <w:t xml:space="preserve">here </w:t>
      </w:r>
      <w:r w:rsidRPr="00031169">
        <w:rPr>
          <w:lang w:val="en-US"/>
        </w:rPr>
        <w:t xml:space="preserve">is that, although an individual scientist could choose to </w:t>
      </w:r>
      <w:r w:rsidR="00E3071D">
        <w:rPr>
          <w:lang w:val="en-US"/>
        </w:rPr>
        <w:t xml:space="preserve">harmfully </w:t>
      </w:r>
      <w:r w:rsidRPr="00031169">
        <w:rPr>
          <w:lang w:val="en-US"/>
        </w:rPr>
        <w:t xml:space="preserve">misuse his or her knowledge of and access to pathogens, the overall enterprise of scientific discovery has the potential to contribute to the saving of many lives in the event of a biological attack or a natural disease outbreak. In other words, the securing of populations against infectious disease risks can seem at once to require both the restricting and the facilitating of research efforts. </w:t>
      </w:r>
    </w:p>
    <w:p w14:paraId="12666B98" w14:textId="77777777" w:rsidR="00E67B10" w:rsidRPr="00031169" w:rsidRDefault="00E67B10" w:rsidP="00B92ABD">
      <w:pPr>
        <w:spacing w:line="276" w:lineRule="auto"/>
        <w:jc w:val="both"/>
        <w:rPr>
          <w:lang w:val="en-US"/>
        </w:rPr>
      </w:pPr>
    </w:p>
    <w:p w14:paraId="66607042" w14:textId="25ED0F08" w:rsidR="00C0578C" w:rsidRPr="00031169" w:rsidRDefault="00C0578C" w:rsidP="00B92ABD">
      <w:pPr>
        <w:spacing w:line="276" w:lineRule="auto"/>
        <w:jc w:val="both"/>
        <w:rPr>
          <w:lang w:val="en-US"/>
        </w:rPr>
      </w:pPr>
      <w:r w:rsidRPr="00031169">
        <w:rPr>
          <w:lang w:val="en-US"/>
        </w:rPr>
        <w:t>T</w:t>
      </w:r>
      <w:r w:rsidR="003C099E" w:rsidRPr="00031169">
        <w:rPr>
          <w:lang w:val="en-US"/>
        </w:rPr>
        <w:t>he regulation of ‘laboratory biosecurity’, involving physical and personnel-based restrictions, aim</w:t>
      </w:r>
      <w:r w:rsidRPr="00031169">
        <w:rPr>
          <w:lang w:val="en-US"/>
        </w:rPr>
        <w:t xml:space="preserve">s to </w:t>
      </w:r>
      <w:r w:rsidR="003C099E" w:rsidRPr="00031169">
        <w:rPr>
          <w:lang w:val="en-US"/>
        </w:rPr>
        <w:t>reduc</w:t>
      </w:r>
      <w:r w:rsidRPr="00031169">
        <w:rPr>
          <w:lang w:val="en-US"/>
        </w:rPr>
        <w:t>e</w:t>
      </w:r>
      <w:r w:rsidR="003C099E" w:rsidRPr="00031169">
        <w:rPr>
          <w:lang w:val="en-US"/>
        </w:rPr>
        <w:t xml:space="preserve"> the risk of laboratory insiders causing harm. These restrictions also make pathogen research more difficult, expensive and time-consuming, so the conundrum for policymakers is: what kind of regulation is necessary to reduce the risk of biotechnology being misused, and what measures are likely instead to thwart the acquisition of knowledge applicable for health-protection purposes? </w:t>
      </w:r>
    </w:p>
    <w:p w14:paraId="78014FCB" w14:textId="77777777" w:rsidR="00C0578C" w:rsidRPr="00031169" w:rsidRDefault="00C0578C" w:rsidP="00B92ABD">
      <w:pPr>
        <w:spacing w:line="276" w:lineRule="auto"/>
        <w:jc w:val="both"/>
        <w:rPr>
          <w:lang w:val="en-US"/>
        </w:rPr>
      </w:pPr>
    </w:p>
    <w:p w14:paraId="29F9A9C6" w14:textId="43388300" w:rsidR="003C099E" w:rsidRPr="00031169" w:rsidRDefault="00C0578C" w:rsidP="00B92ABD">
      <w:pPr>
        <w:spacing w:line="276" w:lineRule="auto"/>
        <w:jc w:val="both"/>
        <w:rPr>
          <w:lang w:val="en-US"/>
        </w:rPr>
      </w:pPr>
      <w:r w:rsidRPr="00031169">
        <w:rPr>
          <w:lang w:val="en-US"/>
        </w:rPr>
        <w:t>There is also the question of whether or how</w:t>
      </w:r>
      <w:r w:rsidR="003C099E" w:rsidRPr="00031169">
        <w:rPr>
          <w:lang w:val="en-US"/>
        </w:rPr>
        <w:t xml:space="preserve"> the fruits of laboratory-based research should be shared. Of particular concern is the sharing (through publication in scientific journals) of experimental techniques that result in the creation of a microorganism that is more dangerous to humans (i.e. more transmissible, more virulent, more resistant to antibiotics, etc). On the one hand, it might be argued, the mass communication of information on how a pathogen can be made more dangerous could encourage and enable the use of that information for a harmful purpose. On the </w:t>
      </w:r>
      <w:r w:rsidR="00BC1CFA">
        <w:rPr>
          <w:lang w:val="en-US"/>
        </w:rPr>
        <w:t>other</w:t>
      </w:r>
      <w:r w:rsidR="003C099E" w:rsidRPr="00031169">
        <w:rPr>
          <w:lang w:val="en-US"/>
        </w:rPr>
        <w:t xml:space="preserve"> hand, making such findings widely available to other scientists could assist the development of new or improved measures for controlling the relevant disease. </w:t>
      </w:r>
    </w:p>
    <w:p w14:paraId="69F2DE54" w14:textId="77777777" w:rsidR="003C099E" w:rsidRPr="00031169" w:rsidRDefault="003C099E" w:rsidP="00B92ABD">
      <w:pPr>
        <w:spacing w:line="276" w:lineRule="auto"/>
        <w:jc w:val="both"/>
        <w:rPr>
          <w:lang w:val="en-US"/>
        </w:rPr>
      </w:pPr>
    </w:p>
    <w:p w14:paraId="62A98943" w14:textId="6D05DF84" w:rsidR="00E67B10" w:rsidRPr="00031169" w:rsidRDefault="003C099E" w:rsidP="00B92ABD">
      <w:pPr>
        <w:spacing w:line="276" w:lineRule="auto"/>
        <w:jc w:val="both"/>
        <w:rPr>
          <w:lang w:val="en-US"/>
        </w:rPr>
      </w:pPr>
      <w:r w:rsidRPr="00031169">
        <w:rPr>
          <w:lang w:val="en-US"/>
        </w:rPr>
        <w:t xml:space="preserve">To the extent that pathogen research facilitates the availability of more and better </w:t>
      </w:r>
      <w:r w:rsidR="00C0578C" w:rsidRPr="00031169">
        <w:rPr>
          <w:lang w:val="en-US"/>
        </w:rPr>
        <w:t xml:space="preserve">vaccines and </w:t>
      </w:r>
      <w:r w:rsidRPr="00031169">
        <w:rPr>
          <w:lang w:val="en-US"/>
        </w:rPr>
        <w:t>drugs for preventing and treating infection, disease-control can be undertaken without resort to nonpharmaceutical measures</w:t>
      </w:r>
      <w:r w:rsidR="00E67B10" w:rsidRPr="00031169">
        <w:rPr>
          <w:lang w:val="en-US"/>
        </w:rPr>
        <w:t xml:space="preserve"> (e.g. social distancing and border controls)</w:t>
      </w:r>
      <w:r w:rsidRPr="00031169">
        <w:rPr>
          <w:lang w:val="en-US"/>
        </w:rPr>
        <w:t xml:space="preserve">. However, in circumstances where such measures are all that is available to governments, a third kind of biosecurity dilemma can arise: </w:t>
      </w:r>
      <w:r w:rsidRPr="00031169">
        <w:rPr>
          <w:b/>
          <w:bCs/>
          <w:lang w:val="en-US"/>
        </w:rPr>
        <w:t>‘remedy or overkill’</w:t>
      </w:r>
      <w:r w:rsidRPr="00031169">
        <w:rPr>
          <w:lang w:val="en-US"/>
        </w:rPr>
        <w:t>. Th</w:t>
      </w:r>
      <w:r w:rsidR="00B608CF" w:rsidRPr="00031169">
        <w:rPr>
          <w:lang w:val="en-US"/>
        </w:rPr>
        <w:t>is relates to</w:t>
      </w:r>
      <w:r w:rsidRPr="00031169">
        <w:rPr>
          <w:lang w:val="en-US"/>
        </w:rPr>
        <w:t xml:space="preserve"> biosecurity practices aimed at responding to rather than preventing</w:t>
      </w:r>
      <w:r w:rsidR="00075AC9">
        <w:rPr>
          <w:lang w:val="en-US"/>
        </w:rPr>
        <w:t xml:space="preserve"> outbreaks</w:t>
      </w:r>
      <w:r w:rsidR="00B608CF" w:rsidRPr="00031169">
        <w:rPr>
          <w:lang w:val="en-US"/>
        </w:rPr>
        <w:t xml:space="preserve">. A </w:t>
      </w:r>
      <w:r w:rsidRPr="00031169">
        <w:rPr>
          <w:lang w:val="en-US"/>
        </w:rPr>
        <w:t xml:space="preserve">government </w:t>
      </w:r>
      <w:r w:rsidR="00E67B10" w:rsidRPr="00031169">
        <w:rPr>
          <w:lang w:val="en-US"/>
        </w:rPr>
        <w:t xml:space="preserve">responding to a dreaded disease outbreak </w:t>
      </w:r>
      <w:r w:rsidRPr="00031169">
        <w:rPr>
          <w:lang w:val="en-US"/>
        </w:rPr>
        <w:t xml:space="preserve">might move to </w:t>
      </w:r>
      <w:r w:rsidR="00B608CF" w:rsidRPr="00031169">
        <w:rPr>
          <w:lang w:val="en-US"/>
        </w:rPr>
        <w:t>approach</w:t>
      </w:r>
      <w:r w:rsidRPr="00031169">
        <w:rPr>
          <w:lang w:val="en-US"/>
        </w:rPr>
        <w:t xml:space="preserve"> </w:t>
      </w:r>
      <w:r w:rsidR="00E67B10" w:rsidRPr="00031169">
        <w:rPr>
          <w:lang w:val="en-US"/>
        </w:rPr>
        <w:t>it</w:t>
      </w:r>
      <w:r w:rsidRPr="00031169">
        <w:rPr>
          <w:lang w:val="en-US"/>
        </w:rPr>
        <w:t xml:space="preserve"> as a matter of national security, thus claiming a need to respond swiftly and aggressively. In doing so, a critical advantage might be obtained in the form of extraordinary power</w:t>
      </w:r>
      <w:r w:rsidR="00075AC9">
        <w:rPr>
          <w:lang w:val="en-US"/>
        </w:rPr>
        <w:t xml:space="preserve">s </w:t>
      </w:r>
      <w:r w:rsidRPr="00031169">
        <w:rPr>
          <w:lang w:val="en-US"/>
        </w:rPr>
        <w:t>and resources. However, there is a risk also that such a response, implemented urgently in an atmosphere of dread, would transgress normal rules in a way that is unjust and counterproductive to public health</w:t>
      </w:r>
      <w:r w:rsidR="00B608CF" w:rsidRPr="00031169">
        <w:rPr>
          <w:lang w:val="en-US"/>
        </w:rPr>
        <w:t xml:space="preserve"> and</w:t>
      </w:r>
      <w:r w:rsidR="00075AC9">
        <w:rPr>
          <w:lang w:val="en-US"/>
        </w:rPr>
        <w:t>/or</w:t>
      </w:r>
      <w:r w:rsidR="00B608CF" w:rsidRPr="00031169">
        <w:rPr>
          <w:lang w:val="en-US"/>
        </w:rPr>
        <w:t xml:space="preserve"> the national interest</w:t>
      </w:r>
      <w:r w:rsidRPr="00031169">
        <w:rPr>
          <w:lang w:val="en-US"/>
        </w:rPr>
        <w:t xml:space="preserve">. </w:t>
      </w:r>
    </w:p>
    <w:p w14:paraId="31A06E52" w14:textId="77777777" w:rsidR="00E67B10" w:rsidRPr="00031169" w:rsidRDefault="00E67B10" w:rsidP="00B92ABD">
      <w:pPr>
        <w:spacing w:line="276" w:lineRule="auto"/>
        <w:jc w:val="both"/>
        <w:rPr>
          <w:lang w:val="en-US"/>
        </w:rPr>
      </w:pPr>
    </w:p>
    <w:p w14:paraId="482172F6" w14:textId="3BFECE80" w:rsidR="00B608CF" w:rsidRPr="00031169" w:rsidRDefault="00B608CF" w:rsidP="00B92ABD">
      <w:pPr>
        <w:spacing w:line="276" w:lineRule="auto"/>
        <w:jc w:val="both"/>
        <w:rPr>
          <w:lang w:val="en-US"/>
        </w:rPr>
      </w:pPr>
      <w:r w:rsidRPr="00031169">
        <w:rPr>
          <w:lang w:val="en-US"/>
        </w:rPr>
        <w:t>There are both</w:t>
      </w:r>
      <w:r w:rsidR="003C099E" w:rsidRPr="00031169">
        <w:rPr>
          <w:lang w:val="en-US"/>
        </w:rPr>
        <w:t xml:space="preserve"> advantages and disadvantages </w:t>
      </w:r>
      <w:r w:rsidRPr="00031169">
        <w:rPr>
          <w:lang w:val="en-US"/>
        </w:rPr>
        <w:t>in</w:t>
      </w:r>
      <w:r w:rsidR="003C099E" w:rsidRPr="00031169">
        <w:rPr>
          <w:lang w:val="en-US"/>
        </w:rPr>
        <w:t xml:space="preserve"> implementing, for the sake of national security, domestic-level ‘social distancing’</w:t>
      </w:r>
      <w:r w:rsidRPr="00031169">
        <w:rPr>
          <w:lang w:val="en-US"/>
        </w:rPr>
        <w:t xml:space="preserve"> which </w:t>
      </w:r>
      <w:r w:rsidR="003C099E" w:rsidRPr="00031169">
        <w:rPr>
          <w:lang w:val="en-US"/>
        </w:rPr>
        <w:t>necessarily infringes upon people’s freedom</w:t>
      </w:r>
      <w:r w:rsidRPr="00031169">
        <w:rPr>
          <w:lang w:val="en-US"/>
        </w:rPr>
        <w:t>s</w:t>
      </w:r>
      <w:r w:rsidR="003C099E" w:rsidRPr="00031169">
        <w:rPr>
          <w:lang w:val="en-US"/>
        </w:rPr>
        <w:t xml:space="preserve"> of movement</w:t>
      </w:r>
      <w:r w:rsidRPr="00031169">
        <w:rPr>
          <w:lang w:val="en-US"/>
        </w:rPr>
        <w:t xml:space="preserve"> and association. </w:t>
      </w:r>
      <w:r w:rsidR="00E67B10" w:rsidRPr="00031169">
        <w:rPr>
          <w:lang w:val="en-US"/>
        </w:rPr>
        <w:t xml:space="preserve">For example, the population whose health is the subject of such measures could nevertheless resent and resist them. </w:t>
      </w:r>
      <w:r w:rsidRPr="00031169">
        <w:rPr>
          <w:lang w:val="en-US"/>
        </w:rPr>
        <w:t xml:space="preserve">And the ‘remedy or overkill’ dilemma also potentially arises from international bordering practices, including prohibitions on travel between states, which restrict the cross-border flow of people who might be carrying a dreaded disease as well as </w:t>
      </w:r>
      <w:r w:rsidR="00782B9E">
        <w:rPr>
          <w:lang w:val="en-US"/>
        </w:rPr>
        <w:t>healthcare personnel</w:t>
      </w:r>
      <w:r w:rsidRPr="00031169">
        <w:rPr>
          <w:lang w:val="en-US"/>
        </w:rPr>
        <w:t xml:space="preserve"> who are </w:t>
      </w:r>
      <w:r w:rsidR="00782B9E">
        <w:rPr>
          <w:lang w:val="en-US"/>
        </w:rPr>
        <w:t xml:space="preserve">otherwise </w:t>
      </w:r>
      <w:r w:rsidRPr="00031169">
        <w:rPr>
          <w:lang w:val="en-US"/>
        </w:rPr>
        <w:t>able to treat it.</w:t>
      </w:r>
    </w:p>
    <w:p w14:paraId="5D34A8B3" w14:textId="77777777" w:rsidR="003C099E" w:rsidRPr="00031169" w:rsidRDefault="003C099E" w:rsidP="00B92ABD">
      <w:pPr>
        <w:spacing w:line="276" w:lineRule="auto"/>
        <w:jc w:val="both"/>
        <w:rPr>
          <w:lang w:val="en-AU"/>
        </w:rPr>
      </w:pPr>
    </w:p>
    <w:p w14:paraId="130350A9" w14:textId="3944EADA" w:rsidR="003C099E" w:rsidRPr="00031169" w:rsidRDefault="00B608CF" w:rsidP="00B92ABD">
      <w:pPr>
        <w:spacing w:line="276" w:lineRule="auto"/>
        <w:jc w:val="both"/>
        <w:rPr>
          <w:lang w:val="en-US"/>
        </w:rPr>
      </w:pPr>
      <w:r w:rsidRPr="00031169">
        <w:rPr>
          <w:lang w:val="en-US"/>
        </w:rPr>
        <w:t>A</w:t>
      </w:r>
      <w:r w:rsidR="003C099E" w:rsidRPr="00031169">
        <w:rPr>
          <w:lang w:val="en-US"/>
        </w:rPr>
        <w:t xml:space="preserve"> fourth biosecurity dilemma (</w:t>
      </w:r>
      <w:r w:rsidR="003C099E" w:rsidRPr="00031169">
        <w:rPr>
          <w:b/>
          <w:bCs/>
          <w:lang w:val="en-US"/>
        </w:rPr>
        <w:t>‘attention or neglect’</w:t>
      </w:r>
      <w:r w:rsidR="003C099E" w:rsidRPr="00031169">
        <w:rPr>
          <w:lang w:val="en-US"/>
        </w:rPr>
        <w:t xml:space="preserve">) concerns the institutionalization of priority status for dreaded diseases in health policy settings. In international health governance arrangements, it can sometimes seem difficult to achieve extra protection against certain kinds of disease risks (including biological attacks) without thereby neglecting other health issues over the long term. At the heart of this biosecurity dilemma is the tension between policy settings that would fulfil the greatest quantum of human need and those that would most likely be politically feasible. Whereas the framing of some infectious diseases in security terms might attract political attention that brings some health benefits, it is an arrangement that promises less benefit than one whose broader humanitarian rationale might be harder politically to support over time. </w:t>
      </w:r>
      <w:r w:rsidRPr="00031169">
        <w:rPr>
          <w:lang w:val="en-US"/>
        </w:rPr>
        <w:t xml:space="preserve">The </w:t>
      </w:r>
      <w:r w:rsidR="003C099E" w:rsidRPr="00031169">
        <w:rPr>
          <w:lang w:val="en-US"/>
        </w:rPr>
        <w:t xml:space="preserve">surveillance of and rapid response to some disease risks is prioritized as part of an agenda of ‘global health security’. </w:t>
      </w:r>
      <w:r w:rsidRPr="00031169">
        <w:rPr>
          <w:lang w:val="en-US"/>
        </w:rPr>
        <w:t>And, a</w:t>
      </w:r>
      <w:r w:rsidR="003C099E" w:rsidRPr="00031169">
        <w:rPr>
          <w:lang w:val="en-US"/>
        </w:rPr>
        <w:t>lthough the pursuit of this agenda has the potential to protect populations in developed and developing countries alike against outbreaks with transnational reach, it arguably does less to address underlying health problems in poorer parts of the world.</w:t>
      </w:r>
    </w:p>
    <w:p w14:paraId="619229CE" w14:textId="77777777" w:rsidR="00BA275F" w:rsidRPr="00031169" w:rsidRDefault="00BA275F" w:rsidP="00B92ABD">
      <w:pPr>
        <w:spacing w:line="276" w:lineRule="auto"/>
        <w:jc w:val="both"/>
      </w:pPr>
    </w:p>
    <w:p w14:paraId="5C9CCDE6" w14:textId="48995389" w:rsidR="00965FD8" w:rsidRPr="00031169" w:rsidRDefault="00965FD8" w:rsidP="00B92ABD">
      <w:pPr>
        <w:pStyle w:val="Heading1"/>
        <w:spacing w:line="276" w:lineRule="auto"/>
        <w:jc w:val="both"/>
      </w:pPr>
      <w:r w:rsidRPr="00031169">
        <w:t>The UK Biological Security Strategy</w:t>
      </w:r>
    </w:p>
    <w:p w14:paraId="34AE5DFA" w14:textId="64038822" w:rsidR="000725D4" w:rsidRPr="00031169" w:rsidRDefault="000725D4" w:rsidP="00B92ABD">
      <w:pPr>
        <w:spacing w:line="276" w:lineRule="auto"/>
        <w:jc w:val="both"/>
      </w:pPr>
    </w:p>
    <w:p w14:paraId="02340690" w14:textId="47DFA55A" w:rsidR="00B04E0C" w:rsidRPr="00031169" w:rsidRDefault="00261D79" w:rsidP="00B92ABD">
      <w:pPr>
        <w:spacing w:line="276" w:lineRule="auto"/>
        <w:jc w:val="both"/>
      </w:pPr>
      <w:r w:rsidRPr="00031169">
        <w:t>The 2015 National Security Strategy and Strategic Defence and Security Review (SDSR 2015) included some discussion of biological weapons and bioterrorism</w:t>
      </w:r>
      <w:r w:rsidR="00AB71D7" w:rsidRPr="00031169">
        <w:t xml:space="preserve"> risks</w:t>
      </w:r>
      <w:r w:rsidRPr="00031169">
        <w:t>, and it promised that the UK government would “publish a national bio-security strategy in 2016, addressing the threat of natural disease outbreaks, as well as the less likely threat of biological materials being used in a deliberate attack” (SDSR 2015, p. 43). The National Security Capability Review</w:t>
      </w:r>
      <w:r w:rsidR="00AB71D7" w:rsidRPr="00031169">
        <w:t xml:space="preserve"> (NSCR) of</w:t>
      </w:r>
      <w:r w:rsidRPr="00031169">
        <w:t xml:space="preserve"> March 2018 added “diseases and natural hazards affecting the UK” to the SDSR’s list of “challenges likely to drive UK security priorities for the coming decade” (NSCR 2018, p. 5), and it </w:t>
      </w:r>
      <w:r w:rsidR="00AB71D7" w:rsidRPr="00031169">
        <w:t xml:space="preserve">stated that the </w:t>
      </w:r>
      <w:r w:rsidRPr="00031169">
        <w:t xml:space="preserve">UK Biological Security Strategy </w:t>
      </w:r>
      <w:r w:rsidR="00AB71D7" w:rsidRPr="00031169">
        <w:t>(BSS) would</w:t>
      </w:r>
      <w:r w:rsidRPr="00031169">
        <w:t xml:space="preserve"> </w:t>
      </w:r>
      <w:r w:rsidR="00AB71D7" w:rsidRPr="00031169">
        <w:t>“</w:t>
      </w:r>
      <w:r w:rsidRPr="00031169">
        <w:t>address key risks such as natural disease outbreaks” (NSCR 2018, p. 29).</w:t>
      </w:r>
    </w:p>
    <w:p w14:paraId="2813F338" w14:textId="77777777" w:rsidR="00B04E0C" w:rsidRPr="00031169" w:rsidRDefault="00B04E0C" w:rsidP="00B92ABD">
      <w:pPr>
        <w:spacing w:line="276" w:lineRule="auto"/>
        <w:jc w:val="both"/>
      </w:pPr>
    </w:p>
    <w:p w14:paraId="504D25DE" w14:textId="21905AB7" w:rsidR="00B6692E" w:rsidRPr="00031169" w:rsidRDefault="00261D79" w:rsidP="00B92ABD">
      <w:pPr>
        <w:spacing w:line="276" w:lineRule="auto"/>
        <w:jc w:val="both"/>
      </w:pPr>
      <w:r w:rsidRPr="00031169">
        <w:t xml:space="preserve">The </w:t>
      </w:r>
      <w:r w:rsidR="000855AA" w:rsidRPr="00031169">
        <w:t>BSS</w:t>
      </w:r>
      <w:r w:rsidRPr="00031169">
        <w:t xml:space="preserve"> itself was finally published in July 2018, </w:t>
      </w:r>
      <w:r w:rsidR="00243AD9" w:rsidRPr="00031169">
        <w:t>and it</w:t>
      </w:r>
      <w:r w:rsidR="00B608CF" w:rsidRPr="00031169">
        <w:t xml:space="preserve"> </w:t>
      </w:r>
      <w:r w:rsidR="009C1C3E" w:rsidRPr="00031169">
        <w:t>partly</w:t>
      </w:r>
      <w:r w:rsidR="00B608CF" w:rsidRPr="00031169">
        <w:t xml:space="preserve"> address</w:t>
      </w:r>
      <w:r w:rsidR="005A3343" w:rsidRPr="00031169">
        <w:t>e</w:t>
      </w:r>
      <w:r w:rsidR="00243AD9" w:rsidRPr="00031169">
        <w:t>d</w:t>
      </w:r>
      <w:r w:rsidR="00B608CF" w:rsidRPr="00031169">
        <w:t xml:space="preserve"> </w:t>
      </w:r>
      <w:r w:rsidR="00C469B3" w:rsidRPr="00031169">
        <w:t xml:space="preserve">some </w:t>
      </w:r>
      <w:r w:rsidR="00B608CF" w:rsidRPr="00031169">
        <w:t xml:space="preserve">of </w:t>
      </w:r>
      <w:r w:rsidR="00C469B3" w:rsidRPr="00031169">
        <w:t xml:space="preserve">the </w:t>
      </w:r>
      <w:r w:rsidR="00B608CF" w:rsidRPr="00031169">
        <w:t>biosecurity policy concerns</w:t>
      </w:r>
      <w:r w:rsidR="005A3343" w:rsidRPr="00031169">
        <w:t xml:space="preserve"> outlined above.</w:t>
      </w:r>
      <w:r w:rsidR="009C1C3E" w:rsidRPr="00031169">
        <w:t xml:space="preserve"> For example, the UK government </w:t>
      </w:r>
      <w:r w:rsidR="00AB71D7" w:rsidRPr="00031169">
        <w:t>committed</w:t>
      </w:r>
      <w:r w:rsidR="009C1C3E" w:rsidRPr="00031169">
        <w:t xml:space="preserve"> to </w:t>
      </w:r>
      <w:r w:rsidR="00DE47D4" w:rsidRPr="00031169">
        <w:t>engage with other states</w:t>
      </w:r>
      <w:r w:rsidR="005323E9" w:rsidRPr="00031169">
        <w:t>,</w:t>
      </w:r>
      <w:r w:rsidR="00DE47D4" w:rsidRPr="00031169">
        <w:t xml:space="preserve"> bilaterally and multilaterally</w:t>
      </w:r>
      <w:r w:rsidR="005323E9" w:rsidRPr="00031169">
        <w:t>,</w:t>
      </w:r>
      <w:r w:rsidR="00DE47D4" w:rsidRPr="00031169">
        <w:t xml:space="preserve"> to “maintain and enhance the international legal regime prohibiting biological weapons” (BSS 2018, p. 20)</w:t>
      </w:r>
      <w:r w:rsidR="00AB71D7" w:rsidRPr="00031169">
        <w:t>. And it promised that the UK government would be playing “a leading role in collaboration with</w:t>
      </w:r>
      <w:r w:rsidR="00CE4DD7" w:rsidRPr="00031169">
        <w:t xml:space="preserve"> </w:t>
      </w:r>
      <w:r w:rsidR="00AB71D7" w:rsidRPr="00031169">
        <w:t>international partners and initiatives … to ensure a co-ordinated and inter-sectoral approach to supporting global health security” (BSS 2018, p.</w:t>
      </w:r>
      <w:r w:rsidR="00EA579D" w:rsidRPr="00031169">
        <w:t xml:space="preserve"> </w:t>
      </w:r>
      <w:r w:rsidR="00AB71D7" w:rsidRPr="00031169">
        <w:t xml:space="preserve">20). </w:t>
      </w:r>
      <w:r w:rsidR="00DF0FD5" w:rsidRPr="00031169">
        <w:t xml:space="preserve">The Strategy did not specify how the government planned to “enhance” the 1972 Biological and Toxin Weapons Convention, although </w:t>
      </w:r>
      <w:r w:rsidR="00B6084F">
        <w:t>it</w:t>
      </w:r>
      <w:r w:rsidR="00DF0FD5" w:rsidRPr="00031169">
        <w:t xml:space="preserve"> was likely </w:t>
      </w:r>
      <w:r w:rsidR="00B6084F">
        <w:t>alluding</w:t>
      </w:r>
      <w:r w:rsidR="00DF0FD5" w:rsidRPr="00031169">
        <w:t xml:space="preserve"> to long-running </w:t>
      </w:r>
      <w:r w:rsidR="005323E9" w:rsidRPr="00031169">
        <w:t xml:space="preserve">diplomatic </w:t>
      </w:r>
      <w:r w:rsidR="00DF0FD5" w:rsidRPr="00031169">
        <w:t>effort</w:t>
      </w:r>
      <w:r w:rsidR="005323E9" w:rsidRPr="00031169">
        <w:t>s</w:t>
      </w:r>
      <w:r w:rsidR="00DF0FD5" w:rsidRPr="00031169">
        <w:t xml:space="preserve"> to build greater confidence in member states’ compliance with that disarmament treaty. </w:t>
      </w:r>
      <w:r w:rsidR="00EA579D" w:rsidRPr="00031169">
        <w:t xml:space="preserve">The meaning of “supporting global health security” was </w:t>
      </w:r>
      <w:r w:rsidR="005323E9" w:rsidRPr="00031169">
        <w:t>somewhat</w:t>
      </w:r>
      <w:r w:rsidR="00EA579D" w:rsidRPr="00031169">
        <w:t xml:space="preserve"> clear</w:t>
      </w:r>
      <w:r w:rsidR="005323E9" w:rsidRPr="00031169">
        <w:t>er</w:t>
      </w:r>
      <w:r w:rsidR="00EA579D" w:rsidRPr="00031169">
        <w:t xml:space="preserve">, </w:t>
      </w:r>
      <w:r w:rsidR="005323E9" w:rsidRPr="00031169">
        <w:t xml:space="preserve">and the </w:t>
      </w:r>
      <w:r w:rsidR="00FD3481" w:rsidRPr="00031169">
        <w:t>Strategy</w:t>
      </w:r>
      <w:r w:rsidR="005323E9" w:rsidRPr="00031169">
        <w:t xml:space="preserve"> outlined</w:t>
      </w:r>
      <w:r w:rsidR="00FD3481" w:rsidRPr="00031169">
        <w:t xml:space="preserve"> the</w:t>
      </w:r>
      <w:r w:rsidR="00EA579D" w:rsidRPr="00031169">
        <w:t xml:space="preserve"> </w:t>
      </w:r>
      <w:r w:rsidR="00B6692E" w:rsidRPr="00031169">
        <w:t>government</w:t>
      </w:r>
      <w:r w:rsidR="00FD3481" w:rsidRPr="00031169">
        <w:t>’s</w:t>
      </w:r>
      <w:r w:rsidR="00EA579D" w:rsidRPr="00031169">
        <w:t xml:space="preserve"> plan</w:t>
      </w:r>
      <w:r w:rsidR="00B6692E" w:rsidRPr="00031169">
        <w:t xml:space="preserve"> </w:t>
      </w:r>
      <w:r w:rsidR="00EA579D" w:rsidRPr="00031169">
        <w:t xml:space="preserve">to focus </w:t>
      </w:r>
      <w:r w:rsidR="00FD3481" w:rsidRPr="00031169">
        <w:t xml:space="preserve">on disease surveillance and vaccine research for </w:t>
      </w:r>
      <w:r w:rsidR="00B6692E" w:rsidRPr="00031169">
        <w:t>a narrow range of</w:t>
      </w:r>
      <w:r w:rsidR="00EA579D" w:rsidRPr="00031169">
        <w:t xml:space="preserve"> infectious disease </w:t>
      </w:r>
      <w:r w:rsidR="00B6692E" w:rsidRPr="00031169">
        <w:t>risks with the potential to spread quickly to the UK.</w:t>
      </w:r>
    </w:p>
    <w:p w14:paraId="717C25F5" w14:textId="77777777" w:rsidR="00B6692E" w:rsidRPr="00031169" w:rsidRDefault="00B6692E" w:rsidP="00B92ABD">
      <w:pPr>
        <w:spacing w:line="276" w:lineRule="auto"/>
        <w:jc w:val="both"/>
      </w:pPr>
    </w:p>
    <w:p w14:paraId="1499C05C" w14:textId="77777777" w:rsidR="004D49DB" w:rsidRPr="00031169" w:rsidRDefault="00E6238F" w:rsidP="00B92ABD">
      <w:pPr>
        <w:spacing w:line="276" w:lineRule="auto"/>
        <w:jc w:val="both"/>
      </w:pPr>
      <w:r w:rsidRPr="00031169">
        <w:t>T</w:t>
      </w:r>
      <w:r w:rsidR="00AB71D7" w:rsidRPr="00031169">
        <w:t xml:space="preserve">he BSS </w:t>
      </w:r>
      <w:r w:rsidR="00B6692E" w:rsidRPr="00031169">
        <w:t>was more expansive</w:t>
      </w:r>
      <w:r w:rsidRPr="00031169">
        <w:t xml:space="preserve"> on the issue of laboratory biosecurity, </w:t>
      </w:r>
      <w:r w:rsidR="00B6692E" w:rsidRPr="00031169">
        <w:t>recognising that “the biological sciences sector can be a source of biosecurity risk” (BSS 2018, p. 34). The Strategy explained clearly that the UK government confronted a</w:t>
      </w:r>
      <w:r w:rsidR="00AB71D7" w:rsidRPr="00031169">
        <w:t xml:space="preserve"> dilemma of biosecurity policy, stating: “We will ensure that our approach to legislation and regulation of the biological sciences sector is proportionate to the risk, so as to protect and preserve biological security without imposing unnecessary burdens or deterrents to economic prosperity” (BSS 2018, p. 21).</w:t>
      </w:r>
      <w:r w:rsidR="00DF0FD5" w:rsidRPr="00031169">
        <w:t xml:space="preserve"> </w:t>
      </w:r>
      <w:r w:rsidR="005472AD" w:rsidRPr="00031169">
        <w:t>A key concern was to ensure safety and security within the UK bioscience industry while also ensuring that</w:t>
      </w:r>
      <w:r w:rsidR="004D49DB" w:rsidRPr="00031169">
        <w:t xml:space="preserve"> government</w:t>
      </w:r>
      <w:r w:rsidR="005472AD" w:rsidRPr="00031169">
        <w:t xml:space="preserve"> regulation of scientists’ activities does not “limit our capability to respond to new [infectious disease] threats” (BSS 2018, p. 35)</w:t>
      </w:r>
      <w:r w:rsidR="004D49DB" w:rsidRPr="00031169">
        <w:t xml:space="preserve">. </w:t>
      </w:r>
    </w:p>
    <w:p w14:paraId="5182F72A" w14:textId="77777777" w:rsidR="004D49DB" w:rsidRPr="00031169" w:rsidRDefault="004D49DB" w:rsidP="00B92ABD">
      <w:pPr>
        <w:spacing w:line="276" w:lineRule="auto"/>
        <w:jc w:val="both"/>
      </w:pPr>
    </w:p>
    <w:p w14:paraId="3B5D6727" w14:textId="457414FD" w:rsidR="00DF0FD5" w:rsidRPr="00031169" w:rsidRDefault="005472AD" w:rsidP="00B92ABD">
      <w:pPr>
        <w:spacing w:line="276" w:lineRule="auto"/>
        <w:jc w:val="both"/>
      </w:pPr>
      <w:r w:rsidRPr="00031169">
        <w:t xml:space="preserve">For outbreak response purposes, </w:t>
      </w:r>
      <w:r w:rsidR="00680B9C" w:rsidRPr="00031169">
        <w:t>the UK government aimed to: “Have in place the right capabilities to respond effectively to significant disease outbreaks and biological incidents within the UK … in order to lessen the impact, eradicate threats and ensure a swift return to normal” (BSS 2018, p. 26). It</w:t>
      </w:r>
      <w:r w:rsidRPr="00031169">
        <w:t xml:space="preserve"> planned to “draw on the world-leading capabilities within the UK biological sciences sector to deliver effective responses to biosecurity crises” (BSS 2018, p. 36)</w:t>
      </w:r>
      <w:r w:rsidR="00680B9C" w:rsidRPr="00031169">
        <w:t>, and</w:t>
      </w:r>
      <w:r w:rsidR="002968C4" w:rsidRPr="00031169">
        <w:t xml:space="preserve"> </w:t>
      </w:r>
      <w:r w:rsidR="00680B9C" w:rsidRPr="00031169">
        <w:t>t</w:t>
      </w:r>
      <w:r w:rsidRPr="00031169">
        <w:t xml:space="preserve">his sector is primarily a source of </w:t>
      </w:r>
      <w:r w:rsidRPr="00031169">
        <w:rPr>
          <w:i/>
          <w:iCs/>
        </w:rPr>
        <w:t>pharmaceutical</w:t>
      </w:r>
      <w:r w:rsidRPr="00031169">
        <w:t xml:space="preserve"> responses (vaccines and drugs)</w:t>
      </w:r>
      <w:r w:rsidR="00680B9C" w:rsidRPr="00031169">
        <w:t>.</w:t>
      </w:r>
      <w:r w:rsidR="002968C4" w:rsidRPr="00031169">
        <w:t xml:space="preserve"> </w:t>
      </w:r>
      <w:r w:rsidR="00BA6C2B" w:rsidRPr="00031169">
        <w:t xml:space="preserve">Yet, </w:t>
      </w:r>
      <w:r w:rsidR="00680B9C" w:rsidRPr="00031169">
        <w:t>t</w:t>
      </w:r>
      <w:r w:rsidR="004D49DB" w:rsidRPr="00031169">
        <w:t xml:space="preserve">he BSS was </w:t>
      </w:r>
      <w:r w:rsidR="00CF66DF" w:rsidRPr="00031169">
        <w:t>largely silent on</w:t>
      </w:r>
      <w:r w:rsidR="002968C4" w:rsidRPr="00031169">
        <w:t xml:space="preserve"> </w:t>
      </w:r>
      <w:r w:rsidR="00CF66DF" w:rsidRPr="00031169">
        <w:t xml:space="preserve">the issue of </w:t>
      </w:r>
      <w:r w:rsidR="004D49DB" w:rsidRPr="00031169">
        <w:t xml:space="preserve">what (if any) nonpharmaceutical biosecurity measures </w:t>
      </w:r>
      <w:r w:rsidR="00CF66DF" w:rsidRPr="00031169">
        <w:t>might</w:t>
      </w:r>
      <w:r w:rsidR="00680B9C" w:rsidRPr="00031169">
        <w:t xml:space="preserve"> be among the “right capabilities” to be </w:t>
      </w:r>
      <w:r w:rsidR="004D49DB" w:rsidRPr="00031169">
        <w:t>implemented</w:t>
      </w:r>
      <w:r w:rsidR="00680B9C" w:rsidRPr="00031169">
        <w:t xml:space="preserve"> </w:t>
      </w:r>
      <w:r w:rsidR="00CF66DF" w:rsidRPr="00031169">
        <w:t xml:space="preserve">by the government </w:t>
      </w:r>
      <w:r w:rsidR="00680B9C" w:rsidRPr="00031169">
        <w:t xml:space="preserve">during a significant disease outbreak </w:t>
      </w:r>
      <w:r w:rsidR="006E1871">
        <w:t>in the UK</w:t>
      </w:r>
      <w:r w:rsidR="002968C4" w:rsidRPr="00031169">
        <w:t>.</w:t>
      </w:r>
      <w:r w:rsidR="00CF66DF" w:rsidRPr="00031169">
        <w:t xml:space="preserve"> </w:t>
      </w:r>
      <w:r w:rsidR="00BA6C2B" w:rsidRPr="00031169">
        <w:t>The government claimed</w:t>
      </w:r>
      <w:r w:rsidR="00BA6C2B" w:rsidRPr="00031169">
        <w:t xml:space="preserve"> to have “</w:t>
      </w:r>
      <w:r w:rsidR="00BA6C2B" w:rsidRPr="00031169">
        <w:t>a strong public communications capability, to ensure that we are able to engage swiftly and clearly with the public about any action they might need to take to protect themselves or support an effective response” (BSS 2018, p. 26).</w:t>
      </w:r>
      <w:r w:rsidR="00BA6C2B" w:rsidRPr="00031169">
        <w:t xml:space="preserve"> However, the BSS did not identify or discuss </w:t>
      </w:r>
      <w:r w:rsidR="00C0767E">
        <w:t xml:space="preserve">any nonpharmaceutical </w:t>
      </w:r>
      <w:r w:rsidR="00BA6C2B" w:rsidRPr="00031169">
        <w:t xml:space="preserve">examples of “action </w:t>
      </w:r>
      <w:r w:rsidR="00BA6C2B" w:rsidRPr="00031169">
        <w:t>[the public]</w:t>
      </w:r>
      <w:r w:rsidR="00BA6C2B" w:rsidRPr="00031169">
        <w:t xml:space="preserve"> might need to take”</w:t>
      </w:r>
      <w:r w:rsidR="00BA6C2B" w:rsidRPr="00031169">
        <w:t xml:space="preserve">. </w:t>
      </w:r>
      <w:r w:rsidR="00CF66DF" w:rsidRPr="00031169">
        <w:t xml:space="preserve">Staple terms in the COVID-19 lexicon today – ‘social distancing’, ‘lockdown’, </w:t>
      </w:r>
      <w:r w:rsidR="002251FB">
        <w:t>‘</w:t>
      </w:r>
      <w:r w:rsidR="00CF66DF" w:rsidRPr="00031169">
        <w:t>isolation’, and ‘quarantine’ – appear nowhere in the text of the 2018 Biological Security Strategy.</w:t>
      </w:r>
    </w:p>
    <w:p w14:paraId="7CDF7A6F" w14:textId="72A2693C" w:rsidR="009F63C9" w:rsidRDefault="009F63C9" w:rsidP="00B92ABD">
      <w:pPr>
        <w:spacing w:line="276" w:lineRule="auto"/>
        <w:jc w:val="both"/>
      </w:pPr>
    </w:p>
    <w:p w14:paraId="5BAC2120" w14:textId="757FAC0D" w:rsidR="00C77371" w:rsidRDefault="00C77371" w:rsidP="00B92ABD">
      <w:pPr>
        <w:spacing w:line="276" w:lineRule="auto"/>
        <w:jc w:val="both"/>
      </w:pPr>
    </w:p>
    <w:p w14:paraId="3DF87059" w14:textId="7EFAE975" w:rsidR="00C77371" w:rsidRDefault="00C77371" w:rsidP="00B92ABD">
      <w:pPr>
        <w:spacing w:line="276" w:lineRule="auto"/>
        <w:jc w:val="both"/>
      </w:pPr>
    </w:p>
    <w:p w14:paraId="7ADB399E" w14:textId="77777777" w:rsidR="00C77371" w:rsidRPr="00031169" w:rsidRDefault="00C77371" w:rsidP="00B92ABD">
      <w:pPr>
        <w:spacing w:line="276" w:lineRule="auto"/>
        <w:jc w:val="both"/>
      </w:pPr>
    </w:p>
    <w:p w14:paraId="009567DD" w14:textId="6049E769" w:rsidR="00901F77" w:rsidRPr="00031169" w:rsidRDefault="005B3F18" w:rsidP="00B92ABD">
      <w:pPr>
        <w:pStyle w:val="Heading1"/>
        <w:spacing w:line="276" w:lineRule="auto"/>
        <w:jc w:val="both"/>
      </w:pPr>
      <w:r w:rsidRPr="00031169">
        <w:t>COVID-19 and the surprise of s</w:t>
      </w:r>
      <w:r w:rsidR="00965FD8" w:rsidRPr="00031169">
        <w:t xml:space="preserve">ocial </w:t>
      </w:r>
      <w:r w:rsidRPr="00031169">
        <w:t>d</w:t>
      </w:r>
      <w:r w:rsidR="00965FD8" w:rsidRPr="00031169">
        <w:t>istancing</w:t>
      </w:r>
    </w:p>
    <w:p w14:paraId="4C66B978" w14:textId="6769B3F2" w:rsidR="002104CC" w:rsidRDefault="002104CC" w:rsidP="00B92ABD">
      <w:pPr>
        <w:spacing w:line="276" w:lineRule="auto"/>
        <w:jc w:val="both"/>
      </w:pPr>
    </w:p>
    <w:p w14:paraId="1E60CDF9" w14:textId="3F7C8839" w:rsidR="003905C1" w:rsidRDefault="000C1405" w:rsidP="00B92ABD">
      <w:pPr>
        <w:spacing w:line="276" w:lineRule="auto"/>
        <w:jc w:val="both"/>
      </w:pPr>
      <w:r w:rsidRPr="00031169">
        <w:t xml:space="preserve">As of mid-2018 the </w:t>
      </w:r>
      <w:r>
        <w:t>g</w:t>
      </w:r>
      <w:r w:rsidRPr="00031169">
        <w:t xml:space="preserve">overnment felt able to </w:t>
      </w:r>
      <w:r w:rsidR="00E9251A">
        <w:t>boast</w:t>
      </w:r>
      <w:r w:rsidRPr="00031169">
        <w:t>: “The UK is globally renowned for the quality of our preparedness planning, and we have world-leading capabilities to address significant biological risks” (BSS 2018, p. 13)</w:t>
      </w:r>
      <w:r w:rsidR="00E9251A">
        <w:t xml:space="preserve">. Unfortunately, this reassurance </w:t>
      </w:r>
      <w:r w:rsidR="007307C2">
        <w:t xml:space="preserve">has since been severely </w:t>
      </w:r>
      <w:r w:rsidR="00E9251A">
        <w:t xml:space="preserve">undermined by the experience of </w:t>
      </w:r>
      <w:r w:rsidR="00E9251A">
        <w:t xml:space="preserve">COVID-19 </w:t>
      </w:r>
      <w:r w:rsidR="00E9251A">
        <w:t>within the UK and around the world.</w:t>
      </w:r>
      <w:r w:rsidR="007752CF">
        <w:t xml:space="preserve"> </w:t>
      </w:r>
    </w:p>
    <w:p w14:paraId="31383FAE" w14:textId="77777777" w:rsidR="003905C1" w:rsidRDefault="003905C1" w:rsidP="00B92ABD">
      <w:pPr>
        <w:spacing w:line="276" w:lineRule="auto"/>
        <w:jc w:val="both"/>
      </w:pPr>
    </w:p>
    <w:p w14:paraId="6E3EB538" w14:textId="49FDE256" w:rsidR="003905C1" w:rsidRDefault="008C2924" w:rsidP="00B92ABD">
      <w:pPr>
        <w:spacing w:line="276" w:lineRule="auto"/>
        <w:jc w:val="both"/>
      </w:pPr>
      <w:r>
        <w:t xml:space="preserve">It </w:t>
      </w:r>
      <w:r w:rsidR="00C77371">
        <w:t>is</w:t>
      </w:r>
      <w:r>
        <w:t xml:space="preserve"> possible the </w:t>
      </w:r>
      <w:r w:rsidR="006A58D7">
        <w:t>g</w:t>
      </w:r>
      <w:r>
        <w:t xml:space="preserve">overnment’s prior optimism was founded on </w:t>
      </w:r>
      <w:r w:rsidR="003905C1">
        <w:t xml:space="preserve">high </w:t>
      </w:r>
      <w:r>
        <w:t xml:space="preserve">confidence that pharmaceutical </w:t>
      </w:r>
      <w:r w:rsidR="007307C2">
        <w:t>resources</w:t>
      </w:r>
      <w:r>
        <w:t xml:space="preserve"> could </w:t>
      </w:r>
      <w:r w:rsidR="007307C2">
        <w:t>swiftly</w:t>
      </w:r>
      <w:r>
        <w:t xml:space="preserve"> be acquired and deployed in response to emerging infectious disease risks.</w:t>
      </w:r>
      <w:r w:rsidR="00154EC3">
        <w:t xml:space="preserve"> </w:t>
      </w:r>
      <w:r w:rsidRPr="00031169">
        <w:t xml:space="preserve">In the face of </w:t>
      </w:r>
      <w:r>
        <w:t>such</w:t>
      </w:r>
      <w:r w:rsidRPr="00031169">
        <w:t xml:space="preserve"> risks, some of which </w:t>
      </w:r>
      <w:r>
        <w:t>might be</w:t>
      </w:r>
      <w:r w:rsidRPr="00031169">
        <w:t xml:space="preserve"> framed </w:t>
      </w:r>
      <w:r>
        <w:t>as endangering national</w:t>
      </w:r>
      <w:r w:rsidRPr="00031169">
        <w:t xml:space="preserve"> security, there is </w:t>
      </w:r>
      <w:r>
        <w:t xml:space="preserve">historically </w:t>
      </w:r>
      <w:r w:rsidRPr="00031169">
        <w:t>a strong political preference for using protective vaccines and therapeutic</w:t>
      </w:r>
      <w:r>
        <w:t xml:space="preserve"> </w:t>
      </w:r>
      <w:r w:rsidRPr="00031169">
        <w:t>drugs. This is because nonpharmaceutical approaches to disease</w:t>
      </w:r>
      <w:r>
        <w:t xml:space="preserve"> </w:t>
      </w:r>
      <w:r w:rsidRPr="00031169">
        <w:t xml:space="preserve">control </w:t>
      </w:r>
      <w:r w:rsidR="003905C1">
        <w:t xml:space="preserve">(e.g. social distancing and border controls) </w:t>
      </w:r>
      <w:r w:rsidRPr="00031169">
        <w:t>are often disruptive and unpopular. The swift</w:t>
      </w:r>
      <w:r>
        <w:t xml:space="preserve"> </w:t>
      </w:r>
      <w:r w:rsidRPr="00031169">
        <w:t>deployment of pharmaceutical resources</w:t>
      </w:r>
      <w:r w:rsidR="00C77371">
        <w:t>,</w:t>
      </w:r>
      <w:r w:rsidRPr="00031169">
        <w:t xml:space="preserve"> wherever they are needed to prevent or treat a</w:t>
      </w:r>
      <w:r>
        <w:t xml:space="preserve"> </w:t>
      </w:r>
      <w:r w:rsidRPr="00031169">
        <w:t>deadly disease</w:t>
      </w:r>
      <w:r w:rsidR="00C77371">
        <w:t>,</w:t>
      </w:r>
      <w:r w:rsidRPr="00031169">
        <w:t xml:space="preserve"> is widely regarded as better</w:t>
      </w:r>
      <w:r w:rsidR="00C77371">
        <w:t xml:space="preserve"> from a </w:t>
      </w:r>
      <w:r w:rsidR="00673080">
        <w:t>governmental</w:t>
      </w:r>
      <w:r w:rsidR="00C77371">
        <w:t xml:space="preserve"> viewpoint</w:t>
      </w:r>
      <w:r>
        <w:t>.</w:t>
      </w:r>
      <w:r w:rsidR="00154EC3">
        <w:t xml:space="preserve"> </w:t>
      </w:r>
    </w:p>
    <w:p w14:paraId="04B33C93" w14:textId="77777777" w:rsidR="003905C1" w:rsidRDefault="003905C1" w:rsidP="00B92ABD">
      <w:pPr>
        <w:spacing w:line="276" w:lineRule="auto"/>
        <w:jc w:val="both"/>
      </w:pPr>
    </w:p>
    <w:p w14:paraId="77A71320" w14:textId="1045E606" w:rsidR="007307C2" w:rsidRPr="003905C1" w:rsidRDefault="007307C2" w:rsidP="00B92ABD">
      <w:pPr>
        <w:spacing w:line="276" w:lineRule="auto"/>
        <w:jc w:val="both"/>
      </w:pPr>
      <w:r>
        <w:t xml:space="preserve">Even so, the absence in the 2018 BSS of any detailed discussion of nonpharmaceutical responses to a significant disease outbreak in the UK was </w:t>
      </w:r>
      <w:r w:rsidR="00C77371">
        <w:t xml:space="preserve">arguably </w:t>
      </w:r>
      <w:r w:rsidR="00AF78DF">
        <w:t>an oversight</w:t>
      </w:r>
      <w:r>
        <w:t xml:space="preserve"> that could have been seen at the time the Strategy was drafted.</w:t>
      </w:r>
      <w:r w:rsidR="003905C1">
        <w:t xml:space="preserve"> </w:t>
      </w:r>
      <w:r w:rsidRPr="00031169">
        <w:rPr>
          <w:lang w:val="en-US"/>
        </w:rPr>
        <w:t xml:space="preserve">A problem with </w:t>
      </w:r>
      <w:r w:rsidR="00AF78DF">
        <w:rPr>
          <w:lang w:val="en-US"/>
        </w:rPr>
        <w:t>emphasizing</w:t>
      </w:r>
      <w:r w:rsidRPr="00031169">
        <w:rPr>
          <w:lang w:val="en-US"/>
        </w:rPr>
        <w:t xml:space="preserve"> pharmaceutical defenses is that governments might find that these cannot </w:t>
      </w:r>
      <w:r w:rsidR="007752CF">
        <w:rPr>
          <w:lang w:val="en-US"/>
        </w:rPr>
        <w:t>be</w:t>
      </w:r>
      <w:r w:rsidRPr="00031169">
        <w:rPr>
          <w:lang w:val="en-US"/>
        </w:rPr>
        <w:t xml:space="preserve"> deployed at the time and in the quantities required to mitigate and contain a disease outbreak. </w:t>
      </w:r>
      <w:r w:rsidR="007752CF">
        <w:t>Experience shows that, i</w:t>
      </w:r>
      <w:r w:rsidR="003B426B" w:rsidRPr="00031169">
        <w:t xml:space="preserve">n some circumstances, drugs and vaccines are non-existent, unaffordable or otherwise unavailable, so </w:t>
      </w:r>
      <w:r w:rsidR="005C19B1">
        <w:t xml:space="preserve">instead </w:t>
      </w:r>
      <w:r w:rsidR="003B426B" w:rsidRPr="00031169">
        <w:t>only nonpharmaceutical responses can be implemented.</w:t>
      </w:r>
      <w:r w:rsidR="007752CF">
        <w:rPr>
          <w:lang w:val="en-US"/>
        </w:rPr>
        <w:t xml:space="preserve"> </w:t>
      </w:r>
      <w:r w:rsidRPr="00031169">
        <w:rPr>
          <w:lang w:val="en-US"/>
        </w:rPr>
        <w:t xml:space="preserve">In the event of an influenza pandemic, for example, </w:t>
      </w:r>
      <w:r w:rsidR="00154EC3">
        <w:rPr>
          <w:lang w:val="en-US"/>
        </w:rPr>
        <w:t>it is well-known that</w:t>
      </w:r>
      <w:r w:rsidRPr="00031169">
        <w:rPr>
          <w:lang w:val="en-US"/>
        </w:rPr>
        <w:t xml:space="preserve"> a vaccine matched to the pandemic virus would not be available until several months after the pandemic virus started to circulate.</w:t>
      </w:r>
      <w:r w:rsidR="00154EC3">
        <w:rPr>
          <w:lang w:val="en-US"/>
        </w:rPr>
        <w:t xml:space="preserve"> </w:t>
      </w:r>
      <w:r>
        <w:rPr>
          <w:lang w:val="en-US"/>
        </w:rPr>
        <w:t xml:space="preserve">And </w:t>
      </w:r>
      <w:r w:rsidRPr="00C071EF">
        <w:rPr>
          <w:iCs/>
        </w:rPr>
        <w:t xml:space="preserve">the </w:t>
      </w:r>
      <w:r w:rsidR="00C77371">
        <w:rPr>
          <w:iCs/>
        </w:rPr>
        <w:t xml:space="preserve">recent </w:t>
      </w:r>
      <w:r w:rsidRPr="00C071EF">
        <w:rPr>
          <w:iCs/>
        </w:rPr>
        <w:t xml:space="preserve">large-scale Ebola outbreak in West Africa </w:t>
      </w:r>
      <w:r>
        <w:rPr>
          <w:iCs/>
        </w:rPr>
        <w:t xml:space="preserve">(2014–2016) </w:t>
      </w:r>
      <w:r w:rsidRPr="00C071EF">
        <w:rPr>
          <w:iCs/>
        </w:rPr>
        <w:t>powerfully demonstrated the human and societal damage a deadly virus can cause in the absence of an effective vaccine.</w:t>
      </w:r>
      <w:r>
        <w:rPr>
          <w:iCs/>
        </w:rPr>
        <w:t xml:space="preserve"> </w:t>
      </w:r>
      <w:r>
        <w:t>Nonpharmaceutical approaches to disease-control had had to be used</w:t>
      </w:r>
      <w:r w:rsidR="003905C1">
        <w:t xml:space="preserve"> there</w:t>
      </w:r>
      <w:r>
        <w:t xml:space="preserve">, </w:t>
      </w:r>
      <w:r w:rsidR="00C77371">
        <w:t>and these</w:t>
      </w:r>
      <w:r>
        <w:t xml:space="preserve"> were sometimes disruptive and damaging in themselves, </w:t>
      </w:r>
      <w:r w:rsidR="00C77371">
        <w:t>but</w:t>
      </w:r>
      <w:r>
        <w:t xml:space="preserve"> </w:t>
      </w:r>
      <w:r w:rsidR="00154EC3">
        <w:t>only in this way was that</w:t>
      </w:r>
      <w:r>
        <w:t xml:space="preserve"> Ebola outbreak </w:t>
      </w:r>
      <w:r w:rsidR="003905C1">
        <w:t xml:space="preserve">able </w:t>
      </w:r>
      <w:r>
        <w:t xml:space="preserve">eventually </w:t>
      </w:r>
      <w:r w:rsidR="003905C1">
        <w:t xml:space="preserve">to be </w:t>
      </w:r>
      <w:r>
        <w:t>brought under control.</w:t>
      </w:r>
    </w:p>
    <w:p w14:paraId="5B65999E" w14:textId="3E2AAA6A" w:rsidR="007307C2" w:rsidRDefault="007307C2" w:rsidP="00B92ABD">
      <w:pPr>
        <w:spacing w:line="276" w:lineRule="auto"/>
        <w:jc w:val="both"/>
        <w:rPr>
          <w:iCs/>
        </w:rPr>
      </w:pPr>
    </w:p>
    <w:p w14:paraId="7CAF745E" w14:textId="29A95B0F" w:rsidR="00407B48" w:rsidRPr="00407B48" w:rsidRDefault="007307C2" w:rsidP="00B92ABD">
      <w:pPr>
        <w:spacing w:line="276" w:lineRule="auto"/>
        <w:jc w:val="both"/>
        <w:rPr>
          <w:iCs/>
        </w:rPr>
      </w:pPr>
      <w:r>
        <w:rPr>
          <w:iCs/>
        </w:rPr>
        <w:t xml:space="preserve">It is </w:t>
      </w:r>
      <w:r w:rsidR="003905C1">
        <w:rPr>
          <w:iCs/>
        </w:rPr>
        <w:t xml:space="preserve">thus </w:t>
      </w:r>
      <w:r>
        <w:rPr>
          <w:iCs/>
        </w:rPr>
        <w:t>reasonable</w:t>
      </w:r>
      <w:r w:rsidR="003905C1">
        <w:rPr>
          <w:iCs/>
        </w:rPr>
        <w:t xml:space="preserve"> </w:t>
      </w:r>
      <w:r>
        <w:rPr>
          <w:iCs/>
        </w:rPr>
        <w:t xml:space="preserve">to criticise the 2018 BSS (and the </w:t>
      </w:r>
      <w:r w:rsidR="0023129D">
        <w:rPr>
          <w:iCs/>
        </w:rPr>
        <w:t>Strategy’s</w:t>
      </w:r>
      <w:r>
        <w:rPr>
          <w:iCs/>
        </w:rPr>
        <w:t xml:space="preserve"> “Response” pillar in </w:t>
      </w:r>
      <w:r w:rsidR="0023129D">
        <w:rPr>
          <w:iCs/>
        </w:rPr>
        <w:t>particular</w:t>
      </w:r>
      <w:r>
        <w:rPr>
          <w:iCs/>
        </w:rPr>
        <w:t>) for not better anticipating</w:t>
      </w:r>
      <w:r w:rsidR="0023129D">
        <w:rPr>
          <w:iCs/>
        </w:rPr>
        <w:t xml:space="preserve"> the emergence and persistence of </w:t>
      </w:r>
      <w:r>
        <w:rPr>
          <w:iCs/>
        </w:rPr>
        <w:t xml:space="preserve">a deadly disease </w:t>
      </w:r>
      <w:r w:rsidR="0023129D">
        <w:rPr>
          <w:iCs/>
        </w:rPr>
        <w:t>against which</w:t>
      </w:r>
      <w:r w:rsidR="008C2924" w:rsidRPr="00031169">
        <w:t xml:space="preserve"> </w:t>
      </w:r>
      <w:r w:rsidR="0023129D">
        <w:t>there is no suitable</w:t>
      </w:r>
      <w:r w:rsidR="008C2924">
        <w:t xml:space="preserve"> </w:t>
      </w:r>
      <w:r w:rsidR="008C2924" w:rsidRPr="00031169">
        <w:t>vaccine</w:t>
      </w:r>
      <w:r w:rsidR="008C2924">
        <w:t xml:space="preserve"> to prevent </w:t>
      </w:r>
      <w:r>
        <w:t xml:space="preserve">infection </w:t>
      </w:r>
      <w:r w:rsidR="00B87983">
        <w:t>and</w:t>
      </w:r>
      <w:r>
        <w:t xml:space="preserve"> </w:t>
      </w:r>
      <w:r w:rsidR="00F15BA7">
        <w:t>few</w:t>
      </w:r>
      <w:r w:rsidR="0023129D">
        <w:t xml:space="preserve"> </w:t>
      </w:r>
      <w:r w:rsidR="008C2924">
        <w:t>effective drugs to treat it</w:t>
      </w:r>
      <w:r w:rsidR="0023129D">
        <w:t>.</w:t>
      </w:r>
      <w:r w:rsidR="00407B48">
        <w:rPr>
          <w:iCs/>
        </w:rPr>
        <w:t xml:space="preserve"> </w:t>
      </w:r>
      <w:r w:rsidR="007752CF">
        <w:t>I</w:t>
      </w:r>
      <w:r w:rsidR="007752CF" w:rsidRPr="00031169">
        <w:t>n its national biosecurity strategy</w:t>
      </w:r>
      <w:r w:rsidR="007752CF">
        <w:t>, t</w:t>
      </w:r>
      <w:r w:rsidR="00824C50" w:rsidRPr="00031169">
        <w:t xml:space="preserve">he UK government </w:t>
      </w:r>
      <w:r w:rsidR="007B56AD">
        <w:t xml:space="preserve">could have but </w:t>
      </w:r>
      <w:r w:rsidR="00824C50" w:rsidRPr="00031169">
        <w:t xml:space="preserve">did not make clear what </w:t>
      </w:r>
      <w:r w:rsidR="00824C50" w:rsidRPr="00031169">
        <w:t xml:space="preserve">a nonpharmaceutical </w:t>
      </w:r>
      <w:r w:rsidR="00824C50" w:rsidRPr="00031169">
        <w:t xml:space="preserve">response to a </w:t>
      </w:r>
      <w:r w:rsidR="00F15BA7">
        <w:t xml:space="preserve">severe </w:t>
      </w:r>
      <w:r w:rsidR="00824C50" w:rsidRPr="00031169">
        <w:t>domestic outbreak</w:t>
      </w:r>
      <w:r w:rsidR="00824C50" w:rsidRPr="00031169">
        <w:t xml:space="preserve"> might look </w:t>
      </w:r>
      <w:r w:rsidR="00824C50" w:rsidRPr="00031169">
        <w:t>like</w:t>
      </w:r>
      <w:r w:rsidR="00824C50" w:rsidRPr="00031169">
        <w:t xml:space="preserve">, and </w:t>
      </w:r>
      <w:r w:rsidR="00824C50" w:rsidRPr="00031169">
        <w:t xml:space="preserve">nor </w:t>
      </w:r>
      <w:r w:rsidR="00824C50" w:rsidRPr="00031169">
        <w:t xml:space="preserve">did </w:t>
      </w:r>
      <w:r w:rsidR="00824C50" w:rsidRPr="00031169">
        <w:t xml:space="preserve">it </w:t>
      </w:r>
      <w:r w:rsidR="00824C50" w:rsidRPr="00031169">
        <w:t xml:space="preserve">warn of the </w:t>
      </w:r>
      <w:r w:rsidR="00824C50" w:rsidRPr="00031169">
        <w:t>potential</w:t>
      </w:r>
      <w:r w:rsidR="00824C50" w:rsidRPr="00031169">
        <w:t xml:space="preserve"> downside risks associated with implement</w:t>
      </w:r>
      <w:r w:rsidR="00824C50" w:rsidRPr="00031169">
        <w:t>ing such a response.</w:t>
      </w:r>
      <w:r w:rsidR="007B56AD">
        <w:t xml:space="preserve"> Consequently</w:t>
      </w:r>
      <w:r w:rsidR="007752CF">
        <w:t xml:space="preserve">, in </w:t>
      </w:r>
      <w:r w:rsidR="00AF78DF">
        <w:t>the UK,</w:t>
      </w:r>
      <w:r w:rsidR="007752CF">
        <w:t xml:space="preserve"> </w:t>
      </w:r>
      <w:r w:rsidR="00407B48">
        <w:t>where people had long ago stopped thinking of</w:t>
      </w:r>
      <w:r w:rsidR="007752CF">
        <w:t xml:space="preserve"> infectious disease</w:t>
      </w:r>
      <w:r w:rsidR="00407B48">
        <w:t xml:space="preserve"> as a major life risk, the </w:t>
      </w:r>
      <w:r w:rsidR="00931F31">
        <w:t>surprise caused by COVID-19 itself</w:t>
      </w:r>
      <w:r w:rsidR="00407B48">
        <w:t xml:space="preserve"> has been compounded by surprise at the immense cost of trying to stop th</w:t>
      </w:r>
      <w:r w:rsidR="007B56AD">
        <w:t>is</w:t>
      </w:r>
      <w:r w:rsidR="00407B48">
        <w:t xml:space="preserve"> disease by limiting human contact.</w:t>
      </w:r>
    </w:p>
    <w:p w14:paraId="5850955A" w14:textId="5FDB3BDB" w:rsidR="00824C50" w:rsidRDefault="00824C50" w:rsidP="00B92ABD">
      <w:pPr>
        <w:spacing w:line="276" w:lineRule="auto"/>
        <w:jc w:val="both"/>
      </w:pPr>
    </w:p>
    <w:p w14:paraId="2C0C0493" w14:textId="33B7458F" w:rsidR="00407B48" w:rsidRPr="00031169" w:rsidRDefault="008C2924" w:rsidP="00B92ABD">
      <w:pPr>
        <w:spacing w:line="276" w:lineRule="auto"/>
        <w:jc w:val="both"/>
      </w:pPr>
      <w:r>
        <w:t xml:space="preserve">Since </w:t>
      </w:r>
      <w:r w:rsidR="007B56AD">
        <w:t>early</w:t>
      </w:r>
      <w:r>
        <w:t xml:space="preserve"> 2020, the UK </w:t>
      </w:r>
      <w:r w:rsidR="00905435">
        <w:t>government</w:t>
      </w:r>
      <w:r>
        <w:t xml:space="preserve"> (along with </w:t>
      </w:r>
      <w:r w:rsidR="007B56AD">
        <w:t xml:space="preserve">other </w:t>
      </w:r>
      <w:r>
        <w:t>government</w:t>
      </w:r>
      <w:r w:rsidR="00407B48">
        <w:t>s</w:t>
      </w:r>
      <w:r>
        <w:t xml:space="preserve"> around the world) has had to manage</w:t>
      </w:r>
      <w:r w:rsidR="007B56AD">
        <w:t>,</w:t>
      </w:r>
      <w:r>
        <w:t xml:space="preserve"> </w:t>
      </w:r>
      <w:r w:rsidR="00407B48">
        <w:t>and explain publicly</w:t>
      </w:r>
      <w:r w:rsidR="007B56AD">
        <w:t>,</w:t>
      </w:r>
      <w:r w:rsidR="00407B48">
        <w:t xml:space="preserve"> the</w:t>
      </w:r>
      <w:r>
        <w:t xml:space="preserve"> </w:t>
      </w:r>
      <w:r w:rsidRPr="00F15BA7">
        <w:t xml:space="preserve">‘remedy or overkill’ </w:t>
      </w:r>
      <w:r>
        <w:t xml:space="preserve">dilemma of biosecurity policy </w:t>
      </w:r>
      <w:r w:rsidR="00407B48">
        <w:t xml:space="preserve">that it confronts </w:t>
      </w:r>
      <w:r>
        <w:t>when implementing social distancing measures.</w:t>
      </w:r>
      <w:r w:rsidR="007B56AD">
        <w:t xml:space="preserve"> </w:t>
      </w:r>
      <w:r w:rsidR="00407B48" w:rsidRPr="00031169">
        <w:t>In circumstances where a deadly disease is spreading rapidly through a population, there is a public</w:t>
      </w:r>
      <w:r w:rsidR="00407B48">
        <w:t xml:space="preserve"> </w:t>
      </w:r>
      <w:r w:rsidR="00407B48" w:rsidRPr="00031169">
        <w:t xml:space="preserve">health benefit to be gained from promoting social distancing. By thus reducing the overall risk of human-to-human transmission of the </w:t>
      </w:r>
      <w:r w:rsidR="007B56AD">
        <w:t xml:space="preserve">SARS-CoV-2 </w:t>
      </w:r>
      <w:r w:rsidR="00407B48" w:rsidRPr="00031169">
        <w:t xml:space="preserve">virus, the likelihood of local healthcare systems being overwhelmed by patients is reduced too. </w:t>
      </w:r>
      <w:r w:rsidR="007B56AD">
        <w:t>However</w:t>
      </w:r>
      <w:r w:rsidR="00407B48" w:rsidRPr="00031169">
        <w:t xml:space="preserve">, </w:t>
      </w:r>
      <w:r w:rsidR="007B56AD">
        <w:t xml:space="preserve">it is clear also that the very </w:t>
      </w:r>
      <w:r w:rsidR="00407B48" w:rsidRPr="00031169">
        <w:t>implement</w:t>
      </w:r>
      <w:r w:rsidR="007B56AD">
        <w:t>ation of</w:t>
      </w:r>
      <w:r w:rsidR="00407B48" w:rsidRPr="00031169">
        <w:t xml:space="preserve"> </w:t>
      </w:r>
      <w:r w:rsidR="007B56AD">
        <w:t>disease-</w:t>
      </w:r>
      <w:r w:rsidR="00407B48" w:rsidRPr="00031169">
        <w:t xml:space="preserve">control measures carries risks for </w:t>
      </w:r>
      <w:r w:rsidR="007B56AD">
        <w:t>UK</w:t>
      </w:r>
      <w:r w:rsidR="00407B48" w:rsidRPr="00031169">
        <w:t xml:space="preserve"> society in terms of individual human rights and collective economic prosperity. </w:t>
      </w:r>
    </w:p>
    <w:p w14:paraId="64183B64" w14:textId="77777777" w:rsidR="00407B48" w:rsidRPr="00031169" w:rsidRDefault="00407B48" w:rsidP="00B92ABD">
      <w:pPr>
        <w:spacing w:line="276" w:lineRule="auto"/>
        <w:jc w:val="both"/>
      </w:pPr>
    </w:p>
    <w:p w14:paraId="4F495DE0" w14:textId="77777777" w:rsidR="00F15BA7" w:rsidRDefault="00407B48" w:rsidP="00B92ABD">
      <w:pPr>
        <w:spacing w:line="276" w:lineRule="auto"/>
        <w:jc w:val="both"/>
      </w:pPr>
      <w:r w:rsidRPr="00031169">
        <w:t xml:space="preserve">In an atmosphere of heightened public concern about a dreaded contagion, a government needs to be especially careful in balancing a policy’s benefits and risks when deciding how best to respond. A strong appetite, fuelled by fear, for the protection afforded by certain disease-control practices should not preclude consideration of the downsides to those practices. </w:t>
      </w:r>
    </w:p>
    <w:p w14:paraId="2C649029" w14:textId="77777777" w:rsidR="00F15BA7" w:rsidRDefault="00F15BA7" w:rsidP="00B92ABD">
      <w:pPr>
        <w:spacing w:line="276" w:lineRule="auto"/>
        <w:jc w:val="both"/>
      </w:pPr>
    </w:p>
    <w:p w14:paraId="7264A834" w14:textId="77777777" w:rsidR="008119D4" w:rsidRDefault="00407B48" w:rsidP="00B92ABD">
      <w:pPr>
        <w:spacing w:line="276" w:lineRule="auto"/>
        <w:jc w:val="both"/>
      </w:pPr>
      <w:r w:rsidRPr="00031169">
        <w:t xml:space="preserve">The </w:t>
      </w:r>
      <w:r w:rsidR="00AF78DF">
        <w:t xml:space="preserve">complete </w:t>
      </w:r>
      <w:r w:rsidRPr="00031169">
        <w:t xml:space="preserve">closure of schools, for example, promises to slow the community-wide spread of the coronavirus, but it can also make unavailable any healthcare or other essential workers who must then </w:t>
      </w:r>
      <w:r w:rsidR="00AF78DF">
        <w:t>care for</w:t>
      </w:r>
      <w:r w:rsidRPr="00031169">
        <w:t xml:space="preserve"> their own school-age children. In the longer term, where home-schooling options are unavailable or inadequate, those children’s education and life prospects are undermined. Requiring workers to stay at home </w:t>
      </w:r>
      <w:r w:rsidR="00AF78DF" w:rsidRPr="00031169">
        <w:t xml:space="preserve">for the duration of a severe disease outbreak </w:t>
      </w:r>
      <w:r w:rsidRPr="00031169">
        <w:t>can likewise reduce the risk of viral infection, but in many places and professions it is often difficult or impossible to implement remote-working arrangements. Thus, those workers’ economic productivity vanishes, and the viability of their continued employment is jeopardised.</w:t>
      </w:r>
      <w:r w:rsidR="00AF78DF">
        <w:t xml:space="preserve"> </w:t>
      </w:r>
    </w:p>
    <w:p w14:paraId="01C46667" w14:textId="77777777" w:rsidR="008119D4" w:rsidRDefault="008119D4" w:rsidP="00B92ABD">
      <w:pPr>
        <w:spacing w:line="276" w:lineRule="auto"/>
        <w:jc w:val="both"/>
      </w:pPr>
    </w:p>
    <w:p w14:paraId="771D4305" w14:textId="1A95D977" w:rsidR="00407B48" w:rsidRDefault="00407B48" w:rsidP="00B92ABD">
      <w:pPr>
        <w:spacing w:line="276" w:lineRule="auto"/>
        <w:jc w:val="both"/>
      </w:pPr>
      <w:r w:rsidRPr="00031169">
        <w:t xml:space="preserve">Restricting or prohibiting cross-border travel can slow the transnational progress of COVID-19 via travellers’ bodies, but it can also inhibit the </w:t>
      </w:r>
      <w:r w:rsidR="00825C17">
        <w:t xml:space="preserve">in-person </w:t>
      </w:r>
      <w:r w:rsidRPr="00031169">
        <w:t>sharing of much-needed medical expertise with disease-affected countries. Worse still, a government’s conspicuous emphasis on international border controls carries the risk of ‘externalising’ the pandemic, leading to surges in xenophobia and the scapegoating of foreigners.</w:t>
      </w:r>
    </w:p>
    <w:p w14:paraId="525CCE44" w14:textId="4D61E184" w:rsidR="00AF78DF" w:rsidRDefault="00AF78DF" w:rsidP="00B92ABD">
      <w:pPr>
        <w:spacing w:line="276" w:lineRule="auto"/>
        <w:jc w:val="both"/>
      </w:pPr>
    </w:p>
    <w:p w14:paraId="207342A8" w14:textId="77777777" w:rsidR="00825C17" w:rsidRDefault="00AF78DF" w:rsidP="00B92ABD">
      <w:pPr>
        <w:spacing w:line="276" w:lineRule="auto"/>
        <w:jc w:val="both"/>
      </w:pPr>
      <w:r w:rsidRPr="00031169">
        <w:t>Finding the right balance of disease-control benefits and risks is inherently difficult, so failure in this quest is a realistic possibility. Thus, it makes sense to be wary of situations in which a government’s disease-control ‘cure’ ends up inflicting more societal damage than the disease itself.</w:t>
      </w:r>
      <w:r w:rsidR="00B92ABD">
        <w:t xml:space="preserve"> </w:t>
      </w:r>
    </w:p>
    <w:p w14:paraId="671C41BE" w14:textId="77777777" w:rsidR="00825C17" w:rsidRDefault="00825C17" w:rsidP="00B92ABD">
      <w:pPr>
        <w:spacing w:line="276" w:lineRule="auto"/>
        <w:jc w:val="both"/>
      </w:pPr>
    </w:p>
    <w:p w14:paraId="501EAF08" w14:textId="74252A4E" w:rsidR="00AF78DF" w:rsidRPr="00031169" w:rsidRDefault="00AF78DF" w:rsidP="00B92ABD">
      <w:pPr>
        <w:spacing w:line="276" w:lineRule="auto"/>
        <w:jc w:val="both"/>
      </w:pPr>
      <w:r w:rsidRPr="00031169">
        <w:t xml:space="preserve">Increasingly, this prospect is shaped by the way in which </w:t>
      </w:r>
      <w:r w:rsidR="00825C17">
        <w:t xml:space="preserve">some </w:t>
      </w:r>
      <w:r w:rsidRPr="00031169">
        <w:t>governments around the world approach the problem of COVID-19 as a crisis of national security. The dread this disease inspires among national populations is attributable to more than just the amount of illness and death experienced and expected. A sense of crisis is stirred also by people’s visceral fear of involuntary exposure to an unfamiliar and invisible risk, the unavailability of effective vaccines or drug treatments, and the limited capacity of hospitals to care for the worst-affected victims.</w:t>
      </w:r>
      <w:r w:rsidR="00B92ABD">
        <w:t xml:space="preserve"> </w:t>
      </w:r>
      <w:r w:rsidRPr="00031169">
        <w:t xml:space="preserve">In response to their citizens’ concerns, many governments have been anxious to take the situation seriously (and be seen to be doing so). Accordingly, political speeches on the pandemic have abounded with war metaphors and comparisons to wartime conditions, and the hefty resources of militaries and other security institutions have </w:t>
      </w:r>
      <w:r w:rsidR="00B92ABD">
        <w:t xml:space="preserve">sometimes </w:t>
      </w:r>
      <w:r w:rsidRPr="00031169">
        <w:t>been deployed</w:t>
      </w:r>
      <w:r w:rsidR="00B92ABD">
        <w:t xml:space="preserve"> for disease-control purposes</w:t>
      </w:r>
      <w:r w:rsidRPr="00031169">
        <w:t>.</w:t>
      </w:r>
    </w:p>
    <w:p w14:paraId="442D9661" w14:textId="77777777" w:rsidR="00AF78DF" w:rsidRPr="00031169" w:rsidRDefault="00AF78DF" w:rsidP="00B92ABD">
      <w:pPr>
        <w:spacing w:line="276" w:lineRule="auto"/>
        <w:jc w:val="both"/>
      </w:pPr>
    </w:p>
    <w:p w14:paraId="520868FC" w14:textId="1BDA687D" w:rsidR="00AF78DF" w:rsidRPr="00031169" w:rsidRDefault="00AF78DF" w:rsidP="00B92ABD">
      <w:pPr>
        <w:spacing w:line="276" w:lineRule="auto"/>
        <w:jc w:val="both"/>
      </w:pPr>
      <w:r w:rsidRPr="00031169">
        <w:t xml:space="preserve">However, the adoption of these security-oriented approaches to COVID-19 is not necessarily </w:t>
      </w:r>
      <w:r w:rsidR="00825C17">
        <w:t>to be welcomed</w:t>
      </w:r>
      <w:r w:rsidRPr="00031169">
        <w:t xml:space="preserve">. </w:t>
      </w:r>
      <w:r w:rsidRPr="00031169">
        <w:rPr>
          <w:lang w:val="en-US"/>
        </w:rPr>
        <w:t>On the one hand, ascribing security status to this pandemic might be a beneficial move (remedy) to garner additional resources and executive powers for protecting population health. On the other hand, disease-control practices driven by a security imperative might be</w:t>
      </w:r>
      <w:r w:rsidR="00FA20CC">
        <w:rPr>
          <w:lang w:val="en-US"/>
        </w:rPr>
        <w:t>come</w:t>
      </w:r>
      <w:bookmarkStart w:id="3" w:name="_GoBack"/>
      <w:bookmarkEnd w:id="3"/>
      <w:r w:rsidRPr="00031169">
        <w:rPr>
          <w:lang w:val="en-US"/>
        </w:rPr>
        <w:t xml:space="preserve"> so heavy-handed (overkill) as to be excessively injurious to national economies and human rights. </w:t>
      </w:r>
      <w:r w:rsidRPr="00031169">
        <w:t xml:space="preserve">A government on a </w:t>
      </w:r>
      <w:r w:rsidR="00B92ABD">
        <w:t>‘</w:t>
      </w:r>
      <w:r w:rsidRPr="00031169">
        <w:t>war footing</w:t>
      </w:r>
      <w:r w:rsidR="00B92ABD">
        <w:t>’</w:t>
      </w:r>
      <w:r w:rsidRPr="00031169">
        <w:t xml:space="preserve"> is more prone to be over-zealous</w:t>
      </w:r>
      <w:r w:rsidR="00825C17">
        <w:t xml:space="preserve"> and, i</w:t>
      </w:r>
      <w:r w:rsidRPr="00031169">
        <w:t>n the name of ‘doing something’, emergency measures could be implemented which are ineffective, counterproductive, discriminatory or otherwise unjust. Therefore, there is now also a non-disease risk to be managed: that disease-control efforts might imperil the interests of the very people they are supposed to protect. If this were to happen, a government’s response to the pandemic would become illegitimate.</w:t>
      </w:r>
    </w:p>
    <w:p w14:paraId="27B06982" w14:textId="77777777" w:rsidR="00AF78DF" w:rsidRPr="00031169" w:rsidRDefault="00AF78DF" w:rsidP="00B92ABD">
      <w:pPr>
        <w:spacing w:line="276" w:lineRule="auto"/>
        <w:jc w:val="both"/>
      </w:pPr>
    </w:p>
    <w:p w14:paraId="35CC7186" w14:textId="77777777" w:rsidR="00AF78DF" w:rsidRDefault="00AF78DF" w:rsidP="00B92ABD">
      <w:pPr>
        <w:spacing w:line="276" w:lineRule="auto"/>
        <w:jc w:val="both"/>
      </w:pPr>
      <w:r w:rsidRPr="00031169">
        <w:t>Fear of contagion can immediately compromise the day-to-day human interaction which sustains society, and policymakers have a responsibility to respect and assuage that fear. Yet governments intent on restricting travel and social interactions must also remember their enduring responsibility to serve and protect a society that has earned its freedoms. Societies function and flourish largely because people have regular contact with and depend upon each other. To depart from this condition too drastically and for too long could make it harder eventually to recover from the ravages of this coronavirus crisis.</w:t>
      </w:r>
    </w:p>
    <w:p w14:paraId="4706A1A3" w14:textId="77777777" w:rsidR="00BD2246" w:rsidRPr="00031169" w:rsidRDefault="00BD2246" w:rsidP="00B92ABD">
      <w:pPr>
        <w:spacing w:line="276" w:lineRule="auto"/>
        <w:jc w:val="both"/>
      </w:pPr>
    </w:p>
    <w:p w14:paraId="1E990843" w14:textId="5CF2F494" w:rsidR="00522DCD" w:rsidRPr="00031169" w:rsidRDefault="002F28AD" w:rsidP="00B92ABD">
      <w:pPr>
        <w:pStyle w:val="Heading1"/>
        <w:spacing w:line="276" w:lineRule="auto"/>
        <w:jc w:val="both"/>
      </w:pPr>
      <w:r w:rsidRPr="00031169">
        <w:t>Appendix: s</w:t>
      </w:r>
      <w:r w:rsidR="00EA2283" w:rsidRPr="00031169">
        <w:t>elected s</w:t>
      </w:r>
      <w:r w:rsidR="00B277A3" w:rsidRPr="00031169">
        <w:t>ources</w:t>
      </w:r>
    </w:p>
    <w:p w14:paraId="50ED0D07" w14:textId="2807DA70" w:rsidR="00EA2283" w:rsidRPr="003B06D3" w:rsidRDefault="00EA2283" w:rsidP="003B06D3">
      <w:pPr>
        <w:spacing w:line="276" w:lineRule="auto"/>
      </w:pPr>
    </w:p>
    <w:p w14:paraId="44A3BC60" w14:textId="309D6E6E" w:rsidR="00AF78DF" w:rsidRPr="003B06D3" w:rsidRDefault="00AF78DF" w:rsidP="003B06D3">
      <w:pPr>
        <w:spacing w:line="276" w:lineRule="auto"/>
      </w:pPr>
      <w:r w:rsidRPr="003B06D3">
        <w:rPr>
          <w:lang w:val="en-AU"/>
        </w:rPr>
        <w:t xml:space="preserve">Christian Enemark, ‘Policy Dilemmas in a War on Disease’, </w:t>
      </w:r>
      <w:r w:rsidRPr="003B06D3">
        <w:rPr>
          <w:i/>
          <w:lang w:val="en-AU"/>
        </w:rPr>
        <w:t>Australian Outlook</w:t>
      </w:r>
      <w:r w:rsidRPr="003B06D3">
        <w:rPr>
          <w:lang w:val="en-AU"/>
        </w:rPr>
        <w:t xml:space="preserve"> (Australian Institute of International Affairs), 2 April 2020, </w:t>
      </w:r>
      <w:hyperlink r:id="rId7" w:history="1">
        <w:r w:rsidRPr="003B06D3">
          <w:rPr>
            <w:rStyle w:val="Hyperlink"/>
            <w:lang w:val="en-AU"/>
          </w:rPr>
          <w:t>http://www.internationalaffairs.org.au/australianoutlook/policy-dilemmas-in-a-war-on-disease/</w:t>
        </w:r>
      </w:hyperlink>
    </w:p>
    <w:p w14:paraId="7187EC95" w14:textId="77777777" w:rsidR="003B06D3" w:rsidRDefault="003B06D3" w:rsidP="003B06D3">
      <w:pPr>
        <w:spacing w:line="276" w:lineRule="auto"/>
        <w:rPr>
          <w:iCs/>
          <w:lang w:val="en-AU"/>
        </w:rPr>
      </w:pPr>
    </w:p>
    <w:p w14:paraId="1A275CD9" w14:textId="0498B5ED" w:rsidR="00F2207A" w:rsidRPr="003B06D3" w:rsidRDefault="00F2207A" w:rsidP="003B06D3">
      <w:pPr>
        <w:spacing w:line="276" w:lineRule="auto"/>
        <w:rPr>
          <w:bCs/>
          <w:lang w:val="en-AU"/>
        </w:rPr>
      </w:pPr>
      <w:r w:rsidRPr="003B06D3">
        <w:rPr>
          <w:iCs/>
          <w:lang w:val="en-AU"/>
        </w:rPr>
        <w:t>Christian Enemark</w:t>
      </w:r>
      <w:r w:rsidRPr="003B06D3">
        <w:rPr>
          <w:bCs/>
          <w:lang w:val="en-AU"/>
        </w:rPr>
        <w:t xml:space="preserve">, ‘Biosecurity and the Risk to Global Health’ in Colin McInnes, Kelley Lee and Jeremy Youde (eds.), </w:t>
      </w:r>
      <w:r w:rsidRPr="003B06D3">
        <w:rPr>
          <w:bCs/>
          <w:i/>
          <w:lang w:val="en-AU"/>
        </w:rPr>
        <w:t>The Oxford Handbook of Global Health Politics</w:t>
      </w:r>
      <w:r w:rsidRPr="003B06D3">
        <w:rPr>
          <w:bCs/>
          <w:lang w:val="en-AU"/>
        </w:rPr>
        <w:t>, New York: Oxford University Press, 2020, 179-95.</w:t>
      </w:r>
      <w:r w:rsidR="00DE47D4" w:rsidRPr="003B06D3">
        <w:rPr>
          <w:bCs/>
          <w:lang w:val="en-AU"/>
        </w:rPr>
        <w:t xml:space="preserve"> </w:t>
      </w:r>
      <w:hyperlink r:id="rId8" w:history="1">
        <w:r w:rsidR="00DE47D4" w:rsidRPr="003B06D3">
          <w:rPr>
            <w:rStyle w:val="Hyperlink"/>
            <w:bCs/>
            <w:lang w:val="en-AU"/>
          </w:rPr>
          <w:t>https://www.oxfordhandbooks.com/view/10.1093/oxfordhb/9780190456818.001.0001/oxfordhb-9780190456818-e-12</w:t>
        </w:r>
      </w:hyperlink>
      <w:r w:rsidR="00DE47D4" w:rsidRPr="003B06D3">
        <w:rPr>
          <w:bCs/>
          <w:lang w:val="en-AU"/>
        </w:rPr>
        <w:t xml:space="preserve"> </w:t>
      </w:r>
    </w:p>
    <w:p w14:paraId="44C610F0" w14:textId="77777777" w:rsidR="003B06D3" w:rsidRDefault="003B06D3" w:rsidP="003B06D3">
      <w:pPr>
        <w:spacing w:line="276" w:lineRule="auto"/>
      </w:pPr>
    </w:p>
    <w:p w14:paraId="6C46B951" w14:textId="068C05C5" w:rsidR="001A26E3" w:rsidRPr="003B06D3" w:rsidRDefault="001A26E3" w:rsidP="003B06D3">
      <w:pPr>
        <w:spacing w:line="276" w:lineRule="auto"/>
      </w:pPr>
      <w:r w:rsidRPr="003B06D3">
        <w:t xml:space="preserve">Christian Enemark, </w:t>
      </w:r>
      <w:r w:rsidRPr="003B06D3">
        <w:rPr>
          <w:i/>
        </w:rPr>
        <w:t>Biosecurity Dilemmas: Dreaded Diseases, Ethical Responses, and the Health of Nations</w:t>
      </w:r>
      <w:r w:rsidRPr="003B06D3">
        <w:t>, Washington DC: Georgetown University Press, 2017.</w:t>
      </w:r>
      <w:r w:rsidR="00DE47D4" w:rsidRPr="003B06D3">
        <w:t xml:space="preserve"> </w:t>
      </w:r>
      <w:hyperlink r:id="rId9" w:history="1">
        <w:r w:rsidR="00DE47D4" w:rsidRPr="003B06D3">
          <w:rPr>
            <w:rStyle w:val="Hyperlink"/>
          </w:rPr>
          <w:t>http://press.georgetown.edu/book/georgetown/biosecurity-dilemmas</w:t>
        </w:r>
      </w:hyperlink>
      <w:r w:rsidR="00DE47D4" w:rsidRPr="003B06D3">
        <w:t xml:space="preserve"> </w:t>
      </w:r>
    </w:p>
    <w:p w14:paraId="24BD3480" w14:textId="77777777" w:rsidR="003B06D3" w:rsidRDefault="003B06D3" w:rsidP="003B06D3">
      <w:pPr>
        <w:spacing w:line="276" w:lineRule="auto"/>
        <w:rPr>
          <w:bCs/>
          <w:lang w:val="en-AU"/>
        </w:rPr>
      </w:pPr>
    </w:p>
    <w:p w14:paraId="0C566EE9" w14:textId="6061D88B" w:rsidR="005913AA" w:rsidRPr="003B06D3" w:rsidRDefault="005913AA" w:rsidP="003B06D3">
      <w:pPr>
        <w:spacing w:line="276" w:lineRule="auto"/>
        <w:rPr>
          <w:iCs/>
        </w:rPr>
      </w:pPr>
      <w:r w:rsidRPr="003B06D3">
        <w:rPr>
          <w:bCs/>
          <w:lang w:val="en-AU"/>
        </w:rPr>
        <w:t xml:space="preserve">Christian Enemark, ‘Global Bioheroes: </w:t>
      </w:r>
      <w:r w:rsidRPr="003B06D3">
        <w:rPr>
          <w:iCs/>
        </w:rPr>
        <w:t xml:space="preserve">Clinical Research and New Vaccines for Health Security’, </w:t>
      </w:r>
      <w:r w:rsidRPr="003B06D3">
        <w:rPr>
          <w:i/>
          <w:iCs/>
        </w:rPr>
        <w:t>Australian Journal of International Affairs</w:t>
      </w:r>
      <w:r w:rsidRPr="003B06D3">
        <w:rPr>
          <w:iCs/>
        </w:rPr>
        <w:t xml:space="preserve"> 72, no. 6 (2018): 584-601.</w:t>
      </w:r>
      <w:r w:rsidR="00593E7E" w:rsidRPr="003B06D3">
        <w:rPr>
          <w:iCs/>
        </w:rPr>
        <w:t xml:space="preserve"> </w:t>
      </w:r>
      <w:hyperlink r:id="rId10" w:history="1">
        <w:r w:rsidR="00593E7E" w:rsidRPr="003B06D3">
          <w:rPr>
            <w:rStyle w:val="Hyperlink"/>
            <w:iCs/>
          </w:rPr>
          <w:t>https://www.tandfonline.com/doi/full/10.1080/10357718.2018.1534937</w:t>
        </w:r>
      </w:hyperlink>
      <w:r w:rsidR="00593E7E" w:rsidRPr="003B06D3">
        <w:rPr>
          <w:iCs/>
        </w:rPr>
        <w:t xml:space="preserve"> </w:t>
      </w:r>
    </w:p>
    <w:p w14:paraId="05CB51BD" w14:textId="77777777" w:rsidR="003B06D3" w:rsidRDefault="003B06D3" w:rsidP="003B06D3">
      <w:pPr>
        <w:spacing w:line="276" w:lineRule="auto"/>
      </w:pPr>
    </w:p>
    <w:p w14:paraId="65EC0E49" w14:textId="0993CA7A" w:rsidR="005913AA" w:rsidRPr="003B06D3" w:rsidRDefault="005913AA" w:rsidP="003B06D3">
      <w:pPr>
        <w:spacing w:line="276" w:lineRule="auto"/>
      </w:pPr>
      <w:r w:rsidRPr="003B06D3">
        <w:t xml:space="preserve">Christian Enemark, ‘Influenza Virus Research and EU Export Regulations: Publication, Proliferation and Pandemic Risks’, </w:t>
      </w:r>
      <w:r w:rsidRPr="003B06D3">
        <w:rPr>
          <w:i/>
        </w:rPr>
        <w:t>Medical Law Review</w:t>
      </w:r>
      <w:r w:rsidRPr="003B06D3">
        <w:t xml:space="preserve"> 25, no. 2 (2017): 293-313.</w:t>
      </w:r>
      <w:r w:rsidR="00593E7E" w:rsidRPr="003B06D3">
        <w:t xml:space="preserve"> </w:t>
      </w:r>
      <w:hyperlink r:id="rId11" w:history="1">
        <w:r w:rsidR="00593E7E" w:rsidRPr="003B06D3">
          <w:rPr>
            <w:rStyle w:val="Hyperlink"/>
          </w:rPr>
          <w:t>https://academic.oup.com/medlaw/article/25/2/293/2948774</w:t>
        </w:r>
      </w:hyperlink>
      <w:r w:rsidR="00593E7E" w:rsidRPr="003B06D3">
        <w:t xml:space="preserve"> </w:t>
      </w:r>
    </w:p>
    <w:p w14:paraId="23AC35A7" w14:textId="77777777" w:rsidR="003B06D3" w:rsidRDefault="003B06D3" w:rsidP="003B06D3">
      <w:pPr>
        <w:spacing w:line="276" w:lineRule="auto"/>
      </w:pPr>
    </w:p>
    <w:p w14:paraId="0CF94926" w14:textId="640B619A" w:rsidR="00F2207A" w:rsidRPr="003B06D3" w:rsidRDefault="005913AA" w:rsidP="003B06D3">
      <w:pPr>
        <w:spacing w:line="276" w:lineRule="auto"/>
      </w:pPr>
      <w:r w:rsidRPr="003B06D3">
        <w:t xml:space="preserve">Christian Enemark, ‘Ebola, Disease-Control and the Security Council: From Securitization to Securing Circulation’, </w:t>
      </w:r>
      <w:r w:rsidRPr="003B06D3">
        <w:rPr>
          <w:i/>
        </w:rPr>
        <w:t>Journal of Global Security Studies</w:t>
      </w:r>
      <w:r w:rsidRPr="003B06D3">
        <w:t xml:space="preserve"> 2, no. 2 (2017): 137-49.</w:t>
      </w:r>
      <w:r w:rsidR="00593E7E" w:rsidRPr="003B06D3">
        <w:t xml:space="preserve"> </w:t>
      </w:r>
      <w:hyperlink r:id="rId12" w:history="1">
        <w:r w:rsidR="00593E7E" w:rsidRPr="003B06D3">
          <w:rPr>
            <w:rStyle w:val="Hyperlink"/>
          </w:rPr>
          <w:t>https://academic.oup.com/jogss/article-abstract/2/2/137/3765303</w:t>
        </w:r>
      </w:hyperlink>
      <w:r w:rsidR="00593E7E" w:rsidRPr="003B06D3">
        <w:t xml:space="preserve"> </w:t>
      </w:r>
    </w:p>
    <w:p w14:paraId="427183D6" w14:textId="77777777" w:rsidR="003B06D3" w:rsidRDefault="003B06D3" w:rsidP="003B06D3">
      <w:pPr>
        <w:spacing w:line="276" w:lineRule="auto"/>
      </w:pPr>
    </w:p>
    <w:p w14:paraId="3E190FC3" w14:textId="2092FFF1" w:rsidR="00593E7E" w:rsidRPr="003B06D3" w:rsidRDefault="005913AA" w:rsidP="003B06D3">
      <w:pPr>
        <w:spacing w:line="276" w:lineRule="auto"/>
      </w:pPr>
      <w:r w:rsidRPr="003B06D3">
        <w:t xml:space="preserve">Christian Enemark, ‘Drug-Resistant Tuberculosis: Security, Ethics and Global Health’, </w:t>
      </w:r>
      <w:r w:rsidRPr="003B06D3">
        <w:rPr>
          <w:i/>
        </w:rPr>
        <w:t>Global Society</w:t>
      </w:r>
      <w:r w:rsidRPr="003B06D3">
        <w:t xml:space="preserve"> 27, no. 2 (2013): 159-77.</w:t>
      </w:r>
      <w:r w:rsidR="00DE47D4" w:rsidRPr="003B06D3">
        <w:t xml:space="preserve"> </w:t>
      </w:r>
      <w:hyperlink r:id="rId13" w:history="1">
        <w:r w:rsidR="00DE47D4" w:rsidRPr="003B06D3">
          <w:rPr>
            <w:rStyle w:val="Hyperlink"/>
          </w:rPr>
          <w:t>https://www.tandfonline.com/doi/abs/10.1080/13600826.2012.762345</w:t>
        </w:r>
      </w:hyperlink>
    </w:p>
    <w:p w14:paraId="5BD4184C" w14:textId="77777777" w:rsidR="003B06D3" w:rsidRDefault="003B06D3" w:rsidP="003B06D3">
      <w:pPr>
        <w:spacing w:line="276" w:lineRule="auto"/>
      </w:pPr>
    </w:p>
    <w:p w14:paraId="10037AEE" w14:textId="17DB86EE" w:rsidR="00F2207A" w:rsidRPr="003B06D3" w:rsidRDefault="00F2207A" w:rsidP="003B06D3">
      <w:pPr>
        <w:spacing w:line="276" w:lineRule="auto"/>
      </w:pPr>
      <w:r w:rsidRPr="003B06D3">
        <w:t xml:space="preserve">Christian Enemark, ‘The Role of the Biological Weapons Convention in Disease Surveillance and Response,’ </w:t>
      </w:r>
      <w:r w:rsidRPr="003B06D3">
        <w:rPr>
          <w:i/>
          <w:iCs/>
        </w:rPr>
        <w:t>Health Policy and Planning</w:t>
      </w:r>
      <w:r w:rsidRPr="003B06D3">
        <w:t xml:space="preserve"> 25 (2010): 486-494.</w:t>
      </w:r>
      <w:r w:rsidR="00DE47D4" w:rsidRPr="003B06D3">
        <w:t xml:space="preserve"> </w:t>
      </w:r>
      <w:hyperlink r:id="rId14" w:history="1">
        <w:r w:rsidR="00DE47D4" w:rsidRPr="003B06D3">
          <w:rPr>
            <w:rStyle w:val="Hyperlink"/>
          </w:rPr>
          <w:t>https://academic.oup.com/heapol/article/25/6/486/583576</w:t>
        </w:r>
      </w:hyperlink>
      <w:r w:rsidR="00DE47D4" w:rsidRPr="003B06D3">
        <w:t xml:space="preserve"> </w:t>
      </w:r>
    </w:p>
    <w:p w14:paraId="27945C46" w14:textId="77777777" w:rsidR="003B06D3" w:rsidRDefault="003B06D3" w:rsidP="003B06D3">
      <w:pPr>
        <w:spacing w:line="276" w:lineRule="auto"/>
      </w:pPr>
    </w:p>
    <w:p w14:paraId="39603100" w14:textId="72B51285" w:rsidR="00F2207A" w:rsidRPr="003B06D3" w:rsidRDefault="00F2207A" w:rsidP="003B06D3">
      <w:pPr>
        <w:spacing w:line="276" w:lineRule="auto"/>
      </w:pPr>
      <w:r w:rsidRPr="003B06D3">
        <w:t xml:space="preserve">Christian Enemark, ‘Is Pandemic Flu a Security Threat?,’ </w:t>
      </w:r>
      <w:r w:rsidRPr="003B06D3">
        <w:rPr>
          <w:i/>
        </w:rPr>
        <w:t>Survival</w:t>
      </w:r>
      <w:r w:rsidRPr="003B06D3">
        <w:t xml:space="preserve"> 51, no. 1 (2009): 191-214.</w:t>
      </w:r>
      <w:r w:rsidR="00593E7E" w:rsidRPr="003B06D3">
        <w:t xml:space="preserve"> </w:t>
      </w:r>
      <w:hyperlink r:id="rId15" w:history="1">
        <w:r w:rsidR="00593E7E" w:rsidRPr="003B06D3">
          <w:rPr>
            <w:rStyle w:val="Hyperlink"/>
          </w:rPr>
          <w:t>https://www.tandfonline.com/doi/full/10.1080/00396330902749798</w:t>
        </w:r>
      </w:hyperlink>
      <w:r w:rsidR="00593E7E" w:rsidRPr="003B06D3">
        <w:t xml:space="preserve"> </w:t>
      </w:r>
    </w:p>
    <w:p w14:paraId="24F02D43" w14:textId="77777777" w:rsidR="003B06D3" w:rsidRDefault="003B06D3" w:rsidP="003B06D3">
      <w:pPr>
        <w:spacing w:line="276" w:lineRule="auto"/>
      </w:pPr>
    </w:p>
    <w:p w14:paraId="30EBB4D2" w14:textId="01A4A8E6" w:rsidR="00F2207A" w:rsidRPr="003B06D3" w:rsidRDefault="00F2207A" w:rsidP="003B06D3">
      <w:pPr>
        <w:spacing w:line="276" w:lineRule="auto"/>
      </w:pPr>
      <w:r w:rsidRPr="003B06D3">
        <w:t xml:space="preserve">Christian Enemark and Ian Ramshaw, ‘Gene Technology, Biological Weapons, and the Security of Science,’ </w:t>
      </w:r>
      <w:r w:rsidRPr="003B06D3">
        <w:rPr>
          <w:i/>
        </w:rPr>
        <w:t>Security Studies</w:t>
      </w:r>
      <w:r w:rsidRPr="003B06D3">
        <w:t xml:space="preserve"> 18, no. 3 (2009): 624-641.</w:t>
      </w:r>
      <w:r w:rsidR="00593E7E" w:rsidRPr="003B06D3">
        <w:t xml:space="preserve"> </w:t>
      </w:r>
      <w:hyperlink r:id="rId16" w:history="1">
        <w:r w:rsidR="00593E7E" w:rsidRPr="003B06D3">
          <w:rPr>
            <w:rStyle w:val="Hyperlink"/>
          </w:rPr>
          <w:t>https://www.tandfonline.com/doi/abs/10.1080/09636410903132888</w:t>
        </w:r>
      </w:hyperlink>
      <w:r w:rsidR="00593E7E" w:rsidRPr="003B06D3">
        <w:t xml:space="preserve"> </w:t>
      </w:r>
    </w:p>
    <w:p w14:paraId="3BE3B813" w14:textId="77777777" w:rsidR="003B06D3" w:rsidRDefault="003B06D3" w:rsidP="003B06D3">
      <w:pPr>
        <w:spacing w:line="276" w:lineRule="auto"/>
      </w:pPr>
    </w:p>
    <w:p w14:paraId="73C8656F" w14:textId="2D05358A" w:rsidR="00EA2283" w:rsidRPr="003B06D3" w:rsidRDefault="00EA2283" w:rsidP="003B06D3">
      <w:pPr>
        <w:spacing w:line="276" w:lineRule="auto"/>
      </w:pPr>
      <w:r w:rsidRPr="003B06D3">
        <w:t xml:space="preserve">Christian Enemark, </w:t>
      </w:r>
      <w:r w:rsidRPr="003B06D3">
        <w:rPr>
          <w:i/>
          <w:iCs/>
        </w:rPr>
        <w:t>Disease and Security: Natural Plagues and Biological Weapons in East Asia</w:t>
      </w:r>
      <w:r w:rsidRPr="003B06D3">
        <w:t>, London: Routledge, 2007.</w:t>
      </w:r>
      <w:r w:rsidR="00DE47D4" w:rsidRPr="003B06D3">
        <w:t xml:space="preserve"> </w:t>
      </w:r>
      <w:hyperlink r:id="rId17" w:history="1">
        <w:r w:rsidR="00DE47D4" w:rsidRPr="003B06D3">
          <w:rPr>
            <w:rStyle w:val="Hyperlink"/>
          </w:rPr>
          <w:t>https://www.taylorfrancis.com/books/9780203089019</w:t>
        </w:r>
      </w:hyperlink>
      <w:r w:rsidR="00DE47D4" w:rsidRPr="003B06D3">
        <w:t xml:space="preserve"> </w:t>
      </w:r>
    </w:p>
    <w:p w14:paraId="32CDE712" w14:textId="77777777" w:rsidR="003B06D3" w:rsidRDefault="003B06D3" w:rsidP="003B06D3">
      <w:pPr>
        <w:spacing w:line="276" w:lineRule="auto"/>
      </w:pPr>
    </w:p>
    <w:p w14:paraId="35B27381" w14:textId="22A0C0CE" w:rsidR="00DE47D4" w:rsidRDefault="00EA2283" w:rsidP="003B06D3">
      <w:pPr>
        <w:spacing w:line="276" w:lineRule="auto"/>
        <w:rPr>
          <w:rStyle w:val="Hyperlink"/>
        </w:rPr>
      </w:pPr>
      <w:r w:rsidRPr="003B06D3">
        <w:t xml:space="preserve">Christian Enemark, ‘Biological Attacks and the Non-State Actor: a Threat Assessment,’ </w:t>
      </w:r>
      <w:r w:rsidRPr="003B06D3">
        <w:rPr>
          <w:i/>
        </w:rPr>
        <w:t xml:space="preserve">Intelligence and National Security </w:t>
      </w:r>
      <w:r w:rsidRPr="003B06D3">
        <w:t>21, no. 6 (2006): 911-930.</w:t>
      </w:r>
      <w:r w:rsidR="00593E7E" w:rsidRPr="003B06D3">
        <w:t xml:space="preserve"> </w:t>
      </w:r>
      <w:hyperlink r:id="rId18" w:history="1">
        <w:r w:rsidR="00593E7E" w:rsidRPr="003B06D3">
          <w:rPr>
            <w:rStyle w:val="Hyperlink"/>
          </w:rPr>
          <w:t>https://www.tandfonline.com/doi/abs/10.1080/02684520601046226</w:t>
        </w:r>
      </w:hyperlink>
    </w:p>
    <w:p w14:paraId="0C11571C" w14:textId="10479076" w:rsidR="000746D7" w:rsidRDefault="000746D7" w:rsidP="003B06D3">
      <w:pPr>
        <w:spacing w:line="276" w:lineRule="auto"/>
        <w:rPr>
          <w:rStyle w:val="Hyperlink"/>
        </w:rPr>
      </w:pPr>
    </w:p>
    <w:p w14:paraId="247DB6B1" w14:textId="414AC200" w:rsidR="000746D7" w:rsidRPr="003B06D3" w:rsidRDefault="000746D7" w:rsidP="003B06D3">
      <w:pPr>
        <w:spacing w:line="276" w:lineRule="auto"/>
      </w:pPr>
      <w:r w:rsidRPr="000746D7">
        <w:t xml:space="preserve">Christian Enemark, ‘Infectious Diseases and International Security: The Biological Weapons Convention and beyond,’ </w:t>
      </w:r>
      <w:r w:rsidRPr="000746D7">
        <w:rPr>
          <w:i/>
          <w:iCs/>
        </w:rPr>
        <w:t>Nonproliferation Review</w:t>
      </w:r>
      <w:r w:rsidRPr="000746D7">
        <w:t xml:space="preserve"> 12, no. 1 (2005): 107-125.</w:t>
      </w:r>
      <w:r>
        <w:t xml:space="preserve"> </w:t>
      </w:r>
      <w:hyperlink r:id="rId19" w:history="1">
        <w:r w:rsidRPr="005F5CF8">
          <w:rPr>
            <w:rStyle w:val="Hyperlink"/>
          </w:rPr>
          <w:t>https://www.tandfonline.com/doi/full/10.1080/10736700500208777</w:t>
        </w:r>
      </w:hyperlink>
      <w:r>
        <w:t xml:space="preserve"> </w:t>
      </w:r>
    </w:p>
    <w:sectPr w:rsidR="000746D7" w:rsidRPr="003B06D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45606" w14:textId="77777777" w:rsidR="00593E7E" w:rsidRDefault="00593E7E" w:rsidP="0095064F">
      <w:r>
        <w:separator/>
      </w:r>
    </w:p>
  </w:endnote>
  <w:endnote w:type="continuationSeparator" w:id="0">
    <w:p w14:paraId="744A8F7C" w14:textId="77777777" w:rsidR="00593E7E" w:rsidRDefault="00593E7E" w:rsidP="0095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240498"/>
      <w:docPartObj>
        <w:docPartGallery w:val="Page Numbers (Bottom of Page)"/>
        <w:docPartUnique/>
      </w:docPartObj>
    </w:sdtPr>
    <w:sdtEndPr>
      <w:rPr>
        <w:noProof/>
      </w:rPr>
    </w:sdtEndPr>
    <w:sdtContent>
      <w:p w14:paraId="41743A20" w14:textId="0A8605F9" w:rsidR="00593E7E" w:rsidRDefault="00593E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F2502" w14:textId="77777777" w:rsidR="00593E7E" w:rsidRDefault="0059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625A0" w14:textId="77777777" w:rsidR="00593E7E" w:rsidRDefault="00593E7E" w:rsidP="0095064F">
      <w:r>
        <w:separator/>
      </w:r>
    </w:p>
  </w:footnote>
  <w:footnote w:type="continuationSeparator" w:id="0">
    <w:p w14:paraId="228812E1" w14:textId="77777777" w:rsidR="00593E7E" w:rsidRDefault="00593E7E" w:rsidP="00950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70E1"/>
    <w:multiLevelType w:val="hybridMultilevel"/>
    <w:tmpl w:val="E6946E9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662B79"/>
    <w:multiLevelType w:val="hybridMultilevel"/>
    <w:tmpl w:val="39EEE6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521C79"/>
    <w:multiLevelType w:val="hybridMultilevel"/>
    <w:tmpl w:val="E8A45B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74555"/>
    <w:multiLevelType w:val="hybridMultilevel"/>
    <w:tmpl w:val="FEE404E4"/>
    <w:lvl w:ilvl="0" w:tplc="08090005">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 w15:restartNumberingAfterBreak="0">
    <w:nsid w:val="2A8B3F27"/>
    <w:multiLevelType w:val="multilevel"/>
    <w:tmpl w:val="E4565D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AF514B"/>
    <w:multiLevelType w:val="hybridMultilevel"/>
    <w:tmpl w:val="DD92D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C67C4"/>
    <w:multiLevelType w:val="hybridMultilevel"/>
    <w:tmpl w:val="3C201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3A7473"/>
    <w:multiLevelType w:val="hybridMultilevel"/>
    <w:tmpl w:val="749C17FC"/>
    <w:lvl w:ilvl="0" w:tplc="08090005">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8" w15:restartNumberingAfterBreak="0">
    <w:nsid w:val="6CE55C72"/>
    <w:multiLevelType w:val="hybridMultilevel"/>
    <w:tmpl w:val="70784E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A73819"/>
    <w:multiLevelType w:val="hybridMultilevel"/>
    <w:tmpl w:val="8A5E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C7DD4"/>
    <w:multiLevelType w:val="hybridMultilevel"/>
    <w:tmpl w:val="50FC53EA"/>
    <w:lvl w:ilvl="0" w:tplc="53A0A520">
      <w:start w:val="1"/>
      <w:numFmt w:val="lowerLetter"/>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0"/>
  </w:num>
  <w:num w:numId="5">
    <w:abstractNumId w:val="1"/>
  </w:num>
  <w:num w:numId="6">
    <w:abstractNumId w:val="3"/>
  </w:num>
  <w:num w:numId="7">
    <w:abstractNumId w:val="7"/>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C0"/>
    <w:rsid w:val="00011C8E"/>
    <w:rsid w:val="00021964"/>
    <w:rsid w:val="00022C7C"/>
    <w:rsid w:val="00022F6A"/>
    <w:rsid w:val="00031169"/>
    <w:rsid w:val="00051BA0"/>
    <w:rsid w:val="000552C9"/>
    <w:rsid w:val="000725D4"/>
    <w:rsid w:val="000746D7"/>
    <w:rsid w:val="00075AC9"/>
    <w:rsid w:val="00081F7F"/>
    <w:rsid w:val="000855AA"/>
    <w:rsid w:val="00090AF6"/>
    <w:rsid w:val="00094EC8"/>
    <w:rsid w:val="000A7F5E"/>
    <w:rsid w:val="000B329E"/>
    <w:rsid w:val="000B5CE9"/>
    <w:rsid w:val="000C1405"/>
    <w:rsid w:val="000D1508"/>
    <w:rsid w:val="000D3254"/>
    <w:rsid w:val="000E0D54"/>
    <w:rsid w:val="00101C68"/>
    <w:rsid w:val="0012128F"/>
    <w:rsid w:val="0012213F"/>
    <w:rsid w:val="001234B4"/>
    <w:rsid w:val="00126DF0"/>
    <w:rsid w:val="00152ABF"/>
    <w:rsid w:val="00154EC3"/>
    <w:rsid w:val="0017382F"/>
    <w:rsid w:val="00174800"/>
    <w:rsid w:val="00196B69"/>
    <w:rsid w:val="001A26E3"/>
    <w:rsid w:val="001A2DE8"/>
    <w:rsid w:val="001E05C5"/>
    <w:rsid w:val="001E26B1"/>
    <w:rsid w:val="00207872"/>
    <w:rsid w:val="002104CC"/>
    <w:rsid w:val="002251FB"/>
    <w:rsid w:val="0023129D"/>
    <w:rsid w:val="0023146C"/>
    <w:rsid w:val="00235F81"/>
    <w:rsid w:val="00243AD9"/>
    <w:rsid w:val="002476BA"/>
    <w:rsid w:val="00257B60"/>
    <w:rsid w:val="00261D79"/>
    <w:rsid w:val="0026373C"/>
    <w:rsid w:val="00266B44"/>
    <w:rsid w:val="00277431"/>
    <w:rsid w:val="0028799E"/>
    <w:rsid w:val="002968C4"/>
    <w:rsid w:val="002A31B5"/>
    <w:rsid w:val="002A5400"/>
    <w:rsid w:val="002C23BF"/>
    <w:rsid w:val="002C282D"/>
    <w:rsid w:val="002D4031"/>
    <w:rsid w:val="002D6883"/>
    <w:rsid w:val="002D7B38"/>
    <w:rsid w:val="002E60C9"/>
    <w:rsid w:val="002F01DF"/>
    <w:rsid w:val="002F28AD"/>
    <w:rsid w:val="002F66A9"/>
    <w:rsid w:val="002F7EF4"/>
    <w:rsid w:val="00313C5A"/>
    <w:rsid w:val="003146F2"/>
    <w:rsid w:val="003240F4"/>
    <w:rsid w:val="003601CC"/>
    <w:rsid w:val="0036616F"/>
    <w:rsid w:val="003905C1"/>
    <w:rsid w:val="00393FBB"/>
    <w:rsid w:val="0039498E"/>
    <w:rsid w:val="00397C2D"/>
    <w:rsid w:val="003B06D3"/>
    <w:rsid w:val="003B426B"/>
    <w:rsid w:val="003B5864"/>
    <w:rsid w:val="003C099E"/>
    <w:rsid w:val="003C2ADF"/>
    <w:rsid w:val="003D214C"/>
    <w:rsid w:val="003E74E0"/>
    <w:rsid w:val="003F3899"/>
    <w:rsid w:val="00403573"/>
    <w:rsid w:val="00407B48"/>
    <w:rsid w:val="0041360D"/>
    <w:rsid w:val="00422320"/>
    <w:rsid w:val="00425539"/>
    <w:rsid w:val="0043103D"/>
    <w:rsid w:val="00432B47"/>
    <w:rsid w:val="00435329"/>
    <w:rsid w:val="00435F7D"/>
    <w:rsid w:val="0044388F"/>
    <w:rsid w:val="0045289A"/>
    <w:rsid w:val="0045573B"/>
    <w:rsid w:val="00463C5F"/>
    <w:rsid w:val="00466A55"/>
    <w:rsid w:val="00480FB1"/>
    <w:rsid w:val="004B6AD5"/>
    <w:rsid w:val="004D1374"/>
    <w:rsid w:val="004D2D0A"/>
    <w:rsid w:val="004D3015"/>
    <w:rsid w:val="004D49DB"/>
    <w:rsid w:val="004E4145"/>
    <w:rsid w:val="004F5C08"/>
    <w:rsid w:val="004F6088"/>
    <w:rsid w:val="004F70CD"/>
    <w:rsid w:val="00510AA0"/>
    <w:rsid w:val="00522DCD"/>
    <w:rsid w:val="0053239E"/>
    <w:rsid w:val="005323E9"/>
    <w:rsid w:val="00544F8D"/>
    <w:rsid w:val="005472AD"/>
    <w:rsid w:val="0054792C"/>
    <w:rsid w:val="005509E8"/>
    <w:rsid w:val="00571A2D"/>
    <w:rsid w:val="00582124"/>
    <w:rsid w:val="005835D4"/>
    <w:rsid w:val="005913AA"/>
    <w:rsid w:val="00593E7E"/>
    <w:rsid w:val="005A3343"/>
    <w:rsid w:val="005A552B"/>
    <w:rsid w:val="005B3F18"/>
    <w:rsid w:val="005B6DD0"/>
    <w:rsid w:val="005B7F5E"/>
    <w:rsid w:val="005C19B1"/>
    <w:rsid w:val="005E0A2E"/>
    <w:rsid w:val="005F4C0A"/>
    <w:rsid w:val="006004F5"/>
    <w:rsid w:val="00627882"/>
    <w:rsid w:val="00632E23"/>
    <w:rsid w:val="006377A9"/>
    <w:rsid w:val="00637DD1"/>
    <w:rsid w:val="00654989"/>
    <w:rsid w:val="00661BCE"/>
    <w:rsid w:val="00670B85"/>
    <w:rsid w:val="00673080"/>
    <w:rsid w:val="00680B9C"/>
    <w:rsid w:val="006854C6"/>
    <w:rsid w:val="00685BEC"/>
    <w:rsid w:val="00686F1D"/>
    <w:rsid w:val="00697A79"/>
    <w:rsid w:val="006A58D7"/>
    <w:rsid w:val="006B1F09"/>
    <w:rsid w:val="006D794B"/>
    <w:rsid w:val="006E1871"/>
    <w:rsid w:val="006E24A7"/>
    <w:rsid w:val="006F16B1"/>
    <w:rsid w:val="0070383E"/>
    <w:rsid w:val="00703C20"/>
    <w:rsid w:val="007307C2"/>
    <w:rsid w:val="00742F87"/>
    <w:rsid w:val="007433C0"/>
    <w:rsid w:val="007452C6"/>
    <w:rsid w:val="00761544"/>
    <w:rsid w:val="00772C79"/>
    <w:rsid w:val="007752CF"/>
    <w:rsid w:val="007810D1"/>
    <w:rsid w:val="00782B9E"/>
    <w:rsid w:val="007A2B5A"/>
    <w:rsid w:val="007B393E"/>
    <w:rsid w:val="007B56AD"/>
    <w:rsid w:val="007E0C48"/>
    <w:rsid w:val="007F1F11"/>
    <w:rsid w:val="007F3AF9"/>
    <w:rsid w:val="007F600D"/>
    <w:rsid w:val="007F6BF8"/>
    <w:rsid w:val="00804D53"/>
    <w:rsid w:val="008119D4"/>
    <w:rsid w:val="00816B5B"/>
    <w:rsid w:val="00824C50"/>
    <w:rsid w:val="00825C17"/>
    <w:rsid w:val="00840446"/>
    <w:rsid w:val="008513FE"/>
    <w:rsid w:val="00855EB3"/>
    <w:rsid w:val="0088770B"/>
    <w:rsid w:val="0088788B"/>
    <w:rsid w:val="008946C2"/>
    <w:rsid w:val="008B1598"/>
    <w:rsid w:val="008B5F42"/>
    <w:rsid w:val="008C2924"/>
    <w:rsid w:val="008F5CC3"/>
    <w:rsid w:val="00901F77"/>
    <w:rsid w:val="00905435"/>
    <w:rsid w:val="00907328"/>
    <w:rsid w:val="00910ACF"/>
    <w:rsid w:val="00911991"/>
    <w:rsid w:val="009119F6"/>
    <w:rsid w:val="00930268"/>
    <w:rsid w:val="00931F31"/>
    <w:rsid w:val="009337D2"/>
    <w:rsid w:val="0093428F"/>
    <w:rsid w:val="00937E00"/>
    <w:rsid w:val="0095064F"/>
    <w:rsid w:val="00964410"/>
    <w:rsid w:val="00965FD8"/>
    <w:rsid w:val="00974895"/>
    <w:rsid w:val="009748E2"/>
    <w:rsid w:val="00986DC9"/>
    <w:rsid w:val="00996170"/>
    <w:rsid w:val="009A2B3D"/>
    <w:rsid w:val="009C1C3E"/>
    <w:rsid w:val="009C4CE8"/>
    <w:rsid w:val="009C74E3"/>
    <w:rsid w:val="009C7572"/>
    <w:rsid w:val="009C7D7E"/>
    <w:rsid w:val="009D04AF"/>
    <w:rsid w:val="009F072D"/>
    <w:rsid w:val="009F63C9"/>
    <w:rsid w:val="00A20813"/>
    <w:rsid w:val="00A24064"/>
    <w:rsid w:val="00A605D6"/>
    <w:rsid w:val="00A70DFF"/>
    <w:rsid w:val="00A73A26"/>
    <w:rsid w:val="00A80910"/>
    <w:rsid w:val="00A85237"/>
    <w:rsid w:val="00A85455"/>
    <w:rsid w:val="00A95331"/>
    <w:rsid w:val="00AA7344"/>
    <w:rsid w:val="00AB019F"/>
    <w:rsid w:val="00AB5BCE"/>
    <w:rsid w:val="00AB71D7"/>
    <w:rsid w:val="00AC00BA"/>
    <w:rsid w:val="00AE7DCA"/>
    <w:rsid w:val="00AF78DF"/>
    <w:rsid w:val="00B01F7D"/>
    <w:rsid w:val="00B0239C"/>
    <w:rsid w:val="00B04E0C"/>
    <w:rsid w:val="00B110CC"/>
    <w:rsid w:val="00B1723E"/>
    <w:rsid w:val="00B277A3"/>
    <w:rsid w:val="00B6084F"/>
    <w:rsid w:val="00B608CF"/>
    <w:rsid w:val="00B6692E"/>
    <w:rsid w:val="00B87983"/>
    <w:rsid w:val="00B92ABD"/>
    <w:rsid w:val="00B946BC"/>
    <w:rsid w:val="00B95D8D"/>
    <w:rsid w:val="00BA275F"/>
    <w:rsid w:val="00BA6C2B"/>
    <w:rsid w:val="00BB0D26"/>
    <w:rsid w:val="00BB2C8C"/>
    <w:rsid w:val="00BB7109"/>
    <w:rsid w:val="00BC1CFA"/>
    <w:rsid w:val="00BC44CC"/>
    <w:rsid w:val="00BD2246"/>
    <w:rsid w:val="00BF0A6F"/>
    <w:rsid w:val="00C055B0"/>
    <w:rsid w:val="00C0578C"/>
    <w:rsid w:val="00C06F69"/>
    <w:rsid w:val="00C071EF"/>
    <w:rsid w:val="00C0767E"/>
    <w:rsid w:val="00C250DF"/>
    <w:rsid w:val="00C27D75"/>
    <w:rsid w:val="00C469B3"/>
    <w:rsid w:val="00C56D71"/>
    <w:rsid w:val="00C77371"/>
    <w:rsid w:val="00C77BC6"/>
    <w:rsid w:val="00C93161"/>
    <w:rsid w:val="00C9507B"/>
    <w:rsid w:val="00C95221"/>
    <w:rsid w:val="00C977C3"/>
    <w:rsid w:val="00CA452D"/>
    <w:rsid w:val="00CB08A7"/>
    <w:rsid w:val="00CB24C9"/>
    <w:rsid w:val="00CB518B"/>
    <w:rsid w:val="00CC134E"/>
    <w:rsid w:val="00CC23A6"/>
    <w:rsid w:val="00CC4AE2"/>
    <w:rsid w:val="00CD7FC7"/>
    <w:rsid w:val="00CE20AF"/>
    <w:rsid w:val="00CE4DD7"/>
    <w:rsid w:val="00CE71A3"/>
    <w:rsid w:val="00CF1801"/>
    <w:rsid w:val="00CF392C"/>
    <w:rsid w:val="00CF66DF"/>
    <w:rsid w:val="00D211F7"/>
    <w:rsid w:val="00D3163F"/>
    <w:rsid w:val="00D544E1"/>
    <w:rsid w:val="00D700AF"/>
    <w:rsid w:val="00D737F1"/>
    <w:rsid w:val="00D86623"/>
    <w:rsid w:val="00D9437E"/>
    <w:rsid w:val="00D950F4"/>
    <w:rsid w:val="00DA4659"/>
    <w:rsid w:val="00DD1FB5"/>
    <w:rsid w:val="00DD2595"/>
    <w:rsid w:val="00DD26E0"/>
    <w:rsid w:val="00DD365A"/>
    <w:rsid w:val="00DE37C1"/>
    <w:rsid w:val="00DE47D4"/>
    <w:rsid w:val="00DF0FD5"/>
    <w:rsid w:val="00E011B9"/>
    <w:rsid w:val="00E06C00"/>
    <w:rsid w:val="00E3071D"/>
    <w:rsid w:val="00E30D75"/>
    <w:rsid w:val="00E312A8"/>
    <w:rsid w:val="00E33363"/>
    <w:rsid w:val="00E357F2"/>
    <w:rsid w:val="00E40C8A"/>
    <w:rsid w:val="00E44266"/>
    <w:rsid w:val="00E54662"/>
    <w:rsid w:val="00E6209C"/>
    <w:rsid w:val="00E6238F"/>
    <w:rsid w:val="00E67B10"/>
    <w:rsid w:val="00E743F1"/>
    <w:rsid w:val="00E747FD"/>
    <w:rsid w:val="00E849B3"/>
    <w:rsid w:val="00E85A38"/>
    <w:rsid w:val="00E862B4"/>
    <w:rsid w:val="00E9251A"/>
    <w:rsid w:val="00E977D5"/>
    <w:rsid w:val="00EA2283"/>
    <w:rsid w:val="00EA579D"/>
    <w:rsid w:val="00EB5C6F"/>
    <w:rsid w:val="00EC4243"/>
    <w:rsid w:val="00ED187B"/>
    <w:rsid w:val="00ED3F46"/>
    <w:rsid w:val="00ED46FB"/>
    <w:rsid w:val="00EE3BE2"/>
    <w:rsid w:val="00EE4111"/>
    <w:rsid w:val="00EE4C7A"/>
    <w:rsid w:val="00EE5880"/>
    <w:rsid w:val="00EF5E33"/>
    <w:rsid w:val="00EF7A5F"/>
    <w:rsid w:val="00F11F55"/>
    <w:rsid w:val="00F15BA7"/>
    <w:rsid w:val="00F2207A"/>
    <w:rsid w:val="00F2446A"/>
    <w:rsid w:val="00F521D2"/>
    <w:rsid w:val="00F62A79"/>
    <w:rsid w:val="00F7246C"/>
    <w:rsid w:val="00F87F80"/>
    <w:rsid w:val="00F9576E"/>
    <w:rsid w:val="00FA20CC"/>
    <w:rsid w:val="00FA7773"/>
    <w:rsid w:val="00FB0256"/>
    <w:rsid w:val="00FB0ED2"/>
    <w:rsid w:val="00FB7AB8"/>
    <w:rsid w:val="00FC52AD"/>
    <w:rsid w:val="00FD3481"/>
    <w:rsid w:val="00FD73F2"/>
    <w:rsid w:val="00FE0BE9"/>
    <w:rsid w:val="00FF2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12E1"/>
  <w15:chartTrackingRefBased/>
  <w15:docId w15:val="{E045842B-D48D-4F3D-92EF-5D0EC286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C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11C8E"/>
    <w:pPr>
      <w:outlineLvl w:val="0"/>
    </w:pPr>
    <w:rPr>
      <w:b/>
      <w:sz w:val="28"/>
      <w:szCs w:val="28"/>
    </w:rPr>
  </w:style>
  <w:style w:type="paragraph" w:styleId="Heading2">
    <w:name w:val="heading 2"/>
    <w:basedOn w:val="Heading1"/>
    <w:next w:val="Normal"/>
    <w:link w:val="Heading2Char"/>
    <w:uiPriority w:val="9"/>
    <w:unhideWhenUsed/>
    <w:qFormat/>
    <w:rsid w:val="00011C8E"/>
    <w:pPr>
      <w:outlineLvl w:val="1"/>
    </w:pPr>
    <w:rPr>
      <w:sz w:val="24"/>
      <w:szCs w:val="24"/>
    </w:rPr>
  </w:style>
  <w:style w:type="paragraph" w:styleId="Heading3">
    <w:name w:val="heading 3"/>
    <w:basedOn w:val="Normal"/>
    <w:next w:val="Normal"/>
    <w:link w:val="Heading3Char"/>
    <w:uiPriority w:val="9"/>
    <w:unhideWhenUsed/>
    <w:qFormat/>
    <w:rsid w:val="00011C8E"/>
    <w:pPr>
      <w:outlineLvl w:val="2"/>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3C0"/>
    <w:rPr>
      <w:color w:val="0563C1" w:themeColor="hyperlink"/>
      <w:u w:val="single"/>
    </w:rPr>
  </w:style>
  <w:style w:type="character" w:styleId="UnresolvedMention">
    <w:name w:val="Unresolved Mention"/>
    <w:basedOn w:val="DefaultParagraphFont"/>
    <w:uiPriority w:val="99"/>
    <w:semiHidden/>
    <w:unhideWhenUsed/>
    <w:rsid w:val="007433C0"/>
    <w:rPr>
      <w:color w:val="808080"/>
      <w:shd w:val="clear" w:color="auto" w:fill="E6E6E6"/>
    </w:rPr>
  </w:style>
  <w:style w:type="paragraph" w:styleId="Header">
    <w:name w:val="header"/>
    <w:basedOn w:val="Normal"/>
    <w:link w:val="HeaderChar"/>
    <w:uiPriority w:val="99"/>
    <w:unhideWhenUsed/>
    <w:rsid w:val="0095064F"/>
    <w:pPr>
      <w:tabs>
        <w:tab w:val="center" w:pos="4513"/>
        <w:tab w:val="right" w:pos="9026"/>
      </w:tabs>
    </w:pPr>
  </w:style>
  <w:style w:type="character" w:customStyle="1" w:styleId="HeaderChar">
    <w:name w:val="Header Char"/>
    <w:basedOn w:val="DefaultParagraphFont"/>
    <w:link w:val="Header"/>
    <w:uiPriority w:val="99"/>
    <w:rsid w:val="0095064F"/>
    <w:rPr>
      <w:rFonts w:ascii="Times New Roman" w:hAnsi="Times New Roman" w:cs="Times New Roman"/>
      <w:sz w:val="24"/>
      <w:szCs w:val="24"/>
    </w:rPr>
  </w:style>
  <w:style w:type="paragraph" w:styleId="Footer">
    <w:name w:val="footer"/>
    <w:basedOn w:val="Normal"/>
    <w:link w:val="FooterChar"/>
    <w:uiPriority w:val="99"/>
    <w:unhideWhenUsed/>
    <w:rsid w:val="0095064F"/>
    <w:pPr>
      <w:tabs>
        <w:tab w:val="center" w:pos="4513"/>
        <w:tab w:val="right" w:pos="9026"/>
      </w:tabs>
    </w:pPr>
  </w:style>
  <w:style w:type="character" w:customStyle="1" w:styleId="FooterChar">
    <w:name w:val="Footer Char"/>
    <w:basedOn w:val="DefaultParagraphFont"/>
    <w:link w:val="Footer"/>
    <w:uiPriority w:val="99"/>
    <w:rsid w:val="0095064F"/>
    <w:rPr>
      <w:rFonts w:ascii="Times New Roman" w:hAnsi="Times New Roman" w:cs="Times New Roman"/>
      <w:sz w:val="24"/>
      <w:szCs w:val="24"/>
    </w:rPr>
  </w:style>
  <w:style w:type="character" w:customStyle="1" w:styleId="Heading1Char">
    <w:name w:val="Heading 1 Char"/>
    <w:basedOn w:val="DefaultParagraphFont"/>
    <w:link w:val="Heading1"/>
    <w:uiPriority w:val="9"/>
    <w:rsid w:val="00011C8E"/>
    <w:rPr>
      <w:rFonts w:ascii="Times New Roman" w:hAnsi="Times New Roman" w:cs="Times New Roman"/>
      <w:b/>
      <w:sz w:val="28"/>
      <w:szCs w:val="28"/>
    </w:rPr>
  </w:style>
  <w:style w:type="paragraph" w:styleId="BalloonText">
    <w:name w:val="Balloon Text"/>
    <w:basedOn w:val="Normal"/>
    <w:link w:val="BalloonTextChar"/>
    <w:uiPriority w:val="99"/>
    <w:semiHidden/>
    <w:unhideWhenUsed/>
    <w:rsid w:val="00CB5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8B"/>
    <w:rPr>
      <w:rFonts w:ascii="Segoe UI" w:hAnsi="Segoe UI" w:cs="Segoe UI"/>
      <w:sz w:val="18"/>
      <w:szCs w:val="18"/>
    </w:rPr>
  </w:style>
  <w:style w:type="character" w:customStyle="1" w:styleId="Heading2Char">
    <w:name w:val="Heading 2 Char"/>
    <w:basedOn w:val="DefaultParagraphFont"/>
    <w:link w:val="Heading2"/>
    <w:uiPriority w:val="9"/>
    <w:rsid w:val="00011C8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11C8E"/>
    <w:rPr>
      <w:rFonts w:ascii="Times New Roman" w:hAnsi="Times New Roman" w:cs="Times New Roman"/>
      <w:i/>
      <w:sz w:val="24"/>
      <w:szCs w:val="24"/>
    </w:rPr>
  </w:style>
  <w:style w:type="character" w:styleId="FollowedHyperlink">
    <w:name w:val="FollowedHyperlink"/>
    <w:basedOn w:val="DefaultParagraphFont"/>
    <w:uiPriority w:val="99"/>
    <w:semiHidden/>
    <w:unhideWhenUsed/>
    <w:rsid w:val="002D7B38"/>
    <w:rPr>
      <w:color w:val="954F72" w:themeColor="followedHyperlink"/>
      <w:u w:val="single"/>
    </w:rPr>
  </w:style>
  <w:style w:type="character" w:customStyle="1" w:styleId="normaltextrun">
    <w:name w:val="normaltextrun"/>
    <w:basedOn w:val="DefaultParagraphFont"/>
    <w:rsid w:val="00E357F2"/>
  </w:style>
  <w:style w:type="paragraph" w:styleId="ListParagraph">
    <w:name w:val="List Paragraph"/>
    <w:basedOn w:val="Normal"/>
    <w:uiPriority w:val="34"/>
    <w:qFormat/>
    <w:rsid w:val="00B17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1139">
      <w:bodyDiv w:val="1"/>
      <w:marLeft w:val="0"/>
      <w:marRight w:val="0"/>
      <w:marTop w:val="0"/>
      <w:marBottom w:val="0"/>
      <w:divBdr>
        <w:top w:val="none" w:sz="0" w:space="0" w:color="auto"/>
        <w:left w:val="none" w:sz="0" w:space="0" w:color="auto"/>
        <w:bottom w:val="none" w:sz="0" w:space="0" w:color="auto"/>
        <w:right w:val="none" w:sz="0" w:space="0" w:color="auto"/>
      </w:divBdr>
      <w:divsChild>
        <w:div w:id="31622557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sChild>
        </w:div>
        <w:div w:id="1366364291">
          <w:marLeft w:val="0"/>
          <w:marRight w:val="0"/>
          <w:marTop w:val="0"/>
          <w:marBottom w:val="0"/>
          <w:divBdr>
            <w:top w:val="none" w:sz="0" w:space="0" w:color="auto"/>
            <w:left w:val="none" w:sz="0" w:space="0" w:color="auto"/>
            <w:bottom w:val="none" w:sz="0" w:space="0" w:color="auto"/>
            <w:right w:val="none" w:sz="0" w:space="0" w:color="auto"/>
          </w:divBdr>
          <w:divsChild>
            <w:div w:id="4579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9490">
      <w:bodyDiv w:val="1"/>
      <w:marLeft w:val="0"/>
      <w:marRight w:val="0"/>
      <w:marTop w:val="0"/>
      <w:marBottom w:val="0"/>
      <w:divBdr>
        <w:top w:val="none" w:sz="0" w:space="0" w:color="auto"/>
        <w:left w:val="none" w:sz="0" w:space="0" w:color="auto"/>
        <w:bottom w:val="none" w:sz="0" w:space="0" w:color="auto"/>
        <w:right w:val="none" w:sz="0" w:space="0" w:color="auto"/>
      </w:divBdr>
    </w:div>
    <w:div w:id="1431269673">
      <w:bodyDiv w:val="1"/>
      <w:marLeft w:val="0"/>
      <w:marRight w:val="0"/>
      <w:marTop w:val="0"/>
      <w:marBottom w:val="0"/>
      <w:divBdr>
        <w:top w:val="none" w:sz="0" w:space="0" w:color="auto"/>
        <w:left w:val="none" w:sz="0" w:space="0" w:color="auto"/>
        <w:bottom w:val="none" w:sz="0" w:space="0" w:color="auto"/>
        <w:right w:val="none" w:sz="0" w:space="0" w:color="auto"/>
      </w:divBdr>
    </w:div>
    <w:div w:id="21242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handbooks.com/view/10.1093/oxfordhb/9780190456818.001.0001/oxfordhb-9780190456818-e-12" TargetMode="External"/><Relationship Id="rId13" Type="http://schemas.openxmlformats.org/officeDocument/2006/relationships/hyperlink" Target="https://www.tandfonline.com/doi/abs/10.1080/13600826.2012.762345" TargetMode="External"/><Relationship Id="rId18" Type="http://schemas.openxmlformats.org/officeDocument/2006/relationships/hyperlink" Target="https://www.tandfonline.com/doi/abs/10.1080/0268452060104622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ternationalaffairs.org.au/australianoutlook/policy-dilemmas-in-a-war-on-disease/" TargetMode="External"/><Relationship Id="rId12" Type="http://schemas.openxmlformats.org/officeDocument/2006/relationships/hyperlink" Target="https://academic.oup.com/jogss/article-abstract/2/2/137/3765303" TargetMode="External"/><Relationship Id="rId17" Type="http://schemas.openxmlformats.org/officeDocument/2006/relationships/hyperlink" Target="https://www.taylorfrancis.com/books/9780203089019" TargetMode="External"/><Relationship Id="rId2" Type="http://schemas.openxmlformats.org/officeDocument/2006/relationships/styles" Target="styles.xml"/><Relationship Id="rId16" Type="http://schemas.openxmlformats.org/officeDocument/2006/relationships/hyperlink" Target="https://www.tandfonline.com/doi/abs/10.1080/0963641090313288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medlaw/article/25/2/293/2948774" TargetMode="External"/><Relationship Id="rId5" Type="http://schemas.openxmlformats.org/officeDocument/2006/relationships/footnotes" Target="footnotes.xml"/><Relationship Id="rId15" Type="http://schemas.openxmlformats.org/officeDocument/2006/relationships/hyperlink" Target="https://www.tandfonline.com/doi/full/10.1080/00396330902749798" TargetMode="External"/><Relationship Id="rId10" Type="http://schemas.openxmlformats.org/officeDocument/2006/relationships/hyperlink" Target="https://www.tandfonline.com/doi/full/10.1080/10357718.2018.1534937" TargetMode="External"/><Relationship Id="rId19" Type="http://schemas.openxmlformats.org/officeDocument/2006/relationships/hyperlink" Target="https://www.tandfonline.com/doi/full/10.1080/10736700500208777" TargetMode="External"/><Relationship Id="rId4" Type="http://schemas.openxmlformats.org/officeDocument/2006/relationships/webSettings" Target="webSettings.xml"/><Relationship Id="rId9" Type="http://schemas.openxmlformats.org/officeDocument/2006/relationships/hyperlink" Target="http://press.georgetown.edu/book/georgetown/biosecurity-dilemmas" TargetMode="External"/><Relationship Id="rId14" Type="http://schemas.openxmlformats.org/officeDocument/2006/relationships/hyperlink" Target="https://academic.oup.com/heapol/article/25/6/486/5835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9</Pages>
  <Words>3966</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Enemark C.</dc:creator>
  <cp:keywords/>
  <dc:description/>
  <cp:lastModifiedBy>Christian Enemark</cp:lastModifiedBy>
  <cp:revision>194</cp:revision>
  <cp:lastPrinted>2020-10-19T10:17:00Z</cp:lastPrinted>
  <dcterms:created xsi:type="dcterms:W3CDTF">2020-09-28T10:19:00Z</dcterms:created>
  <dcterms:modified xsi:type="dcterms:W3CDTF">2020-10-19T10:39:00Z</dcterms:modified>
</cp:coreProperties>
</file>