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5D94" w:rsidRPr="008314C9" w:rsidRDefault="00A05D94" w:rsidP="007A77FC">
      <w:pPr>
        <w:pStyle w:val="NoSpacing"/>
        <w:jc w:val="center"/>
        <w:rPr>
          <w:rFonts w:ascii="Times New Roman" w:hAnsi="Times New Roman" w:cs="Times New Roman"/>
          <w:b/>
          <w:smallCaps/>
          <w:sz w:val="34"/>
          <w:szCs w:val="34"/>
          <w:lang w:val="en-US"/>
        </w:rPr>
      </w:pPr>
      <w:bookmarkStart w:id="0" w:name="_GoBack"/>
      <w:bookmarkEnd w:id="0"/>
      <w:r w:rsidRPr="008314C9">
        <w:rPr>
          <w:rFonts w:ascii="Times New Roman" w:hAnsi="Times New Roman" w:cs="Times New Roman"/>
          <w:b/>
          <w:smallCaps/>
          <w:sz w:val="34"/>
          <w:szCs w:val="34"/>
        </w:rPr>
        <w:t>Correlated at the Tail: Implications of A</w:t>
      </w:r>
      <w:r w:rsidRPr="008314C9">
        <w:rPr>
          <w:rFonts w:ascii="Times New Roman" w:hAnsi="Times New Roman" w:cs="Times New Roman"/>
          <w:b/>
          <w:smallCaps/>
          <w:sz w:val="34"/>
          <w:szCs w:val="34"/>
          <w:lang w:val="en-US"/>
        </w:rPr>
        <w:t>symmetric Tail-dependence across Bitcoin Markets</w:t>
      </w:r>
    </w:p>
    <w:p w:rsidR="00A05D94" w:rsidRPr="00B96DDF" w:rsidRDefault="00A05D94" w:rsidP="007A77FC">
      <w:pPr>
        <w:pStyle w:val="NoSpacing"/>
        <w:jc w:val="center"/>
        <w:rPr>
          <w:rFonts w:ascii="Times New Roman" w:hAnsi="Times New Roman" w:cs="Times New Roman"/>
          <w:i/>
          <w:sz w:val="24"/>
          <w:szCs w:val="24"/>
        </w:rPr>
      </w:pPr>
    </w:p>
    <w:p w:rsidR="00A05D94" w:rsidRPr="00B96DDF" w:rsidRDefault="00A05D94" w:rsidP="007A77FC">
      <w:pPr>
        <w:pStyle w:val="NoSpacing"/>
        <w:jc w:val="center"/>
        <w:rPr>
          <w:rFonts w:ascii="Times New Roman" w:hAnsi="Times New Roman" w:cs="Times New Roman"/>
          <w:sz w:val="24"/>
          <w:szCs w:val="24"/>
        </w:rPr>
      </w:pPr>
    </w:p>
    <w:p w:rsidR="00A05D94" w:rsidRPr="00B96DDF" w:rsidRDefault="00A05D94" w:rsidP="007A77FC">
      <w:pPr>
        <w:pStyle w:val="NoSpacing"/>
        <w:jc w:val="center"/>
        <w:rPr>
          <w:rFonts w:ascii="Times New Roman" w:hAnsi="Times New Roman" w:cs="Times New Roman"/>
          <w:sz w:val="24"/>
          <w:szCs w:val="24"/>
          <w:lang w:val="en-US"/>
        </w:rPr>
      </w:pPr>
    </w:p>
    <w:p w:rsidR="00A05D94" w:rsidRPr="000419AB" w:rsidRDefault="00A05D94" w:rsidP="008314C9">
      <w:pPr>
        <w:shd w:val="clear" w:color="auto" w:fill="FFFFFF"/>
        <w:spacing w:after="0" w:line="240" w:lineRule="auto"/>
        <w:jc w:val="center"/>
        <w:textAlignment w:val="baseline"/>
        <w:rPr>
          <w:rFonts w:ascii="Times New Roman" w:hAnsi="Times New Roman" w:cs="Times New Roman"/>
          <w:b/>
          <w:lang w:val="en-US" w:eastAsia="sv-SE"/>
        </w:rPr>
      </w:pPr>
      <w:r w:rsidRPr="000419AB">
        <w:rPr>
          <w:rFonts w:ascii="Times New Roman" w:hAnsi="Times New Roman" w:cs="Times New Roman"/>
          <w:b/>
          <w:lang w:val="en-US" w:eastAsia="sv-SE"/>
        </w:rPr>
        <w:t>Stelios Bekiros</w:t>
      </w:r>
    </w:p>
    <w:p w:rsidR="00A05D94" w:rsidRPr="008314C9" w:rsidRDefault="00A05D94" w:rsidP="008314C9">
      <w:pPr>
        <w:pStyle w:val="NoSpacing"/>
        <w:jc w:val="center"/>
        <w:rPr>
          <w:rFonts w:ascii="Times New Roman" w:hAnsi="Times New Roman" w:cs="Times New Roman"/>
          <w:lang w:val="en-US" w:eastAsia="sv-SE"/>
        </w:rPr>
      </w:pPr>
      <w:r w:rsidRPr="008314C9">
        <w:rPr>
          <w:rFonts w:ascii="Times New Roman" w:hAnsi="Times New Roman" w:cs="Times New Roman"/>
          <w:lang w:val="en-US" w:eastAsia="sv-SE"/>
        </w:rPr>
        <w:t>European University Institute, Florence, Italy</w:t>
      </w:r>
    </w:p>
    <w:p w:rsidR="00A05D94" w:rsidRPr="008314C9" w:rsidRDefault="00A05D94" w:rsidP="008314C9">
      <w:pPr>
        <w:pStyle w:val="NoSpacing"/>
        <w:jc w:val="center"/>
        <w:rPr>
          <w:rFonts w:ascii="Times New Roman" w:hAnsi="Times New Roman" w:cs="Times New Roman"/>
        </w:rPr>
      </w:pPr>
      <w:r w:rsidRPr="008314C9">
        <w:rPr>
          <w:rFonts w:ascii="Times New Roman" w:hAnsi="Times New Roman" w:cs="Times New Roman"/>
          <w:lang w:val="en-US"/>
        </w:rPr>
        <w:t>E-mail:</w:t>
      </w:r>
      <w:r w:rsidRPr="008314C9">
        <w:rPr>
          <w:rFonts w:ascii="Times New Roman" w:hAnsi="Times New Roman" w:cs="Times New Roman"/>
        </w:rPr>
        <w:t xml:space="preserve"> stelios.bekiros@eui.eu</w:t>
      </w:r>
    </w:p>
    <w:p w:rsidR="00A05D94" w:rsidRPr="008314C9" w:rsidRDefault="007D3776" w:rsidP="007D3776">
      <w:pPr>
        <w:pStyle w:val="NoSpacing"/>
        <w:tabs>
          <w:tab w:val="left" w:pos="7800"/>
        </w:tabs>
        <w:rPr>
          <w:rFonts w:ascii="Times New Roman" w:hAnsi="Times New Roman" w:cs="Times New Roman"/>
          <w:b/>
          <w:lang w:val="en-US"/>
        </w:rPr>
      </w:pPr>
      <w:r>
        <w:rPr>
          <w:rFonts w:ascii="Times New Roman" w:hAnsi="Times New Roman" w:cs="Times New Roman"/>
          <w:b/>
          <w:lang w:val="en-US"/>
        </w:rPr>
        <w:tab/>
      </w:r>
    </w:p>
    <w:p w:rsidR="00A05D94" w:rsidRPr="008314C9" w:rsidRDefault="00A05D94" w:rsidP="007A77FC">
      <w:pPr>
        <w:pStyle w:val="NoSpacing"/>
        <w:jc w:val="center"/>
        <w:rPr>
          <w:rFonts w:ascii="Times New Roman" w:hAnsi="Times New Roman" w:cs="Times New Roman"/>
          <w:b/>
          <w:lang w:val="en-US"/>
        </w:rPr>
      </w:pPr>
      <w:r w:rsidRPr="008314C9">
        <w:rPr>
          <w:rFonts w:ascii="Times New Roman" w:hAnsi="Times New Roman" w:cs="Times New Roman"/>
          <w:b/>
          <w:lang w:val="en-US"/>
        </w:rPr>
        <w:t>Axel Hedström</w:t>
      </w:r>
    </w:p>
    <w:p w:rsidR="00A05D94" w:rsidRPr="008314C9" w:rsidRDefault="00A05D94" w:rsidP="007A77FC">
      <w:pPr>
        <w:pStyle w:val="NoSpacing"/>
        <w:jc w:val="center"/>
        <w:rPr>
          <w:rFonts w:ascii="Times New Roman" w:hAnsi="Times New Roman" w:cs="Times New Roman"/>
          <w:lang w:val="en-US"/>
        </w:rPr>
      </w:pPr>
      <w:r w:rsidRPr="008314C9">
        <w:rPr>
          <w:rFonts w:ascii="Times New Roman" w:hAnsi="Times New Roman" w:cs="Times New Roman"/>
        </w:rPr>
        <w:t>Department of Management and Engineering,</w:t>
      </w:r>
    </w:p>
    <w:p w:rsidR="00A05D94" w:rsidRPr="008314C9" w:rsidRDefault="00A05D94" w:rsidP="007A77FC">
      <w:pPr>
        <w:pStyle w:val="NoSpacing"/>
        <w:jc w:val="center"/>
        <w:rPr>
          <w:rFonts w:ascii="Times New Roman" w:hAnsi="Times New Roman" w:cs="Times New Roman"/>
          <w:lang w:val="sv-SE"/>
        </w:rPr>
      </w:pPr>
      <w:r w:rsidRPr="008314C9">
        <w:rPr>
          <w:rFonts w:ascii="Times New Roman" w:hAnsi="Times New Roman" w:cs="Times New Roman"/>
          <w:lang w:val="sv-SE"/>
        </w:rPr>
        <w:t>Linköping University, Linköping, Sweden</w:t>
      </w:r>
    </w:p>
    <w:p w:rsidR="00A05D94" w:rsidRPr="008314C9" w:rsidRDefault="00A05D94" w:rsidP="007A77FC">
      <w:pPr>
        <w:pStyle w:val="NoSpacing"/>
        <w:jc w:val="center"/>
        <w:rPr>
          <w:rFonts w:ascii="Times New Roman" w:hAnsi="Times New Roman" w:cs="Times New Roman"/>
          <w:lang w:val="sv-SE"/>
        </w:rPr>
      </w:pPr>
      <w:r w:rsidRPr="008314C9">
        <w:rPr>
          <w:rFonts w:ascii="Times New Roman" w:hAnsi="Times New Roman" w:cs="Times New Roman"/>
          <w:lang w:val="sv-SE"/>
        </w:rPr>
        <w:t xml:space="preserve">E-mail: </w:t>
      </w:r>
      <w:hyperlink r:id="rId8" w:history="1">
        <w:r w:rsidRPr="008314C9">
          <w:rPr>
            <w:rStyle w:val="Hyperlink"/>
            <w:rFonts w:ascii="Times New Roman" w:hAnsi="Times New Roman"/>
            <w:color w:val="auto"/>
            <w:u w:val="none"/>
            <w:lang w:val="sv-SE"/>
          </w:rPr>
          <w:t>axel.hedstrom@liu.se</w:t>
        </w:r>
      </w:hyperlink>
    </w:p>
    <w:p w:rsidR="00A05D94" w:rsidRPr="008314C9" w:rsidRDefault="00A05D94" w:rsidP="007A77FC">
      <w:pPr>
        <w:pStyle w:val="NoSpacing"/>
        <w:jc w:val="center"/>
        <w:rPr>
          <w:rFonts w:ascii="Times New Roman" w:hAnsi="Times New Roman" w:cs="Times New Roman"/>
          <w:b/>
          <w:lang w:val="sv-SE"/>
        </w:rPr>
      </w:pPr>
    </w:p>
    <w:p w:rsidR="00A05D94" w:rsidRPr="008314C9" w:rsidRDefault="00A05D94" w:rsidP="007A77FC">
      <w:pPr>
        <w:shd w:val="clear" w:color="auto" w:fill="FFFFFF"/>
        <w:spacing w:after="0" w:line="240" w:lineRule="auto"/>
        <w:jc w:val="center"/>
        <w:textAlignment w:val="baseline"/>
        <w:rPr>
          <w:rFonts w:ascii="Times New Roman" w:hAnsi="Times New Roman" w:cs="Times New Roman"/>
          <w:b/>
          <w:lang w:val="sv-SE" w:eastAsia="sv-SE"/>
        </w:rPr>
      </w:pPr>
      <w:r w:rsidRPr="008314C9">
        <w:rPr>
          <w:rFonts w:ascii="Times New Roman" w:hAnsi="Times New Roman" w:cs="Times New Roman"/>
          <w:b/>
          <w:lang w:val="sv-SE" w:eastAsia="sv-SE"/>
        </w:rPr>
        <w:t>Evgeniia Jayasekera</w:t>
      </w:r>
    </w:p>
    <w:p w:rsidR="00A05D94" w:rsidRPr="008314C9" w:rsidRDefault="00A05D94" w:rsidP="007A77FC">
      <w:pPr>
        <w:shd w:val="clear" w:color="auto" w:fill="FFFFFF"/>
        <w:spacing w:after="0" w:line="240" w:lineRule="auto"/>
        <w:jc w:val="center"/>
        <w:textAlignment w:val="baseline"/>
        <w:rPr>
          <w:rFonts w:ascii="Times New Roman" w:hAnsi="Times New Roman" w:cs="Times New Roman"/>
          <w:lang w:val="en-US" w:eastAsia="sv-SE"/>
        </w:rPr>
      </w:pPr>
      <w:r w:rsidRPr="008314C9">
        <w:rPr>
          <w:rFonts w:ascii="Times New Roman" w:hAnsi="Times New Roman" w:cs="Times New Roman"/>
          <w:lang w:val="en-US" w:eastAsia="sv-SE"/>
        </w:rPr>
        <w:t>National College of Ireland</w:t>
      </w:r>
    </w:p>
    <w:p w:rsidR="00A05D94" w:rsidRPr="008314C9" w:rsidRDefault="00A05D94" w:rsidP="007A77FC">
      <w:pPr>
        <w:pStyle w:val="NoSpacing"/>
        <w:jc w:val="center"/>
        <w:rPr>
          <w:rFonts w:ascii="Times New Roman" w:hAnsi="Times New Roman" w:cs="Times New Roman"/>
        </w:rPr>
      </w:pPr>
      <w:r w:rsidRPr="008314C9">
        <w:rPr>
          <w:rFonts w:ascii="Times New Roman" w:hAnsi="Times New Roman" w:cs="Times New Roman"/>
          <w:lang w:val="en-US"/>
        </w:rPr>
        <w:t>E-mail:</w:t>
      </w:r>
      <w:r w:rsidRPr="008314C9">
        <w:rPr>
          <w:rFonts w:ascii="Times New Roman" w:hAnsi="Times New Roman" w:cs="Times New Roman"/>
        </w:rPr>
        <w:t xml:space="preserve"> eva</w:t>
      </w:r>
      <w:r w:rsidRPr="008314C9">
        <w:rPr>
          <w:rFonts w:ascii="Times New Roman" w:hAnsi="Times New Roman" w:cs="Times New Roman"/>
          <w:shd w:val="clear" w:color="auto" w:fill="FFFFFF"/>
        </w:rPr>
        <w:t>kursk@gmail.com</w:t>
      </w:r>
    </w:p>
    <w:p w:rsidR="00A05D94" w:rsidRPr="008314C9" w:rsidRDefault="00A05D94" w:rsidP="007A77FC">
      <w:pPr>
        <w:pStyle w:val="NoSpacing"/>
        <w:jc w:val="center"/>
        <w:rPr>
          <w:rFonts w:ascii="Times New Roman" w:hAnsi="Times New Roman" w:cs="Times New Roman"/>
        </w:rPr>
      </w:pPr>
    </w:p>
    <w:p w:rsidR="00A05D94" w:rsidRPr="008314C9" w:rsidRDefault="00A05D94" w:rsidP="007A77FC">
      <w:pPr>
        <w:pStyle w:val="NoSpacing"/>
        <w:jc w:val="center"/>
        <w:rPr>
          <w:rFonts w:ascii="Times New Roman" w:hAnsi="Times New Roman" w:cs="Times New Roman"/>
          <w:b/>
        </w:rPr>
      </w:pPr>
      <w:r w:rsidRPr="008314C9">
        <w:rPr>
          <w:rFonts w:ascii="Times New Roman" w:hAnsi="Times New Roman" w:cs="Times New Roman"/>
          <w:b/>
        </w:rPr>
        <w:t>Tapas Mishra</w:t>
      </w:r>
    </w:p>
    <w:p w:rsidR="00A05D94" w:rsidRPr="008314C9" w:rsidRDefault="00A05D94" w:rsidP="007A77FC">
      <w:pPr>
        <w:pStyle w:val="NoSpacing"/>
        <w:jc w:val="center"/>
        <w:rPr>
          <w:rFonts w:ascii="Times New Roman" w:hAnsi="Times New Roman" w:cs="Times New Roman"/>
        </w:rPr>
      </w:pPr>
      <w:r w:rsidRPr="008314C9">
        <w:rPr>
          <w:rFonts w:ascii="Times New Roman" w:hAnsi="Times New Roman" w:cs="Times New Roman"/>
        </w:rPr>
        <w:t>Southampton Business School</w:t>
      </w:r>
    </w:p>
    <w:p w:rsidR="00A05D94" w:rsidRPr="008314C9" w:rsidRDefault="00A05D94" w:rsidP="007A77FC">
      <w:pPr>
        <w:pStyle w:val="NoSpacing"/>
        <w:jc w:val="center"/>
        <w:rPr>
          <w:rFonts w:ascii="Times New Roman" w:hAnsi="Times New Roman" w:cs="Times New Roman"/>
        </w:rPr>
      </w:pPr>
      <w:r w:rsidRPr="008314C9">
        <w:rPr>
          <w:rFonts w:ascii="Times New Roman" w:hAnsi="Times New Roman" w:cs="Times New Roman"/>
        </w:rPr>
        <w:t>University of Southampton, UK</w:t>
      </w:r>
    </w:p>
    <w:p w:rsidR="00A05D94" w:rsidRPr="008314C9" w:rsidRDefault="00A05D94" w:rsidP="007A77FC">
      <w:pPr>
        <w:pStyle w:val="NoSpacing"/>
        <w:jc w:val="center"/>
        <w:rPr>
          <w:rFonts w:ascii="Times New Roman" w:hAnsi="Times New Roman" w:cs="Times New Roman"/>
        </w:rPr>
      </w:pPr>
      <w:r w:rsidRPr="008314C9">
        <w:rPr>
          <w:rFonts w:ascii="Times New Roman" w:hAnsi="Times New Roman" w:cs="Times New Roman"/>
        </w:rPr>
        <w:t>E-mail: t.k.mishra@soton.ac.uk</w:t>
      </w:r>
    </w:p>
    <w:p w:rsidR="00A05D94" w:rsidRPr="008314C9" w:rsidRDefault="00A05D94" w:rsidP="007A77FC">
      <w:pPr>
        <w:pStyle w:val="NoSpacing"/>
        <w:jc w:val="center"/>
        <w:rPr>
          <w:rFonts w:ascii="Times New Roman" w:hAnsi="Times New Roman" w:cs="Times New Roman"/>
        </w:rPr>
      </w:pPr>
    </w:p>
    <w:p w:rsidR="00A05D94" w:rsidRPr="008314C9" w:rsidRDefault="00A05D94" w:rsidP="007A77FC">
      <w:pPr>
        <w:pStyle w:val="NoSpacing"/>
        <w:jc w:val="center"/>
        <w:rPr>
          <w:rFonts w:ascii="Times New Roman" w:hAnsi="Times New Roman" w:cs="Times New Roman"/>
          <w:b/>
        </w:rPr>
      </w:pPr>
      <w:r w:rsidRPr="008314C9">
        <w:rPr>
          <w:rFonts w:ascii="Times New Roman" w:hAnsi="Times New Roman" w:cs="Times New Roman"/>
          <w:b/>
        </w:rPr>
        <w:t>Gazi Salah Uddin</w:t>
      </w:r>
    </w:p>
    <w:p w:rsidR="00A05D94" w:rsidRPr="008314C9" w:rsidRDefault="00A05D94" w:rsidP="007A77FC">
      <w:pPr>
        <w:pStyle w:val="NoSpacing"/>
        <w:jc w:val="center"/>
        <w:rPr>
          <w:rFonts w:ascii="Times New Roman" w:hAnsi="Times New Roman" w:cs="Times New Roman"/>
        </w:rPr>
      </w:pPr>
      <w:r w:rsidRPr="008314C9">
        <w:rPr>
          <w:rFonts w:ascii="Times New Roman" w:hAnsi="Times New Roman" w:cs="Times New Roman"/>
        </w:rPr>
        <w:t>Department of Management and Engineering,</w:t>
      </w:r>
    </w:p>
    <w:p w:rsidR="00A05D94" w:rsidRPr="008314C9" w:rsidRDefault="00A05D94" w:rsidP="007A77FC">
      <w:pPr>
        <w:pStyle w:val="NoSpacing"/>
        <w:jc w:val="center"/>
        <w:rPr>
          <w:rFonts w:ascii="Times New Roman" w:hAnsi="Times New Roman" w:cs="Times New Roman"/>
        </w:rPr>
      </w:pPr>
      <w:r w:rsidRPr="008314C9">
        <w:rPr>
          <w:rFonts w:ascii="Times New Roman" w:hAnsi="Times New Roman" w:cs="Times New Roman"/>
        </w:rPr>
        <w:t>Linköping University, Linköping, Sweden</w:t>
      </w:r>
    </w:p>
    <w:p w:rsidR="00A05D94" w:rsidRPr="008314C9" w:rsidRDefault="00A05D94" w:rsidP="007A77FC">
      <w:pPr>
        <w:pStyle w:val="NoSpacing"/>
        <w:jc w:val="center"/>
        <w:rPr>
          <w:rFonts w:ascii="Times New Roman" w:hAnsi="Times New Roman" w:cs="Times New Roman"/>
        </w:rPr>
      </w:pPr>
      <w:r w:rsidRPr="008314C9">
        <w:rPr>
          <w:rFonts w:ascii="Times New Roman" w:hAnsi="Times New Roman" w:cs="Times New Roman"/>
        </w:rPr>
        <w:t xml:space="preserve">E-mail: </w:t>
      </w:r>
      <w:hyperlink r:id="rId9" w:history="1">
        <w:r w:rsidRPr="008314C9">
          <w:rPr>
            <w:rStyle w:val="Hyperlink"/>
            <w:rFonts w:ascii="Times New Roman" w:hAnsi="Times New Roman"/>
            <w:color w:val="auto"/>
            <w:u w:val="none"/>
          </w:rPr>
          <w:t>gazi.salah.uddin@liu.se</w:t>
        </w:r>
      </w:hyperlink>
    </w:p>
    <w:p w:rsidR="00A05D94" w:rsidRPr="008314C9" w:rsidRDefault="00A05D94" w:rsidP="007A77FC">
      <w:pPr>
        <w:pStyle w:val="NoSpacing"/>
        <w:jc w:val="center"/>
        <w:rPr>
          <w:rFonts w:ascii="Times New Roman" w:hAnsi="Times New Roman" w:cs="Times New Roman"/>
          <w:i/>
        </w:rPr>
      </w:pPr>
    </w:p>
    <w:p w:rsidR="00A05D94" w:rsidRDefault="00A05D94" w:rsidP="007A77FC">
      <w:pPr>
        <w:pStyle w:val="NoSpacing"/>
        <w:jc w:val="center"/>
        <w:rPr>
          <w:rFonts w:ascii="Times New Roman" w:hAnsi="Times New Roman" w:cs="Times New Roman"/>
          <w:i/>
          <w:sz w:val="24"/>
          <w:szCs w:val="24"/>
        </w:rPr>
      </w:pPr>
    </w:p>
    <w:p w:rsidR="00A05D94" w:rsidRPr="00B96DDF" w:rsidRDefault="00A05D94" w:rsidP="007A77FC">
      <w:pPr>
        <w:pStyle w:val="NoSpacing"/>
        <w:jc w:val="center"/>
        <w:rPr>
          <w:rFonts w:ascii="Times New Roman" w:hAnsi="Times New Roman" w:cs="Times New Roman"/>
          <w:i/>
          <w:sz w:val="24"/>
          <w:szCs w:val="24"/>
        </w:rPr>
      </w:pPr>
    </w:p>
    <w:p w:rsidR="00A05D94" w:rsidRPr="00B96DDF" w:rsidRDefault="00A05D94" w:rsidP="007A77FC">
      <w:pPr>
        <w:pStyle w:val="NoSpacing"/>
        <w:jc w:val="center"/>
        <w:rPr>
          <w:rFonts w:ascii="Times New Roman" w:hAnsi="Times New Roman" w:cs="Times New Roman"/>
          <w:i/>
          <w:sz w:val="24"/>
          <w:szCs w:val="24"/>
        </w:rPr>
      </w:pPr>
    </w:p>
    <w:p w:rsidR="00A05D94" w:rsidRPr="00B96DDF" w:rsidRDefault="00A05D94" w:rsidP="008314C9">
      <w:pPr>
        <w:spacing w:line="480" w:lineRule="auto"/>
        <w:jc w:val="center"/>
        <w:rPr>
          <w:rFonts w:ascii="Times New Roman" w:hAnsi="Times New Roman" w:cs="Times New Roman"/>
          <w:b/>
          <w:sz w:val="24"/>
          <w:szCs w:val="24"/>
          <w:lang w:val="en-US"/>
        </w:rPr>
      </w:pPr>
      <w:r w:rsidRPr="00B96DDF">
        <w:rPr>
          <w:rFonts w:ascii="Times New Roman" w:hAnsi="Times New Roman" w:cs="Times New Roman"/>
          <w:b/>
          <w:sz w:val="24"/>
          <w:szCs w:val="24"/>
          <w:lang w:val="en-US"/>
        </w:rPr>
        <w:t>Abstract</w:t>
      </w:r>
    </w:p>
    <w:p w:rsidR="00A05D94" w:rsidRPr="00B96DDF" w:rsidRDefault="00A05D94" w:rsidP="00B96DDF">
      <w:pPr>
        <w:spacing w:line="240" w:lineRule="auto"/>
        <w:jc w:val="both"/>
        <w:rPr>
          <w:rFonts w:ascii="Times New Roman" w:hAnsi="Times New Roman" w:cs="Times New Roman"/>
          <w:sz w:val="24"/>
          <w:szCs w:val="24"/>
        </w:rPr>
      </w:pPr>
      <w:r w:rsidRPr="00B96DDF">
        <w:rPr>
          <w:rFonts w:ascii="Times New Roman" w:hAnsi="Times New Roman" w:cs="Times New Roman"/>
          <w:sz w:val="24"/>
          <w:szCs w:val="24"/>
          <w:lang w:val="en-US"/>
        </w:rPr>
        <w:t xml:space="preserve">This paper is the first to </w:t>
      </w:r>
      <w:r w:rsidRPr="00B96DDF">
        <w:rPr>
          <w:rFonts w:ascii="Times New Roman" w:hAnsi="Times New Roman" w:cs="Times New Roman"/>
          <w:i/>
          <w:sz w:val="24"/>
          <w:szCs w:val="24"/>
          <w:lang w:val="en-US"/>
        </w:rPr>
        <w:t xml:space="preserve">fully </w:t>
      </w:r>
      <w:r w:rsidRPr="00B96DDF">
        <w:rPr>
          <w:rFonts w:ascii="Times New Roman" w:hAnsi="Times New Roman" w:cs="Times New Roman"/>
          <w:sz w:val="24"/>
          <w:szCs w:val="24"/>
          <w:lang w:val="en-US"/>
        </w:rPr>
        <w:t xml:space="preserve">characterize the relationship among cross-market Bitcoin prices to provide a complete picture of </w:t>
      </w:r>
      <w:r w:rsidRPr="00B96DDF">
        <w:rPr>
          <w:rFonts w:ascii="Times New Roman" w:hAnsi="Times New Roman" w:cs="Times New Roman"/>
          <w:i/>
          <w:sz w:val="24"/>
          <w:szCs w:val="24"/>
          <w:lang w:val="en-US"/>
        </w:rPr>
        <w:t>directional predictability</w:t>
      </w:r>
      <w:r w:rsidRPr="00B96DDF">
        <w:rPr>
          <w:rFonts w:ascii="Times New Roman" w:hAnsi="Times New Roman" w:cs="Times New Roman"/>
          <w:sz w:val="24"/>
          <w:szCs w:val="24"/>
          <w:lang w:val="en-US"/>
        </w:rPr>
        <w:t xml:space="preserve"> of Bitcoin traded in various currencies across five developed markets. To exploit full-distributional dynamics, we employ </w:t>
      </w:r>
      <w:r w:rsidRPr="00B96DDF">
        <w:rPr>
          <w:rFonts w:ascii="Times New Roman" w:hAnsi="Times New Roman" w:cs="Times New Roman"/>
          <w:sz w:val="24"/>
          <w:szCs w:val="24"/>
        </w:rPr>
        <w:t xml:space="preserve">Cross-quantilogram based Correlation and Dependence model to delve deep into the estimates an asymmetric tail dependence across quantiles would reflect on heterogeneous movement pattern of Bitcoin prices. </w:t>
      </w:r>
      <w:r w:rsidRPr="00B96DDF">
        <w:rPr>
          <w:rFonts w:ascii="Times New Roman" w:hAnsi="Times New Roman" w:cs="Times New Roman"/>
          <w:sz w:val="24"/>
          <w:szCs w:val="24"/>
          <w:lang w:val="en-US"/>
        </w:rPr>
        <w:t xml:space="preserve">A </w:t>
      </w:r>
      <w:r w:rsidRPr="00B96DDF">
        <w:rPr>
          <w:rFonts w:ascii="Times New Roman" w:hAnsi="Times New Roman" w:cs="Times New Roman"/>
          <w:sz w:val="24"/>
          <w:szCs w:val="24"/>
        </w:rPr>
        <w:t>cross-quantilogram-based analysis reveals new empirical evidence of a heterogeneous tail dependence pattern:</w:t>
      </w:r>
      <w:r w:rsidRPr="00B96DDF">
        <w:rPr>
          <w:rFonts w:ascii="Times New Roman" w:hAnsi="Times New Roman" w:cs="Times New Roman"/>
          <w:sz w:val="24"/>
          <w:szCs w:val="24"/>
          <w:lang w:val="en-US"/>
        </w:rPr>
        <w:t xml:space="preserve"> where</w:t>
      </w:r>
      <w:r w:rsidR="0049603D">
        <w:rPr>
          <w:rFonts w:ascii="Times New Roman" w:hAnsi="Times New Roman" w:cs="Times New Roman"/>
          <w:sz w:val="24"/>
          <w:szCs w:val="24"/>
          <w:lang w:val="en-US"/>
        </w:rPr>
        <w:t xml:space="preserve">as Bitcoin-USD and the </w:t>
      </w:r>
      <w:r w:rsidR="0049603D" w:rsidRPr="0049603D">
        <w:rPr>
          <w:rFonts w:ascii="Times New Roman" w:hAnsi="Times New Roman" w:cs="Times New Roman"/>
          <w:color w:val="0000CC"/>
          <w:sz w:val="24"/>
          <w:szCs w:val="24"/>
          <w:lang w:val="en-US"/>
        </w:rPr>
        <w:t>Northeast</w:t>
      </w:r>
      <w:r w:rsidRPr="0049603D">
        <w:rPr>
          <w:rFonts w:ascii="Times New Roman" w:hAnsi="Times New Roman" w:cs="Times New Roman"/>
          <w:color w:val="0000CC"/>
          <w:sz w:val="24"/>
          <w:szCs w:val="24"/>
          <w:lang w:val="en-US"/>
        </w:rPr>
        <w:t xml:space="preserve"> Asian market </w:t>
      </w:r>
      <w:r w:rsidRPr="00B96DDF">
        <w:rPr>
          <w:rFonts w:ascii="Times New Roman" w:hAnsi="Times New Roman" w:cs="Times New Roman"/>
          <w:sz w:val="24"/>
          <w:szCs w:val="24"/>
          <w:lang w:val="en-US"/>
        </w:rPr>
        <w:t>(viz., Japan) depicts a strong co-movement, smaller markets display weak connectedness and strong market-efficiency.</w:t>
      </w:r>
    </w:p>
    <w:p w:rsidR="00A05D94" w:rsidRPr="00B96DDF" w:rsidRDefault="00A05D94" w:rsidP="007A77FC">
      <w:pPr>
        <w:spacing w:line="240" w:lineRule="auto"/>
        <w:jc w:val="both"/>
        <w:rPr>
          <w:rFonts w:ascii="Times New Roman" w:hAnsi="Times New Roman" w:cs="Times New Roman"/>
          <w:sz w:val="24"/>
          <w:szCs w:val="24"/>
          <w:lang w:val="en-US"/>
        </w:rPr>
      </w:pPr>
    </w:p>
    <w:p w:rsidR="00A05D94" w:rsidRPr="00B96DDF" w:rsidRDefault="00A05D94" w:rsidP="007A77FC">
      <w:pPr>
        <w:spacing w:line="240" w:lineRule="auto"/>
        <w:jc w:val="both"/>
        <w:rPr>
          <w:rFonts w:ascii="Times New Roman" w:hAnsi="Times New Roman" w:cs="Times New Roman"/>
          <w:b/>
          <w:i/>
          <w:sz w:val="24"/>
          <w:szCs w:val="24"/>
        </w:rPr>
      </w:pPr>
      <w:r w:rsidRPr="00B96DDF">
        <w:rPr>
          <w:rFonts w:ascii="Times New Roman" w:hAnsi="Times New Roman" w:cs="Times New Roman"/>
          <w:b/>
          <w:i/>
          <w:sz w:val="24"/>
          <w:szCs w:val="24"/>
        </w:rPr>
        <w:t>JEL classification:</w:t>
      </w:r>
    </w:p>
    <w:p w:rsidR="00A05D94" w:rsidRPr="00B96DDF" w:rsidRDefault="00A05D94" w:rsidP="007A77FC">
      <w:pPr>
        <w:spacing w:line="240" w:lineRule="auto"/>
        <w:jc w:val="both"/>
        <w:rPr>
          <w:rFonts w:ascii="Times New Roman" w:hAnsi="Times New Roman" w:cs="Times New Roman"/>
          <w:sz w:val="24"/>
          <w:szCs w:val="24"/>
        </w:rPr>
      </w:pPr>
      <w:r w:rsidRPr="00B96DDF">
        <w:rPr>
          <w:rFonts w:ascii="Times New Roman" w:hAnsi="Times New Roman" w:cs="Times New Roman"/>
          <w:b/>
          <w:i/>
          <w:sz w:val="24"/>
          <w:szCs w:val="24"/>
        </w:rPr>
        <w:t>Key words</w:t>
      </w:r>
      <w:r w:rsidRPr="00B96DDF">
        <w:rPr>
          <w:rFonts w:ascii="Times New Roman" w:hAnsi="Times New Roman" w:cs="Times New Roman"/>
          <w:i/>
          <w:sz w:val="24"/>
          <w:szCs w:val="24"/>
        </w:rPr>
        <w:t xml:space="preserve">: </w:t>
      </w:r>
      <w:r w:rsidRPr="00B96DDF">
        <w:rPr>
          <w:rFonts w:ascii="Times New Roman" w:hAnsi="Times New Roman" w:cs="Times New Roman"/>
          <w:sz w:val="24"/>
          <w:szCs w:val="24"/>
        </w:rPr>
        <w:t>Cross-quantilogram; Cross-market Bitcoin prices; Time-varying stability</w:t>
      </w:r>
    </w:p>
    <w:p w:rsidR="00A05D94" w:rsidRPr="00B96DDF" w:rsidRDefault="00A05D94" w:rsidP="007A77FC">
      <w:pPr>
        <w:spacing w:line="360" w:lineRule="auto"/>
        <w:jc w:val="both"/>
        <w:rPr>
          <w:rFonts w:ascii="Times New Roman" w:hAnsi="Times New Roman" w:cs="Times New Roman"/>
          <w:b/>
          <w:sz w:val="24"/>
          <w:szCs w:val="24"/>
        </w:rPr>
      </w:pPr>
    </w:p>
    <w:p w:rsidR="00A05D94" w:rsidRPr="008314C9" w:rsidRDefault="00A05D94" w:rsidP="00F75F54">
      <w:pPr>
        <w:spacing w:line="480" w:lineRule="auto"/>
        <w:jc w:val="both"/>
        <w:rPr>
          <w:rFonts w:ascii="Times New Roman" w:hAnsi="Times New Roman" w:cs="Times New Roman"/>
          <w:b/>
          <w:sz w:val="6"/>
          <w:szCs w:val="6"/>
        </w:rPr>
      </w:pPr>
      <w:r w:rsidRPr="00B96DDF">
        <w:rPr>
          <w:rFonts w:ascii="Times New Roman" w:hAnsi="Times New Roman" w:cs="Times New Roman"/>
          <w:b/>
          <w:sz w:val="24"/>
          <w:szCs w:val="24"/>
        </w:rPr>
        <w:br w:type="page"/>
      </w:r>
    </w:p>
    <w:p w:rsidR="00A05D94" w:rsidRPr="00B96DDF" w:rsidRDefault="00A05D94" w:rsidP="00F75F54">
      <w:pPr>
        <w:pStyle w:val="ListParagraph"/>
        <w:numPr>
          <w:ilvl w:val="0"/>
          <w:numId w:val="2"/>
        </w:numPr>
        <w:spacing w:line="480" w:lineRule="auto"/>
        <w:jc w:val="both"/>
        <w:rPr>
          <w:rFonts w:ascii="Times New Roman" w:hAnsi="Times New Roman" w:cs="Times New Roman"/>
          <w:b/>
          <w:sz w:val="24"/>
          <w:szCs w:val="24"/>
        </w:rPr>
      </w:pPr>
      <w:r w:rsidRPr="00B96DDF">
        <w:rPr>
          <w:rFonts w:ascii="Times New Roman" w:hAnsi="Times New Roman" w:cs="Times New Roman"/>
          <w:b/>
          <w:sz w:val="24"/>
          <w:szCs w:val="24"/>
        </w:rPr>
        <w:lastRenderedPageBreak/>
        <w:t>Introduction</w:t>
      </w:r>
    </w:p>
    <w:p w:rsidR="00A05D94" w:rsidRPr="00B96DDF" w:rsidRDefault="00A05D94" w:rsidP="00F75F54">
      <w:pPr>
        <w:spacing w:after="180" w:line="480" w:lineRule="auto"/>
        <w:ind w:right="263"/>
        <w:jc w:val="both"/>
        <w:rPr>
          <w:rFonts w:ascii="Times New Roman" w:hAnsi="Times New Roman" w:cs="Times New Roman"/>
          <w:sz w:val="24"/>
          <w:szCs w:val="24"/>
        </w:rPr>
      </w:pPr>
      <w:r w:rsidRPr="00B96DDF">
        <w:rPr>
          <w:rFonts w:ascii="Times New Roman" w:hAnsi="Times New Roman" w:cs="Times New Roman"/>
          <w:sz w:val="24"/>
          <w:szCs w:val="24"/>
        </w:rPr>
        <w:t>Predicting Cryptocurrency price movements is one of the most challenging tasks an investor would embark on – thanks to the lack of a strong asset pricing theory, dominance of a largely unregulated market structure, and instrumental role of an implicit value of investors’ sentiments.  Recent research in this regard demonstrates that a large part of variance in a cryptocurrency market, such as Bitcoin, is due to the sensitivity of investors to macroeconomic performances of a country (e.g., Corbet et al. 2019; Cheah et al. 2018, and Gillaizeau et al. 2019).</w:t>
      </w:r>
    </w:p>
    <w:p w:rsidR="0005633A" w:rsidRDefault="00A05D94" w:rsidP="0005633A">
      <w:pPr>
        <w:spacing w:after="180" w:line="480" w:lineRule="auto"/>
        <w:ind w:right="263"/>
        <w:jc w:val="both"/>
        <w:rPr>
          <w:rFonts w:ascii="Times New Roman" w:hAnsi="Times New Roman" w:cs="Times New Roman"/>
          <w:sz w:val="24"/>
          <w:szCs w:val="24"/>
        </w:rPr>
      </w:pPr>
      <w:r w:rsidRPr="00B96DDF">
        <w:rPr>
          <w:rFonts w:ascii="Times New Roman" w:hAnsi="Times New Roman" w:cs="Times New Roman"/>
          <w:sz w:val="24"/>
          <w:szCs w:val="24"/>
        </w:rPr>
        <w:t xml:space="preserve">A common practice is to treat observed pattern of price movement as an </w:t>
      </w:r>
      <w:r w:rsidRPr="00B96DDF">
        <w:rPr>
          <w:rFonts w:ascii="Times New Roman" w:hAnsi="Times New Roman" w:cs="Times New Roman"/>
          <w:i/>
          <w:sz w:val="24"/>
          <w:szCs w:val="24"/>
        </w:rPr>
        <w:t>‘information set’,</w:t>
      </w:r>
      <w:r w:rsidRPr="00B96DDF">
        <w:rPr>
          <w:rFonts w:ascii="Times New Roman" w:hAnsi="Times New Roman" w:cs="Times New Roman"/>
          <w:sz w:val="24"/>
          <w:szCs w:val="24"/>
        </w:rPr>
        <w:t xml:space="preserve"> which an investor uses to ‘predict’ as his next strategy of investment. But, this information set conceals unaccounted for noisy signals arising out of, for instance, dynamic movements in macroeconomic fundamentals (representing economic parameter-driven sentimental values) from other markets. Eventually, a component of this ‘information set’ specific to a market, becomes a common component across other markets, because noises generally display transmissive and transformative effects (Gillaizeau et al. 2019). The problem most often neglected is that whilst it is the </w:t>
      </w:r>
      <w:r w:rsidRPr="00B96DDF">
        <w:rPr>
          <w:rFonts w:ascii="Times New Roman" w:hAnsi="Times New Roman" w:cs="Times New Roman"/>
          <w:i/>
          <w:sz w:val="24"/>
          <w:szCs w:val="24"/>
        </w:rPr>
        <w:t>entire dynamic path of a cryptocurrency price and associated factors that determine the information set, but inference is based only on the centre of the distribution</w:t>
      </w:r>
      <w:r w:rsidRPr="00B96DDF">
        <w:rPr>
          <w:rFonts w:ascii="Times New Roman" w:hAnsi="Times New Roman" w:cs="Times New Roman"/>
          <w:sz w:val="24"/>
          <w:szCs w:val="24"/>
        </w:rPr>
        <w:t xml:space="preserve">. There are essentially two ways to understand cross-market dynamic correlation: </w:t>
      </w:r>
      <w:r w:rsidRPr="00B96DDF">
        <w:rPr>
          <w:rFonts w:ascii="Times New Roman" w:hAnsi="Times New Roman" w:cs="Times New Roman"/>
          <w:i/>
          <w:sz w:val="24"/>
          <w:szCs w:val="24"/>
        </w:rPr>
        <w:t>first</w:t>
      </w:r>
      <w:r w:rsidRPr="00B96DDF">
        <w:rPr>
          <w:rFonts w:ascii="Times New Roman" w:hAnsi="Times New Roman" w:cs="Times New Roman"/>
          <w:sz w:val="24"/>
          <w:szCs w:val="24"/>
        </w:rPr>
        <w:t xml:space="preserve">, a systemic approach (such as estimation within a vector autoregression with/without long-memory), where interdependence across markets is assumed, but not modelled (Cheah et al. 2018). Yet, using this approach, one would be able to shed light on the ‘average’ dynamic effect, while being silent on what is happening on the other part of the distribution of this relationship. The </w:t>
      </w:r>
      <w:r w:rsidRPr="00B96DDF">
        <w:rPr>
          <w:rFonts w:ascii="Times New Roman" w:hAnsi="Times New Roman" w:cs="Times New Roman"/>
          <w:i/>
          <w:sz w:val="24"/>
          <w:szCs w:val="24"/>
        </w:rPr>
        <w:t>second</w:t>
      </w:r>
      <w:r w:rsidRPr="00B96DDF">
        <w:rPr>
          <w:rFonts w:ascii="Times New Roman" w:hAnsi="Times New Roman" w:cs="Times New Roman"/>
          <w:sz w:val="24"/>
          <w:szCs w:val="24"/>
        </w:rPr>
        <w:t xml:space="preserve"> approach, which we propose in this paper, is a </w:t>
      </w:r>
      <w:r w:rsidRPr="00B96DDF">
        <w:rPr>
          <w:rFonts w:ascii="Times New Roman" w:hAnsi="Times New Roman" w:cs="Times New Roman"/>
          <w:i/>
          <w:sz w:val="24"/>
          <w:szCs w:val="24"/>
        </w:rPr>
        <w:t xml:space="preserve">full-distributional </w:t>
      </w:r>
      <w:r w:rsidRPr="00B96DDF">
        <w:rPr>
          <w:rFonts w:ascii="Times New Roman" w:hAnsi="Times New Roman" w:cs="Times New Roman"/>
          <w:sz w:val="24"/>
          <w:szCs w:val="24"/>
        </w:rPr>
        <w:t xml:space="preserve">approach where focus is laid on each part of the distribution of the variable; in our case, </w:t>
      </w:r>
      <w:r w:rsidRPr="00B96DDF">
        <w:rPr>
          <w:rFonts w:ascii="Times New Roman" w:hAnsi="Times New Roman" w:cs="Times New Roman"/>
          <w:sz w:val="24"/>
          <w:szCs w:val="24"/>
        </w:rPr>
        <w:lastRenderedPageBreak/>
        <w:t xml:space="preserve">it is a study of a quantile-based dynamic correlation structure at various parts of the distribution of a cryptocurrency price. </w:t>
      </w:r>
    </w:p>
    <w:p w:rsidR="0005633A" w:rsidRDefault="0005633A" w:rsidP="0005633A">
      <w:pPr>
        <w:spacing w:after="180" w:line="480" w:lineRule="auto"/>
        <w:ind w:right="263"/>
        <w:jc w:val="both"/>
        <w:rPr>
          <w:rFonts w:ascii="Times New Roman" w:hAnsi="Times New Roman" w:cs="Times New Roman"/>
          <w:color w:val="0000CC"/>
          <w:sz w:val="24"/>
          <w:szCs w:val="24"/>
        </w:rPr>
      </w:pPr>
      <w:r w:rsidRPr="00884675">
        <w:rPr>
          <w:rFonts w:ascii="Times New Roman" w:hAnsi="Times New Roman" w:cs="Times New Roman"/>
          <w:color w:val="0000CC"/>
          <w:sz w:val="24"/>
          <w:szCs w:val="24"/>
        </w:rPr>
        <w:t>Previous studies on the Bitcoin market is mainly focused on the application of several different types of methods and its implication on the price discovery, volatility modelling, directionality via causality, and through the application of daily or high frequency trading data. First, price discovery is important concept in the financial modelling on Bitcoin market (Brandvold et al 2015) and the long memory application via daily and trading data mechanisms (Phillip et al. 2018). Second, the study focused on the application of different GARCH-types modelling or Spillover approach in Bitcoin markets (Gillaizeau et al 2019; Corbet et al 2018; Symitsi and Chalvatzis 2018; Katsiampa, 2017; Guesmi et al 2019). Third, several studies focused on the cointegration and directionality and dependence approach in Bitcoin Market by utilizing Causality (Cheah and Fry 2015). Fourth, recent studies focused on the interdependence on the Bitcoin and several measures of uncertainties ( Mamun et al 2020) and Hedge or Safe Haven properties with respect to major asset classes (Kang et al 2019) and multifractal properties with respect to high frequency data (Stavroyiannis et al 2019).</w:t>
      </w:r>
    </w:p>
    <w:p w:rsidR="0005633A" w:rsidRPr="00B96DDF" w:rsidRDefault="0005633A" w:rsidP="00F75F54">
      <w:pPr>
        <w:spacing w:after="180" w:line="480" w:lineRule="auto"/>
        <w:ind w:right="263"/>
        <w:jc w:val="both"/>
        <w:rPr>
          <w:rFonts w:ascii="Times New Roman" w:hAnsi="Times New Roman" w:cs="Times New Roman"/>
          <w:sz w:val="24"/>
          <w:szCs w:val="24"/>
        </w:rPr>
      </w:pPr>
    </w:p>
    <w:p w:rsidR="0022171A" w:rsidRDefault="00A05D94" w:rsidP="0022171A">
      <w:pPr>
        <w:spacing w:after="180" w:line="480" w:lineRule="auto"/>
        <w:ind w:right="263"/>
        <w:jc w:val="both"/>
        <w:rPr>
          <w:rFonts w:ascii="Times New Roman" w:hAnsi="Times New Roman" w:cs="Times New Roman"/>
          <w:color w:val="0000CC"/>
          <w:sz w:val="24"/>
          <w:szCs w:val="24"/>
          <w:lang w:val="en-US"/>
        </w:rPr>
      </w:pPr>
      <w:r w:rsidRPr="00B96DDF">
        <w:rPr>
          <w:rFonts w:ascii="Times New Roman" w:hAnsi="Times New Roman" w:cs="Times New Roman"/>
          <w:sz w:val="24"/>
          <w:szCs w:val="24"/>
        </w:rPr>
        <w:t>To understand, assume that there are two markets for a cryptocurrency, viz., Bitcoin, traded for instance, in market A and market B with distinct exchange rates. Assume also that an investor – due to his pursuit of profit – will invest in a market that holds greater promise of return than the other. Each market is governed by macroeconomic and socio-political dynamics. Hence, the value of Bitcoin in that market is primarily a function of macroeconomic conditions, among others. Denote Bitcoin price in market A at time t as P</w:t>
      </w:r>
      <w:r w:rsidRPr="00B96DDF">
        <w:rPr>
          <w:rFonts w:ascii="Times New Roman" w:hAnsi="Times New Roman" w:cs="Times New Roman"/>
          <w:sz w:val="24"/>
          <w:szCs w:val="24"/>
          <w:vertAlign w:val="subscript"/>
        </w:rPr>
        <w:t>t</w:t>
      </w:r>
      <w:r w:rsidRPr="00B96DDF">
        <w:rPr>
          <w:rFonts w:ascii="Times New Roman" w:hAnsi="Times New Roman" w:cs="Times New Roman"/>
          <w:sz w:val="24"/>
          <w:szCs w:val="24"/>
          <w:vertAlign w:val="superscript"/>
        </w:rPr>
        <w:t>A</w:t>
      </w:r>
      <w:r w:rsidRPr="00B96DDF">
        <w:rPr>
          <w:rFonts w:ascii="Times New Roman" w:hAnsi="Times New Roman" w:cs="Times New Roman"/>
          <w:sz w:val="24"/>
          <w:szCs w:val="24"/>
        </w:rPr>
        <w:t xml:space="preserve"> = f(M</w:t>
      </w:r>
      <w:r w:rsidRPr="00B96DDF">
        <w:rPr>
          <w:rFonts w:ascii="Times New Roman" w:hAnsi="Times New Roman" w:cs="Times New Roman"/>
          <w:sz w:val="24"/>
          <w:szCs w:val="24"/>
          <w:vertAlign w:val="subscript"/>
        </w:rPr>
        <w:t>t</w:t>
      </w:r>
      <w:r w:rsidRPr="00B96DDF">
        <w:rPr>
          <w:rFonts w:ascii="Times New Roman" w:hAnsi="Times New Roman" w:cs="Times New Roman"/>
          <w:sz w:val="24"/>
          <w:szCs w:val="24"/>
          <w:vertAlign w:val="superscript"/>
        </w:rPr>
        <w:t>A</w:t>
      </w:r>
      <w:r w:rsidRPr="00B96DDF">
        <w:rPr>
          <w:rFonts w:ascii="Times New Roman" w:hAnsi="Times New Roman" w:cs="Times New Roman"/>
          <w:sz w:val="24"/>
          <w:szCs w:val="24"/>
        </w:rPr>
        <w:t>, P</w:t>
      </w:r>
      <w:r w:rsidRPr="00B96DDF">
        <w:rPr>
          <w:rFonts w:ascii="Times New Roman" w:hAnsi="Times New Roman" w:cs="Times New Roman"/>
          <w:sz w:val="24"/>
          <w:szCs w:val="24"/>
          <w:vertAlign w:val="subscript"/>
        </w:rPr>
        <w:t>t-1</w:t>
      </w:r>
      <w:r w:rsidRPr="00B96DDF">
        <w:rPr>
          <w:rFonts w:ascii="Times New Roman" w:hAnsi="Times New Roman" w:cs="Times New Roman"/>
          <w:sz w:val="24"/>
          <w:szCs w:val="24"/>
          <w:vertAlign w:val="superscript"/>
        </w:rPr>
        <w:t>A</w:t>
      </w:r>
      <w:r w:rsidRPr="00B96DDF">
        <w:rPr>
          <w:rFonts w:ascii="Times New Roman" w:hAnsi="Times New Roman" w:cs="Times New Roman"/>
          <w:sz w:val="24"/>
          <w:szCs w:val="24"/>
        </w:rPr>
        <w:t xml:space="preserve"> ; error</w:t>
      </w:r>
      <w:r w:rsidRPr="00B96DDF">
        <w:rPr>
          <w:rFonts w:ascii="Times New Roman" w:hAnsi="Times New Roman" w:cs="Times New Roman"/>
          <w:sz w:val="24"/>
          <w:szCs w:val="24"/>
          <w:vertAlign w:val="superscript"/>
        </w:rPr>
        <w:t>A</w:t>
      </w:r>
      <w:r w:rsidRPr="00B96DDF">
        <w:rPr>
          <w:rFonts w:ascii="Times New Roman" w:hAnsi="Times New Roman" w:cs="Times New Roman"/>
          <w:sz w:val="24"/>
          <w:szCs w:val="24"/>
          <w:vertAlign w:val="subscript"/>
        </w:rPr>
        <w:t>t</w:t>
      </w:r>
      <w:r w:rsidRPr="00B96DDF">
        <w:rPr>
          <w:rFonts w:ascii="Times New Roman" w:hAnsi="Times New Roman" w:cs="Times New Roman"/>
          <w:sz w:val="24"/>
          <w:szCs w:val="24"/>
        </w:rPr>
        <w:t>). Similarly, for market B, it is given by P</w:t>
      </w:r>
      <w:r w:rsidRPr="00B96DDF">
        <w:rPr>
          <w:rFonts w:ascii="Times New Roman" w:hAnsi="Times New Roman" w:cs="Times New Roman"/>
          <w:sz w:val="24"/>
          <w:szCs w:val="24"/>
          <w:vertAlign w:val="subscript"/>
        </w:rPr>
        <w:t>t</w:t>
      </w:r>
      <w:r w:rsidRPr="00B96DDF">
        <w:rPr>
          <w:rFonts w:ascii="Times New Roman" w:hAnsi="Times New Roman" w:cs="Times New Roman"/>
          <w:sz w:val="24"/>
          <w:szCs w:val="24"/>
          <w:vertAlign w:val="superscript"/>
        </w:rPr>
        <w:t>B</w:t>
      </w:r>
      <w:r w:rsidRPr="00B96DDF">
        <w:rPr>
          <w:rFonts w:ascii="Times New Roman" w:hAnsi="Times New Roman" w:cs="Times New Roman"/>
          <w:sz w:val="24"/>
          <w:szCs w:val="24"/>
        </w:rPr>
        <w:t xml:space="preserve"> = f(M</w:t>
      </w:r>
      <w:r w:rsidRPr="00B96DDF">
        <w:rPr>
          <w:rFonts w:ascii="Times New Roman" w:hAnsi="Times New Roman" w:cs="Times New Roman"/>
          <w:sz w:val="24"/>
          <w:szCs w:val="24"/>
          <w:vertAlign w:val="subscript"/>
        </w:rPr>
        <w:t>t</w:t>
      </w:r>
      <w:r w:rsidRPr="00B96DDF">
        <w:rPr>
          <w:rFonts w:ascii="Times New Roman" w:hAnsi="Times New Roman" w:cs="Times New Roman"/>
          <w:sz w:val="24"/>
          <w:szCs w:val="24"/>
          <w:vertAlign w:val="superscript"/>
        </w:rPr>
        <w:t>B</w:t>
      </w:r>
      <w:r w:rsidRPr="00B96DDF">
        <w:rPr>
          <w:rFonts w:ascii="Times New Roman" w:hAnsi="Times New Roman" w:cs="Times New Roman"/>
          <w:sz w:val="24"/>
          <w:szCs w:val="24"/>
        </w:rPr>
        <w:t>, P</w:t>
      </w:r>
      <w:r w:rsidRPr="00B96DDF">
        <w:rPr>
          <w:rFonts w:ascii="Times New Roman" w:hAnsi="Times New Roman" w:cs="Times New Roman"/>
          <w:sz w:val="24"/>
          <w:szCs w:val="24"/>
          <w:vertAlign w:val="subscript"/>
        </w:rPr>
        <w:t>t-1</w:t>
      </w:r>
      <w:r w:rsidRPr="00B96DDF">
        <w:rPr>
          <w:rFonts w:ascii="Times New Roman" w:hAnsi="Times New Roman" w:cs="Times New Roman"/>
          <w:sz w:val="24"/>
          <w:szCs w:val="24"/>
          <w:vertAlign w:val="superscript"/>
        </w:rPr>
        <w:t>A</w:t>
      </w:r>
      <w:r w:rsidRPr="00B96DDF">
        <w:rPr>
          <w:rFonts w:ascii="Times New Roman" w:hAnsi="Times New Roman" w:cs="Times New Roman"/>
          <w:sz w:val="24"/>
          <w:szCs w:val="24"/>
        </w:rPr>
        <w:t xml:space="preserve"> ; </w:t>
      </w:r>
      <w:r w:rsidRPr="00B96DDF">
        <w:rPr>
          <w:rFonts w:ascii="Times New Roman" w:hAnsi="Times New Roman" w:cs="Times New Roman"/>
          <w:sz w:val="24"/>
          <w:szCs w:val="24"/>
        </w:rPr>
        <w:lastRenderedPageBreak/>
        <w:t>error</w:t>
      </w:r>
      <w:r w:rsidRPr="00B96DDF">
        <w:rPr>
          <w:rFonts w:ascii="Times New Roman" w:hAnsi="Times New Roman" w:cs="Times New Roman"/>
          <w:sz w:val="24"/>
          <w:szCs w:val="24"/>
          <w:vertAlign w:val="superscript"/>
        </w:rPr>
        <w:t>B</w:t>
      </w:r>
      <w:r w:rsidRPr="00B96DDF">
        <w:rPr>
          <w:rFonts w:ascii="Times New Roman" w:hAnsi="Times New Roman" w:cs="Times New Roman"/>
          <w:sz w:val="24"/>
          <w:szCs w:val="24"/>
          <w:vertAlign w:val="subscript"/>
        </w:rPr>
        <w:t>t</w:t>
      </w:r>
      <w:r w:rsidRPr="00B96DDF">
        <w:rPr>
          <w:rFonts w:ascii="Times New Roman" w:hAnsi="Times New Roman" w:cs="Times New Roman"/>
          <w:sz w:val="24"/>
          <w:szCs w:val="24"/>
        </w:rPr>
        <w:t>). Both P</w:t>
      </w:r>
      <w:r w:rsidRPr="00B96DDF">
        <w:rPr>
          <w:rFonts w:ascii="Times New Roman" w:hAnsi="Times New Roman" w:cs="Times New Roman"/>
          <w:sz w:val="24"/>
          <w:szCs w:val="24"/>
          <w:vertAlign w:val="subscript"/>
        </w:rPr>
        <w:t>t-1</w:t>
      </w:r>
      <w:r w:rsidRPr="00B96DDF">
        <w:rPr>
          <w:rFonts w:ascii="Times New Roman" w:hAnsi="Times New Roman" w:cs="Times New Roman"/>
          <w:sz w:val="24"/>
          <w:szCs w:val="24"/>
        </w:rPr>
        <w:t xml:space="preserve"> M</w:t>
      </w:r>
      <w:r w:rsidRPr="00B96DDF">
        <w:rPr>
          <w:rFonts w:ascii="Times New Roman" w:hAnsi="Times New Roman" w:cs="Times New Roman"/>
          <w:sz w:val="24"/>
          <w:szCs w:val="24"/>
          <w:vertAlign w:val="subscript"/>
        </w:rPr>
        <w:t xml:space="preserve">t </w:t>
      </w:r>
      <w:r w:rsidRPr="00B96DDF">
        <w:rPr>
          <w:rFonts w:ascii="Times New Roman" w:hAnsi="Times New Roman" w:cs="Times New Roman"/>
          <w:sz w:val="24"/>
          <w:szCs w:val="24"/>
        </w:rPr>
        <w:t>make the information set (I</w:t>
      </w:r>
      <w:r w:rsidRPr="00B96DDF">
        <w:rPr>
          <w:rFonts w:ascii="Times New Roman" w:hAnsi="Times New Roman" w:cs="Times New Roman"/>
          <w:sz w:val="24"/>
          <w:szCs w:val="24"/>
          <w:vertAlign w:val="subscript"/>
        </w:rPr>
        <w:t>t</w:t>
      </w:r>
      <w:r w:rsidRPr="00B96DDF">
        <w:rPr>
          <w:rFonts w:ascii="Times New Roman" w:hAnsi="Times New Roman" w:cs="Times New Roman"/>
          <w:sz w:val="24"/>
          <w:szCs w:val="24"/>
        </w:rPr>
        <w:t>). Since, like many asset prices, Bitcoin price reflects heavy tail, the distribution in the tail, depicts heterogeneous behaviour. For instance, the tail distribution of P</w:t>
      </w:r>
      <w:r w:rsidRPr="00B96DDF">
        <w:rPr>
          <w:rFonts w:ascii="Times New Roman" w:hAnsi="Times New Roman" w:cs="Times New Roman"/>
          <w:sz w:val="24"/>
          <w:szCs w:val="24"/>
          <w:vertAlign w:val="subscript"/>
        </w:rPr>
        <w:t>t</w:t>
      </w:r>
      <w:r w:rsidRPr="00B96DDF">
        <w:rPr>
          <w:rFonts w:ascii="Times New Roman" w:hAnsi="Times New Roman" w:cs="Times New Roman"/>
          <w:sz w:val="24"/>
          <w:szCs w:val="24"/>
          <w:vertAlign w:val="superscript"/>
        </w:rPr>
        <w:t xml:space="preserve">A </w:t>
      </w:r>
      <w:r w:rsidRPr="00B96DDF">
        <w:rPr>
          <w:rFonts w:ascii="Times New Roman" w:hAnsi="Times New Roman" w:cs="Times New Roman"/>
          <w:sz w:val="24"/>
          <w:szCs w:val="24"/>
        </w:rPr>
        <w:t>at time t =i and that of P</w:t>
      </w:r>
      <w:r w:rsidRPr="00B96DDF">
        <w:rPr>
          <w:rFonts w:ascii="Times New Roman" w:hAnsi="Times New Roman" w:cs="Times New Roman"/>
          <w:sz w:val="24"/>
          <w:szCs w:val="24"/>
          <w:vertAlign w:val="subscript"/>
        </w:rPr>
        <w:t>t</w:t>
      </w:r>
      <w:r w:rsidRPr="00B96DDF">
        <w:rPr>
          <w:rFonts w:ascii="Times New Roman" w:hAnsi="Times New Roman" w:cs="Times New Roman"/>
          <w:sz w:val="24"/>
          <w:szCs w:val="24"/>
          <w:vertAlign w:val="superscript"/>
        </w:rPr>
        <w:t>B</w:t>
      </w:r>
      <w:r w:rsidRPr="00B96DDF">
        <w:rPr>
          <w:rFonts w:ascii="Times New Roman" w:hAnsi="Times New Roman" w:cs="Times New Roman"/>
          <w:sz w:val="24"/>
          <w:szCs w:val="24"/>
        </w:rPr>
        <w:t xml:space="preserve"> at t=j where </w:t>
      </w:r>
      <w:r w:rsidRPr="00B96DDF">
        <w:rPr>
          <w:rFonts w:ascii="Times New Roman" w:hAnsi="Times New Roman" w:cs="Times New Roman"/>
          <w:i/>
          <w:sz w:val="24"/>
          <w:szCs w:val="24"/>
        </w:rPr>
        <w:t>i</w:t>
      </w:r>
      <w:r w:rsidRPr="00B96DDF">
        <w:rPr>
          <w:rFonts w:ascii="Times New Roman" w:hAnsi="Times New Roman" w:cs="Times New Roman"/>
          <w:sz w:val="24"/>
          <w:szCs w:val="24"/>
        </w:rPr>
        <w:t xml:space="preserve"> is not equal to </w:t>
      </w:r>
      <w:r w:rsidRPr="00B96DDF">
        <w:rPr>
          <w:rFonts w:ascii="Times New Roman" w:hAnsi="Times New Roman" w:cs="Times New Roman"/>
          <w:i/>
          <w:sz w:val="24"/>
          <w:szCs w:val="24"/>
        </w:rPr>
        <w:t>j</w:t>
      </w:r>
      <w:r w:rsidRPr="00B96DDF">
        <w:rPr>
          <w:rFonts w:ascii="Times New Roman" w:hAnsi="Times New Roman" w:cs="Times New Roman"/>
          <w:sz w:val="24"/>
          <w:szCs w:val="24"/>
        </w:rPr>
        <w:t>, may depict heterogeneous correlation structure. By modelling such a heterogeneity one would be able to gather complete information about the directional prediction pattern of one market over the other at different parts of the distribution of the tail. A further implication is that since ‘fat tailed’ distributions depict implicit ‘herd behaviour’ (generated by asymmetric and incomplete information plus bounded rationality of agents), the same asset traded in two different markets can depict different herd dynamics. It is only when one is able to fully characterise the correlation of this ‘herd’ dynamics, it is possible to create an exhaustive information set (I</w:t>
      </w:r>
      <w:r w:rsidRPr="00B96DDF">
        <w:rPr>
          <w:rFonts w:ascii="Times New Roman" w:hAnsi="Times New Roman" w:cs="Times New Roman"/>
          <w:sz w:val="24"/>
          <w:szCs w:val="24"/>
          <w:vertAlign w:val="subscript"/>
        </w:rPr>
        <w:t>t</w:t>
      </w:r>
      <w:r w:rsidRPr="00B96DDF">
        <w:rPr>
          <w:rFonts w:ascii="Times New Roman" w:hAnsi="Times New Roman" w:cs="Times New Roman"/>
          <w:sz w:val="24"/>
          <w:szCs w:val="24"/>
        </w:rPr>
        <w:t xml:space="preserve">) that will be used to predict the dynamic path of one over the others. A quantile-based estimation of directional predictability (in contrast to the conventional mean-based estimation of spillover effects, such as Corbet et al. 2018) is useful in this regard. This paper fills a gap in the literature and is the first one to propose a complete characterisation of tail dependence across cryptocurrency market. Thus, our purpose is two-fold: (i) to lend credible value of directional predictability of a cryptocurrency, (ii) to design optimal investment strategy by evaluative distributional patterns of correlations at the tail. </w:t>
      </w:r>
      <w:r w:rsidRPr="00B96DDF">
        <w:rPr>
          <w:rFonts w:ascii="Times New Roman" w:hAnsi="Times New Roman" w:cs="Times New Roman"/>
          <w:sz w:val="24"/>
          <w:szCs w:val="24"/>
          <w:vertAlign w:val="subscript"/>
        </w:rPr>
        <w:t xml:space="preserve"> </w:t>
      </w:r>
      <w:r w:rsidRPr="00B96DDF">
        <w:rPr>
          <w:rFonts w:ascii="Times New Roman" w:hAnsi="Times New Roman" w:cs="Times New Roman"/>
          <w:sz w:val="24"/>
          <w:szCs w:val="24"/>
        </w:rPr>
        <w:t>A theoretical expectation is that a dynamic correlation between the currency in market A and B, for instance, will be heterogeneous over the entire range of the distribution. By modelling such a heterogeneity one would be able to gather complete information about the directional prediction pattern of one market over the other at different parts of the distribution of the tail. We model directional predictability across markets over the entire distribution of prices and appears to be the first one to propose a complete characterisation of tail dependence across cryptocurrency market.</w:t>
      </w:r>
      <w:r w:rsidR="0022171A">
        <w:rPr>
          <w:rFonts w:ascii="Times New Roman" w:hAnsi="Times New Roman" w:cs="Times New Roman"/>
          <w:sz w:val="24"/>
          <w:szCs w:val="24"/>
        </w:rPr>
        <w:t xml:space="preserve"> </w:t>
      </w:r>
    </w:p>
    <w:p w:rsidR="0022171A" w:rsidRPr="00766FB5" w:rsidRDefault="0022171A" w:rsidP="0022171A">
      <w:pPr>
        <w:spacing w:after="180" w:line="480" w:lineRule="auto"/>
        <w:ind w:right="263"/>
        <w:jc w:val="both"/>
        <w:rPr>
          <w:rFonts w:ascii="Times New Roman" w:hAnsi="Times New Roman" w:cs="Times New Roman"/>
          <w:color w:val="0000CC"/>
          <w:sz w:val="24"/>
          <w:szCs w:val="24"/>
          <w:lang w:val="en-US"/>
        </w:rPr>
      </w:pPr>
      <w:r w:rsidRPr="00766FB5">
        <w:rPr>
          <w:rFonts w:ascii="Times New Roman" w:hAnsi="Times New Roman" w:cs="Times New Roman"/>
          <w:color w:val="0000CC"/>
          <w:sz w:val="24"/>
          <w:szCs w:val="24"/>
          <w:lang w:val="en-US"/>
        </w:rPr>
        <w:lastRenderedPageBreak/>
        <w:t>Cryptocurrency market, due to their extensive share in the financial market, has imminent economic implications. Any sizeable financial market has to correspond to certain monetary regulations and asset pricing theory. Since cryptocurrency does not have a real asset pricing theory, the economic implications of its volatility is huge. Investors might wish to substitute an asset market regulated stock with this highly volatile cryptocurrency market and this way can put the economic system to a systematic risk. The cross-quantilogram analysis of cryptocurrency envisions a predictive power not only for the asset market but also for the real economy as well.</w:t>
      </w:r>
    </w:p>
    <w:p w:rsidR="0022171A" w:rsidRPr="0022171A" w:rsidRDefault="0022171A" w:rsidP="0022171A">
      <w:pPr>
        <w:spacing w:after="180" w:line="480" w:lineRule="auto"/>
        <w:ind w:right="263"/>
        <w:jc w:val="both"/>
        <w:rPr>
          <w:rFonts w:ascii="Times New Roman" w:hAnsi="Times New Roman" w:cs="Times New Roman"/>
          <w:color w:val="0000CC"/>
          <w:sz w:val="24"/>
          <w:szCs w:val="24"/>
          <w:lang w:val="en-US"/>
        </w:rPr>
      </w:pPr>
    </w:p>
    <w:p w:rsidR="0022171A" w:rsidRPr="0022171A" w:rsidRDefault="0022171A" w:rsidP="00F75F54">
      <w:pPr>
        <w:spacing w:after="180" w:line="480" w:lineRule="auto"/>
        <w:ind w:right="263"/>
        <w:jc w:val="both"/>
        <w:rPr>
          <w:rFonts w:ascii="Times New Roman" w:hAnsi="Times New Roman" w:cs="Times New Roman"/>
          <w:sz w:val="24"/>
          <w:szCs w:val="24"/>
          <w:vertAlign w:val="subscript"/>
          <w:lang w:val="en-US"/>
        </w:rPr>
      </w:pPr>
    </w:p>
    <w:p w:rsidR="00A05D94" w:rsidRPr="00B96DDF" w:rsidRDefault="00A05D94" w:rsidP="00F75F54">
      <w:pPr>
        <w:spacing w:after="180" w:line="480" w:lineRule="auto"/>
        <w:ind w:right="263"/>
        <w:jc w:val="both"/>
        <w:rPr>
          <w:rFonts w:ascii="Times New Roman" w:hAnsi="Times New Roman" w:cs="Times New Roman"/>
          <w:sz w:val="24"/>
          <w:szCs w:val="24"/>
        </w:rPr>
      </w:pPr>
      <w:r w:rsidRPr="00B96DDF">
        <w:rPr>
          <w:rFonts w:ascii="Times New Roman" w:hAnsi="Times New Roman" w:cs="Times New Roman"/>
          <w:sz w:val="24"/>
          <w:szCs w:val="24"/>
        </w:rPr>
        <w:t>The current paper aims to this nascent literature by studying directional predictability and their dynamic stable pattern across Bitcoin markets, exchanged in various currencies. To investigate further, in Section 2 we briefly present the cross-quantilogram approach. Section 3 presents data and discusses estimation results (along with robustness exercise). Section 4 concludes with the main findings and their implications for practitioners and policy.</w:t>
      </w:r>
    </w:p>
    <w:p w:rsidR="00A05D94" w:rsidRPr="00B96DDF" w:rsidRDefault="00A05D94" w:rsidP="00F75F54">
      <w:pPr>
        <w:spacing w:line="480" w:lineRule="auto"/>
        <w:jc w:val="both"/>
        <w:rPr>
          <w:rFonts w:ascii="Times New Roman" w:hAnsi="Times New Roman" w:cs="Times New Roman"/>
          <w:b/>
          <w:sz w:val="24"/>
          <w:szCs w:val="24"/>
        </w:rPr>
      </w:pPr>
      <w:r w:rsidRPr="00B96DDF">
        <w:rPr>
          <w:rFonts w:ascii="Times New Roman" w:hAnsi="Times New Roman" w:cs="Times New Roman"/>
          <w:b/>
          <w:sz w:val="24"/>
          <w:szCs w:val="24"/>
        </w:rPr>
        <w:t>2. Estimation</w:t>
      </w:r>
    </w:p>
    <w:p w:rsidR="00A05D94" w:rsidRDefault="00DE3F64" w:rsidP="00F75F54">
      <w:pPr>
        <w:spacing w:after="180" w:line="480" w:lineRule="auto"/>
        <w:ind w:right="263"/>
        <w:jc w:val="both"/>
        <w:rPr>
          <w:rFonts w:ascii="Times New Roman" w:hAnsi="Times New Roman" w:cs="Times New Roman"/>
          <w:sz w:val="24"/>
          <w:szCs w:val="24"/>
        </w:rPr>
      </w:pPr>
      <w:r>
        <w:rPr>
          <w:rFonts w:ascii="Times New Roman" w:hAnsi="Times New Roman" w:cs="Times New Roman"/>
          <w:sz w:val="24"/>
          <w:szCs w:val="24"/>
        </w:rPr>
        <w:t xml:space="preserve">The </w:t>
      </w:r>
      <w:r w:rsidRPr="0022171A">
        <w:rPr>
          <w:rFonts w:ascii="Times New Roman" w:hAnsi="Times New Roman" w:cs="Times New Roman"/>
          <w:color w:val="0000CC"/>
          <w:sz w:val="24"/>
          <w:szCs w:val="24"/>
          <w:lang w:val="en-US"/>
        </w:rPr>
        <w:t xml:space="preserve">Cross-quantilograms approach </w:t>
      </w:r>
      <w:r>
        <w:rPr>
          <w:rFonts w:ascii="Times New Roman" w:hAnsi="Times New Roman" w:cs="Times New Roman"/>
          <w:color w:val="0000CC"/>
          <w:sz w:val="24"/>
          <w:szCs w:val="24"/>
          <w:lang w:val="en-US"/>
        </w:rPr>
        <w:t xml:space="preserve">has several comparative advantages. </w:t>
      </w:r>
      <w:r w:rsidRPr="0022171A">
        <w:rPr>
          <w:rFonts w:ascii="Times New Roman" w:hAnsi="Times New Roman" w:cs="Times New Roman"/>
          <w:color w:val="0000CC"/>
          <w:sz w:val="24"/>
          <w:szCs w:val="24"/>
          <w:lang w:val="en-US"/>
        </w:rPr>
        <w:t>First, in this given situation, the Cross-quantilograms approach is better able to capture the asymmetric tail-dependence over various quantiles of the return distribution. Second, this approach provide a spillover and dependence structure at the quantile level. Third, the</w:t>
      </w:r>
      <w:r>
        <w:rPr>
          <w:rFonts w:ascii="Times New Roman" w:hAnsi="Times New Roman" w:cs="Times New Roman"/>
          <w:color w:val="0000CC"/>
          <w:sz w:val="24"/>
          <w:szCs w:val="24"/>
          <w:lang w:val="en-US"/>
        </w:rPr>
        <w:t xml:space="preserve"> lag-lead behavior of co-movement</w:t>
      </w:r>
      <w:r w:rsidRPr="0022171A">
        <w:rPr>
          <w:rFonts w:ascii="Times New Roman" w:hAnsi="Times New Roman" w:cs="Times New Roman"/>
          <w:color w:val="0000CC"/>
          <w:sz w:val="24"/>
          <w:szCs w:val="24"/>
          <w:lang w:val="en-US"/>
        </w:rPr>
        <w:t xml:space="preserve"> can be captured at quantile level. We incorporate the sensitivity of lag impact on the dependence dynamics. The motivation of sensitivity of lag </w:t>
      </w:r>
      <w:r>
        <w:rPr>
          <w:rFonts w:ascii="Times New Roman" w:hAnsi="Times New Roman" w:cs="Times New Roman"/>
          <w:color w:val="0000CC"/>
          <w:sz w:val="24"/>
          <w:szCs w:val="24"/>
          <w:lang w:val="en-US"/>
        </w:rPr>
        <w:t xml:space="preserve">explain the market efficiency. </w:t>
      </w:r>
      <w:r w:rsidR="00A05D94" w:rsidRPr="00B96DDF">
        <w:rPr>
          <w:rFonts w:ascii="Times New Roman" w:hAnsi="Times New Roman" w:cs="Times New Roman"/>
          <w:sz w:val="24"/>
          <w:szCs w:val="24"/>
        </w:rPr>
        <w:t xml:space="preserve">We extend Han et al. (2016) to estimate the cross-quantilogram </w:t>
      </w:r>
      <w:r w:rsidR="00A05D94" w:rsidRPr="00B96DDF">
        <w:rPr>
          <w:rFonts w:ascii="Times New Roman" w:hAnsi="Times New Roman" w:cs="Times New Roman"/>
          <w:sz w:val="24"/>
          <w:szCs w:val="24"/>
        </w:rPr>
        <w:lastRenderedPageBreak/>
        <w:t xml:space="preserve">(CQC) between two time series (two Bitcoin markets, for instance) over a rolling window so that sensitivity of correlation and dynamic dependence in the tail of a distribution can be gauged (Uddin et al. 2019). The Cross-Quantilogram correlation between </w:t>
      </w:r>
      <w:r w:rsidR="00A05D94" w:rsidRPr="00B96DDF">
        <w:rPr>
          <w:rFonts w:ascii="Times New Roman" w:hAnsi="Times New Roman" w:cs="Times New Roman"/>
          <w:i/>
          <w:sz w:val="24"/>
          <w:szCs w:val="24"/>
        </w:rPr>
        <w:t>y</w:t>
      </w:r>
      <w:r w:rsidR="00A05D94" w:rsidRPr="00B96DDF">
        <w:rPr>
          <w:rFonts w:ascii="Times New Roman" w:hAnsi="Times New Roman" w:cs="Times New Roman"/>
          <w:i/>
          <w:sz w:val="24"/>
          <w:szCs w:val="24"/>
          <w:vertAlign w:val="subscript"/>
        </w:rPr>
        <w:t>t</w:t>
      </w:r>
      <w:r w:rsidR="00A05D94" w:rsidRPr="00B96DDF">
        <w:rPr>
          <w:rFonts w:ascii="Times New Roman" w:hAnsi="Times New Roman" w:cs="Times New Roman"/>
          <w:sz w:val="24"/>
          <w:szCs w:val="24"/>
        </w:rPr>
        <w:t xml:space="preserve"> and </w:t>
      </w:r>
      <w:r w:rsidR="00A05D94" w:rsidRPr="00B96DDF">
        <w:rPr>
          <w:rFonts w:ascii="Times New Roman" w:hAnsi="Times New Roman" w:cs="Times New Roman"/>
          <w:i/>
          <w:sz w:val="24"/>
          <w:szCs w:val="24"/>
        </w:rPr>
        <w:t>x</w:t>
      </w:r>
      <w:r w:rsidR="00A05D94" w:rsidRPr="00B96DDF">
        <w:rPr>
          <w:rFonts w:ascii="Times New Roman" w:hAnsi="Times New Roman" w:cs="Times New Roman"/>
          <w:i/>
          <w:sz w:val="24"/>
          <w:szCs w:val="24"/>
          <w:vertAlign w:val="subscript"/>
        </w:rPr>
        <w:t>t</w:t>
      </w:r>
      <w:r w:rsidR="00A05D94" w:rsidRPr="00B96DDF">
        <w:rPr>
          <w:rFonts w:ascii="Times New Roman" w:hAnsi="Times New Roman" w:cs="Times New Roman"/>
          <w:sz w:val="24"/>
          <w:szCs w:val="24"/>
        </w:rPr>
        <w:t>, proposed by Han et al. (2016) starts with a quantile distribution</w:t>
      </w:r>
    </w:p>
    <w:p w:rsidR="00A05D94" w:rsidRDefault="00B46E38" w:rsidP="00F75F54">
      <w:pPr>
        <w:spacing w:after="180" w:line="480" w:lineRule="auto"/>
        <w:ind w:right="263" w:firstLine="720"/>
        <w:jc w:val="both"/>
        <w:rPr>
          <w:rFonts w:ascii="Times New Roman" w:eastAsia="Yu Mincho" w:hAnsi="Times New Roman" w:cs="Times New Roman"/>
          <w:sz w:val="24"/>
          <w:szCs w:val="24"/>
        </w:rPr>
      </w:pPr>
      <w:r w:rsidRPr="00D03D9D">
        <w:rPr>
          <w:rFonts w:ascii="Times New Roman" w:eastAsia="Yu Mincho" w:hAnsi="Times New Roman" w:cs="Times New Roman"/>
          <w:sz w:val="24"/>
          <w:szCs w:val="24"/>
        </w:rPr>
        <w:fldChar w:fldCharType="begin"/>
      </w:r>
      <w:r w:rsidR="00A05D94" w:rsidRPr="00D03D9D">
        <w:rPr>
          <w:rFonts w:ascii="Times New Roman" w:eastAsia="Yu Mincho" w:hAnsi="Times New Roman" w:cs="Times New Roman"/>
          <w:sz w:val="24"/>
          <w:szCs w:val="24"/>
        </w:rPr>
        <w:instrText xml:space="preserve"> QUOTE </w:instrText>
      </w:r>
      <w:r w:rsidR="00AF20D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75pt;height:14.25pt" equationxml="&lt;">
            <v:imagedata r:id="rId10" o:title="" chromakey="white"/>
          </v:shape>
        </w:pict>
      </w:r>
      <w:r w:rsidR="00A05D94" w:rsidRPr="00D03D9D">
        <w:rPr>
          <w:rFonts w:ascii="Times New Roman" w:eastAsia="Yu Mincho" w:hAnsi="Times New Roman" w:cs="Times New Roman"/>
          <w:sz w:val="24"/>
          <w:szCs w:val="24"/>
        </w:rPr>
        <w:instrText xml:space="preserve"> </w:instrText>
      </w:r>
      <w:r w:rsidRPr="00D03D9D">
        <w:rPr>
          <w:rFonts w:ascii="Times New Roman" w:eastAsia="Yu Mincho" w:hAnsi="Times New Roman" w:cs="Times New Roman"/>
          <w:sz w:val="24"/>
          <w:szCs w:val="24"/>
        </w:rPr>
        <w:fldChar w:fldCharType="separate"/>
      </w:r>
      <w:r w:rsidR="00AF20D8">
        <w:pict>
          <v:shape id="_x0000_i1026" type="#_x0000_t75" style="width:255.75pt;height:14.25pt" equationxml="&lt;">
            <v:imagedata r:id="rId10" o:title="" chromakey="white"/>
          </v:shape>
        </w:pict>
      </w:r>
      <w:r w:rsidRPr="00D03D9D">
        <w:rPr>
          <w:rFonts w:ascii="Times New Roman" w:eastAsia="Yu Mincho" w:hAnsi="Times New Roman" w:cs="Times New Roman"/>
          <w:sz w:val="24"/>
          <w:szCs w:val="24"/>
        </w:rPr>
        <w:fldChar w:fldCharType="end"/>
      </w:r>
      <w:r w:rsidR="00A05D94" w:rsidRPr="00B96DDF">
        <w:rPr>
          <w:rFonts w:ascii="Times New Roman" w:eastAsia="Yu Mincho" w:hAnsi="Times New Roman" w:cs="Times New Roman"/>
          <w:sz w:val="24"/>
          <w:szCs w:val="24"/>
        </w:rPr>
        <w:tab/>
      </w:r>
      <w:r w:rsidR="00A05D94" w:rsidRPr="00B96DDF">
        <w:rPr>
          <w:rFonts w:ascii="Times New Roman" w:eastAsia="Yu Mincho" w:hAnsi="Times New Roman" w:cs="Times New Roman"/>
          <w:sz w:val="24"/>
          <w:szCs w:val="24"/>
        </w:rPr>
        <w:tab/>
      </w:r>
      <w:r w:rsidR="00A05D94" w:rsidRPr="00B96DDF">
        <w:rPr>
          <w:rFonts w:ascii="Times New Roman" w:eastAsia="Yu Mincho" w:hAnsi="Times New Roman" w:cs="Times New Roman"/>
          <w:sz w:val="24"/>
          <w:szCs w:val="24"/>
        </w:rPr>
        <w:tab/>
        <w:t>(1)</w:t>
      </w:r>
    </w:p>
    <w:p w:rsidR="00F75F54" w:rsidRPr="00B96DDF" w:rsidRDefault="00F75F54" w:rsidP="00F75F54">
      <w:pPr>
        <w:spacing w:after="180" w:line="480" w:lineRule="auto"/>
        <w:ind w:right="263" w:firstLine="720"/>
        <w:jc w:val="both"/>
        <w:rPr>
          <w:rFonts w:ascii="Times New Roman" w:hAnsi="Times New Roman" w:cs="Times New Roman"/>
          <w:sz w:val="24"/>
          <w:szCs w:val="24"/>
        </w:rPr>
      </w:pPr>
    </w:p>
    <w:p w:rsidR="00A05D94" w:rsidRDefault="00A05D94" w:rsidP="00F75F54">
      <w:pPr>
        <w:spacing w:after="180" w:line="480" w:lineRule="auto"/>
        <w:ind w:right="263"/>
        <w:jc w:val="both"/>
        <w:rPr>
          <w:rFonts w:ascii="Times New Roman" w:hAnsi="Times New Roman" w:cs="Times New Roman"/>
          <w:sz w:val="24"/>
          <w:szCs w:val="24"/>
        </w:rPr>
      </w:pPr>
      <w:r w:rsidRPr="00B96DDF">
        <w:rPr>
          <w:rFonts w:ascii="Times New Roman" w:hAnsi="Times New Roman" w:cs="Times New Roman"/>
          <w:sz w:val="24"/>
          <w:szCs w:val="24"/>
        </w:rPr>
        <w:t>One then forms quantile-hit processes</w:t>
      </w:r>
      <w:r w:rsidRPr="00B96DDF">
        <w:rPr>
          <w:rFonts w:ascii="Times New Roman" w:hAnsi="Times New Roman" w:cs="Times New Roman"/>
          <w:sz w:val="24"/>
          <w:szCs w:val="24"/>
          <w:vertAlign w:val="superscript"/>
        </w:rPr>
        <w:footnoteReference w:id="1"/>
      </w:r>
      <w:r w:rsidRPr="00B96DDF">
        <w:rPr>
          <w:rFonts w:ascii="Times New Roman" w:hAnsi="Times New Roman" w:cs="Times New Roman"/>
          <w:sz w:val="24"/>
          <w:szCs w:val="24"/>
        </w:rPr>
        <w:t xml:space="preserve"> for the two series, one at time </w:t>
      </w:r>
      <w:r w:rsidRPr="00B96DDF">
        <w:rPr>
          <w:rFonts w:ascii="Times New Roman" w:hAnsi="Times New Roman" w:cs="Times New Roman"/>
          <w:i/>
          <w:sz w:val="24"/>
          <w:szCs w:val="24"/>
        </w:rPr>
        <w:t>t</w:t>
      </w:r>
      <w:r w:rsidRPr="00B96DDF">
        <w:rPr>
          <w:rFonts w:ascii="Times New Roman" w:hAnsi="Times New Roman" w:cs="Times New Roman"/>
          <w:sz w:val="24"/>
          <w:szCs w:val="24"/>
        </w:rPr>
        <w:t xml:space="preserve">, and one at time </w:t>
      </w:r>
      <w:r w:rsidRPr="00B96DDF">
        <w:rPr>
          <w:rFonts w:ascii="Times New Roman" w:hAnsi="Times New Roman" w:cs="Times New Roman"/>
          <w:i/>
          <w:sz w:val="24"/>
          <w:szCs w:val="24"/>
        </w:rPr>
        <w:t>t-k</w:t>
      </w:r>
      <w:r w:rsidRPr="00B96DDF">
        <w:rPr>
          <w:rFonts w:ascii="Times New Roman" w:hAnsi="Times New Roman" w:cs="Times New Roman"/>
          <w:sz w:val="24"/>
          <w:szCs w:val="24"/>
        </w:rPr>
        <w:t xml:space="preserve"> so that </w:t>
      </w:r>
      <w:r w:rsidR="00B46E38" w:rsidRPr="00D03D9D">
        <w:rPr>
          <w:rFonts w:ascii="Times New Roman" w:hAnsi="Times New Roman" w:cs="Times New Roman"/>
          <w:sz w:val="24"/>
          <w:szCs w:val="24"/>
        </w:rPr>
        <w:fldChar w:fldCharType="begin"/>
      </w:r>
      <w:r w:rsidRPr="00D03D9D">
        <w:rPr>
          <w:rFonts w:ascii="Times New Roman" w:hAnsi="Times New Roman" w:cs="Times New Roman"/>
          <w:sz w:val="24"/>
          <w:szCs w:val="24"/>
        </w:rPr>
        <w:instrText xml:space="preserve"> QUOTE </w:instrText>
      </w:r>
      <w:r w:rsidR="007B5AD2">
        <w:pict>
          <v:shape id="_x0000_i1027" type="#_x0000_t75" style="width:63.75pt;height:12pt" equationxml="&lt;">
            <v:imagedata r:id="rId11" o:title="" chromakey="white"/>
          </v:shape>
        </w:pict>
      </w:r>
      <w:r w:rsidRPr="00D03D9D">
        <w:rPr>
          <w:rFonts w:ascii="Times New Roman" w:hAnsi="Times New Roman" w:cs="Times New Roman"/>
          <w:sz w:val="24"/>
          <w:szCs w:val="24"/>
        </w:rPr>
        <w:instrText xml:space="preserve"> </w:instrText>
      </w:r>
      <w:r w:rsidR="00B46E38" w:rsidRPr="00D03D9D">
        <w:rPr>
          <w:rFonts w:ascii="Times New Roman" w:hAnsi="Times New Roman" w:cs="Times New Roman"/>
          <w:sz w:val="24"/>
          <w:szCs w:val="24"/>
        </w:rPr>
        <w:fldChar w:fldCharType="separate"/>
      </w:r>
      <w:r w:rsidR="007B5AD2">
        <w:pict>
          <v:shape id="_x0000_i1028" type="#_x0000_t75" style="width:63.75pt;height:12pt" equationxml="&lt;">
            <v:imagedata r:id="rId11" o:title="" chromakey="white"/>
          </v:shape>
        </w:pict>
      </w:r>
      <w:r w:rsidR="00B46E38" w:rsidRPr="00D03D9D">
        <w:rPr>
          <w:rFonts w:ascii="Times New Roman" w:hAnsi="Times New Roman" w:cs="Times New Roman"/>
          <w:sz w:val="24"/>
          <w:szCs w:val="24"/>
        </w:rPr>
        <w:fldChar w:fldCharType="end"/>
      </w:r>
      <w:r w:rsidRPr="00B96DDF">
        <w:rPr>
          <w:rFonts w:ascii="Times New Roman" w:hAnsi="Times New Roman" w:cs="Times New Roman"/>
          <w:sz w:val="24"/>
          <w:szCs w:val="24"/>
        </w:rPr>
        <w:t xml:space="preserve"> and </w:t>
      </w:r>
      <w:r w:rsidR="00B46E38" w:rsidRPr="00D03D9D">
        <w:rPr>
          <w:rFonts w:ascii="Times New Roman" w:hAnsi="Times New Roman" w:cs="Times New Roman"/>
          <w:sz w:val="24"/>
          <w:szCs w:val="24"/>
        </w:rPr>
        <w:fldChar w:fldCharType="begin"/>
      </w:r>
      <w:r w:rsidRPr="00D03D9D">
        <w:rPr>
          <w:rFonts w:ascii="Times New Roman" w:hAnsi="Times New Roman" w:cs="Times New Roman"/>
          <w:sz w:val="24"/>
          <w:szCs w:val="24"/>
        </w:rPr>
        <w:instrText xml:space="preserve"> QUOTE </w:instrText>
      </w:r>
      <w:r w:rsidR="007B5AD2">
        <w:pict>
          <v:shape id="_x0000_i1029" type="#_x0000_t75" style="width:70.5pt;height:15pt" equationxml="&lt;">
            <v:imagedata r:id="rId12" o:title="" chromakey="white"/>
          </v:shape>
        </w:pict>
      </w:r>
      <w:r w:rsidRPr="00D03D9D">
        <w:rPr>
          <w:rFonts w:ascii="Times New Roman" w:hAnsi="Times New Roman" w:cs="Times New Roman"/>
          <w:sz w:val="24"/>
          <w:szCs w:val="24"/>
        </w:rPr>
        <w:instrText xml:space="preserve"> </w:instrText>
      </w:r>
      <w:r w:rsidR="00B46E38" w:rsidRPr="00D03D9D">
        <w:rPr>
          <w:rFonts w:ascii="Times New Roman" w:hAnsi="Times New Roman" w:cs="Times New Roman"/>
          <w:sz w:val="24"/>
          <w:szCs w:val="24"/>
        </w:rPr>
        <w:fldChar w:fldCharType="separate"/>
      </w:r>
      <w:r w:rsidR="007B5AD2">
        <w:pict>
          <v:shape id="_x0000_i1030" type="#_x0000_t75" style="width:70.5pt;height:15pt" equationxml="&lt;">
            <v:imagedata r:id="rId12" o:title="" chromakey="white"/>
          </v:shape>
        </w:pict>
      </w:r>
      <w:r w:rsidR="00B46E38" w:rsidRPr="00D03D9D">
        <w:rPr>
          <w:rFonts w:ascii="Times New Roman" w:hAnsi="Times New Roman" w:cs="Times New Roman"/>
          <w:sz w:val="24"/>
          <w:szCs w:val="24"/>
        </w:rPr>
        <w:fldChar w:fldCharType="end"/>
      </w:r>
      <w:r w:rsidRPr="00B96DDF">
        <w:rPr>
          <w:rFonts w:ascii="Times New Roman" w:hAnsi="Times New Roman" w:cs="Times New Roman"/>
          <w:sz w:val="24"/>
          <w:szCs w:val="24"/>
        </w:rPr>
        <w:t xml:space="preserve">. </w:t>
      </w:r>
      <w:r w:rsidR="00B46E38" w:rsidRPr="00D03D9D">
        <w:rPr>
          <w:rFonts w:ascii="Times New Roman" w:hAnsi="Times New Roman" w:cs="Times New Roman"/>
          <w:sz w:val="24"/>
          <w:szCs w:val="24"/>
        </w:rPr>
        <w:fldChar w:fldCharType="begin"/>
      </w:r>
      <w:r w:rsidRPr="00D03D9D">
        <w:rPr>
          <w:rFonts w:ascii="Times New Roman" w:hAnsi="Times New Roman" w:cs="Times New Roman"/>
          <w:sz w:val="24"/>
          <w:szCs w:val="24"/>
        </w:rPr>
        <w:instrText xml:space="preserve"> QUOTE </w:instrText>
      </w:r>
      <w:r w:rsidR="00AF20D8">
        <w:pict>
          <v:shape id="_x0000_i1031" type="#_x0000_t75" style="width:12.75pt;height:10.5pt" equationxml="&lt;">
            <v:imagedata r:id="rId13" o:title="" chromakey="white"/>
          </v:shape>
        </w:pict>
      </w:r>
      <w:r w:rsidRPr="00D03D9D">
        <w:rPr>
          <w:rFonts w:ascii="Times New Roman" w:hAnsi="Times New Roman" w:cs="Times New Roman"/>
          <w:sz w:val="24"/>
          <w:szCs w:val="24"/>
        </w:rPr>
        <w:instrText xml:space="preserve"> </w:instrText>
      </w:r>
      <w:r w:rsidR="00B46E38" w:rsidRPr="00D03D9D">
        <w:rPr>
          <w:rFonts w:ascii="Times New Roman" w:hAnsi="Times New Roman" w:cs="Times New Roman"/>
          <w:sz w:val="24"/>
          <w:szCs w:val="24"/>
        </w:rPr>
        <w:fldChar w:fldCharType="separate"/>
      </w:r>
      <w:r w:rsidR="007B5AD2">
        <w:pict>
          <v:shape id="_x0000_i1032" type="#_x0000_t75" style="width:12.75pt;height:10.5pt" equationxml="&lt;">
            <v:imagedata r:id="rId13" o:title="" chromakey="white"/>
          </v:shape>
        </w:pict>
      </w:r>
      <w:r w:rsidR="00B46E38" w:rsidRPr="00D03D9D">
        <w:rPr>
          <w:rFonts w:ascii="Times New Roman" w:hAnsi="Times New Roman" w:cs="Times New Roman"/>
          <w:sz w:val="24"/>
          <w:szCs w:val="24"/>
        </w:rPr>
        <w:fldChar w:fldCharType="end"/>
      </w:r>
      <w:r w:rsidRPr="00B96DDF">
        <w:rPr>
          <w:rFonts w:ascii="Times New Roman" w:hAnsi="Times New Roman" w:cs="Times New Roman"/>
          <w:sz w:val="24"/>
          <w:szCs w:val="24"/>
        </w:rPr>
        <w:t xml:space="preserve"> denotes the ‘receiver’ of the CQC while</w:t>
      </w:r>
      <w:r w:rsidRPr="00B96DDF">
        <w:rPr>
          <w:rFonts w:ascii="Times New Roman" w:hAnsi="Times New Roman" w:cs="Times New Roman"/>
          <w:i/>
          <w:sz w:val="24"/>
          <w:szCs w:val="24"/>
        </w:rPr>
        <w:t xml:space="preserve"> x</w:t>
      </w:r>
      <w:r w:rsidRPr="00B96DDF">
        <w:rPr>
          <w:rFonts w:ascii="Times New Roman" w:hAnsi="Times New Roman" w:cs="Times New Roman"/>
          <w:i/>
          <w:sz w:val="24"/>
          <w:szCs w:val="24"/>
          <w:vertAlign w:val="subscript"/>
        </w:rPr>
        <w:t>t</w:t>
      </w:r>
      <w:r w:rsidRPr="00B96DDF">
        <w:rPr>
          <w:rFonts w:ascii="Times New Roman" w:hAnsi="Times New Roman" w:cs="Times New Roman"/>
          <w:sz w:val="24"/>
          <w:szCs w:val="24"/>
        </w:rPr>
        <w:t xml:space="preserve"> is the ‘giver’. The CQC has the following direction </w:t>
      </w:r>
      <w:r w:rsidR="00B46E38" w:rsidRPr="00D03D9D">
        <w:rPr>
          <w:rFonts w:ascii="Times New Roman" w:hAnsi="Times New Roman" w:cs="Times New Roman"/>
          <w:sz w:val="24"/>
          <w:szCs w:val="24"/>
        </w:rPr>
        <w:fldChar w:fldCharType="begin"/>
      </w:r>
      <w:r w:rsidRPr="00D03D9D">
        <w:rPr>
          <w:rFonts w:ascii="Times New Roman" w:hAnsi="Times New Roman" w:cs="Times New Roman"/>
          <w:sz w:val="24"/>
          <w:szCs w:val="24"/>
        </w:rPr>
        <w:instrText xml:space="preserve"> QUOTE </w:instrText>
      </w:r>
      <w:r w:rsidR="00AF20D8">
        <w:pict>
          <v:shape id="_x0000_i1033" type="#_x0000_t75" style="width:39.75pt;height:10.5pt" equationxml="&lt;">
            <v:imagedata r:id="rId14" o:title="" chromakey="white"/>
          </v:shape>
        </w:pict>
      </w:r>
      <w:r w:rsidRPr="00D03D9D">
        <w:rPr>
          <w:rFonts w:ascii="Times New Roman" w:hAnsi="Times New Roman" w:cs="Times New Roman"/>
          <w:sz w:val="24"/>
          <w:szCs w:val="24"/>
        </w:rPr>
        <w:instrText xml:space="preserve"> </w:instrText>
      </w:r>
      <w:r w:rsidR="00B46E38" w:rsidRPr="00D03D9D">
        <w:rPr>
          <w:rFonts w:ascii="Times New Roman" w:hAnsi="Times New Roman" w:cs="Times New Roman"/>
          <w:sz w:val="24"/>
          <w:szCs w:val="24"/>
        </w:rPr>
        <w:fldChar w:fldCharType="separate"/>
      </w:r>
      <w:r w:rsidR="007B5AD2">
        <w:pict>
          <v:shape id="_x0000_i1034" type="#_x0000_t75" style="width:39.75pt;height:10.5pt" equationxml="&lt;">
            <v:imagedata r:id="rId14" o:title="" chromakey="white"/>
          </v:shape>
        </w:pict>
      </w:r>
      <w:r w:rsidR="00B46E38" w:rsidRPr="00D03D9D">
        <w:rPr>
          <w:rFonts w:ascii="Times New Roman" w:hAnsi="Times New Roman" w:cs="Times New Roman"/>
          <w:sz w:val="24"/>
          <w:szCs w:val="24"/>
        </w:rPr>
        <w:fldChar w:fldCharType="end"/>
      </w:r>
      <w:r w:rsidRPr="00B96DDF">
        <w:rPr>
          <w:rFonts w:ascii="Times New Roman" w:hAnsi="Times New Roman" w:cs="Times New Roman"/>
          <w:sz w:val="24"/>
          <w:szCs w:val="24"/>
        </w:rPr>
        <w:t xml:space="preserve"> </w:t>
      </w:r>
      <w:r w:rsidR="00B46E38" w:rsidRPr="00D03D9D">
        <w:rPr>
          <w:rFonts w:ascii="Times New Roman" w:hAnsi="Times New Roman" w:cs="Times New Roman"/>
          <w:sz w:val="24"/>
          <w:szCs w:val="24"/>
        </w:rPr>
        <w:fldChar w:fldCharType="begin"/>
      </w:r>
      <w:r w:rsidRPr="00D03D9D">
        <w:rPr>
          <w:rFonts w:ascii="Times New Roman" w:hAnsi="Times New Roman" w:cs="Times New Roman"/>
          <w:sz w:val="24"/>
          <w:szCs w:val="24"/>
        </w:rPr>
        <w:instrText xml:space="preserve"> QUOTE </w:instrText>
      </w:r>
      <w:r w:rsidR="00AF20D8">
        <w:pict>
          <v:shape id="_x0000_i1035" type="#_x0000_t75" style="width:12.75pt;height:10.5pt" equationxml="&lt;">
            <v:imagedata r:id="rId13" o:title="" chromakey="white"/>
          </v:shape>
        </w:pict>
      </w:r>
      <w:r w:rsidRPr="00D03D9D">
        <w:rPr>
          <w:rFonts w:ascii="Times New Roman" w:hAnsi="Times New Roman" w:cs="Times New Roman"/>
          <w:sz w:val="24"/>
          <w:szCs w:val="24"/>
        </w:rPr>
        <w:instrText xml:space="preserve"> </w:instrText>
      </w:r>
      <w:r w:rsidR="00B46E38" w:rsidRPr="00D03D9D">
        <w:rPr>
          <w:rFonts w:ascii="Times New Roman" w:hAnsi="Times New Roman" w:cs="Times New Roman"/>
          <w:sz w:val="24"/>
          <w:szCs w:val="24"/>
        </w:rPr>
        <w:fldChar w:fldCharType="separate"/>
      </w:r>
      <w:r w:rsidR="007B5AD2">
        <w:pict>
          <v:shape id="_x0000_i1036" type="#_x0000_t75" style="width:12.75pt;height:10.5pt" equationxml="&lt;">
            <v:imagedata r:id="rId13" o:title="" chromakey="white"/>
          </v:shape>
        </w:pict>
      </w:r>
      <w:r w:rsidR="00B46E38" w:rsidRPr="00D03D9D">
        <w:rPr>
          <w:rFonts w:ascii="Times New Roman" w:hAnsi="Times New Roman" w:cs="Times New Roman"/>
          <w:sz w:val="24"/>
          <w:szCs w:val="24"/>
        </w:rPr>
        <w:fldChar w:fldCharType="end"/>
      </w:r>
      <w:r w:rsidRPr="00B96DDF">
        <w:rPr>
          <w:rFonts w:ascii="Times New Roman" w:hAnsi="Times New Roman" w:cs="Times New Roman"/>
          <w:sz w:val="24"/>
          <w:szCs w:val="24"/>
        </w:rPr>
        <w:t xml:space="preserve"> where CQC is calculated by</w:t>
      </w:r>
    </w:p>
    <w:p w:rsidR="00A05D94" w:rsidRDefault="00B46E38" w:rsidP="00F75F54">
      <w:pPr>
        <w:spacing w:after="180" w:line="480" w:lineRule="auto"/>
        <w:ind w:right="263" w:firstLine="720"/>
        <w:jc w:val="both"/>
        <w:rPr>
          <w:rFonts w:ascii="Times New Roman" w:eastAsia="Yu Mincho" w:hAnsi="Times New Roman" w:cs="Times New Roman"/>
          <w:sz w:val="24"/>
          <w:szCs w:val="24"/>
        </w:rPr>
      </w:pPr>
      <w:r w:rsidRPr="00D03D9D">
        <w:rPr>
          <w:rFonts w:ascii="Times New Roman" w:eastAsia="Yu Mincho" w:hAnsi="Times New Roman" w:cs="Times New Roman"/>
          <w:sz w:val="24"/>
          <w:szCs w:val="24"/>
        </w:rPr>
        <w:fldChar w:fldCharType="begin"/>
      </w:r>
      <w:r w:rsidR="00A05D94" w:rsidRPr="00D03D9D">
        <w:rPr>
          <w:rFonts w:ascii="Times New Roman" w:eastAsia="Yu Mincho" w:hAnsi="Times New Roman" w:cs="Times New Roman"/>
          <w:sz w:val="24"/>
          <w:szCs w:val="24"/>
        </w:rPr>
        <w:instrText xml:space="preserve"> QUOTE </w:instrText>
      </w:r>
      <w:r w:rsidR="00AF20D8">
        <w:pict>
          <v:shape id="_x0000_i1037" type="#_x0000_t75" style="width:321.75pt;height:53.25pt" equationxml="&lt;">
            <v:imagedata r:id="rId15" o:title="" chromakey="white"/>
          </v:shape>
        </w:pict>
      </w:r>
      <w:r w:rsidR="00A05D94" w:rsidRPr="00D03D9D">
        <w:rPr>
          <w:rFonts w:ascii="Times New Roman" w:eastAsia="Yu Mincho" w:hAnsi="Times New Roman" w:cs="Times New Roman"/>
          <w:sz w:val="24"/>
          <w:szCs w:val="24"/>
        </w:rPr>
        <w:instrText xml:space="preserve"> </w:instrText>
      </w:r>
      <w:r w:rsidRPr="00D03D9D">
        <w:rPr>
          <w:rFonts w:ascii="Times New Roman" w:eastAsia="Yu Mincho" w:hAnsi="Times New Roman" w:cs="Times New Roman"/>
          <w:sz w:val="24"/>
          <w:szCs w:val="24"/>
        </w:rPr>
        <w:fldChar w:fldCharType="separate"/>
      </w:r>
      <w:r w:rsidR="007B5AD2">
        <w:pict>
          <v:shape id="_x0000_i1038" type="#_x0000_t75" style="width:321.75pt;height:53.25pt" equationxml="&lt;">
            <v:imagedata r:id="rId15" o:title="" chromakey="white"/>
          </v:shape>
        </w:pict>
      </w:r>
      <w:r w:rsidRPr="00D03D9D">
        <w:rPr>
          <w:rFonts w:ascii="Times New Roman" w:eastAsia="Yu Mincho" w:hAnsi="Times New Roman" w:cs="Times New Roman"/>
          <w:sz w:val="24"/>
          <w:szCs w:val="24"/>
        </w:rPr>
        <w:fldChar w:fldCharType="end"/>
      </w:r>
      <w:r w:rsidR="00A05D94" w:rsidRPr="00B96DDF">
        <w:rPr>
          <w:rFonts w:ascii="Times New Roman" w:eastAsia="Yu Mincho" w:hAnsi="Times New Roman" w:cs="Times New Roman"/>
          <w:sz w:val="24"/>
          <w:szCs w:val="24"/>
        </w:rPr>
        <w:tab/>
      </w:r>
      <w:r w:rsidR="00A05D94" w:rsidRPr="00B96DDF">
        <w:rPr>
          <w:rFonts w:ascii="Times New Roman" w:eastAsia="Yu Mincho" w:hAnsi="Times New Roman" w:cs="Times New Roman"/>
          <w:sz w:val="24"/>
          <w:szCs w:val="24"/>
        </w:rPr>
        <w:tab/>
        <w:t>(2)</w:t>
      </w:r>
    </w:p>
    <w:p w:rsidR="00A05D94" w:rsidRDefault="00A05D94" w:rsidP="00F75F54">
      <w:pPr>
        <w:spacing w:after="180" w:line="480" w:lineRule="auto"/>
        <w:ind w:right="263"/>
        <w:jc w:val="both"/>
        <w:rPr>
          <w:rFonts w:ascii="Times New Roman" w:hAnsi="Times New Roman" w:cs="Times New Roman"/>
          <w:sz w:val="24"/>
          <w:szCs w:val="24"/>
        </w:rPr>
      </w:pPr>
      <w:r w:rsidRPr="00B96DDF">
        <w:rPr>
          <w:rFonts w:ascii="Times New Roman" w:hAnsi="Times New Roman" w:cs="Times New Roman"/>
          <w:sz w:val="24"/>
          <w:szCs w:val="24"/>
        </w:rPr>
        <w:t xml:space="preserve">Because a major assumption concerns the time series need to be strictly stationary, we need to demean the quantile-hit process: </w:t>
      </w:r>
      <w:r w:rsidR="00B46E38" w:rsidRPr="00D03D9D">
        <w:rPr>
          <w:rFonts w:ascii="Times New Roman" w:hAnsi="Times New Roman" w:cs="Times New Roman"/>
          <w:sz w:val="24"/>
          <w:szCs w:val="24"/>
        </w:rPr>
        <w:fldChar w:fldCharType="begin"/>
      </w:r>
      <w:r w:rsidRPr="00D03D9D">
        <w:rPr>
          <w:rFonts w:ascii="Times New Roman" w:hAnsi="Times New Roman" w:cs="Times New Roman"/>
          <w:sz w:val="24"/>
          <w:szCs w:val="24"/>
        </w:rPr>
        <w:instrText xml:space="preserve"> QUOTE </w:instrText>
      </w:r>
      <w:r w:rsidR="007B5AD2">
        <w:pict>
          <v:shape id="_x0000_i1039" type="#_x0000_t75" style="width:197.25pt;height:14.25pt" equationxml="&lt;">
            <v:imagedata r:id="rId16" o:title="" chromakey="white"/>
          </v:shape>
        </w:pict>
      </w:r>
      <w:r w:rsidRPr="00D03D9D">
        <w:rPr>
          <w:rFonts w:ascii="Times New Roman" w:hAnsi="Times New Roman" w:cs="Times New Roman"/>
          <w:sz w:val="24"/>
          <w:szCs w:val="24"/>
        </w:rPr>
        <w:instrText xml:space="preserve"> </w:instrText>
      </w:r>
      <w:r w:rsidR="00B46E38" w:rsidRPr="00D03D9D">
        <w:rPr>
          <w:rFonts w:ascii="Times New Roman" w:hAnsi="Times New Roman" w:cs="Times New Roman"/>
          <w:sz w:val="24"/>
          <w:szCs w:val="24"/>
        </w:rPr>
        <w:fldChar w:fldCharType="separate"/>
      </w:r>
      <w:r w:rsidR="007B5AD2">
        <w:pict>
          <v:shape id="_x0000_i1040" type="#_x0000_t75" style="width:197.25pt;height:14.25pt" equationxml="&lt;">
            <v:imagedata r:id="rId16" o:title="" chromakey="white"/>
          </v:shape>
        </w:pict>
      </w:r>
      <w:r w:rsidR="00B46E38" w:rsidRPr="00D03D9D">
        <w:rPr>
          <w:rFonts w:ascii="Times New Roman" w:hAnsi="Times New Roman" w:cs="Times New Roman"/>
          <w:sz w:val="24"/>
          <w:szCs w:val="24"/>
        </w:rPr>
        <w:fldChar w:fldCharType="end"/>
      </w:r>
      <w:r w:rsidRPr="00B96DDF">
        <w:rPr>
          <w:rFonts w:ascii="Times New Roman" w:hAnsi="Times New Roman" w:cs="Times New Roman"/>
          <w:sz w:val="24"/>
          <w:szCs w:val="24"/>
        </w:rPr>
        <w:t>. By iterating the CQC model for each lag, we can then create independent estimation of each lag. Bootstrap approach is then used to calculate confidence intervals (Politis et al. 1994). Finally, for the rolling estimations we utilise a two-year window covering 252 trading days per year (i.e., 504 observations).  In total, we have roughly 1400-1600 subsamples depending on the market as they start at different times.</w:t>
      </w:r>
    </w:p>
    <w:p w:rsidR="00F75F54" w:rsidRPr="00B96DDF" w:rsidRDefault="00F75F54" w:rsidP="00F75F54">
      <w:pPr>
        <w:spacing w:after="180" w:line="480" w:lineRule="auto"/>
        <w:ind w:right="263"/>
        <w:jc w:val="both"/>
        <w:rPr>
          <w:rFonts w:ascii="Times New Roman" w:hAnsi="Times New Roman" w:cs="Times New Roman"/>
          <w:sz w:val="24"/>
          <w:szCs w:val="24"/>
        </w:rPr>
      </w:pPr>
    </w:p>
    <w:p w:rsidR="00A05D94" w:rsidRPr="00B96DDF" w:rsidRDefault="00A05D94" w:rsidP="00F75F54">
      <w:pPr>
        <w:spacing w:line="480" w:lineRule="auto"/>
        <w:jc w:val="both"/>
        <w:rPr>
          <w:rFonts w:ascii="Times New Roman" w:hAnsi="Times New Roman" w:cs="Times New Roman"/>
          <w:b/>
          <w:sz w:val="24"/>
          <w:szCs w:val="24"/>
        </w:rPr>
      </w:pPr>
      <w:r w:rsidRPr="00B96DDF">
        <w:rPr>
          <w:rFonts w:ascii="Times New Roman" w:hAnsi="Times New Roman" w:cs="Times New Roman"/>
          <w:b/>
          <w:sz w:val="24"/>
          <w:szCs w:val="24"/>
        </w:rPr>
        <w:lastRenderedPageBreak/>
        <w:t>3. Data and results</w:t>
      </w:r>
    </w:p>
    <w:p w:rsidR="00522546" w:rsidRDefault="00A05D94" w:rsidP="00522546">
      <w:pPr>
        <w:spacing w:line="480" w:lineRule="auto"/>
        <w:ind w:firstLine="720"/>
        <w:jc w:val="both"/>
        <w:rPr>
          <w:rFonts w:ascii="Times New Roman" w:eastAsia="Yu Mincho" w:hAnsi="Times New Roman" w:cs="Times New Roman"/>
          <w:sz w:val="24"/>
          <w:szCs w:val="24"/>
        </w:rPr>
      </w:pPr>
      <w:r w:rsidRPr="00B96DDF">
        <w:rPr>
          <w:rFonts w:ascii="Times New Roman" w:eastAsia="Yu Mincho" w:hAnsi="Times New Roman" w:cs="Times New Roman"/>
          <w:sz w:val="24"/>
          <w:szCs w:val="24"/>
        </w:rPr>
        <w:t xml:space="preserve">Bitcoins are traded in a number of currencies in a number of exchanges across different countries. Following Gillaizeau et al. (2019), we choose five Bitcoin/currency pairs (the U.S. dollar (USD), Australian dollar (AUD), Canadian dollar (CAD), euro (EUR), and British pound (GBP)). Chosen sample  period is March 12th, 2013 to January 31st 2018, due firstly to the availability of consistent data (from www.bitcoincharts.com), and second, to lend comparison to the work of Cheah et al. (2018) and Gillaizeau et al. (2019). </w:t>
      </w:r>
    </w:p>
    <w:p w:rsidR="00B85863" w:rsidRPr="00522546" w:rsidRDefault="00B85863" w:rsidP="00522546">
      <w:pPr>
        <w:spacing w:line="480" w:lineRule="auto"/>
        <w:ind w:firstLine="720"/>
        <w:jc w:val="both"/>
        <w:rPr>
          <w:rFonts w:ascii="Times New Roman" w:eastAsia="Yu Mincho" w:hAnsi="Times New Roman" w:cs="Times New Roman"/>
          <w:color w:val="0000CC"/>
          <w:sz w:val="24"/>
          <w:szCs w:val="24"/>
        </w:rPr>
      </w:pPr>
      <w:r w:rsidRPr="00522546">
        <w:rPr>
          <w:rFonts w:ascii="Times New Roman" w:hAnsi="Times New Roman" w:cs="Times New Roman"/>
          <w:color w:val="0000CC"/>
          <w:sz w:val="24"/>
          <w:szCs w:val="24"/>
          <w:shd w:val="clear" w:color="auto" w:fill="FFFFFF"/>
          <w:lang w:val="en-US"/>
        </w:rPr>
        <w:t xml:space="preserve">We have obtained Bitcoin prices from Bitcoinity.org </w:t>
      </w:r>
      <w:r w:rsidRPr="00522546">
        <w:rPr>
          <w:rStyle w:val="FootnoteReference"/>
          <w:rFonts w:ascii="Times New Roman" w:hAnsi="Times New Roman"/>
          <w:color w:val="0000CC"/>
          <w:sz w:val="24"/>
          <w:szCs w:val="24"/>
          <w:shd w:val="clear" w:color="auto" w:fill="FFFFFF"/>
          <w:lang w:val="en-US"/>
        </w:rPr>
        <w:footnoteReference w:id="2"/>
      </w:r>
      <w:r w:rsidRPr="00522546">
        <w:rPr>
          <w:rFonts w:ascii="Times New Roman" w:hAnsi="Times New Roman" w:cs="Times New Roman"/>
          <w:color w:val="0000CC"/>
          <w:sz w:val="24"/>
          <w:szCs w:val="24"/>
          <w:shd w:val="clear" w:color="auto" w:fill="FFFFFF"/>
          <w:lang w:val="en-US"/>
        </w:rPr>
        <w:t>. To check the accuracy of prices we have compared our sample spans with Quandle and bitcoicharts</w:t>
      </w:r>
      <w:r w:rsidR="00522546" w:rsidRPr="00522546">
        <w:rPr>
          <w:rFonts w:ascii="Times New Roman" w:hAnsi="Times New Roman" w:cs="Times New Roman"/>
          <w:color w:val="0000CC"/>
          <w:sz w:val="24"/>
          <w:szCs w:val="24"/>
          <w:shd w:val="clear" w:color="auto" w:fill="FFFFFF"/>
          <w:lang w:val="en-US"/>
        </w:rPr>
        <w:t xml:space="preserve"> (Cheah et al 2018; Gillaizeau et al 2019)</w:t>
      </w:r>
      <w:r w:rsidRPr="00522546">
        <w:rPr>
          <w:rFonts w:ascii="Times New Roman" w:hAnsi="Times New Roman" w:cs="Times New Roman"/>
          <w:color w:val="0000CC"/>
          <w:sz w:val="24"/>
          <w:szCs w:val="24"/>
          <w:shd w:val="clear" w:color="auto" w:fill="FFFFFF"/>
          <w:lang w:val="en-US"/>
        </w:rPr>
        <w:t>. </w:t>
      </w:r>
      <w:r w:rsidRPr="00522546">
        <w:rPr>
          <w:rFonts w:ascii="Times New Roman" w:hAnsi="Times New Roman" w:cs="Times New Roman"/>
          <w:color w:val="0000CC"/>
          <w:sz w:val="24"/>
          <w:szCs w:val="24"/>
          <w:bdr w:val="none" w:sz="0" w:space="0" w:color="auto" w:frame="1"/>
          <w:shd w:val="clear" w:color="auto" w:fill="FFFFFF"/>
          <w:lang w:val="en-US"/>
        </w:rPr>
        <w:t>Note that to choose the ideal Bitcoin prices against each currency, we took into consideration the trading volume across all the platforms of each currency (e.g. USD, CAD, GBP, AUD and EUR) in Bitcoin markets. We found that the trading volume of USD in Bitfinexplatform has exceeded 185 Billion over the last five years, which makes the market share of the latter platform at around 40.98%, overtaking almost half the market in trading Bitcoin in USD. Kraken platform has executed transactions of BTC/EUR by around 32 Billion over the last five years, and the market share of trading Bitcoin/Eur via this platform was around 34%. GBP, CAD and AUD were traded intensively on Bit-x, Quadrigacx and Btcmarkets platforms respectively.</w:t>
      </w:r>
    </w:p>
    <w:p w:rsidR="00B85863" w:rsidRPr="00B85863" w:rsidRDefault="00B85863" w:rsidP="00F75F54">
      <w:pPr>
        <w:spacing w:line="480" w:lineRule="auto"/>
        <w:ind w:firstLine="720"/>
        <w:jc w:val="both"/>
        <w:rPr>
          <w:rFonts w:ascii="Times New Roman" w:eastAsia="Yu Mincho" w:hAnsi="Times New Roman" w:cs="Times New Roman"/>
          <w:sz w:val="24"/>
          <w:szCs w:val="24"/>
          <w:lang w:val="en-US"/>
        </w:rPr>
      </w:pPr>
    </w:p>
    <w:p w:rsidR="00B85863" w:rsidRPr="00AA164B" w:rsidRDefault="00A05D94" w:rsidP="00B85863">
      <w:pPr>
        <w:spacing w:line="480" w:lineRule="auto"/>
        <w:ind w:firstLine="720"/>
        <w:jc w:val="both"/>
        <w:rPr>
          <w:rFonts w:ascii="Times New Roman" w:eastAsia="Yu Mincho" w:hAnsi="Times New Roman" w:cs="Times New Roman"/>
          <w:sz w:val="24"/>
          <w:szCs w:val="24"/>
        </w:rPr>
      </w:pPr>
      <w:r w:rsidRPr="00B96DDF">
        <w:rPr>
          <w:rFonts w:ascii="Times New Roman" w:eastAsia="Yu Mincho" w:hAnsi="Times New Roman" w:cs="Times New Roman"/>
          <w:sz w:val="24"/>
          <w:szCs w:val="24"/>
        </w:rPr>
        <w:t xml:space="preserve">Figure 1 presents time series plots of the logarithm of cross-market Bitcoin prices. </w:t>
      </w:r>
      <w:r w:rsidR="00B85863" w:rsidRPr="00AA164B">
        <w:rPr>
          <w:rFonts w:ascii="Times New Roman" w:hAnsi="Times New Roman" w:cs="Times New Roman"/>
          <w:color w:val="0000CC"/>
          <w:sz w:val="24"/>
          <w:szCs w:val="24"/>
          <w:lang w:val="en-US"/>
        </w:rPr>
        <w:t xml:space="preserve">Figure 1 indicate that the Bitcoin market continuously exhibit extreme tail dependence characteristics with periods of dramatically high and low returns. In terms of long-run trend, the asymmetric nature of the Bitcoin market is more pronounced due to strong negative </w:t>
      </w:r>
      <w:r w:rsidR="00B85863" w:rsidRPr="00AA164B">
        <w:rPr>
          <w:rFonts w:ascii="Times New Roman" w:hAnsi="Times New Roman" w:cs="Times New Roman"/>
          <w:color w:val="0000CC"/>
          <w:sz w:val="24"/>
          <w:szCs w:val="24"/>
          <w:lang w:val="en-US"/>
        </w:rPr>
        <w:lastRenderedPageBreak/>
        <w:t>response to a positive response of equal magnitude. Under the extreme market condition, the Bitcoin market exhibit more left tail dependence. This implies that the Bitcoin market demonstrate asymmetric behavior in the tails of the distribution.</w:t>
      </w:r>
    </w:p>
    <w:p w:rsidR="0022171A" w:rsidRPr="00AA164B" w:rsidRDefault="00A05D94" w:rsidP="00B85863">
      <w:pPr>
        <w:spacing w:line="480" w:lineRule="auto"/>
        <w:ind w:firstLine="720"/>
        <w:jc w:val="both"/>
        <w:rPr>
          <w:rFonts w:ascii="Times New Roman" w:eastAsia="Yu Mincho" w:hAnsi="Times New Roman" w:cs="Times New Roman"/>
          <w:sz w:val="24"/>
          <w:szCs w:val="24"/>
        </w:rPr>
      </w:pPr>
      <w:r w:rsidRPr="00B96DDF">
        <w:rPr>
          <w:rFonts w:ascii="Times New Roman" w:eastAsia="Yu Mincho" w:hAnsi="Times New Roman" w:cs="Times New Roman"/>
          <w:sz w:val="24"/>
          <w:szCs w:val="24"/>
        </w:rPr>
        <w:t>Most markets display excess skewness depicting concentration of dynamics at the tail is presented in Table 1. The series are stationary upon first difference as confirmed by unit root tests</w:t>
      </w:r>
    </w:p>
    <w:p w:rsidR="00A05D94" w:rsidRPr="00B96DDF" w:rsidRDefault="00A05D94" w:rsidP="00F75F54">
      <w:pPr>
        <w:spacing w:line="480" w:lineRule="auto"/>
        <w:ind w:firstLine="720"/>
        <w:jc w:val="center"/>
        <w:rPr>
          <w:rFonts w:ascii="Times New Roman" w:eastAsia="Yu Mincho" w:hAnsi="Times New Roman" w:cs="Times New Roman"/>
          <w:b/>
          <w:sz w:val="24"/>
          <w:szCs w:val="24"/>
        </w:rPr>
      </w:pPr>
      <w:r w:rsidRPr="00B96DDF">
        <w:rPr>
          <w:rFonts w:ascii="Times New Roman" w:eastAsia="Yu Mincho" w:hAnsi="Times New Roman" w:cs="Times New Roman"/>
          <w:b/>
          <w:sz w:val="24"/>
          <w:szCs w:val="24"/>
        </w:rPr>
        <w:t>Insert Table 1</w:t>
      </w:r>
    </w:p>
    <w:p w:rsidR="00A05D94" w:rsidRDefault="00A05D94" w:rsidP="00F75F54">
      <w:pPr>
        <w:spacing w:line="480" w:lineRule="auto"/>
        <w:ind w:firstLine="720"/>
        <w:jc w:val="center"/>
        <w:rPr>
          <w:rFonts w:ascii="Times New Roman" w:eastAsia="Yu Mincho" w:hAnsi="Times New Roman" w:cs="Times New Roman"/>
          <w:b/>
          <w:sz w:val="24"/>
          <w:szCs w:val="24"/>
        </w:rPr>
      </w:pPr>
      <w:r w:rsidRPr="00B96DDF">
        <w:rPr>
          <w:rFonts w:ascii="Times New Roman" w:eastAsia="Yu Mincho" w:hAnsi="Times New Roman" w:cs="Times New Roman"/>
          <w:b/>
          <w:sz w:val="24"/>
          <w:szCs w:val="24"/>
        </w:rPr>
        <w:t>Insert Figure 1</w:t>
      </w:r>
    </w:p>
    <w:p w:rsidR="00F75F54" w:rsidRPr="00B96DDF" w:rsidRDefault="00F75F54" w:rsidP="00F75F54">
      <w:pPr>
        <w:spacing w:line="480" w:lineRule="auto"/>
        <w:ind w:firstLine="720"/>
        <w:jc w:val="center"/>
        <w:rPr>
          <w:rFonts w:ascii="Times New Roman" w:eastAsia="Yu Mincho" w:hAnsi="Times New Roman" w:cs="Times New Roman"/>
          <w:b/>
          <w:sz w:val="24"/>
          <w:szCs w:val="24"/>
        </w:rPr>
      </w:pPr>
    </w:p>
    <w:p w:rsidR="00A05D94" w:rsidRPr="00B96DDF" w:rsidRDefault="00A05D94" w:rsidP="00F75F54">
      <w:pPr>
        <w:spacing w:line="480" w:lineRule="auto"/>
        <w:jc w:val="both"/>
        <w:rPr>
          <w:rFonts w:ascii="Times New Roman" w:hAnsi="Times New Roman" w:cs="Times New Roman"/>
          <w:b/>
          <w:sz w:val="24"/>
          <w:szCs w:val="24"/>
        </w:rPr>
      </w:pPr>
      <w:r w:rsidRPr="00B96DDF">
        <w:rPr>
          <w:rFonts w:ascii="Times New Roman" w:hAnsi="Times New Roman" w:cs="Times New Roman"/>
          <w:b/>
          <w:sz w:val="24"/>
          <w:szCs w:val="24"/>
        </w:rPr>
        <w:t>3.1 Rolling sample results of cross-quantilogram</w:t>
      </w:r>
    </w:p>
    <w:p w:rsidR="00A05D94" w:rsidRPr="00B96DDF" w:rsidRDefault="00A05D94" w:rsidP="00F75F54">
      <w:pPr>
        <w:spacing w:line="480" w:lineRule="auto"/>
        <w:jc w:val="both"/>
        <w:rPr>
          <w:rFonts w:ascii="Times New Roman" w:eastAsia="Yu Mincho" w:hAnsi="Times New Roman" w:cs="Times New Roman"/>
          <w:sz w:val="24"/>
          <w:szCs w:val="24"/>
        </w:rPr>
      </w:pPr>
      <w:r w:rsidRPr="00B96DDF">
        <w:rPr>
          <w:rFonts w:ascii="Times New Roman" w:eastAsia="Yu Mincho" w:hAnsi="Times New Roman" w:cs="Times New Roman"/>
          <w:sz w:val="24"/>
          <w:szCs w:val="24"/>
        </w:rPr>
        <w:t xml:space="preserve">Figure 2 presents rolling window estimates of cross-quantilogram correlation: BTC/USD to other BTC denominations, using a lag length of one to capture the short persistence of the crypto exchange market. A spike in Bitcoin prices during late 2017, might lead one to expect an increasing cross-quantilogram correlation in that time-period: the upper-to-upper quantile setting </w:t>
      </w:r>
      <w:r w:rsidRPr="00B96DDF">
        <w:rPr>
          <w:rFonts w:ascii="Times New Roman" w:hAnsi="Times New Roman" w:cs="Times New Roman"/>
          <w:sz w:val="24"/>
          <w:szCs w:val="24"/>
        </w:rPr>
        <w:t>[0.95-0.95]</w:t>
      </w:r>
      <w:r w:rsidRPr="00B96DDF">
        <w:rPr>
          <w:rFonts w:ascii="Times New Roman" w:eastAsia="Yu Mincho" w:hAnsi="Times New Roman" w:cs="Times New Roman"/>
          <w:sz w:val="24"/>
          <w:szCs w:val="24"/>
        </w:rPr>
        <w:t>. Thus the rising correlation is intrinsic to Bitcoin market and not an outcome of increasing information spillover between the markets (similar to Gillaizeau et al. 2019).</w:t>
      </w:r>
    </w:p>
    <w:p w:rsidR="00A05D94" w:rsidRPr="00B96DDF" w:rsidRDefault="00A05D94" w:rsidP="00F75F54">
      <w:pPr>
        <w:spacing w:line="480" w:lineRule="auto"/>
        <w:jc w:val="both"/>
        <w:rPr>
          <w:rFonts w:ascii="Times New Roman" w:eastAsia="Yu Mincho" w:hAnsi="Times New Roman" w:cs="Times New Roman"/>
          <w:sz w:val="24"/>
          <w:szCs w:val="24"/>
        </w:rPr>
      </w:pPr>
      <w:r w:rsidRPr="00B96DDF">
        <w:rPr>
          <w:rFonts w:ascii="Times New Roman" w:eastAsia="Yu Mincho" w:hAnsi="Times New Roman" w:cs="Times New Roman"/>
          <w:sz w:val="24"/>
          <w:szCs w:val="24"/>
        </w:rPr>
        <w:t xml:space="preserve">As expected, we detect heterogenous responses from the </w:t>
      </w:r>
      <w:r w:rsidRPr="00B96DDF">
        <w:rPr>
          <w:rFonts w:ascii="Times New Roman" w:eastAsia="Yu Mincho" w:hAnsi="Times New Roman" w:cs="Times New Roman"/>
          <w:i/>
          <w:sz w:val="24"/>
          <w:szCs w:val="24"/>
        </w:rPr>
        <w:t>BTC/USD</w:t>
      </w:r>
      <w:r w:rsidRPr="00B96DDF">
        <w:rPr>
          <w:rFonts w:ascii="Times New Roman" w:eastAsia="Yu Mincho" w:hAnsi="Times New Roman" w:cs="Times New Roman"/>
          <w:sz w:val="24"/>
          <w:szCs w:val="24"/>
        </w:rPr>
        <w:t xml:space="preserve"> market to other Bitcoin markets: whereas </w:t>
      </w:r>
      <w:r w:rsidRPr="00B96DDF">
        <w:rPr>
          <w:rFonts w:ascii="Times New Roman" w:eastAsia="Yu Mincho" w:hAnsi="Times New Roman" w:cs="Times New Roman"/>
          <w:i/>
          <w:sz w:val="24"/>
          <w:szCs w:val="24"/>
        </w:rPr>
        <w:t>BTC/AUD</w:t>
      </w:r>
      <w:r w:rsidRPr="00B96DDF">
        <w:rPr>
          <w:rFonts w:ascii="Times New Roman" w:eastAsia="Yu Mincho" w:hAnsi="Times New Roman" w:cs="Times New Roman"/>
          <w:sz w:val="24"/>
          <w:szCs w:val="24"/>
        </w:rPr>
        <w:t xml:space="preserve">, </w:t>
      </w:r>
      <w:r w:rsidRPr="00B96DDF">
        <w:rPr>
          <w:rFonts w:ascii="Times New Roman" w:eastAsia="Yu Mincho" w:hAnsi="Times New Roman" w:cs="Times New Roman"/>
          <w:i/>
          <w:sz w:val="24"/>
          <w:szCs w:val="24"/>
        </w:rPr>
        <w:t>BTC/CAD</w:t>
      </w:r>
      <w:r w:rsidRPr="00B96DDF">
        <w:rPr>
          <w:rFonts w:ascii="Times New Roman" w:eastAsia="Yu Mincho" w:hAnsi="Times New Roman" w:cs="Times New Roman"/>
          <w:sz w:val="24"/>
          <w:szCs w:val="24"/>
        </w:rPr>
        <w:t xml:space="preserve">, and </w:t>
      </w:r>
      <w:r w:rsidRPr="00B96DDF">
        <w:rPr>
          <w:rFonts w:ascii="Times New Roman" w:eastAsia="Yu Mincho" w:hAnsi="Times New Roman" w:cs="Times New Roman"/>
          <w:i/>
          <w:sz w:val="24"/>
          <w:szCs w:val="24"/>
        </w:rPr>
        <w:t>BTC/KRW</w:t>
      </w:r>
      <w:r w:rsidRPr="00B96DDF">
        <w:rPr>
          <w:rFonts w:ascii="Times New Roman" w:eastAsia="Yu Mincho" w:hAnsi="Times New Roman" w:cs="Times New Roman"/>
          <w:sz w:val="24"/>
          <w:szCs w:val="24"/>
        </w:rPr>
        <w:t xml:space="preserve"> have small but weak significant results in the left tails, other markets showed stronger CQC with higher consistency in the statistical significance perhaps due to exchange rate fluctuations during the period. For BTC/JPY, we observe significant and high CQC in all columns (around 40% for the lower tail in 2014, declined to around 30% in 2019). In the lower tails, other currencies (GBP, </w:t>
      </w:r>
      <w:r w:rsidRPr="00B96DDF">
        <w:rPr>
          <w:rFonts w:ascii="Times New Roman" w:eastAsia="Yu Mincho" w:hAnsi="Times New Roman" w:cs="Times New Roman"/>
          <w:sz w:val="24"/>
          <w:szCs w:val="24"/>
        </w:rPr>
        <w:lastRenderedPageBreak/>
        <w:t>CNY, EUR) show significant correlation (around 20%) from 2015 and onwards indicating that different market shows varying degree of connectedness to the BTC/USD market owing to the distortions in the currency fluctuations and the fact that information transmission between bitcoins and hard currency markets are limited by institutional thresholds, see Brandvold et al. (2015).</w:t>
      </w:r>
    </w:p>
    <w:p w:rsidR="00A05D94" w:rsidRPr="00B96DDF" w:rsidRDefault="00A05D94" w:rsidP="00F75F54">
      <w:pPr>
        <w:spacing w:line="480" w:lineRule="auto"/>
        <w:jc w:val="both"/>
        <w:rPr>
          <w:rFonts w:ascii="Times New Roman" w:eastAsia="Yu Mincho" w:hAnsi="Times New Roman" w:cs="Times New Roman"/>
          <w:sz w:val="24"/>
          <w:szCs w:val="24"/>
        </w:rPr>
      </w:pPr>
      <w:r w:rsidRPr="00B96DDF">
        <w:rPr>
          <w:rFonts w:ascii="Times New Roman" w:eastAsia="Yu Mincho" w:hAnsi="Times New Roman" w:cs="Times New Roman"/>
          <w:sz w:val="24"/>
          <w:szCs w:val="24"/>
        </w:rPr>
        <w:t xml:space="preserve">In middle column we provide median-to-median responses: shows significant response for BTC/JPY and BTC/KRW throughout the period, whereas, the BTC/CNY and BTC/GBP depict fading cross-quantilogram correlation over time. The magnitudes indicate a stronger co-movement pattern between the US and Southeast Asian bitcoin markets, perhaps resulting from the lagged closing times of the markets. Finally, the right column displays the upper-to-upper tail cross-quantilogram correlation. For the larger markets the overall magnitude is low around 10%. However, the </w:t>
      </w:r>
      <w:r w:rsidRPr="00B96DDF">
        <w:rPr>
          <w:rFonts w:ascii="Times New Roman" w:eastAsia="Yu Mincho" w:hAnsi="Times New Roman" w:cs="Times New Roman"/>
          <w:i/>
          <w:sz w:val="24"/>
          <w:szCs w:val="24"/>
        </w:rPr>
        <w:t>BTC/GBP</w:t>
      </w:r>
      <w:r w:rsidRPr="00B96DDF">
        <w:rPr>
          <w:rFonts w:ascii="Times New Roman" w:eastAsia="Yu Mincho" w:hAnsi="Times New Roman" w:cs="Times New Roman"/>
          <w:sz w:val="24"/>
          <w:szCs w:val="24"/>
        </w:rPr>
        <w:t xml:space="preserve"> show a rapid increase during 2016 which is probably related to the depreciation of the GBP after the Brexit election. Both </w:t>
      </w:r>
      <w:r w:rsidRPr="00B96DDF">
        <w:rPr>
          <w:rFonts w:ascii="Times New Roman" w:eastAsia="Yu Mincho" w:hAnsi="Times New Roman" w:cs="Times New Roman"/>
          <w:i/>
          <w:sz w:val="24"/>
          <w:szCs w:val="24"/>
        </w:rPr>
        <w:t>BTC/GBP</w:t>
      </w:r>
      <w:r w:rsidRPr="00B96DDF">
        <w:rPr>
          <w:rFonts w:ascii="Times New Roman" w:eastAsia="Yu Mincho" w:hAnsi="Times New Roman" w:cs="Times New Roman"/>
          <w:sz w:val="24"/>
          <w:szCs w:val="24"/>
        </w:rPr>
        <w:t xml:space="preserve"> and </w:t>
      </w:r>
      <w:r w:rsidRPr="00B96DDF">
        <w:rPr>
          <w:rFonts w:ascii="Times New Roman" w:eastAsia="Yu Mincho" w:hAnsi="Times New Roman" w:cs="Times New Roman"/>
          <w:i/>
          <w:sz w:val="24"/>
          <w:szCs w:val="24"/>
        </w:rPr>
        <w:t>BTC/EUR</w:t>
      </w:r>
      <w:r w:rsidRPr="00B96DDF">
        <w:rPr>
          <w:rFonts w:ascii="Times New Roman" w:eastAsia="Yu Mincho" w:hAnsi="Times New Roman" w:cs="Times New Roman"/>
          <w:sz w:val="24"/>
          <w:szCs w:val="24"/>
        </w:rPr>
        <w:t xml:space="preserve"> otherwise show a stable but declining CQC, thus the current trend indicates that movement in the upper tails could turn insignificant in the future. It might indicate declining significance of </w:t>
      </w:r>
      <w:r w:rsidRPr="00B96DDF">
        <w:rPr>
          <w:rFonts w:ascii="Times New Roman" w:eastAsia="Yu Mincho" w:hAnsi="Times New Roman" w:cs="Times New Roman"/>
          <w:i/>
          <w:iCs/>
          <w:sz w:val="24"/>
          <w:szCs w:val="24"/>
        </w:rPr>
        <w:t>BTC/USD</w:t>
      </w:r>
      <w:r w:rsidRPr="00B96DDF">
        <w:rPr>
          <w:rFonts w:ascii="Times New Roman" w:eastAsia="Yu Mincho" w:hAnsi="Times New Roman" w:cs="Times New Roman"/>
          <w:sz w:val="24"/>
          <w:szCs w:val="24"/>
        </w:rPr>
        <w:t xml:space="preserve"> as a diversification tool. A similar trend is seen in the </w:t>
      </w:r>
      <w:r w:rsidRPr="00B96DDF">
        <w:rPr>
          <w:rFonts w:ascii="Times New Roman" w:eastAsia="Yu Mincho" w:hAnsi="Times New Roman" w:cs="Times New Roman"/>
          <w:i/>
          <w:sz w:val="24"/>
          <w:szCs w:val="24"/>
        </w:rPr>
        <w:t>BTC/CNY</w:t>
      </w:r>
      <w:r w:rsidRPr="00B96DDF">
        <w:rPr>
          <w:rFonts w:ascii="Times New Roman" w:eastAsia="Yu Mincho" w:hAnsi="Times New Roman" w:cs="Times New Roman"/>
          <w:sz w:val="24"/>
          <w:szCs w:val="24"/>
        </w:rPr>
        <w:t xml:space="preserve"> market though related to a sharp decline in 2017-2018, perhaps related their ban on ICO and stricter policy of cryptocurrencies.</w:t>
      </w:r>
      <w:r w:rsidRPr="00B96DDF">
        <w:rPr>
          <w:rStyle w:val="FootnoteReference"/>
          <w:rFonts w:ascii="Times New Roman" w:eastAsia="Yu Mincho" w:hAnsi="Times New Roman"/>
          <w:sz w:val="24"/>
          <w:szCs w:val="24"/>
        </w:rPr>
        <w:footnoteReference w:id="3"/>
      </w:r>
      <w:r w:rsidRPr="00B96DDF">
        <w:rPr>
          <w:rFonts w:ascii="Times New Roman" w:eastAsia="Yu Mincho" w:hAnsi="Times New Roman" w:cs="Times New Roman"/>
          <w:sz w:val="24"/>
          <w:szCs w:val="24"/>
        </w:rPr>
        <w:t xml:space="preserve"> The </w:t>
      </w:r>
      <w:r w:rsidRPr="00B96DDF">
        <w:rPr>
          <w:rFonts w:ascii="Times New Roman" w:eastAsia="Yu Mincho" w:hAnsi="Times New Roman" w:cs="Times New Roman"/>
          <w:i/>
          <w:sz w:val="24"/>
          <w:szCs w:val="24"/>
        </w:rPr>
        <w:t>BTC/JPY</w:t>
      </w:r>
      <w:r w:rsidRPr="00B96DDF">
        <w:rPr>
          <w:rFonts w:ascii="Times New Roman" w:eastAsia="Yu Mincho" w:hAnsi="Times New Roman" w:cs="Times New Roman"/>
          <w:sz w:val="24"/>
          <w:szCs w:val="24"/>
        </w:rPr>
        <w:t xml:space="preserve"> market show strong upper tail CQC with high magnitude of around 0.25-0.3. Hence, the </w:t>
      </w:r>
      <w:r w:rsidRPr="00B96DDF">
        <w:rPr>
          <w:rFonts w:ascii="Times New Roman" w:eastAsia="Yu Mincho" w:hAnsi="Times New Roman" w:cs="Times New Roman"/>
          <w:i/>
          <w:sz w:val="24"/>
          <w:szCs w:val="24"/>
        </w:rPr>
        <w:t xml:space="preserve">BTC/JPY </w:t>
      </w:r>
      <w:r w:rsidRPr="00B96DDF">
        <w:rPr>
          <w:rFonts w:ascii="Times New Roman" w:eastAsia="Yu Mincho" w:hAnsi="Times New Roman" w:cs="Times New Roman"/>
          <w:sz w:val="24"/>
          <w:szCs w:val="24"/>
        </w:rPr>
        <w:t xml:space="preserve">is the most affected by changes in the </w:t>
      </w:r>
      <w:r w:rsidRPr="00B96DDF">
        <w:rPr>
          <w:rFonts w:ascii="Times New Roman" w:eastAsia="Yu Mincho" w:hAnsi="Times New Roman" w:cs="Times New Roman"/>
          <w:i/>
          <w:sz w:val="24"/>
          <w:szCs w:val="24"/>
        </w:rPr>
        <w:t>BTC/USD</w:t>
      </w:r>
      <w:r w:rsidRPr="00B96DDF">
        <w:rPr>
          <w:rFonts w:ascii="Times New Roman" w:eastAsia="Yu Mincho" w:hAnsi="Times New Roman" w:cs="Times New Roman"/>
          <w:sz w:val="24"/>
          <w:szCs w:val="24"/>
        </w:rPr>
        <w:t xml:space="preserve"> market and unlike Urquhart and Zhang (2018) we find that it is not a hedge for bitcoin prices after controlling volatility.</w:t>
      </w:r>
    </w:p>
    <w:p w:rsidR="00A05D94" w:rsidRPr="00B96DDF" w:rsidRDefault="00A05D94" w:rsidP="00F75F54">
      <w:pPr>
        <w:spacing w:line="480" w:lineRule="auto"/>
        <w:jc w:val="center"/>
        <w:rPr>
          <w:rFonts w:ascii="Times New Roman" w:eastAsia="Yu Mincho" w:hAnsi="Times New Roman" w:cs="Times New Roman"/>
          <w:b/>
          <w:sz w:val="24"/>
          <w:szCs w:val="24"/>
        </w:rPr>
      </w:pPr>
      <w:r w:rsidRPr="00B96DDF">
        <w:rPr>
          <w:rFonts w:ascii="Times New Roman" w:eastAsia="Yu Mincho" w:hAnsi="Times New Roman" w:cs="Times New Roman"/>
          <w:b/>
          <w:sz w:val="24"/>
          <w:szCs w:val="24"/>
        </w:rPr>
        <w:t>Insert Figure 2</w:t>
      </w:r>
    </w:p>
    <w:p w:rsidR="00A05D94" w:rsidRDefault="00A05D94" w:rsidP="00F75F54">
      <w:pPr>
        <w:spacing w:line="480" w:lineRule="auto"/>
        <w:jc w:val="center"/>
        <w:rPr>
          <w:rFonts w:ascii="Times New Roman" w:eastAsia="Yu Mincho" w:hAnsi="Times New Roman" w:cs="Times New Roman"/>
          <w:b/>
          <w:sz w:val="24"/>
          <w:szCs w:val="24"/>
        </w:rPr>
      </w:pPr>
      <w:r w:rsidRPr="00B96DDF">
        <w:rPr>
          <w:rFonts w:ascii="Times New Roman" w:eastAsia="Yu Mincho" w:hAnsi="Times New Roman" w:cs="Times New Roman"/>
          <w:b/>
          <w:sz w:val="24"/>
          <w:szCs w:val="24"/>
        </w:rPr>
        <w:lastRenderedPageBreak/>
        <w:t>Insert Figure 3</w:t>
      </w:r>
    </w:p>
    <w:p w:rsidR="00F75F54" w:rsidRDefault="00F75F54" w:rsidP="00F75F54">
      <w:pPr>
        <w:spacing w:line="480" w:lineRule="auto"/>
        <w:jc w:val="center"/>
        <w:rPr>
          <w:rFonts w:ascii="Times New Roman" w:eastAsia="Yu Mincho" w:hAnsi="Times New Roman" w:cs="Times New Roman"/>
          <w:b/>
          <w:sz w:val="24"/>
          <w:szCs w:val="24"/>
        </w:rPr>
      </w:pPr>
    </w:p>
    <w:p w:rsidR="00F75F54" w:rsidRPr="00B96DDF" w:rsidRDefault="00F75F54" w:rsidP="00F75F54">
      <w:pPr>
        <w:spacing w:line="480" w:lineRule="auto"/>
        <w:jc w:val="center"/>
        <w:rPr>
          <w:rFonts w:ascii="Times New Roman" w:eastAsia="Yu Mincho" w:hAnsi="Times New Roman" w:cs="Times New Roman"/>
          <w:b/>
          <w:sz w:val="24"/>
          <w:szCs w:val="24"/>
        </w:rPr>
      </w:pPr>
    </w:p>
    <w:p w:rsidR="00A05D94" w:rsidRPr="00B96DDF" w:rsidRDefault="00A05D94" w:rsidP="00F75F54">
      <w:pPr>
        <w:spacing w:line="480" w:lineRule="auto"/>
        <w:jc w:val="both"/>
        <w:rPr>
          <w:rFonts w:ascii="Times New Roman" w:eastAsia="Yu Mincho" w:hAnsi="Times New Roman" w:cs="Times New Roman"/>
          <w:b/>
          <w:sz w:val="24"/>
          <w:szCs w:val="24"/>
        </w:rPr>
      </w:pPr>
      <w:r w:rsidRPr="00B96DDF">
        <w:rPr>
          <w:rFonts w:ascii="Times New Roman" w:eastAsia="Yu Mincho" w:hAnsi="Times New Roman" w:cs="Times New Roman"/>
          <w:b/>
          <w:sz w:val="24"/>
          <w:szCs w:val="24"/>
        </w:rPr>
        <w:t>3.2 Surface plot results (Figure 3)</w:t>
      </w:r>
    </w:p>
    <w:p w:rsidR="00A05D94" w:rsidRPr="00B96DDF" w:rsidRDefault="00A05D94" w:rsidP="00F75F54">
      <w:pPr>
        <w:spacing w:line="480" w:lineRule="auto"/>
        <w:jc w:val="both"/>
        <w:rPr>
          <w:rFonts w:ascii="Times New Roman" w:eastAsia="Yu Mincho" w:hAnsi="Times New Roman" w:cs="Times New Roman"/>
          <w:sz w:val="24"/>
          <w:szCs w:val="24"/>
        </w:rPr>
      </w:pPr>
      <w:r w:rsidRPr="00B96DDF">
        <w:rPr>
          <w:rFonts w:ascii="Times New Roman" w:eastAsia="Yu Mincho" w:hAnsi="Times New Roman" w:cs="Times New Roman"/>
          <w:sz w:val="24"/>
          <w:szCs w:val="24"/>
        </w:rPr>
        <w:t xml:space="preserve">In the lower tail (left column) there is an overall higher cross-quantilogram correlation in the earlier time periods than towards the end especially for, JPY, EUR, GBP and CNY. This shows that US bitcoin market had a larger impact in the earlier days towards other major markets. This could be due to institutional factors such as the BTC exchange in NYC making price discovery faster in </w:t>
      </w:r>
      <w:r w:rsidRPr="00B96DDF">
        <w:rPr>
          <w:rFonts w:ascii="Times New Roman" w:eastAsia="Yu Mincho" w:hAnsi="Times New Roman" w:cs="Times New Roman"/>
          <w:i/>
          <w:sz w:val="24"/>
          <w:szCs w:val="24"/>
        </w:rPr>
        <w:t>BTC/USD</w:t>
      </w:r>
      <w:r w:rsidRPr="00B96DDF">
        <w:rPr>
          <w:rFonts w:ascii="Times New Roman" w:eastAsia="Yu Mincho" w:hAnsi="Times New Roman" w:cs="Times New Roman"/>
          <w:sz w:val="24"/>
          <w:szCs w:val="24"/>
        </w:rPr>
        <w:t>.</w:t>
      </w:r>
    </w:p>
    <w:p w:rsidR="00A05D94" w:rsidRDefault="00A05D94" w:rsidP="00F75F54">
      <w:pPr>
        <w:spacing w:line="480" w:lineRule="auto"/>
        <w:jc w:val="both"/>
        <w:rPr>
          <w:rFonts w:ascii="Times New Roman" w:eastAsia="Yu Mincho" w:hAnsi="Times New Roman" w:cs="Times New Roman"/>
          <w:sz w:val="24"/>
          <w:szCs w:val="24"/>
        </w:rPr>
      </w:pPr>
      <w:r w:rsidRPr="00B96DDF">
        <w:rPr>
          <w:rFonts w:ascii="Times New Roman" w:eastAsia="Yu Mincho" w:hAnsi="Times New Roman" w:cs="Times New Roman"/>
          <w:sz w:val="24"/>
          <w:szCs w:val="24"/>
        </w:rPr>
        <w:t xml:space="preserve">In the right tail dependence there is a higher commonality in the pattern, especially for </w:t>
      </w:r>
      <w:r w:rsidRPr="00B96DDF">
        <w:rPr>
          <w:rFonts w:ascii="Times New Roman" w:eastAsia="Yu Mincho" w:hAnsi="Times New Roman" w:cs="Times New Roman"/>
          <w:i/>
          <w:sz w:val="24"/>
          <w:szCs w:val="24"/>
        </w:rPr>
        <w:t>BTC/GBP</w:t>
      </w:r>
      <w:r w:rsidRPr="00B96DDF">
        <w:rPr>
          <w:rFonts w:ascii="Times New Roman" w:eastAsia="Yu Mincho" w:hAnsi="Times New Roman" w:cs="Times New Roman"/>
          <w:sz w:val="24"/>
          <w:szCs w:val="24"/>
        </w:rPr>
        <w:t xml:space="preserve"> and </w:t>
      </w:r>
      <w:r w:rsidRPr="00B96DDF">
        <w:rPr>
          <w:rFonts w:ascii="Times New Roman" w:eastAsia="Yu Mincho" w:hAnsi="Times New Roman" w:cs="Times New Roman"/>
          <w:i/>
          <w:sz w:val="24"/>
          <w:szCs w:val="24"/>
        </w:rPr>
        <w:t>BTC/EUR</w:t>
      </w:r>
      <w:r w:rsidRPr="00B96DDF">
        <w:rPr>
          <w:rFonts w:ascii="Times New Roman" w:eastAsia="Yu Mincho" w:hAnsi="Times New Roman" w:cs="Times New Roman"/>
          <w:sz w:val="24"/>
          <w:szCs w:val="24"/>
        </w:rPr>
        <w:t xml:space="preserve"> markets with rather strong CQC in the first, weekly and biweekly lag. However, that pattern disappears by 2015 perhaps related to the closure of Bitcoin Center NYC that boosted price information in </w:t>
      </w:r>
      <w:r w:rsidRPr="00B96DDF">
        <w:rPr>
          <w:rFonts w:ascii="Times New Roman" w:eastAsia="Yu Mincho" w:hAnsi="Times New Roman" w:cs="Times New Roman"/>
          <w:i/>
          <w:sz w:val="24"/>
          <w:szCs w:val="24"/>
        </w:rPr>
        <w:t>BTC/USD</w:t>
      </w:r>
      <w:r w:rsidRPr="00B96DDF">
        <w:rPr>
          <w:rFonts w:ascii="Times New Roman" w:eastAsia="Yu Mincho" w:hAnsi="Times New Roman" w:cs="Times New Roman"/>
          <w:sz w:val="24"/>
          <w:szCs w:val="24"/>
        </w:rPr>
        <w:t xml:space="preserve"> market, leading to unrealised arbitrage opportunities, see Makarov and Schoar (2018). The low arbitrage opportunities could also somewhat explain the overall low CQC. The lower quantile spillovers are also heterogeneous across markets and should therefore point to low systemic risk between USD and other markets. Hence, diversification across markets is potentially beneficial.</w:t>
      </w:r>
    </w:p>
    <w:p w:rsidR="00F75F54" w:rsidRPr="00B96DDF" w:rsidRDefault="00F75F54" w:rsidP="00F75F54">
      <w:pPr>
        <w:spacing w:line="480" w:lineRule="auto"/>
        <w:jc w:val="both"/>
        <w:rPr>
          <w:rFonts w:ascii="Times New Roman" w:eastAsia="Yu Mincho" w:hAnsi="Times New Roman" w:cs="Times New Roman"/>
          <w:sz w:val="24"/>
          <w:szCs w:val="24"/>
        </w:rPr>
      </w:pPr>
    </w:p>
    <w:p w:rsidR="00A05D94" w:rsidRPr="00B96DDF" w:rsidRDefault="00A05D94" w:rsidP="00F75F54">
      <w:pPr>
        <w:spacing w:line="480" w:lineRule="auto"/>
        <w:jc w:val="both"/>
        <w:rPr>
          <w:rFonts w:ascii="Times New Roman" w:hAnsi="Times New Roman" w:cs="Times New Roman"/>
          <w:b/>
          <w:sz w:val="24"/>
          <w:szCs w:val="24"/>
        </w:rPr>
      </w:pPr>
      <w:r w:rsidRPr="00B96DDF">
        <w:rPr>
          <w:rFonts w:ascii="Times New Roman" w:hAnsi="Times New Roman" w:cs="Times New Roman"/>
          <w:b/>
          <w:sz w:val="24"/>
          <w:szCs w:val="24"/>
        </w:rPr>
        <w:t>4. Conclusions and implications</w:t>
      </w:r>
    </w:p>
    <w:p w:rsidR="00A05D94" w:rsidRDefault="00A05D94" w:rsidP="00F75F54">
      <w:pPr>
        <w:spacing w:line="480" w:lineRule="auto"/>
        <w:jc w:val="both"/>
        <w:rPr>
          <w:rFonts w:ascii="Times New Roman" w:hAnsi="Times New Roman" w:cs="Times New Roman"/>
          <w:sz w:val="24"/>
          <w:szCs w:val="24"/>
        </w:rPr>
      </w:pPr>
      <w:r w:rsidRPr="00B96DDF">
        <w:rPr>
          <w:rFonts w:ascii="Times New Roman" w:hAnsi="Times New Roman" w:cs="Times New Roman"/>
          <w:sz w:val="24"/>
          <w:szCs w:val="24"/>
        </w:rPr>
        <w:t xml:space="preserve">Our rolling sample estimation of cross-quantilogram analysis </w:t>
      </w:r>
      <w:r w:rsidRPr="00B96DDF">
        <w:rPr>
          <w:rFonts w:ascii="Times New Roman" w:eastAsia="Yu Mincho" w:hAnsi="Times New Roman" w:cs="Times New Roman"/>
          <w:sz w:val="24"/>
          <w:szCs w:val="24"/>
        </w:rPr>
        <w:t xml:space="preserve">suggests a stronger co-movement between the </w:t>
      </w:r>
      <w:r w:rsidRPr="00B96DDF">
        <w:rPr>
          <w:rFonts w:ascii="Times New Roman" w:eastAsia="Yu Mincho" w:hAnsi="Times New Roman" w:cs="Times New Roman"/>
          <w:i/>
          <w:sz w:val="24"/>
          <w:szCs w:val="24"/>
        </w:rPr>
        <w:t>BTC/USD</w:t>
      </w:r>
      <w:r w:rsidRPr="00B96DDF">
        <w:rPr>
          <w:rFonts w:ascii="Times New Roman" w:eastAsia="Yu Mincho" w:hAnsi="Times New Roman" w:cs="Times New Roman"/>
          <w:sz w:val="24"/>
          <w:szCs w:val="24"/>
        </w:rPr>
        <w:t xml:space="preserve"> market and the Southeast Asian market, with especially the Japanese bitcoin market showing stronger connectedness to the </w:t>
      </w:r>
      <w:r w:rsidRPr="00B96DDF">
        <w:rPr>
          <w:rFonts w:ascii="Times New Roman" w:eastAsia="Yu Mincho" w:hAnsi="Times New Roman" w:cs="Times New Roman"/>
          <w:i/>
          <w:sz w:val="24"/>
          <w:szCs w:val="24"/>
        </w:rPr>
        <w:t>BTC/USD</w:t>
      </w:r>
      <w:r w:rsidRPr="00B96DDF">
        <w:rPr>
          <w:rFonts w:ascii="Times New Roman" w:eastAsia="Yu Mincho" w:hAnsi="Times New Roman" w:cs="Times New Roman"/>
          <w:sz w:val="24"/>
          <w:szCs w:val="24"/>
        </w:rPr>
        <w:t xml:space="preserve"> market. </w:t>
      </w:r>
      <w:r w:rsidRPr="00B96DDF">
        <w:rPr>
          <w:rFonts w:ascii="Times New Roman" w:hAnsi="Times New Roman" w:cs="Times New Roman"/>
          <w:sz w:val="24"/>
          <w:szCs w:val="24"/>
        </w:rPr>
        <w:t xml:space="preserve">Full characterisation using quantile dependence has relevance both to investors and policy </w:t>
      </w:r>
      <w:r w:rsidRPr="00B96DDF">
        <w:rPr>
          <w:rFonts w:ascii="Times New Roman" w:hAnsi="Times New Roman" w:cs="Times New Roman"/>
          <w:sz w:val="24"/>
          <w:szCs w:val="24"/>
        </w:rPr>
        <w:lastRenderedPageBreak/>
        <w:t>makers. Greater correlation at higher quantiles between two Bitcoin markets reflect high synchronization between markets and a full cross-movement of volatility. A system-wide failure may result if investors disregard information content of correlation in other parts of the distribution.</w:t>
      </w:r>
    </w:p>
    <w:p w:rsidR="00A05D94" w:rsidRPr="00F75F54" w:rsidRDefault="00A05D94" w:rsidP="00F75F54">
      <w:pPr>
        <w:spacing w:line="360" w:lineRule="auto"/>
        <w:jc w:val="center"/>
        <w:rPr>
          <w:rFonts w:ascii="Times New Roman" w:hAnsi="Times New Roman" w:cs="Times New Roman"/>
          <w:b/>
          <w:sz w:val="26"/>
          <w:szCs w:val="24"/>
          <w:lang w:val="sv-SE"/>
        </w:rPr>
      </w:pPr>
      <w:r w:rsidRPr="00F75F54">
        <w:rPr>
          <w:rFonts w:ascii="Times New Roman" w:hAnsi="Times New Roman" w:cs="Times New Roman"/>
          <w:b/>
          <w:sz w:val="26"/>
          <w:szCs w:val="24"/>
          <w:lang w:val="sv-SE"/>
        </w:rPr>
        <w:t>References</w:t>
      </w:r>
    </w:p>
    <w:p w:rsidR="0015689A" w:rsidRPr="00B96DDF" w:rsidRDefault="0015689A" w:rsidP="007A77FC">
      <w:pPr>
        <w:jc w:val="both"/>
        <w:rPr>
          <w:rFonts w:ascii="Times New Roman" w:hAnsi="Times New Roman" w:cs="Times New Roman"/>
          <w:sz w:val="24"/>
          <w:szCs w:val="24"/>
        </w:rPr>
      </w:pPr>
    </w:p>
    <w:p w:rsidR="0015689A" w:rsidRPr="00B96DDF" w:rsidRDefault="0015689A" w:rsidP="007A77FC">
      <w:pPr>
        <w:jc w:val="both"/>
        <w:rPr>
          <w:rFonts w:ascii="Times New Roman" w:hAnsi="Times New Roman" w:cs="Times New Roman"/>
          <w:sz w:val="24"/>
          <w:szCs w:val="24"/>
        </w:rPr>
      </w:pPr>
    </w:p>
    <w:p w:rsidR="0015689A" w:rsidRPr="00FB389F" w:rsidRDefault="0015689A" w:rsidP="0015689A">
      <w:pPr>
        <w:spacing w:line="360" w:lineRule="auto"/>
        <w:jc w:val="both"/>
        <w:rPr>
          <w:rFonts w:ascii="Times New Roman" w:hAnsi="Times New Roman" w:cs="Times New Roman"/>
          <w:color w:val="0000CC"/>
          <w:sz w:val="24"/>
          <w:szCs w:val="24"/>
          <w:shd w:val="clear" w:color="auto" w:fill="FFFFFF"/>
          <w:lang w:val="en-US"/>
        </w:rPr>
      </w:pPr>
      <w:r w:rsidRPr="0015689A">
        <w:rPr>
          <w:rFonts w:ascii="Times New Roman" w:hAnsi="Times New Roman" w:cs="Times New Roman"/>
          <w:color w:val="0000CC"/>
          <w:sz w:val="24"/>
          <w:szCs w:val="24"/>
          <w:shd w:val="clear" w:color="auto" w:fill="FFFFFF"/>
          <w:lang w:val="sv-SE"/>
        </w:rPr>
        <w:t xml:space="preserve">Al Mamun, M., Uddin, G. S., Suleman, M. T., &amp; Kang, S. H. (2020). </w:t>
      </w:r>
      <w:r w:rsidRPr="00FB389F">
        <w:rPr>
          <w:rFonts w:ascii="Times New Roman" w:hAnsi="Times New Roman" w:cs="Times New Roman"/>
          <w:color w:val="0000CC"/>
          <w:sz w:val="24"/>
          <w:szCs w:val="24"/>
          <w:shd w:val="clear" w:color="auto" w:fill="FFFFFF"/>
          <w:lang w:val="en-US"/>
        </w:rPr>
        <w:t>Geopolitical risk, uncertainty and Bitcoin investment. </w:t>
      </w:r>
      <w:r w:rsidRPr="00FB389F">
        <w:rPr>
          <w:rFonts w:ascii="Times New Roman" w:hAnsi="Times New Roman" w:cs="Times New Roman"/>
          <w:i/>
          <w:iCs/>
          <w:color w:val="0000CC"/>
          <w:sz w:val="24"/>
          <w:szCs w:val="24"/>
          <w:shd w:val="clear" w:color="auto" w:fill="FFFFFF"/>
          <w:lang w:val="en-US"/>
        </w:rPr>
        <w:t>Physica A: Statistical Mechanics and its Applications</w:t>
      </w:r>
      <w:r w:rsidRPr="00FB389F">
        <w:rPr>
          <w:rFonts w:ascii="Times New Roman" w:hAnsi="Times New Roman" w:cs="Times New Roman"/>
          <w:color w:val="0000CC"/>
          <w:sz w:val="24"/>
          <w:szCs w:val="24"/>
          <w:shd w:val="clear" w:color="auto" w:fill="FFFFFF"/>
          <w:lang w:val="en-US"/>
        </w:rPr>
        <w:t>, 540, 123107.</w:t>
      </w:r>
    </w:p>
    <w:p w:rsidR="0015689A" w:rsidRPr="00B96DDF" w:rsidRDefault="0015689A" w:rsidP="007A77FC">
      <w:pPr>
        <w:spacing w:line="276" w:lineRule="auto"/>
        <w:jc w:val="both"/>
        <w:rPr>
          <w:rFonts w:ascii="Times New Roman" w:hAnsi="Times New Roman" w:cs="Times New Roman"/>
          <w:sz w:val="24"/>
          <w:szCs w:val="24"/>
        </w:rPr>
      </w:pPr>
      <w:r w:rsidRPr="00B96DDF">
        <w:rPr>
          <w:rFonts w:ascii="Times New Roman" w:hAnsi="Times New Roman" w:cs="Times New Roman"/>
          <w:sz w:val="24"/>
          <w:szCs w:val="24"/>
          <w:lang w:val="sv-SE"/>
        </w:rPr>
        <w:t xml:space="preserve">Brandvold, M., Monár, P., Vagstad, K., &amp; Valstad, O.C.A. (2015). </w:t>
      </w:r>
      <w:r w:rsidRPr="00B96DDF">
        <w:rPr>
          <w:rFonts w:ascii="Times New Roman" w:hAnsi="Times New Roman" w:cs="Times New Roman"/>
          <w:sz w:val="24"/>
          <w:szCs w:val="24"/>
        </w:rPr>
        <w:t>Price Discovery on Bitcoin exchanges. Journal of International Financial Markets, Institutions &amp; Money, 36, 18-35.</w:t>
      </w:r>
    </w:p>
    <w:p w:rsidR="0015689A" w:rsidRPr="00FB389F" w:rsidRDefault="0015689A" w:rsidP="0015689A">
      <w:pPr>
        <w:spacing w:line="360" w:lineRule="auto"/>
        <w:jc w:val="both"/>
        <w:rPr>
          <w:rFonts w:ascii="Times New Roman" w:hAnsi="Times New Roman" w:cs="Times New Roman"/>
          <w:color w:val="0000CC"/>
          <w:sz w:val="24"/>
          <w:szCs w:val="24"/>
          <w:shd w:val="clear" w:color="auto" w:fill="FFFFFF"/>
          <w:lang w:val="en-US"/>
        </w:rPr>
      </w:pPr>
      <w:r w:rsidRPr="00FB389F">
        <w:rPr>
          <w:rFonts w:ascii="Times New Roman" w:hAnsi="Times New Roman" w:cs="Times New Roman"/>
          <w:color w:val="0000CC"/>
          <w:sz w:val="24"/>
          <w:szCs w:val="24"/>
          <w:shd w:val="clear" w:color="auto" w:fill="FFFFFF"/>
          <w:lang w:val="en-US"/>
        </w:rPr>
        <w:t>Cheah, E. T., &amp; Fry, J. (2015). Speculative bubbles in Bitcoin markets? An empirical investigation into the fundamental value of Bitcoin. </w:t>
      </w:r>
      <w:r w:rsidRPr="00FB389F">
        <w:rPr>
          <w:rFonts w:ascii="Times New Roman" w:hAnsi="Times New Roman" w:cs="Times New Roman"/>
          <w:i/>
          <w:iCs/>
          <w:color w:val="0000CC"/>
          <w:sz w:val="24"/>
          <w:szCs w:val="24"/>
          <w:shd w:val="clear" w:color="auto" w:fill="FFFFFF"/>
          <w:lang w:val="en-US"/>
        </w:rPr>
        <w:t>Economics Letters</w:t>
      </w:r>
      <w:r w:rsidRPr="00FB389F">
        <w:rPr>
          <w:rFonts w:ascii="Times New Roman" w:hAnsi="Times New Roman" w:cs="Times New Roman"/>
          <w:color w:val="0000CC"/>
          <w:sz w:val="24"/>
          <w:szCs w:val="24"/>
          <w:shd w:val="clear" w:color="auto" w:fill="FFFFFF"/>
          <w:lang w:val="en-US"/>
        </w:rPr>
        <w:t>, </w:t>
      </w:r>
      <w:r w:rsidRPr="00FB389F">
        <w:rPr>
          <w:rFonts w:ascii="Times New Roman" w:hAnsi="Times New Roman" w:cs="Times New Roman"/>
          <w:i/>
          <w:iCs/>
          <w:color w:val="0000CC"/>
          <w:sz w:val="24"/>
          <w:szCs w:val="24"/>
          <w:shd w:val="clear" w:color="auto" w:fill="FFFFFF"/>
          <w:lang w:val="en-US"/>
        </w:rPr>
        <w:t>130</w:t>
      </w:r>
      <w:r w:rsidRPr="00FB389F">
        <w:rPr>
          <w:rFonts w:ascii="Times New Roman" w:hAnsi="Times New Roman" w:cs="Times New Roman"/>
          <w:color w:val="0000CC"/>
          <w:sz w:val="24"/>
          <w:szCs w:val="24"/>
          <w:shd w:val="clear" w:color="auto" w:fill="FFFFFF"/>
          <w:lang w:val="en-US"/>
        </w:rPr>
        <w:t>, 32-36.</w:t>
      </w:r>
    </w:p>
    <w:p w:rsidR="0015689A" w:rsidRDefault="0015689A" w:rsidP="007A77FC">
      <w:pPr>
        <w:jc w:val="both"/>
        <w:rPr>
          <w:rFonts w:ascii="Times New Roman" w:hAnsi="Times New Roman" w:cs="Times New Roman"/>
          <w:color w:val="222222"/>
          <w:sz w:val="24"/>
          <w:szCs w:val="24"/>
          <w:shd w:val="clear" w:color="auto" w:fill="FFFFFF"/>
        </w:rPr>
      </w:pPr>
      <w:r w:rsidRPr="00B96DDF">
        <w:rPr>
          <w:rFonts w:ascii="Times New Roman" w:hAnsi="Times New Roman" w:cs="Times New Roman"/>
          <w:color w:val="222222"/>
          <w:sz w:val="24"/>
          <w:szCs w:val="24"/>
          <w:shd w:val="clear" w:color="auto" w:fill="FFFFFF"/>
        </w:rPr>
        <w:t>Corbet, S., Meegan, A., Larkin, C., Lucey, B., &amp; Yarovaya, L. (2018). Exploring the dynamic relationships between cryptocurrencies and other financial assets. </w:t>
      </w:r>
      <w:r w:rsidRPr="00B96DDF">
        <w:rPr>
          <w:rFonts w:ascii="Times New Roman" w:hAnsi="Times New Roman" w:cs="Times New Roman"/>
          <w:i/>
          <w:iCs/>
          <w:color w:val="222222"/>
          <w:sz w:val="24"/>
          <w:szCs w:val="24"/>
          <w:shd w:val="clear" w:color="auto" w:fill="FFFFFF"/>
        </w:rPr>
        <w:t>Economics Letters</w:t>
      </w:r>
      <w:r w:rsidRPr="00B96DDF">
        <w:rPr>
          <w:rFonts w:ascii="Times New Roman" w:hAnsi="Times New Roman" w:cs="Times New Roman"/>
          <w:color w:val="222222"/>
          <w:sz w:val="24"/>
          <w:szCs w:val="24"/>
          <w:shd w:val="clear" w:color="auto" w:fill="FFFFFF"/>
        </w:rPr>
        <w:t>, </w:t>
      </w:r>
      <w:r w:rsidRPr="00B96DDF">
        <w:rPr>
          <w:rFonts w:ascii="Times New Roman" w:hAnsi="Times New Roman" w:cs="Times New Roman"/>
          <w:i/>
          <w:iCs/>
          <w:color w:val="222222"/>
          <w:sz w:val="24"/>
          <w:szCs w:val="24"/>
          <w:shd w:val="clear" w:color="auto" w:fill="FFFFFF"/>
        </w:rPr>
        <w:t>165</w:t>
      </w:r>
      <w:r w:rsidRPr="00B96DDF">
        <w:rPr>
          <w:rFonts w:ascii="Times New Roman" w:hAnsi="Times New Roman" w:cs="Times New Roman"/>
          <w:color w:val="222222"/>
          <w:sz w:val="24"/>
          <w:szCs w:val="24"/>
          <w:shd w:val="clear" w:color="auto" w:fill="FFFFFF"/>
        </w:rPr>
        <w:t>, 28-34.</w:t>
      </w:r>
    </w:p>
    <w:p w:rsidR="0015689A" w:rsidRPr="00B96DDF" w:rsidRDefault="0015689A" w:rsidP="007A77FC">
      <w:pPr>
        <w:spacing w:line="276" w:lineRule="auto"/>
        <w:jc w:val="both"/>
        <w:rPr>
          <w:rFonts w:ascii="Times New Roman" w:hAnsi="Times New Roman" w:cs="Times New Roman"/>
          <w:sz w:val="24"/>
          <w:szCs w:val="24"/>
          <w:shd w:val="clear" w:color="auto" w:fill="FFFFFF"/>
          <w:lang w:val="en-US"/>
        </w:rPr>
      </w:pPr>
      <w:r w:rsidRPr="00B96DDF">
        <w:rPr>
          <w:rFonts w:ascii="Times New Roman" w:hAnsi="Times New Roman" w:cs="Times New Roman"/>
          <w:sz w:val="24"/>
          <w:szCs w:val="24"/>
          <w:shd w:val="clear" w:color="auto" w:fill="FFFFFF"/>
          <w:lang w:val="en-US"/>
        </w:rPr>
        <w:t>Gillaizeau, M., Jayasekera, R., Maaitah, A., Mishra, T., Parhi, M., &amp; Volokitina, E. (2019). Giver and the receiver: Understanding spillover effects and predictive power in cross-market Bitcoin prices. </w:t>
      </w:r>
      <w:r w:rsidRPr="00B96DDF">
        <w:rPr>
          <w:rFonts w:ascii="Times New Roman" w:hAnsi="Times New Roman" w:cs="Times New Roman"/>
          <w:i/>
          <w:iCs/>
          <w:sz w:val="24"/>
          <w:szCs w:val="24"/>
          <w:shd w:val="clear" w:color="auto" w:fill="FFFFFF"/>
          <w:lang w:val="en-US"/>
        </w:rPr>
        <w:t>International Review of Financial Analysis</w:t>
      </w:r>
      <w:r w:rsidRPr="00B96DDF">
        <w:rPr>
          <w:rFonts w:ascii="Times New Roman" w:hAnsi="Times New Roman" w:cs="Times New Roman"/>
          <w:sz w:val="24"/>
          <w:szCs w:val="24"/>
          <w:shd w:val="clear" w:color="auto" w:fill="FFFFFF"/>
          <w:lang w:val="en-US"/>
        </w:rPr>
        <w:t>.(forthcoming)</w:t>
      </w:r>
    </w:p>
    <w:p w:rsidR="0015689A" w:rsidRPr="00FB389F" w:rsidRDefault="0015689A" w:rsidP="0015689A">
      <w:pPr>
        <w:spacing w:line="360" w:lineRule="auto"/>
        <w:jc w:val="both"/>
        <w:rPr>
          <w:rFonts w:ascii="Times New Roman" w:hAnsi="Times New Roman" w:cs="Times New Roman"/>
          <w:color w:val="0000CC"/>
          <w:sz w:val="24"/>
          <w:szCs w:val="24"/>
          <w:shd w:val="clear" w:color="auto" w:fill="FFFFFF"/>
          <w:lang w:val="en-US"/>
        </w:rPr>
      </w:pPr>
      <w:r w:rsidRPr="00FB389F">
        <w:rPr>
          <w:rFonts w:ascii="Times New Roman" w:hAnsi="Times New Roman" w:cs="Times New Roman"/>
          <w:color w:val="0000CC"/>
          <w:sz w:val="24"/>
          <w:szCs w:val="24"/>
          <w:shd w:val="clear" w:color="auto" w:fill="FFFFFF"/>
          <w:lang w:val="en-US"/>
        </w:rPr>
        <w:t>Guesmi, K., Saadi, S., Abid, I., &amp; Ftiti, Z. (2019). Portfolio diversification with virtual currency: Evidence from bitcoin. </w:t>
      </w:r>
      <w:r w:rsidRPr="00FB389F">
        <w:rPr>
          <w:rFonts w:ascii="Times New Roman" w:hAnsi="Times New Roman" w:cs="Times New Roman"/>
          <w:i/>
          <w:iCs/>
          <w:color w:val="0000CC"/>
          <w:sz w:val="24"/>
          <w:szCs w:val="24"/>
          <w:shd w:val="clear" w:color="auto" w:fill="FFFFFF"/>
          <w:lang w:val="en-US"/>
        </w:rPr>
        <w:t>International Review of Financial Analysis</w:t>
      </w:r>
      <w:r w:rsidRPr="00FB389F">
        <w:rPr>
          <w:rFonts w:ascii="Times New Roman" w:hAnsi="Times New Roman" w:cs="Times New Roman"/>
          <w:color w:val="0000CC"/>
          <w:sz w:val="24"/>
          <w:szCs w:val="24"/>
          <w:shd w:val="clear" w:color="auto" w:fill="FFFFFF"/>
          <w:lang w:val="en-US"/>
        </w:rPr>
        <w:t>, </w:t>
      </w:r>
      <w:r w:rsidRPr="00FB389F">
        <w:rPr>
          <w:rFonts w:ascii="Times New Roman" w:hAnsi="Times New Roman" w:cs="Times New Roman"/>
          <w:i/>
          <w:iCs/>
          <w:color w:val="0000CC"/>
          <w:sz w:val="24"/>
          <w:szCs w:val="24"/>
          <w:shd w:val="clear" w:color="auto" w:fill="FFFFFF"/>
          <w:lang w:val="en-US"/>
        </w:rPr>
        <w:t>63</w:t>
      </w:r>
      <w:r w:rsidRPr="00FB389F">
        <w:rPr>
          <w:rFonts w:ascii="Times New Roman" w:hAnsi="Times New Roman" w:cs="Times New Roman"/>
          <w:color w:val="0000CC"/>
          <w:sz w:val="24"/>
          <w:szCs w:val="24"/>
          <w:shd w:val="clear" w:color="auto" w:fill="FFFFFF"/>
          <w:lang w:val="en-US"/>
        </w:rPr>
        <w:t>, 431-437.</w:t>
      </w:r>
    </w:p>
    <w:p w:rsidR="0015689A" w:rsidRPr="00B96DDF" w:rsidRDefault="0015689A" w:rsidP="007A77FC">
      <w:pPr>
        <w:spacing w:line="276" w:lineRule="auto"/>
        <w:jc w:val="both"/>
        <w:rPr>
          <w:rFonts w:ascii="Times New Roman" w:hAnsi="Times New Roman" w:cs="Times New Roman"/>
          <w:sz w:val="24"/>
          <w:szCs w:val="24"/>
          <w:lang w:val="en-US"/>
        </w:rPr>
      </w:pPr>
      <w:r w:rsidRPr="0015689A">
        <w:rPr>
          <w:rFonts w:ascii="Times New Roman" w:hAnsi="Times New Roman" w:cs="Times New Roman"/>
          <w:sz w:val="24"/>
          <w:szCs w:val="24"/>
          <w:lang w:val="sv-SE"/>
        </w:rPr>
        <w:t xml:space="preserve">Han, H., Linton, O., Oka, T., &amp; Whang, Y. J. (2016). </w:t>
      </w:r>
      <w:r w:rsidRPr="00B96DDF">
        <w:rPr>
          <w:rFonts w:ascii="Times New Roman" w:hAnsi="Times New Roman" w:cs="Times New Roman"/>
          <w:sz w:val="24"/>
          <w:szCs w:val="24"/>
          <w:lang w:val="en-US"/>
        </w:rPr>
        <w:t>The cross-quantilogram: measuring quantile dependence and testing directional predictability between time series. Journal of Econometrics, 193(1), 251-270.</w:t>
      </w:r>
    </w:p>
    <w:p w:rsidR="0015689A" w:rsidRPr="00FB389F" w:rsidRDefault="0015689A" w:rsidP="0015689A">
      <w:pPr>
        <w:spacing w:line="360" w:lineRule="auto"/>
        <w:jc w:val="both"/>
        <w:rPr>
          <w:rFonts w:ascii="Times New Roman" w:hAnsi="Times New Roman" w:cs="Times New Roman"/>
          <w:color w:val="0000CC"/>
          <w:sz w:val="24"/>
          <w:szCs w:val="24"/>
          <w:shd w:val="clear" w:color="auto" w:fill="FFFFFF"/>
          <w:lang w:val="en-US"/>
        </w:rPr>
      </w:pPr>
      <w:r w:rsidRPr="002E6ED8">
        <w:rPr>
          <w:rFonts w:ascii="Times New Roman" w:hAnsi="Times New Roman" w:cs="Times New Roman"/>
          <w:color w:val="0000CC"/>
          <w:sz w:val="24"/>
          <w:szCs w:val="24"/>
          <w:shd w:val="clear" w:color="auto" w:fill="FFFFFF"/>
          <w:lang w:val="sv-SE"/>
        </w:rPr>
        <w:t xml:space="preserve">Kang, S. H., Yoon, S. M., Bekiros, S., &amp; Uddin, G. S. (2019). </w:t>
      </w:r>
      <w:r w:rsidRPr="00FB389F">
        <w:rPr>
          <w:rFonts w:ascii="Times New Roman" w:hAnsi="Times New Roman" w:cs="Times New Roman"/>
          <w:color w:val="0000CC"/>
          <w:sz w:val="24"/>
          <w:szCs w:val="24"/>
          <w:shd w:val="clear" w:color="auto" w:fill="FFFFFF"/>
          <w:lang w:val="en-US"/>
        </w:rPr>
        <w:t>Bitcoin as Hedge or Safe Haven: Evidence from Stock, Currency, Bond and Derivatives Markets. </w:t>
      </w:r>
      <w:r w:rsidRPr="00FB389F">
        <w:rPr>
          <w:rFonts w:ascii="Times New Roman" w:hAnsi="Times New Roman" w:cs="Times New Roman"/>
          <w:i/>
          <w:iCs/>
          <w:color w:val="0000CC"/>
          <w:sz w:val="24"/>
          <w:szCs w:val="24"/>
          <w:shd w:val="clear" w:color="auto" w:fill="FFFFFF"/>
          <w:lang w:val="en-US"/>
        </w:rPr>
        <w:t>Computational Economics</w:t>
      </w:r>
      <w:r w:rsidRPr="00FB389F">
        <w:rPr>
          <w:rFonts w:ascii="Times New Roman" w:hAnsi="Times New Roman" w:cs="Times New Roman"/>
          <w:color w:val="0000CC"/>
          <w:sz w:val="24"/>
          <w:szCs w:val="24"/>
          <w:shd w:val="clear" w:color="auto" w:fill="FFFFFF"/>
          <w:lang w:val="en-US"/>
        </w:rPr>
        <w:t>, 1-17.</w:t>
      </w:r>
    </w:p>
    <w:p w:rsidR="0015689A" w:rsidRPr="00FB389F" w:rsidRDefault="0015689A" w:rsidP="0015689A">
      <w:pPr>
        <w:spacing w:line="360" w:lineRule="auto"/>
        <w:jc w:val="both"/>
        <w:rPr>
          <w:rFonts w:ascii="Times New Roman" w:hAnsi="Times New Roman" w:cs="Times New Roman"/>
          <w:color w:val="0000CC"/>
          <w:sz w:val="24"/>
          <w:szCs w:val="24"/>
          <w:shd w:val="clear" w:color="auto" w:fill="FFFFFF"/>
          <w:lang w:val="en-US"/>
        </w:rPr>
      </w:pPr>
      <w:r w:rsidRPr="00FB389F">
        <w:rPr>
          <w:rFonts w:ascii="Times New Roman" w:hAnsi="Times New Roman" w:cs="Times New Roman"/>
          <w:color w:val="0000CC"/>
          <w:sz w:val="24"/>
          <w:szCs w:val="24"/>
          <w:shd w:val="clear" w:color="auto" w:fill="FFFFFF"/>
          <w:lang w:val="en-US"/>
        </w:rPr>
        <w:t>Katsiampa, P. (2017). Volatility estimation for Bitcoin: A comparison of GARCH models. </w:t>
      </w:r>
      <w:r w:rsidRPr="00FB389F">
        <w:rPr>
          <w:rFonts w:ascii="Times New Roman" w:hAnsi="Times New Roman" w:cs="Times New Roman"/>
          <w:i/>
          <w:iCs/>
          <w:color w:val="0000CC"/>
          <w:sz w:val="24"/>
          <w:szCs w:val="24"/>
          <w:shd w:val="clear" w:color="auto" w:fill="FFFFFF"/>
          <w:lang w:val="en-US"/>
        </w:rPr>
        <w:t>Economics Letters</w:t>
      </w:r>
      <w:r w:rsidRPr="00FB389F">
        <w:rPr>
          <w:rFonts w:ascii="Times New Roman" w:hAnsi="Times New Roman" w:cs="Times New Roman"/>
          <w:color w:val="0000CC"/>
          <w:sz w:val="24"/>
          <w:szCs w:val="24"/>
          <w:shd w:val="clear" w:color="auto" w:fill="FFFFFF"/>
          <w:lang w:val="en-US"/>
        </w:rPr>
        <w:t>, </w:t>
      </w:r>
      <w:r w:rsidRPr="00FB389F">
        <w:rPr>
          <w:rFonts w:ascii="Times New Roman" w:hAnsi="Times New Roman" w:cs="Times New Roman"/>
          <w:i/>
          <w:iCs/>
          <w:color w:val="0000CC"/>
          <w:sz w:val="24"/>
          <w:szCs w:val="24"/>
          <w:shd w:val="clear" w:color="auto" w:fill="FFFFFF"/>
          <w:lang w:val="en-US"/>
        </w:rPr>
        <w:t>158</w:t>
      </w:r>
      <w:r w:rsidRPr="00FB389F">
        <w:rPr>
          <w:rFonts w:ascii="Times New Roman" w:hAnsi="Times New Roman" w:cs="Times New Roman"/>
          <w:color w:val="0000CC"/>
          <w:sz w:val="24"/>
          <w:szCs w:val="24"/>
          <w:shd w:val="clear" w:color="auto" w:fill="FFFFFF"/>
          <w:lang w:val="en-US"/>
        </w:rPr>
        <w:t>, 3-6.</w:t>
      </w:r>
    </w:p>
    <w:p w:rsidR="0015689A" w:rsidRPr="00B96DDF" w:rsidRDefault="0015689A" w:rsidP="007A77FC">
      <w:pPr>
        <w:spacing w:line="276" w:lineRule="auto"/>
        <w:jc w:val="both"/>
        <w:rPr>
          <w:rFonts w:ascii="Times New Roman" w:hAnsi="Times New Roman" w:cs="Times New Roman"/>
          <w:sz w:val="24"/>
          <w:szCs w:val="24"/>
          <w:lang w:val="en-US"/>
        </w:rPr>
      </w:pPr>
      <w:r w:rsidRPr="00B96DDF">
        <w:rPr>
          <w:rFonts w:ascii="Times New Roman" w:hAnsi="Times New Roman" w:cs="Times New Roman"/>
          <w:sz w:val="24"/>
          <w:szCs w:val="24"/>
          <w:shd w:val="clear" w:color="auto" w:fill="FFFFFF"/>
        </w:rPr>
        <w:lastRenderedPageBreak/>
        <w:t>Makarov, I., &amp; Schoar, A. (2018). Trading and arbitrage in cryptocurrency markets.</w:t>
      </w:r>
      <w:r w:rsidRPr="00B96DDF">
        <w:rPr>
          <w:rFonts w:ascii="Times New Roman" w:hAnsi="Times New Roman" w:cs="Times New Roman"/>
          <w:sz w:val="24"/>
          <w:szCs w:val="24"/>
        </w:rPr>
        <w:t xml:space="preserve"> </w:t>
      </w:r>
      <w:r w:rsidRPr="00B96DDF">
        <w:rPr>
          <w:rFonts w:ascii="Times New Roman" w:hAnsi="Times New Roman" w:cs="Times New Roman"/>
          <w:sz w:val="24"/>
          <w:szCs w:val="24"/>
          <w:shd w:val="clear" w:color="auto" w:fill="FFFFFF"/>
        </w:rPr>
        <w:t>Available at SSRN: </w:t>
      </w:r>
      <w:hyperlink r:id="rId17" w:history="1">
        <w:r w:rsidRPr="00B96DDF">
          <w:rPr>
            <w:rStyle w:val="Hyperlink"/>
            <w:rFonts w:ascii="Times New Roman" w:hAnsi="Times New Roman"/>
            <w:color w:val="auto"/>
            <w:sz w:val="24"/>
            <w:szCs w:val="24"/>
          </w:rPr>
          <w:t>https://papers.ssrn.com/sol3/papers.cfm?abstract_id=3171204</w:t>
        </w:r>
      </w:hyperlink>
      <w:r w:rsidRPr="00B96DDF">
        <w:rPr>
          <w:rFonts w:ascii="Times New Roman" w:hAnsi="Times New Roman" w:cs="Times New Roman"/>
          <w:sz w:val="24"/>
          <w:szCs w:val="24"/>
        </w:rPr>
        <w:t>.</w:t>
      </w:r>
    </w:p>
    <w:p w:rsidR="0015689A" w:rsidRPr="00FB389F" w:rsidRDefault="0015689A" w:rsidP="0015689A">
      <w:pPr>
        <w:spacing w:line="360" w:lineRule="auto"/>
        <w:jc w:val="both"/>
        <w:rPr>
          <w:rFonts w:ascii="Times New Roman" w:hAnsi="Times New Roman" w:cs="Times New Roman"/>
          <w:color w:val="0000CC"/>
          <w:sz w:val="24"/>
          <w:szCs w:val="24"/>
          <w:shd w:val="clear" w:color="auto" w:fill="FFFFFF"/>
          <w:lang w:val="en-US"/>
        </w:rPr>
      </w:pPr>
      <w:r w:rsidRPr="00FB389F">
        <w:rPr>
          <w:rFonts w:ascii="Times New Roman" w:hAnsi="Times New Roman" w:cs="Times New Roman"/>
          <w:color w:val="0000CC"/>
          <w:sz w:val="24"/>
          <w:szCs w:val="24"/>
          <w:shd w:val="clear" w:color="auto" w:fill="FFFFFF"/>
          <w:lang w:val="en-US"/>
        </w:rPr>
        <w:t>Phillip, A., Chan, J. S., &amp; Peiris, S. (2018). A new look at Cryptocurrencies. </w:t>
      </w:r>
      <w:r w:rsidRPr="00FB389F">
        <w:rPr>
          <w:rFonts w:ascii="Times New Roman" w:hAnsi="Times New Roman" w:cs="Times New Roman"/>
          <w:i/>
          <w:iCs/>
          <w:color w:val="0000CC"/>
          <w:sz w:val="24"/>
          <w:szCs w:val="24"/>
          <w:shd w:val="clear" w:color="auto" w:fill="FFFFFF"/>
          <w:lang w:val="en-US"/>
        </w:rPr>
        <w:t>Economics Letters</w:t>
      </w:r>
      <w:r w:rsidRPr="00FB389F">
        <w:rPr>
          <w:rFonts w:ascii="Times New Roman" w:hAnsi="Times New Roman" w:cs="Times New Roman"/>
          <w:color w:val="0000CC"/>
          <w:sz w:val="24"/>
          <w:szCs w:val="24"/>
          <w:shd w:val="clear" w:color="auto" w:fill="FFFFFF"/>
          <w:lang w:val="en-US"/>
        </w:rPr>
        <w:t>, </w:t>
      </w:r>
      <w:r w:rsidRPr="00FB389F">
        <w:rPr>
          <w:rFonts w:ascii="Times New Roman" w:hAnsi="Times New Roman" w:cs="Times New Roman"/>
          <w:i/>
          <w:iCs/>
          <w:color w:val="0000CC"/>
          <w:sz w:val="24"/>
          <w:szCs w:val="24"/>
          <w:shd w:val="clear" w:color="auto" w:fill="FFFFFF"/>
          <w:lang w:val="en-US"/>
        </w:rPr>
        <w:t>163</w:t>
      </w:r>
      <w:r w:rsidRPr="00FB389F">
        <w:rPr>
          <w:rFonts w:ascii="Times New Roman" w:hAnsi="Times New Roman" w:cs="Times New Roman"/>
          <w:color w:val="0000CC"/>
          <w:sz w:val="24"/>
          <w:szCs w:val="24"/>
          <w:shd w:val="clear" w:color="auto" w:fill="FFFFFF"/>
          <w:lang w:val="en-US"/>
        </w:rPr>
        <w:t>, 6-9.</w:t>
      </w:r>
    </w:p>
    <w:p w:rsidR="0015689A" w:rsidRPr="00B96DDF" w:rsidRDefault="0015689A" w:rsidP="007A77FC">
      <w:pPr>
        <w:spacing w:line="276" w:lineRule="auto"/>
        <w:jc w:val="both"/>
        <w:rPr>
          <w:rFonts w:ascii="Times New Roman" w:hAnsi="Times New Roman" w:cs="Times New Roman"/>
          <w:sz w:val="24"/>
          <w:szCs w:val="24"/>
          <w:lang w:val="en-US"/>
        </w:rPr>
      </w:pPr>
      <w:r w:rsidRPr="00B96DDF">
        <w:rPr>
          <w:rFonts w:ascii="Times New Roman" w:hAnsi="Times New Roman" w:cs="Times New Roman"/>
          <w:sz w:val="24"/>
          <w:szCs w:val="24"/>
          <w:lang w:val="en-US"/>
        </w:rPr>
        <w:t>Politis, D. N., and Romano, J. P. (1994). The stationary bootstrap. Journal of the American Statistical Association, 89(428), 1303-1313.</w:t>
      </w:r>
    </w:p>
    <w:p w:rsidR="0015689A" w:rsidRPr="002E6ED8" w:rsidRDefault="0015689A" w:rsidP="0015689A">
      <w:pPr>
        <w:spacing w:line="360" w:lineRule="auto"/>
        <w:jc w:val="both"/>
        <w:rPr>
          <w:rFonts w:ascii="Times New Roman" w:hAnsi="Times New Roman" w:cs="Times New Roman"/>
          <w:color w:val="0000CC"/>
          <w:sz w:val="24"/>
          <w:szCs w:val="24"/>
          <w:shd w:val="clear" w:color="auto" w:fill="FFFFFF"/>
        </w:rPr>
      </w:pPr>
      <w:r w:rsidRPr="00FB389F">
        <w:rPr>
          <w:rFonts w:ascii="Times New Roman" w:hAnsi="Times New Roman" w:cs="Times New Roman"/>
          <w:color w:val="0000CC"/>
          <w:sz w:val="24"/>
          <w:szCs w:val="24"/>
          <w:shd w:val="clear" w:color="auto" w:fill="FFFFFF"/>
          <w:lang w:val="en-US"/>
        </w:rPr>
        <w:t>Stavroyiannis, S., Babalos, V., Bekiros, S., Lahmiri, S., &amp; Uddin, G. S. (2019). The high frequency multifractal properties of Bitcoin. </w:t>
      </w:r>
      <w:r w:rsidRPr="002E6ED8">
        <w:rPr>
          <w:rFonts w:ascii="Times New Roman" w:hAnsi="Times New Roman" w:cs="Times New Roman"/>
          <w:i/>
          <w:iCs/>
          <w:color w:val="0000CC"/>
          <w:sz w:val="24"/>
          <w:szCs w:val="24"/>
          <w:shd w:val="clear" w:color="auto" w:fill="FFFFFF"/>
        </w:rPr>
        <w:t>Physica A: Statistical Mechanics and its Applications</w:t>
      </w:r>
      <w:r w:rsidRPr="002E6ED8">
        <w:rPr>
          <w:rFonts w:ascii="Times New Roman" w:hAnsi="Times New Roman" w:cs="Times New Roman"/>
          <w:color w:val="0000CC"/>
          <w:sz w:val="24"/>
          <w:szCs w:val="24"/>
          <w:shd w:val="clear" w:color="auto" w:fill="FFFFFF"/>
        </w:rPr>
        <w:t>, 520, 62-71.</w:t>
      </w:r>
    </w:p>
    <w:p w:rsidR="0015689A" w:rsidRPr="00FB389F" w:rsidRDefault="0015689A" w:rsidP="0015689A">
      <w:pPr>
        <w:spacing w:line="360" w:lineRule="auto"/>
        <w:jc w:val="both"/>
        <w:rPr>
          <w:rFonts w:ascii="Times New Roman" w:hAnsi="Times New Roman" w:cs="Times New Roman"/>
          <w:color w:val="0000CC"/>
          <w:sz w:val="24"/>
          <w:szCs w:val="24"/>
          <w:shd w:val="clear" w:color="auto" w:fill="FFFFFF"/>
          <w:lang w:val="en-US"/>
        </w:rPr>
      </w:pPr>
      <w:r w:rsidRPr="00FB389F">
        <w:rPr>
          <w:rFonts w:ascii="Times New Roman" w:hAnsi="Times New Roman" w:cs="Times New Roman"/>
          <w:color w:val="0000CC"/>
          <w:sz w:val="24"/>
          <w:szCs w:val="24"/>
          <w:shd w:val="clear" w:color="auto" w:fill="FFFFFF"/>
          <w:lang w:val="en-US"/>
        </w:rPr>
        <w:t>Symitsi, E., &amp; Chalvatzis, K. J. (2018). Return, volatility and shock spillovers of Bitcoin with energy and technology companies. </w:t>
      </w:r>
      <w:r w:rsidRPr="00FB389F">
        <w:rPr>
          <w:rFonts w:ascii="Times New Roman" w:hAnsi="Times New Roman" w:cs="Times New Roman"/>
          <w:i/>
          <w:iCs/>
          <w:color w:val="0000CC"/>
          <w:sz w:val="24"/>
          <w:szCs w:val="24"/>
          <w:shd w:val="clear" w:color="auto" w:fill="FFFFFF"/>
          <w:lang w:val="en-US"/>
        </w:rPr>
        <w:t>Economics Letters</w:t>
      </w:r>
      <w:r w:rsidRPr="00FB389F">
        <w:rPr>
          <w:rFonts w:ascii="Times New Roman" w:hAnsi="Times New Roman" w:cs="Times New Roman"/>
          <w:color w:val="0000CC"/>
          <w:sz w:val="24"/>
          <w:szCs w:val="24"/>
          <w:shd w:val="clear" w:color="auto" w:fill="FFFFFF"/>
          <w:lang w:val="en-US"/>
        </w:rPr>
        <w:t>, </w:t>
      </w:r>
      <w:r w:rsidRPr="00FB389F">
        <w:rPr>
          <w:rFonts w:ascii="Times New Roman" w:hAnsi="Times New Roman" w:cs="Times New Roman"/>
          <w:i/>
          <w:iCs/>
          <w:color w:val="0000CC"/>
          <w:sz w:val="24"/>
          <w:szCs w:val="24"/>
          <w:shd w:val="clear" w:color="auto" w:fill="FFFFFF"/>
          <w:lang w:val="en-US"/>
        </w:rPr>
        <w:t>170</w:t>
      </w:r>
      <w:r w:rsidRPr="00FB389F">
        <w:rPr>
          <w:rFonts w:ascii="Times New Roman" w:hAnsi="Times New Roman" w:cs="Times New Roman"/>
          <w:color w:val="0000CC"/>
          <w:sz w:val="24"/>
          <w:szCs w:val="24"/>
          <w:shd w:val="clear" w:color="auto" w:fill="FFFFFF"/>
          <w:lang w:val="en-US"/>
        </w:rPr>
        <w:t>, 127-130.</w:t>
      </w:r>
    </w:p>
    <w:p w:rsidR="0015689A" w:rsidRPr="00B96DDF" w:rsidRDefault="0015689A" w:rsidP="007A77FC">
      <w:pPr>
        <w:spacing w:line="276" w:lineRule="auto"/>
        <w:jc w:val="both"/>
        <w:rPr>
          <w:rFonts w:ascii="Times New Roman" w:eastAsia="Yu Mincho" w:hAnsi="Times New Roman" w:cs="Times New Roman"/>
          <w:sz w:val="24"/>
          <w:szCs w:val="24"/>
        </w:rPr>
      </w:pPr>
      <w:r w:rsidRPr="00B96DDF">
        <w:rPr>
          <w:rFonts w:ascii="Times New Roman" w:eastAsia="Yu Mincho" w:hAnsi="Times New Roman" w:cs="Times New Roman"/>
          <w:sz w:val="24"/>
          <w:szCs w:val="24"/>
          <w:lang w:val="sv-SE"/>
        </w:rPr>
        <w:t xml:space="preserve">Uddin, G., Rahman, M., Hedström, A., &amp; Ahmed, A. (2019). </w:t>
      </w:r>
      <w:r w:rsidRPr="00B96DDF">
        <w:rPr>
          <w:rFonts w:ascii="Times New Roman" w:eastAsia="Yu Mincho" w:hAnsi="Times New Roman" w:cs="Times New Roman"/>
          <w:sz w:val="24"/>
          <w:szCs w:val="24"/>
          <w:lang w:val="en-US"/>
        </w:rPr>
        <w:t xml:space="preserve">Cross-quantiologram-based correlation and dependence between renewable energy stock and other asset classes. </w:t>
      </w:r>
      <w:r w:rsidRPr="00B96DDF">
        <w:rPr>
          <w:rFonts w:ascii="Times New Roman" w:eastAsia="Yu Mincho" w:hAnsi="Times New Roman" w:cs="Times New Roman"/>
          <w:sz w:val="24"/>
          <w:szCs w:val="24"/>
        </w:rPr>
        <w:t>Energy Economics, 80, 743-759.</w:t>
      </w:r>
    </w:p>
    <w:p w:rsidR="0015689A" w:rsidRPr="00B96DDF" w:rsidRDefault="0015689A" w:rsidP="007A77FC">
      <w:pPr>
        <w:spacing w:line="276" w:lineRule="auto"/>
        <w:jc w:val="both"/>
        <w:rPr>
          <w:rStyle w:val="Hyperlink"/>
          <w:rFonts w:ascii="Times New Roman" w:hAnsi="Times New Roman"/>
          <w:color w:val="auto"/>
          <w:sz w:val="24"/>
          <w:szCs w:val="24"/>
          <w:shd w:val="clear" w:color="auto" w:fill="FFFFFF"/>
        </w:rPr>
      </w:pPr>
      <w:r w:rsidRPr="00B96DDF">
        <w:rPr>
          <w:rFonts w:ascii="Times New Roman" w:hAnsi="Times New Roman" w:cs="Times New Roman"/>
          <w:sz w:val="24"/>
          <w:szCs w:val="24"/>
          <w:shd w:val="clear" w:color="auto" w:fill="FFFFFF"/>
        </w:rPr>
        <w:t>Urquhart, A. &amp; Zhang, H. (2018) Is Bitcoin a Hedge or Safe-Haven for Currencies? An Intraday Analysis. Available at SSRN: </w:t>
      </w:r>
      <w:hyperlink r:id="rId18" w:tgtFrame="_blank" w:history="1">
        <w:r w:rsidRPr="00B96DDF">
          <w:rPr>
            <w:rStyle w:val="Hyperlink"/>
            <w:rFonts w:ascii="Times New Roman" w:hAnsi="Times New Roman"/>
            <w:color w:val="auto"/>
            <w:sz w:val="24"/>
            <w:szCs w:val="24"/>
            <w:shd w:val="clear" w:color="auto" w:fill="FFFFFF"/>
          </w:rPr>
          <w:t>https://ssrn.com/abstract=3114108</w:t>
        </w:r>
      </w:hyperlink>
    </w:p>
    <w:p w:rsidR="00A05D94" w:rsidRPr="00B96DDF" w:rsidRDefault="00A05D94" w:rsidP="007A77FC">
      <w:pPr>
        <w:jc w:val="both"/>
        <w:rPr>
          <w:rFonts w:ascii="Times New Roman" w:hAnsi="Times New Roman" w:cs="Times New Roman"/>
          <w:sz w:val="24"/>
          <w:szCs w:val="24"/>
        </w:rPr>
      </w:pPr>
    </w:p>
    <w:p w:rsidR="00A05D94" w:rsidRDefault="00A05D94" w:rsidP="007A77FC">
      <w:pPr>
        <w:jc w:val="both"/>
        <w:rPr>
          <w:rFonts w:ascii="Times New Roman" w:hAnsi="Times New Roman" w:cs="Times New Roman"/>
          <w:sz w:val="24"/>
          <w:szCs w:val="24"/>
        </w:rPr>
      </w:pPr>
    </w:p>
    <w:p w:rsidR="00A05D94" w:rsidRDefault="00A05D94" w:rsidP="007A77FC">
      <w:pPr>
        <w:jc w:val="both"/>
        <w:rPr>
          <w:rFonts w:ascii="Times New Roman" w:hAnsi="Times New Roman" w:cs="Times New Roman"/>
          <w:sz w:val="24"/>
          <w:szCs w:val="24"/>
        </w:rPr>
      </w:pPr>
    </w:p>
    <w:p w:rsidR="00A05D94" w:rsidRDefault="00A05D94" w:rsidP="007A77FC">
      <w:pPr>
        <w:jc w:val="both"/>
        <w:rPr>
          <w:rFonts w:ascii="Times New Roman" w:hAnsi="Times New Roman" w:cs="Times New Roman"/>
          <w:sz w:val="24"/>
          <w:szCs w:val="24"/>
        </w:rPr>
      </w:pPr>
    </w:p>
    <w:p w:rsidR="00F75F54" w:rsidRDefault="00F75F54" w:rsidP="007A77FC">
      <w:pPr>
        <w:jc w:val="both"/>
        <w:rPr>
          <w:rFonts w:ascii="Times New Roman" w:hAnsi="Times New Roman" w:cs="Times New Roman"/>
          <w:sz w:val="24"/>
          <w:szCs w:val="24"/>
        </w:rPr>
      </w:pPr>
    </w:p>
    <w:p w:rsidR="00F75F54" w:rsidRDefault="00F75F54" w:rsidP="007A77FC">
      <w:pPr>
        <w:jc w:val="both"/>
        <w:rPr>
          <w:rFonts w:ascii="Times New Roman" w:hAnsi="Times New Roman" w:cs="Times New Roman"/>
          <w:sz w:val="24"/>
          <w:szCs w:val="24"/>
        </w:rPr>
      </w:pPr>
    </w:p>
    <w:p w:rsidR="00F75F54" w:rsidRDefault="00F75F54" w:rsidP="007A77FC">
      <w:pPr>
        <w:jc w:val="both"/>
        <w:rPr>
          <w:rFonts w:ascii="Times New Roman" w:hAnsi="Times New Roman" w:cs="Times New Roman"/>
          <w:sz w:val="24"/>
          <w:szCs w:val="24"/>
        </w:rPr>
      </w:pPr>
    </w:p>
    <w:p w:rsidR="00A05D94" w:rsidRDefault="00A05D94" w:rsidP="007A77FC">
      <w:pPr>
        <w:jc w:val="both"/>
        <w:rPr>
          <w:rFonts w:ascii="Times New Roman" w:hAnsi="Times New Roman" w:cs="Times New Roman"/>
          <w:sz w:val="24"/>
          <w:szCs w:val="24"/>
        </w:rPr>
      </w:pPr>
    </w:p>
    <w:p w:rsidR="00A05D94" w:rsidRPr="00B96DDF" w:rsidRDefault="00A05D94" w:rsidP="007A77FC">
      <w:pPr>
        <w:jc w:val="both"/>
        <w:rPr>
          <w:rFonts w:ascii="Times New Roman" w:hAnsi="Times New Roman" w:cs="Times New Roman"/>
          <w:sz w:val="24"/>
          <w:szCs w:val="24"/>
        </w:rPr>
      </w:pPr>
    </w:p>
    <w:p w:rsidR="00A05D94" w:rsidRPr="00B96DDF" w:rsidRDefault="00A05D94" w:rsidP="007A77FC">
      <w:pPr>
        <w:pStyle w:val="Caption"/>
        <w:keepNext/>
        <w:jc w:val="both"/>
        <w:rPr>
          <w:rFonts w:ascii="Times New Roman" w:hAnsi="Times New Roman" w:cs="Times New Roman"/>
          <w:b/>
          <w:i w:val="0"/>
          <w:color w:val="auto"/>
          <w:sz w:val="24"/>
          <w:szCs w:val="24"/>
        </w:rPr>
      </w:pPr>
      <w:r w:rsidRPr="00B96DDF">
        <w:rPr>
          <w:rFonts w:ascii="Times New Roman" w:hAnsi="Times New Roman" w:cs="Times New Roman"/>
          <w:b/>
          <w:i w:val="0"/>
          <w:color w:val="auto"/>
          <w:sz w:val="24"/>
          <w:szCs w:val="24"/>
        </w:rPr>
        <w:t xml:space="preserve">Table </w:t>
      </w:r>
      <w:r w:rsidR="00B46E38" w:rsidRPr="00B96DDF">
        <w:rPr>
          <w:rFonts w:ascii="Times New Roman" w:hAnsi="Times New Roman" w:cs="Times New Roman"/>
          <w:b/>
          <w:i w:val="0"/>
          <w:color w:val="auto"/>
          <w:sz w:val="24"/>
          <w:szCs w:val="24"/>
        </w:rPr>
        <w:fldChar w:fldCharType="begin"/>
      </w:r>
      <w:r w:rsidRPr="00B96DDF">
        <w:rPr>
          <w:rFonts w:ascii="Times New Roman" w:hAnsi="Times New Roman" w:cs="Times New Roman"/>
          <w:b/>
          <w:i w:val="0"/>
          <w:color w:val="auto"/>
          <w:sz w:val="24"/>
          <w:szCs w:val="24"/>
        </w:rPr>
        <w:instrText xml:space="preserve"> SEQ Table \* ARABIC </w:instrText>
      </w:r>
      <w:r w:rsidR="00B46E38" w:rsidRPr="00B96DDF">
        <w:rPr>
          <w:rFonts w:ascii="Times New Roman" w:hAnsi="Times New Roman" w:cs="Times New Roman"/>
          <w:b/>
          <w:i w:val="0"/>
          <w:color w:val="auto"/>
          <w:sz w:val="24"/>
          <w:szCs w:val="24"/>
        </w:rPr>
        <w:fldChar w:fldCharType="separate"/>
      </w:r>
      <w:r w:rsidRPr="00B96DDF">
        <w:rPr>
          <w:rFonts w:ascii="Times New Roman" w:hAnsi="Times New Roman" w:cs="Times New Roman"/>
          <w:b/>
          <w:i w:val="0"/>
          <w:noProof/>
          <w:color w:val="auto"/>
          <w:sz w:val="24"/>
          <w:szCs w:val="24"/>
        </w:rPr>
        <w:t>1</w:t>
      </w:r>
      <w:r w:rsidR="00B46E38" w:rsidRPr="00B96DDF">
        <w:rPr>
          <w:rFonts w:ascii="Times New Roman" w:hAnsi="Times New Roman" w:cs="Times New Roman"/>
          <w:b/>
          <w:i w:val="0"/>
          <w:color w:val="auto"/>
          <w:sz w:val="24"/>
          <w:szCs w:val="24"/>
        </w:rPr>
        <w:fldChar w:fldCharType="end"/>
      </w:r>
      <w:r w:rsidRPr="00B96DDF">
        <w:rPr>
          <w:rFonts w:ascii="Times New Roman" w:hAnsi="Times New Roman" w:cs="Times New Roman"/>
          <w:b/>
          <w:i w:val="0"/>
          <w:color w:val="auto"/>
          <w:sz w:val="24"/>
          <w:szCs w:val="24"/>
        </w:rPr>
        <w:t>: Descriptive statistics for Bitcoin returns</w:t>
      </w:r>
    </w:p>
    <w:tbl>
      <w:tblPr>
        <w:tblW w:w="9798" w:type="dxa"/>
        <w:tblBorders>
          <w:top w:val="single" w:sz="18" w:space="0" w:color="auto"/>
          <w:bottom w:val="single" w:sz="18" w:space="0" w:color="auto"/>
        </w:tblBorders>
        <w:tblCellMar>
          <w:left w:w="70" w:type="dxa"/>
          <w:right w:w="70" w:type="dxa"/>
        </w:tblCellMar>
        <w:tblLook w:val="00A0" w:firstRow="1" w:lastRow="0" w:firstColumn="1" w:lastColumn="0" w:noHBand="0" w:noVBand="0"/>
      </w:tblPr>
      <w:tblGrid>
        <w:gridCol w:w="1052"/>
        <w:gridCol w:w="1317"/>
        <w:gridCol w:w="815"/>
        <w:gridCol w:w="697"/>
        <w:gridCol w:w="1033"/>
        <w:gridCol w:w="905"/>
        <w:gridCol w:w="1686"/>
        <w:gridCol w:w="1208"/>
        <w:gridCol w:w="1085"/>
      </w:tblGrid>
      <w:tr w:rsidR="00A05D94" w:rsidRPr="00D03D9D" w:rsidTr="00CE3B96">
        <w:trPr>
          <w:trHeight w:val="234"/>
        </w:trPr>
        <w:tc>
          <w:tcPr>
            <w:tcW w:w="1011" w:type="dxa"/>
            <w:tcBorders>
              <w:top w:val="single" w:sz="18" w:space="0" w:color="auto"/>
              <w:bottom w:val="single" w:sz="18" w:space="0" w:color="auto"/>
            </w:tcBorders>
            <w:noWrap/>
            <w:vAlign w:val="center"/>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Variables</w:t>
            </w:r>
          </w:p>
        </w:tc>
        <w:tc>
          <w:tcPr>
            <w:tcW w:w="1358" w:type="dxa"/>
            <w:tcBorders>
              <w:top w:val="single" w:sz="18" w:space="0" w:color="auto"/>
              <w:bottom w:val="single" w:sz="18" w:space="0" w:color="auto"/>
            </w:tcBorders>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Observations</w:t>
            </w:r>
          </w:p>
        </w:tc>
        <w:tc>
          <w:tcPr>
            <w:tcW w:w="815" w:type="dxa"/>
            <w:tcBorders>
              <w:top w:val="single" w:sz="18" w:space="0" w:color="auto"/>
              <w:bottom w:val="single" w:sz="18" w:space="0" w:color="auto"/>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Mean (%)</w:t>
            </w:r>
          </w:p>
        </w:tc>
        <w:tc>
          <w:tcPr>
            <w:tcW w:w="697" w:type="dxa"/>
            <w:tcBorders>
              <w:top w:val="single" w:sz="18" w:space="0" w:color="auto"/>
              <w:bottom w:val="single" w:sz="18" w:space="0" w:color="auto"/>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SD</w:t>
            </w:r>
          </w:p>
        </w:tc>
        <w:tc>
          <w:tcPr>
            <w:tcW w:w="1033" w:type="dxa"/>
            <w:tcBorders>
              <w:top w:val="single" w:sz="18" w:space="0" w:color="auto"/>
              <w:bottom w:val="single" w:sz="18" w:space="0" w:color="auto"/>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Skewness</w:t>
            </w:r>
          </w:p>
        </w:tc>
        <w:tc>
          <w:tcPr>
            <w:tcW w:w="905" w:type="dxa"/>
            <w:tcBorders>
              <w:top w:val="single" w:sz="18" w:space="0" w:color="auto"/>
              <w:bottom w:val="single" w:sz="18" w:space="0" w:color="auto"/>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Kurtosis</w:t>
            </w:r>
          </w:p>
        </w:tc>
        <w:tc>
          <w:tcPr>
            <w:tcW w:w="1686" w:type="dxa"/>
            <w:tcBorders>
              <w:top w:val="single" w:sz="18" w:space="0" w:color="auto"/>
              <w:bottom w:val="single" w:sz="18" w:space="0" w:color="auto"/>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J-B</w:t>
            </w:r>
          </w:p>
        </w:tc>
        <w:tc>
          <w:tcPr>
            <w:tcW w:w="1208" w:type="dxa"/>
            <w:tcBorders>
              <w:top w:val="single" w:sz="18" w:space="0" w:color="auto"/>
              <w:bottom w:val="single" w:sz="18" w:space="0" w:color="auto"/>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ADF</w:t>
            </w:r>
          </w:p>
        </w:tc>
        <w:tc>
          <w:tcPr>
            <w:tcW w:w="1085" w:type="dxa"/>
            <w:tcBorders>
              <w:top w:val="single" w:sz="18" w:space="0" w:color="auto"/>
              <w:bottom w:val="single" w:sz="18" w:space="0" w:color="auto"/>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PP</w:t>
            </w:r>
          </w:p>
        </w:tc>
      </w:tr>
      <w:tr w:rsidR="00A05D94" w:rsidRPr="00D03D9D" w:rsidTr="00CE3B96">
        <w:trPr>
          <w:trHeight w:val="225"/>
        </w:trPr>
        <w:tc>
          <w:tcPr>
            <w:tcW w:w="1011"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BTC/USD</w:t>
            </w:r>
          </w:p>
        </w:tc>
        <w:tc>
          <w:tcPr>
            <w:tcW w:w="1358" w:type="dxa"/>
            <w:tcBorders>
              <w:top w:val="nil"/>
              <w:bottom w:val="nil"/>
            </w:tcBorders>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3089</w:t>
            </w:r>
          </w:p>
        </w:tc>
        <w:tc>
          <w:tcPr>
            <w:tcW w:w="815"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0.4%</w:t>
            </w:r>
          </w:p>
        </w:tc>
        <w:tc>
          <w:tcPr>
            <w:tcW w:w="697"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6.8%</w:t>
            </w:r>
          </w:p>
        </w:tc>
        <w:tc>
          <w:tcPr>
            <w:tcW w:w="1033"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2.94</w:t>
            </w:r>
          </w:p>
        </w:tc>
        <w:tc>
          <w:tcPr>
            <w:tcW w:w="905"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94.14</w:t>
            </w:r>
          </w:p>
        </w:tc>
        <w:tc>
          <w:tcPr>
            <w:tcW w:w="1686"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1075089.90***</w:t>
            </w:r>
          </w:p>
        </w:tc>
        <w:tc>
          <w:tcPr>
            <w:tcW w:w="1208"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-20.01(6)***</w:t>
            </w:r>
          </w:p>
        </w:tc>
        <w:tc>
          <w:tcPr>
            <w:tcW w:w="1085"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-54.69***</w:t>
            </w:r>
          </w:p>
        </w:tc>
      </w:tr>
      <w:tr w:rsidR="00A05D94" w:rsidRPr="00D03D9D" w:rsidTr="00CE3B96">
        <w:trPr>
          <w:trHeight w:val="225"/>
        </w:trPr>
        <w:tc>
          <w:tcPr>
            <w:tcW w:w="1011"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BTC/GBP</w:t>
            </w:r>
          </w:p>
        </w:tc>
        <w:tc>
          <w:tcPr>
            <w:tcW w:w="1358" w:type="dxa"/>
            <w:tcBorders>
              <w:top w:val="nil"/>
              <w:bottom w:val="nil"/>
            </w:tcBorders>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2673</w:t>
            </w:r>
          </w:p>
        </w:tc>
        <w:tc>
          <w:tcPr>
            <w:tcW w:w="815"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0.2%</w:t>
            </w:r>
          </w:p>
        </w:tc>
        <w:tc>
          <w:tcPr>
            <w:tcW w:w="697"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7.0%</w:t>
            </w:r>
          </w:p>
        </w:tc>
        <w:tc>
          <w:tcPr>
            <w:tcW w:w="1033"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3.55</w:t>
            </w:r>
          </w:p>
        </w:tc>
        <w:tc>
          <w:tcPr>
            <w:tcW w:w="905"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112.36</w:t>
            </w:r>
          </w:p>
        </w:tc>
        <w:tc>
          <w:tcPr>
            <w:tcW w:w="1686"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1339652.87***</w:t>
            </w:r>
          </w:p>
        </w:tc>
        <w:tc>
          <w:tcPr>
            <w:tcW w:w="1208"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-21.30(4)***</w:t>
            </w:r>
          </w:p>
        </w:tc>
        <w:tc>
          <w:tcPr>
            <w:tcW w:w="1085"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-56.55***</w:t>
            </w:r>
          </w:p>
        </w:tc>
      </w:tr>
      <w:tr w:rsidR="00A05D94" w:rsidRPr="00D03D9D" w:rsidTr="00CE3B96">
        <w:trPr>
          <w:trHeight w:val="225"/>
        </w:trPr>
        <w:tc>
          <w:tcPr>
            <w:tcW w:w="1011"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BTC/EUR</w:t>
            </w:r>
          </w:p>
        </w:tc>
        <w:tc>
          <w:tcPr>
            <w:tcW w:w="1358" w:type="dxa"/>
            <w:tcBorders>
              <w:top w:val="nil"/>
              <w:bottom w:val="nil"/>
            </w:tcBorders>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2683</w:t>
            </w:r>
          </w:p>
        </w:tc>
        <w:tc>
          <w:tcPr>
            <w:tcW w:w="815"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0.2%</w:t>
            </w:r>
          </w:p>
        </w:tc>
        <w:tc>
          <w:tcPr>
            <w:tcW w:w="697"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5.5%</w:t>
            </w:r>
          </w:p>
        </w:tc>
        <w:tc>
          <w:tcPr>
            <w:tcW w:w="1033"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0.28</w:t>
            </w:r>
          </w:p>
        </w:tc>
        <w:tc>
          <w:tcPr>
            <w:tcW w:w="905"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39.70</w:t>
            </w:r>
          </w:p>
        </w:tc>
        <w:tc>
          <w:tcPr>
            <w:tcW w:w="1686"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150816.96***</w:t>
            </w:r>
          </w:p>
        </w:tc>
        <w:tc>
          <w:tcPr>
            <w:tcW w:w="1208"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-24.31(3)***</w:t>
            </w:r>
          </w:p>
        </w:tc>
        <w:tc>
          <w:tcPr>
            <w:tcW w:w="1085"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-48.90***</w:t>
            </w:r>
          </w:p>
        </w:tc>
      </w:tr>
      <w:tr w:rsidR="00A05D94" w:rsidRPr="00D03D9D" w:rsidTr="00CE3B96">
        <w:trPr>
          <w:trHeight w:val="225"/>
        </w:trPr>
        <w:tc>
          <w:tcPr>
            <w:tcW w:w="1011"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BTC/JPY</w:t>
            </w:r>
          </w:p>
        </w:tc>
        <w:tc>
          <w:tcPr>
            <w:tcW w:w="1358" w:type="dxa"/>
            <w:tcBorders>
              <w:top w:val="nil"/>
              <w:bottom w:val="nil"/>
            </w:tcBorders>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2683</w:t>
            </w:r>
          </w:p>
        </w:tc>
        <w:tc>
          <w:tcPr>
            <w:tcW w:w="815"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0.2%</w:t>
            </w:r>
          </w:p>
        </w:tc>
        <w:tc>
          <w:tcPr>
            <w:tcW w:w="697"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8.4%</w:t>
            </w:r>
          </w:p>
        </w:tc>
        <w:tc>
          <w:tcPr>
            <w:tcW w:w="1033"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4.87</w:t>
            </w:r>
          </w:p>
        </w:tc>
        <w:tc>
          <w:tcPr>
            <w:tcW w:w="905"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144.08</w:t>
            </w:r>
          </w:p>
        </w:tc>
        <w:tc>
          <w:tcPr>
            <w:tcW w:w="1686"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2238956.14***</w:t>
            </w:r>
          </w:p>
        </w:tc>
        <w:tc>
          <w:tcPr>
            <w:tcW w:w="1208"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-22.66(4)***</w:t>
            </w:r>
          </w:p>
        </w:tc>
        <w:tc>
          <w:tcPr>
            <w:tcW w:w="1085"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-57.05***</w:t>
            </w:r>
          </w:p>
        </w:tc>
      </w:tr>
      <w:tr w:rsidR="00A05D94" w:rsidRPr="00D03D9D" w:rsidTr="00CE3B96">
        <w:trPr>
          <w:trHeight w:val="225"/>
        </w:trPr>
        <w:tc>
          <w:tcPr>
            <w:tcW w:w="1011"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BTC/CAD</w:t>
            </w:r>
          </w:p>
        </w:tc>
        <w:tc>
          <w:tcPr>
            <w:tcW w:w="1358" w:type="dxa"/>
            <w:tcBorders>
              <w:top w:val="nil"/>
              <w:bottom w:val="nil"/>
            </w:tcBorders>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2120</w:t>
            </w:r>
          </w:p>
        </w:tc>
        <w:tc>
          <w:tcPr>
            <w:tcW w:w="815"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0.2%</w:t>
            </w:r>
          </w:p>
        </w:tc>
        <w:tc>
          <w:tcPr>
            <w:tcW w:w="697"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20.6%</w:t>
            </w:r>
          </w:p>
        </w:tc>
        <w:tc>
          <w:tcPr>
            <w:tcW w:w="1033"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-0.65</w:t>
            </w:r>
          </w:p>
        </w:tc>
        <w:tc>
          <w:tcPr>
            <w:tcW w:w="905"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660.76</w:t>
            </w:r>
          </w:p>
        </w:tc>
        <w:tc>
          <w:tcPr>
            <w:tcW w:w="1686"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38289935.60***</w:t>
            </w:r>
          </w:p>
        </w:tc>
        <w:tc>
          <w:tcPr>
            <w:tcW w:w="1208"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-31.32(4)***</w:t>
            </w:r>
          </w:p>
        </w:tc>
        <w:tc>
          <w:tcPr>
            <w:tcW w:w="1085"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-112.34***</w:t>
            </w:r>
          </w:p>
        </w:tc>
      </w:tr>
      <w:tr w:rsidR="00A05D94" w:rsidRPr="00D03D9D" w:rsidTr="00CE3B96">
        <w:trPr>
          <w:trHeight w:val="225"/>
        </w:trPr>
        <w:tc>
          <w:tcPr>
            <w:tcW w:w="1011"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BTC/AUD</w:t>
            </w:r>
          </w:p>
        </w:tc>
        <w:tc>
          <w:tcPr>
            <w:tcW w:w="1358" w:type="dxa"/>
            <w:tcBorders>
              <w:top w:val="nil"/>
              <w:bottom w:val="nil"/>
            </w:tcBorders>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2121</w:t>
            </w:r>
          </w:p>
        </w:tc>
        <w:tc>
          <w:tcPr>
            <w:tcW w:w="815"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0.2%</w:t>
            </w:r>
          </w:p>
        </w:tc>
        <w:tc>
          <w:tcPr>
            <w:tcW w:w="697"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8.6%</w:t>
            </w:r>
          </w:p>
        </w:tc>
        <w:tc>
          <w:tcPr>
            <w:tcW w:w="1033"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0.18</w:t>
            </w:r>
          </w:p>
        </w:tc>
        <w:tc>
          <w:tcPr>
            <w:tcW w:w="905"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20.17</w:t>
            </w:r>
          </w:p>
        </w:tc>
        <w:tc>
          <w:tcPr>
            <w:tcW w:w="1686"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26136.60***</w:t>
            </w:r>
          </w:p>
        </w:tc>
        <w:tc>
          <w:tcPr>
            <w:tcW w:w="1208"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-45.66(1)***</w:t>
            </w:r>
          </w:p>
        </w:tc>
        <w:tc>
          <w:tcPr>
            <w:tcW w:w="1085"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-71.90***</w:t>
            </w:r>
          </w:p>
        </w:tc>
      </w:tr>
      <w:tr w:rsidR="00A05D94" w:rsidRPr="00D03D9D" w:rsidTr="00CE3B96">
        <w:trPr>
          <w:trHeight w:val="225"/>
        </w:trPr>
        <w:tc>
          <w:tcPr>
            <w:tcW w:w="1011"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BTC/KRW</w:t>
            </w:r>
          </w:p>
        </w:tc>
        <w:tc>
          <w:tcPr>
            <w:tcW w:w="1358" w:type="dxa"/>
            <w:tcBorders>
              <w:top w:val="nil"/>
              <w:bottom w:val="nil"/>
            </w:tcBorders>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1971</w:t>
            </w:r>
          </w:p>
        </w:tc>
        <w:tc>
          <w:tcPr>
            <w:tcW w:w="815"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0.2%</w:t>
            </w:r>
          </w:p>
        </w:tc>
        <w:tc>
          <w:tcPr>
            <w:tcW w:w="697"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5.3%</w:t>
            </w:r>
          </w:p>
        </w:tc>
        <w:tc>
          <w:tcPr>
            <w:tcW w:w="1033"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1.05</w:t>
            </w:r>
          </w:p>
        </w:tc>
        <w:tc>
          <w:tcPr>
            <w:tcW w:w="905"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34.49</w:t>
            </w:r>
          </w:p>
        </w:tc>
        <w:tc>
          <w:tcPr>
            <w:tcW w:w="1686"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81997.75***</w:t>
            </w:r>
          </w:p>
        </w:tc>
        <w:tc>
          <w:tcPr>
            <w:tcW w:w="1208"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-27.66(2)***</w:t>
            </w:r>
          </w:p>
        </w:tc>
        <w:tc>
          <w:tcPr>
            <w:tcW w:w="1085" w:type="dxa"/>
            <w:tcBorders>
              <w:top w:val="nil"/>
              <w:bottom w:val="nil"/>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-45.61***</w:t>
            </w:r>
          </w:p>
        </w:tc>
      </w:tr>
      <w:tr w:rsidR="00A05D94" w:rsidRPr="00D03D9D" w:rsidTr="00CE3B96">
        <w:trPr>
          <w:trHeight w:val="225"/>
        </w:trPr>
        <w:tc>
          <w:tcPr>
            <w:tcW w:w="1011" w:type="dxa"/>
            <w:tcBorders>
              <w:top w:val="nil"/>
              <w:bottom w:val="single" w:sz="18" w:space="0" w:color="auto"/>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BTC/CNY</w:t>
            </w:r>
          </w:p>
        </w:tc>
        <w:tc>
          <w:tcPr>
            <w:tcW w:w="1358" w:type="dxa"/>
            <w:tcBorders>
              <w:top w:val="nil"/>
              <w:bottom w:val="single" w:sz="18" w:space="0" w:color="auto"/>
            </w:tcBorders>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2677</w:t>
            </w:r>
          </w:p>
        </w:tc>
        <w:tc>
          <w:tcPr>
            <w:tcW w:w="815" w:type="dxa"/>
            <w:tcBorders>
              <w:top w:val="nil"/>
              <w:bottom w:val="single" w:sz="18" w:space="0" w:color="auto"/>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0.2%</w:t>
            </w:r>
          </w:p>
        </w:tc>
        <w:tc>
          <w:tcPr>
            <w:tcW w:w="697" w:type="dxa"/>
            <w:tcBorders>
              <w:top w:val="nil"/>
              <w:bottom w:val="single" w:sz="18" w:space="0" w:color="auto"/>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6.4%</w:t>
            </w:r>
          </w:p>
        </w:tc>
        <w:tc>
          <w:tcPr>
            <w:tcW w:w="1033" w:type="dxa"/>
            <w:tcBorders>
              <w:top w:val="nil"/>
              <w:bottom w:val="single" w:sz="18" w:space="0" w:color="auto"/>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-1.00</w:t>
            </w:r>
          </w:p>
        </w:tc>
        <w:tc>
          <w:tcPr>
            <w:tcW w:w="905" w:type="dxa"/>
            <w:tcBorders>
              <w:top w:val="nil"/>
              <w:bottom w:val="single" w:sz="18" w:space="0" w:color="auto"/>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33.00</w:t>
            </w:r>
          </w:p>
        </w:tc>
        <w:tc>
          <w:tcPr>
            <w:tcW w:w="1686" w:type="dxa"/>
            <w:tcBorders>
              <w:top w:val="nil"/>
              <w:bottom w:val="single" w:sz="18" w:space="0" w:color="auto"/>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101028.44***</w:t>
            </w:r>
          </w:p>
        </w:tc>
        <w:tc>
          <w:tcPr>
            <w:tcW w:w="1208" w:type="dxa"/>
            <w:tcBorders>
              <w:top w:val="nil"/>
              <w:bottom w:val="single" w:sz="18" w:space="0" w:color="auto"/>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-58.54(0)***</w:t>
            </w:r>
          </w:p>
        </w:tc>
        <w:tc>
          <w:tcPr>
            <w:tcW w:w="1085" w:type="dxa"/>
            <w:tcBorders>
              <w:top w:val="nil"/>
              <w:bottom w:val="single" w:sz="18" w:space="0" w:color="auto"/>
            </w:tcBorders>
            <w:noWrap/>
            <w:vAlign w:val="bottom"/>
          </w:tcPr>
          <w:p w:rsidR="00A05D94" w:rsidRPr="00D03D9D" w:rsidRDefault="00A05D94" w:rsidP="007A77FC">
            <w:pPr>
              <w:pStyle w:val="NoSpacing"/>
              <w:rPr>
                <w:rFonts w:ascii="Times New Roman" w:hAnsi="Times New Roman" w:cs="Times New Roman"/>
                <w:sz w:val="20"/>
                <w:szCs w:val="20"/>
              </w:rPr>
            </w:pPr>
            <w:r w:rsidRPr="00D03D9D">
              <w:rPr>
                <w:rFonts w:ascii="Times New Roman" w:hAnsi="Times New Roman" w:cs="Times New Roman"/>
                <w:sz w:val="20"/>
                <w:szCs w:val="20"/>
              </w:rPr>
              <w:t>-59.10***</w:t>
            </w:r>
          </w:p>
        </w:tc>
      </w:tr>
    </w:tbl>
    <w:p w:rsidR="00A05D94" w:rsidRPr="00B96DDF" w:rsidRDefault="00A05D94" w:rsidP="007A77FC">
      <w:pPr>
        <w:spacing w:line="360" w:lineRule="auto"/>
        <w:jc w:val="both"/>
        <w:rPr>
          <w:rFonts w:ascii="Times New Roman" w:eastAsia="Yu Mincho" w:hAnsi="Times New Roman" w:cs="Times New Roman"/>
          <w:sz w:val="24"/>
          <w:szCs w:val="24"/>
        </w:rPr>
      </w:pPr>
      <w:r w:rsidRPr="00B96DDF">
        <w:rPr>
          <w:rFonts w:ascii="Times New Roman" w:hAnsi="Times New Roman" w:cs="Times New Roman"/>
          <w:sz w:val="24"/>
          <w:szCs w:val="24"/>
        </w:rPr>
        <w:lastRenderedPageBreak/>
        <w:t>Notes: *** represents the 1% level of significance.</w:t>
      </w:r>
    </w:p>
    <w:p w:rsidR="00A05D94" w:rsidRPr="00B96DDF" w:rsidRDefault="00A05D94" w:rsidP="007A77FC">
      <w:pPr>
        <w:jc w:val="both"/>
        <w:rPr>
          <w:rFonts w:ascii="Times New Roman" w:hAnsi="Times New Roman" w:cs="Times New Roman"/>
          <w:sz w:val="24"/>
          <w:szCs w:val="24"/>
        </w:rPr>
      </w:pPr>
    </w:p>
    <w:p w:rsidR="00A05D94" w:rsidRPr="00B96DDF" w:rsidRDefault="00A05D94" w:rsidP="007A77FC">
      <w:pPr>
        <w:jc w:val="both"/>
        <w:rPr>
          <w:rFonts w:ascii="Times New Roman" w:hAnsi="Times New Roman" w:cs="Times New Roman"/>
          <w:sz w:val="24"/>
          <w:szCs w:val="24"/>
        </w:rPr>
      </w:pPr>
    </w:p>
    <w:p w:rsidR="00A05D94" w:rsidRPr="00B96DDF" w:rsidRDefault="00A05D94" w:rsidP="007A77FC">
      <w:pPr>
        <w:jc w:val="both"/>
        <w:rPr>
          <w:rFonts w:ascii="Times New Roman" w:hAnsi="Times New Roman" w:cs="Times New Roman"/>
          <w:sz w:val="24"/>
          <w:szCs w:val="24"/>
        </w:rPr>
      </w:pPr>
    </w:p>
    <w:p w:rsidR="00A05D94" w:rsidRPr="00B96DDF" w:rsidRDefault="00A05D94" w:rsidP="007A77FC">
      <w:pPr>
        <w:jc w:val="both"/>
        <w:rPr>
          <w:rFonts w:ascii="Times New Roman" w:hAnsi="Times New Roman" w:cs="Times New Roman"/>
          <w:sz w:val="24"/>
          <w:szCs w:val="24"/>
        </w:rPr>
      </w:pPr>
    </w:p>
    <w:p w:rsidR="00A05D94" w:rsidRPr="00B96DDF" w:rsidRDefault="00A05D94" w:rsidP="007A77FC">
      <w:pPr>
        <w:jc w:val="both"/>
        <w:rPr>
          <w:rFonts w:ascii="Times New Roman" w:hAnsi="Times New Roman" w:cs="Times New Roman"/>
          <w:sz w:val="24"/>
          <w:szCs w:val="24"/>
        </w:rPr>
      </w:pPr>
    </w:p>
    <w:p w:rsidR="00A05D94" w:rsidRPr="00B96DDF" w:rsidRDefault="00A05D94" w:rsidP="007A77FC">
      <w:pPr>
        <w:jc w:val="both"/>
        <w:rPr>
          <w:rFonts w:ascii="Times New Roman" w:hAnsi="Times New Roman" w:cs="Times New Roman"/>
          <w:sz w:val="24"/>
          <w:szCs w:val="24"/>
        </w:rPr>
      </w:pPr>
    </w:p>
    <w:p w:rsidR="00A05D94" w:rsidRPr="00B96DDF" w:rsidRDefault="00A05D94" w:rsidP="007A77FC">
      <w:pPr>
        <w:jc w:val="both"/>
        <w:rPr>
          <w:rFonts w:ascii="Times New Roman" w:hAnsi="Times New Roman" w:cs="Times New Roman"/>
          <w:sz w:val="24"/>
          <w:szCs w:val="24"/>
        </w:rPr>
      </w:pPr>
    </w:p>
    <w:p w:rsidR="00A05D94" w:rsidRPr="00B96DDF" w:rsidRDefault="00A05D94" w:rsidP="007A77FC">
      <w:pPr>
        <w:jc w:val="both"/>
        <w:rPr>
          <w:rFonts w:ascii="Times New Roman" w:hAnsi="Times New Roman" w:cs="Times New Roman"/>
          <w:sz w:val="24"/>
          <w:szCs w:val="24"/>
        </w:rPr>
      </w:pPr>
    </w:p>
    <w:p w:rsidR="00A05D94" w:rsidRPr="00B96DDF" w:rsidRDefault="00A05D94" w:rsidP="007A77FC">
      <w:pPr>
        <w:jc w:val="both"/>
        <w:rPr>
          <w:rFonts w:ascii="Times New Roman" w:hAnsi="Times New Roman" w:cs="Times New Roman"/>
          <w:sz w:val="24"/>
          <w:szCs w:val="24"/>
        </w:rPr>
      </w:pPr>
    </w:p>
    <w:p w:rsidR="00A05D94" w:rsidRPr="00B96DDF" w:rsidRDefault="00A05D94" w:rsidP="007A77FC">
      <w:pPr>
        <w:jc w:val="both"/>
        <w:rPr>
          <w:rFonts w:ascii="Times New Roman" w:hAnsi="Times New Roman" w:cs="Times New Roman"/>
          <w:sz w:val="24"/>
          <w:szCs w:val="24"/>
        </w:rPr>
      </w:pPr>
    </w:p>
    <w:p w:rsidR="00A05D94" w:rsidRPr="00B96DDF" w:rsidRDefault="00A05D94" w:rsidP="007A77FC">
      <w:pPr>
        <w:jc w:val="both"/>
        <w:rPr>
          <w:rFonts w:ascii="Times New Roman" w:hAnsi="Times New Roman" w:cs="Times New Roman"/>
          <w:sz w:val="24"/>
          <w:szCs w:val="24"/>
        </w:rPr>
      </w:pPr>
    </w:p>
    <w:p w:rsidR="00A05D94" w:rsidRPr="00B96DDF" w:rsidRDefault="00A05D94" w:rsidP="007A77FC">
      <w:pPr>
        <w:jc w:val="both"/>
        <w:rPr>
          <w:rFonts w:ascii="Times New Roman" w:hAnsi="Times New Roman" w:cs="Times New Roman"/>
          <w:sz w:val="24"/>
          <w:szCs w:val="24"/>
        </w:rPr>
      </w:pPr>
    </w:p>
    <w:p w:rsidR="00A05D94" w:rsidRPr="00B96DDF" w:rsidRDefault="00A05D94" w:rsidP="007A77FC">
      <w:pPr>
        <w:jc w:val="both"/>
        <w:rPr>
          <w:rFonts w:ascii="Times New Roman" w:hAnsi="Times New Roman" w:cs="Times New Roman"/>
          <w:sz w:val="24"/>
          <w:szCs w:val="24"/>
        </w:rPr>
      </w:pPr>
    </w:p>
    <w:p w:rsidR="00A05D94" w:rsidRPr="00B96DDF" w:rsidRDefault="00A05D94" w:rsidP="007A77FC">
      <w:pPr>
        <w:jc w:val="both"/>
        <w:rPr>
          <w:rFonts w:ascii="Times New Roman" w:hAnsi="Times New Roman" w:cs="Times New Roman"/>
          <w:sz w:val="24"/>
          <w:szCs w:val="24"/>
        </w:rPr>
      </w:pPr>
    </w:p>
    <w:p w:rsidR="00A05D94" w:rsidRPr="00B96DDF" w:rsidRDefault="00A05D94" w:rsidP="007A77FC">
      <w:pPr>
        <w:jc w:val="both"/>
        <w:rPr>
          <w:rFonts w:ascii="Times New Roman" w:hAnsi="Times New Roman" w:cs="Times New Roman"/>
          <w:sz w:val="24"/>
          <w:szCs w:val="24"/>
        </w:rPr>
      </w:pPr>
    </w:p>
    <w:p w:rsidR="00A05D94" w:rsidRPr="00B96DDF" w:rsidRDefault="00A05D94" w:rsidP="007A77FC">
      <w:pPr>
        <w:jc w:val="both"/>
        <w:rPr>
          <w:rFonts w:ascii="Times New Roman" w:hAnsi="Times New Roman" w:cs="Times New Roman"/>
          <w:sz w:val="24"/>
          <w:szCs w:val="24"/>
        </w:rPr>
      </w:pPr>
    </w:p>
    <w:p w:rsidR="00A05D94" w:rsidRPr="00B96DDF" w:rsidRDefault="00A05D94" w:rsidP="007A77FC">
      <w:pPr>
        <w:jc w:val="both"/>
        <w:rPr>
          <w:rFonts w:ascii="Times New Roman" w:hAnsi="Times New Roman" w:cs="Times New Roman"/>
          <w:sz w:val="24"/>
          <w:szCs w:val="24"/>
        </w:rPr>
      </w:pPr>
    </w:p>
    <w:p w:rsidR="00A05D94" w:rsidRPr="00B96DDF" w:rsidRDefault="00A05D94" w:rsidP="007A77FC">
      <w:pPr>
        <w:jc w:val="both"/>
        <w:rPr>
          <w:rFonts w:ascii="Times New Roman" w:hAnsi="Times New Roman" w:cs="Times New Roman"/>
          <w:sz w:val="24"/>
          <w:szCs w:val="24"/>
        </w:rPr>
      </w:pPr>
    </w:p>
    <w:p w:rsidR="00A05D94" w:rsidRPr="00B96DDF" w:rsidRDefault="00A05D94" w:rsidP="007A77FC">
      <w:pPr>
        <w:jc w:val="both"/>
        <w:rPr>
          <w:rFonts w:ascii="Times New Roman" w:hAnsi="Times New Roman" w:cs="Times New Roman"/>
          <w:sz w:val="24"/>
          <w:szCs w:val="24"/>
        </w:rPr>
      </w:pPr>
    </w:p>
    <w:p w:rsidR="00A05D94" w:rsidRPr="00B96DDF" w:rsidRDefault="00A05D94" w:rsidP="007A77FC">
      <w:pPr>
        <w:jc w:val="both"/>
        <w:rPr>
          <w:rFonts w:ascii="Times New Roman" w:hAnsi="Times New Roman" w:cs="Times New Roman"/>
          <w:sz w:val="24"/>
          <w:szCs w:val="24"/>
        </w:rPr>
      </w:pPr>
    </w:p>
    <w:p w:rsidR="00A05D94" w:rsidRPr="00B96DDF" w:rsidRDefault="00A05D94" w:rsidP="007A77FC">
      <w:pPr>
        <w:jc w:val="both"/>
        <w:rPr>
          <w:rFonts w:ascii="Times New Roman" w:hAnsi="Times New Roman" w:cs="Times New Roman"/>
          <w:sz w:val="24"/>
          <w:szCs w:val="24"/>
        </w:rPr>
      </w:pPr>
    </w:p>
    <w:p w:rsidR="00A05D94" w:rsidRPr="00B96DDF" w:rsidRDefault="00A05D94" w:rsidP="007A77FC">
      <w:pPr>
        <w:jc w:val="both"/>
        <w:rPr>
          <w:rFonts w:ascii="Times New Roman" w:hAnsi="Times New Roman" w:cs="Times New Roman"/>
          <w:sz w:val="24"/>
          <w:szCs w:val="24"/>
        </w:rPr>
      </w:pPr>
    </w:p>
    <w:p w:rsidR="00A05D94" w:rsidRDefault="00A05D94" w:rsidP="007A77FC">
      <w:pPr>
        <w:jc w:val="both"/>
        <w:rPr>
          <w:rFonts w:ascii="Times New Roman" w:hAnsi="Times New Roman" w:cs="Times New Roman"/>
          <w:sz w:val="24"/>
          <w:szCs w:val="24"/>
        </w:rPr>
      </w:pPr>
    </w:p>
    <w:p w:rsidR="006901AF" w:rsidRDefault="006901AF" w:rsidP="007A77FC">
      <w:pPr>
        <w:jc w:val="both"/>
        <w:rPr>
          <w:rFonts w:ascii="Times New Roman" w:hAnsi="Times New Roman" w:cs="Times New Roman"/>
          <w:sz w:val="24"/>
          <w:szCs w:val="24"/>
        </w:rPr>
      </w:pPr>
    </w:p>
    <w:p w:rsidR="006901AF" w:rsidRDefault="006901AF" w:rsidP="006901AF">
      <w:pPr>
        <w:pStyle w:val="Caption"/>
        <w:keepNext/>
        <w:jc w:val="both"/>
        <w:rPr>
          <w:rFonts w:ascii="Times New Roman" w:hAnsi="Times New Roman" w:cs="Times New Roman"/>
          <w:b/>
          <w:i w:val="0"/>
          <w:color w:val="auto"/>
          <w:sz w:val="24"/>
          <w:szCs w:val="24"/>
        </w:rPr>
      </w:pPr>
      <w:r w:rsidRPr="00B96DDF">
        <w:rPr>
          <w:rFonts w:ascii="Times New Roman" w:hAnsi="Times New Roman" w:cs="Times New Roman"/>
          <w:b/>
          <w:i w:val="0"/>
          <w:color w:val="auto"/>
          <w:sz w:val="24"/>
          <w:szCs w:val="24"/>
        </w:rPr>
        <w:t xml:space="preserve">Figure </w:t>
      </w:r>
      <w:r w:rsidRPr="00B96DDF">
        <w:rPr>
          <w:rFonts w:ascii="Times New Roman" w:hAnsi="Times New Roman" w:cs="Times New Roman"/>
          <w:b/>
          <w:i w:val="0"/>
          <w:color w:val="auto"/>
          <w:sz w:val="24"/>
          <w:szCs w:val="24"/>
        </w:rPr>
        <w:fldChar w:fldCharType="begin"/>
      </w:r>
      <w:r w:rsidRPr="00B96DDF">
        <w:rPr>
          <w:rFonts w:ascii="Times New Roman" w:hAnsi="Times New Roman" w:cs="Times New Roman"/>
          <w:b/>
          <w:i w:val="0"/>
          <w:color w:val="auto"/>
          <w:sz w:val="24"/>
          <w:szCs w:val="24"/>
        </w:rPr>
        <w:instrText xml:space="preserve"> SEQ Figure \* ARABIC </w:instrText>
      </w:r>
      <w:r w:rsidRPr="00B96DDF">
        <w:rPr>
          <w:rFonts w:ascii="Times New Roman" w:hAnsi="Times New Roman" w:cs="Times New Roman"/>
          <w:b/>
          <w:i w:val="0"/>
          <w:color w:val="auto"/>
          <w:sz w:val="24"/>
          <w:szCs w:val="24"/>
        </w:rPr>
        <w:fldChar w:fldCharType="separate"/>
      </w:r>
      <w:r w:rsidRPr="00B96DDF">
        <w:rPr>
          <w:rFonts w:ascii="Times New Roman" w:hAnsi="Times New Roman" w:cs="Times New Roman"/>
          <w:b/>
          <w:i w:val="0"/>
          <w:noProof/>
          <w:color w:val="auto"/>
          <w:sz w:val="24"/>
          <w:szCs w:val="24"/>
        </w:rPr>
        <w:t>1</w:t>
      </w:r>
      <w:r w:rsidRPr="00B96DDF">
        <w:rPr>
          <w:rFonts w:ascii="Times New Roman" w:hAnsi="Times New Roman" w:cs="Times New Roman"/>
          <w:b/>
          <w:i w:val="0"/>
          <w:color w:val="auto"/>
          <w:sz w:val="24"/>
          <w:szCs w:val="24"/>
        </w:rPr>
        <w:fldChar w:fldCharType="end"/>
      </w:r>
      <w:r w:rsidRPr="00B96DDF">
        <w:rPr>
          <w:rFonts w:ascii="Times New Roman" w:hAnsi="Times New Roman" w:cs="Times New Roman"/>
          <w:b/>
          <w:i w:val="0"/>
          <w:color w:val="auto"/>
          <w:sz w:val="24"/>
          <w:szCs w:val="24"/>
        </w:rPr>
        <w:t>: Log prices of the bitcoin markets</w:t>
      </w:r>
    </w:p>
    <w:p w:rsidR="006901AF" w:rsidRPr="006901AF" w:rsidRDefault="006901AF" w:rsidP="006901AF"/>
    <w:tbl>
      <w:tblPr>
        <w:tblW w:w="0" w:type="auto"/>
        <w:tblBorders>
          <w:top w:val="single" w:sz="4" w:space="0" w:color="auto"/>
          <w:bottom w:val="single" w:sz="4" w:space="0" w:color="auto"/>
        </w:tblBorders>
        <w:tblLook w:val="04A0" w:firstRow="1" w:lastRow="0" w:firstColumn="1" w:lastColumn="0" w:noHBand="0" w:noVBand="1"/>
      </w:tblPr>
      <w:tblGrid>
        <w:gridCol w:w="4394"/>
        <w:gridCol w:w="4395"/>
      </w:tblGrid>
      <w:tr w:rsidR="006901AF" w:rsidRPr="00662787" w:rsidTr="00662787">
        <w:tc>
          <w:tcPr>
            <w:tcW w:w="4502" w:type="dxa"/>
          </w:tcPr>
          <w:p w:rsidR="006901AF" w:rsidRPr="00662787" w:rsidRDefault="000419AB" w:rsidP="00662787">
            <w:pPr>
              <w:jc w:val="both"/>
              <w:rPr>
                <w:rFonts w:ascii="Times New Roman" w:hAnsi="Times New Roman" w:cs="Times New Roman"/>
                <w:sz w:val="24"/>
                <w:szCs w:val="24"/>
                <w:lang w:val="en-US"/>
              </w:rPr>
            </w:pPr>
            <w:r>
              <w:rPr>
                <w:rFonts w:ascii="Times New Roman" w:hAnsi="Times New Roman" w:cs="Times New Roman"/>
                <w:noProof/>
                <w:sz w:val="24"/>
                <w:szCs w:val="24"/>
                <w:lang w:eastAsia="en-GB"/>
              </w:rPr>
              <w:lastRenderedPageBreak/>
              <w:drawing>
                <wp:inline distT="0" distB="0" distL="0" distR="0">
                  <wp:extent cx="2072640" cy="1158240"/>
                  <wp:effectExtent l="0" t="0" r="3810" b="3810"/>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2640" cy="1158240"/>
                          </a:xfrm>
                          <a:prstGeom prst="rect">
                            <a:avLst/>
                          </a:prstGeom>
                          <a:noFill/>
                          <a:ln>
                            <a:noFill/>
                          </a:ln>
                        </pic:spPr>
                      </pic:pic>
                    </a:graphicData>
                  </a:graphic>
                </wp:inline>
              </w:drawing>
            </w:r>
          </w:p>
        </w:tc>
        <w:tc>
          <w:tcPr>
            <w:tcW w:w="4503" w:type="dxa"/>
          </w:tcPr>
          <w:p w:rsidR="006901AF" w:rsidRPr="00662787" w:rsidRDefault="000419AB" w:rsidP="00662787">
            <w:pPr>
              <w:jc w:val="both"/>
              <w:rPr>
                <w:rFonts w:ascii="Times New Roman" w:hAnsi="Times New Roman" w:cs="Times New Roman"/>
                <w:sz w:val="24"/>
                <w:szCs w:val="24"/>
                <w:lang w:val="en-US"/>
              </w:rPr>
            </w:pPr>
            <w:r>
              <w:rPr>
                <w:rFonts w:ascii="Times New Roman" w:hAnsi="Times New Roman" w:cs="Times New Roman"/>
                <w:noProof/>
                <w:sz w:val="24"/>
                <w:szCs w:val="24"/>
                <w:lang w:eastAsia="en-GB"/>
              </w:rPr>
              <w:drawing>
                <wp:inline distT="0" distB="0" distL="0" distR="0">
                  <wp:extent cx="2072640" cy="1158240"/>
                  <wp:effectExtent l="0" t="0" r="3810" b="3810"/>
                  <wp:docPr id="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2640" cy="1158240"/>
                          </a:xfrm>
                          <a:prstGeom prst="rect">
                            <a:avLst/>
                          </a:prstGeom>
                          <a:noFill/>
                          <a:ln>
                            <a:noFill/>
                          </a:ln>
                        </pic:spPr>
                      </pic:pic>
                    </a:graphicData>
                  </a:graphic>
                </wp:inline>
              </w:drawing>
            </w:r>
          </w:p>
        </w:tc>
      </w:tr>
      <w:tr w:rsidR="006901AF" w:rsidRPr="00662787" w:rsidTr="00662787">
        <w:tc>
          <w:tcPr>
            <w:tcW w:w="4502" w:type="dxa"/>
          </w:tcPr>
          <w:p w:rsidR="006901AF" w:rsidRPr="00662787" w:rsidRDefault="000419AB" w:rsidP="00662787">
            <w:pPr>
              <w:jc w:val="both"/>
              <w:rPr>
                <w:rFonts w:ascii="Times New Roman" w:hAnsi="Times New Roman" w:cs="Times New Roman"/>
                <w:sz w:val="24"/>
                <w:szCs w:val="24"/>
                <w:lang w:val="en-US"/>
              </w:rPr>
            </w:pPr>
            <w:r>
              <w:rPr>
                <w:rFonts w:ascii="Times New Roman" w:hAnsi="Times New Roman" w:cs="Times New Roman"/>
                <w:noProof/>
                <w:sz w:val="24"/>
                <w:szCs w:val="24"/>
                <w:lang w:eastAsia="en-GB"/>
              </w:rPr>
              <w:drawing>
                <wp:inline distT="0" distB="0" distL="0" distR="0">
                  <wp:extent cx="2103120" cy="1165860"/>
                  <wp:effectExtent l="0" t="0" r="0" b="0"/>
                  <wp:docPr id="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3120" cy="1165860"/>
                          </a:xfrm>
                          <a:prstGeom prst="rect">
                            <a:avLst/>
                          </a:prstGeom>
                          <a:noFill/>
                          <a:ln>
                            <a:noFill/>
                          </a:ln>
                        </pic:spPr>
                      </pic:pic>
                    </a:graphicData>
                  </a:graphic>
                </wp:inline>
              </w:drawing>
            </w:r>
          </w:p>
        </w:tc>
        <w:tc>
          <w:tcPr>
            <w:tcW w:w="4503" w:type="dxa"/>
          </w:tcPr>
          <w:p w:rsidR="006901AF" w:rsidRPr="00662787" w:rsidRDefault="000419AB" w:rsidP="00662787">
            <w:pPr>
              <w:jc w:val="both"/>
              <w:rPr>
                <w:rFonts w:ascii="Times New Roman" w:hAnsi="Times New Roman" w:cs="Times New Roman"/>
                <w:sz w:val="24"/>
                <w:szCs w:val="24"/>
                <w:lang w:val="en-US"/>
              </w:rPr>
            </w:pPr>
            <w:r>
              <w:rPr>
                <w:rFonts w:ascii="Times New Roman" w:hAnsi="Times New Roman" w:cs="Times New Roman"/>
                <w:noProof/>
                <w:sz w:val="24"/>
                <w:szCs w:val="24"/>
                <w:lang w:eastAsia="en-GB"/>
              </w:rPr>
              <w:drawing>
                <wp:inline distT="0" distB="0" distL="0" distR="0">
                  <wp:extent cx="2042160" cy="1135380"/>
                  <wp:effectExtent l="0" t="0" r="0" b="7620"/>
                  <wp:docPr id="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2160" cy="1135380"/>
                          </a:xfrm>
                          <a:prstGeom prst="rect">
                            <a:avLst/>
                          </a:prstGeom>
                          <a:noFill/>
                          <a:ln>
                            <a:noFill/>
                          </a:ln>
                        </pic:spPr>
                      </pic:pic>
                    </a:graphicData>
                  </a:graphic>
                </wp:inline>
              </w:drawing>
            </w:r>
          </w:p>
        </w:tc>
      </w:tr>
      <w:tr w:rsidR="006901AF" w:rsidRPr="00662787" w:rsidTr="00662787">
        <w:tc>
          <w:tcPr>
            <w:tcW w:w="4502" w:type="dxa"/>
          </w:tcPr>
          <w:p w:rsidR="006901AF" w:rsidRPr="00662787" w:rsidRDefault="000419AB" w:rsidP="00662787">
            <w:pPr>
              <w:jc w:val="both"/>
              <w:rPr>
                <w:rFonts w:ascii="Times New Roman" w:hAnsi="Times New Roman" w:cs="Times New Roman"/>
                <w:sz w:val="24"/>
                <w:szCs w:val="24"/>
                <w:lang w:val="en-US"/>
              </w:rPr>
            </w:pPr>
            <w:r>
              <w:rPr>
                <w:rFonts w:ascii="Times New Roman" w:hAnsi="Times New Roman" w:cs="Times New Roman"/>
                <w:noProof/>
                <w:sz w:val="24"/>
                <w:szCs w:val="24"/>
                <w:lang w:eastAsia="en-GB"/>
              </w:rPr>
              <w:drawing>
                <wp:inline distT="0" distB="0" distL="0" distR="0">
                  <wp:extent cx="2103120" cy="1165860"/>
                  <wp:effectExtent l="0" t="0" r="0" b="0"/>
                  <wp:docPr id="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3120" cy="1165860"/>
                          </a:xfrm>
                          <a:prstGeom prst="rect">
                            <a:avLst/>
                          </a:prstGeom>
                          <a:noFill/>
                          <a:ln>
                            <a:noFill/>
                          </a:ln>
                        </pic:spPr>
                      </pic:pic>
                    </a:graphicData>
                  </a:graphic>
                </wp:inline>
              </w:drawing>
            </w:r>
          </w:p>
        </w:tc>
        <w:tc>
          <w:tcPr>
            <w:tcW w:w="4503" w:type="dxa"/>
          </w:tcPr>
          <w:p w:rsidR="006901AF" w:rsidRPr="00662787" w:rsidRDefault="000419AB" w:rsidP="00662787">
            <w:pPr>
              <w:jc w:val="both"/>
              <w:rPr>
                <w:rFonts w:ascii="Times New Roman" w:hAnsi="Times New Roman" w:cs="Times New Roman"/>
                <w:sz w:val="24"/>
                <w:szCs w:val="24"/>
                <w:lang w:val="en-US"/>
              </w:rPr>
            </w:pPr>
            <w:r>
              <w:rPr>
                <w:rFonts w:ascii="Times New Roman" w:hAnsi="Times New Roman" w:cs="Times New Roman"/>
                <w:noProof/>
                <w:sz w:val="24"/>
                <w:szCs w:val="24"/>
                <w:lang w:eastAsia="en-GB"/>
              </w:rPr>
              <w:drawing>
                <wp:inline distT="0" distB="0" distL="0" distR="0">
                  <wp:extent cx="2103120" cy="1165860"/>
                  <wp:effectExtent l="0" t="0" r="0" b="0"/>
                  <wp:docPr id="2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3120" cy="1165860"/>
                          </a:xfrm>
                          <a:prstGeom prst="rect">
                            <a:avLst/>
                          </a:prstGeom>
                          <a:noFill/>
                          <a:ln>
                            <a:noFill/>
                          </a:ln>
                        </pic:spPr>
                      </pic:pic>
                    </a:graphicData>
                  </a:graphic>
                </wp:inline>
              </w:drawing>
            </w:r>
          </w:p>
        </w:tc>
      </w:tr>
      <w:tr w:rsidR="006901AF" w:rsidRPr="00662787" w:rsidTr="00662787">
        <w:tc>
          <w:tcPr>
            <w:tcW w:w="4502" w:type="dxa"/>
          </w:tcPr>
          <w:p w:rsidR="006901AF" w:rsidRPr="00662787" w:rsidRDefault="000419AB" w:rsidP="00662787">
            <w:pPr>
              <w:jc w:val="both"/>
              <w:rPr>
                <w:rFonts w:ascii="Times New Roman" w:hAnsi="Times New Roman" w:cs="Times New Roman"/>
                <w:sz w:val="24"/>
                <w:szCs w:val="24"/>
                <w:lang w:val="en-US"/>
              </w:rPr>
            </w:pPr>
            <w:r>
              <w:rPr>
                <w:rFonts w:ascii="Times New Roman" w:hAnsi="Times New Roman" w:cs="Times New Roman"/>
                <w:noProof/>
                <w:sz w:val="24"/>
                <w:szCs w:val="24"/>
                <w:lang w:eastAsia="en-GB"/>
              </w:rPr>
              <w:drawing>
                <wp:inline distT="0" distB="0" distL="0" distR="0">
                  <wp:extent cx="2042160" cy="1135380"/>
                  <wp:effectExtent l="0" t="0" r="0" b="7620"/>
                  <wp:docPr id="2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2160" cy="1135380"/>
                          </a:xfrm>
                          <a:prstGeom prst="rect">
                            <a:avLst/>
                          </a:prstGeom>
                          <a:noFill/>
                          <a:ln>
                            <a:noFill/>
                          </a:ln>
                        </pic:spPr>
                      </pic:pic>
                    </a:graphicData>
                  </a:graphic>
                </wp:inline>
              </w:drawing>
            </w:r>
          </w:p>
        </w:tc>
        <w:tc>
          <w:tcPr>
            <w:tcW w:w="4503" w:type="dxa"/>
          </w:tcPr>
          <w:p w:rsidR="006901AF" w:rsidRPr="00662787" w:rsidRDefault="000419AB" w:rsidP="00662787">
            <w:pPr>
              <w:jc w:val="both"/>
              <w:rPr>
                <w:rFonts w:ascii="Times New Roman" w:hAnsi="Times New Roman" w:cs="Times New Roman"/>
                <w:sz w:val="24"/>
                <w:szCs w:val="24"/>
                <w:lang w:val="en-US"/>
              </w:rPr>
            </w:pPr>
            <w:r>
              <w:rPr>
                <w:rFonts w:ascii="Times New Roman" w:hAnsi="Times New Roman" w:cs="Times New Roman"/>
                <w:noProof/>
                <w:sz w:val="24"/>
                <w:szCs w:val="24"/>
                <w:lang w:eastAsia="en-GB"/>
              </w:rPr>
              <w:drawing>
                <wp:inline distT="0" distB="0" distL="0" distR="0">
                  <wp:extent cx="2103120" cy="1165860"/>
                  <wp:effectExtent l="0" t="0" r="0" b="0"/>
                  <wp:docPr id="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03120" cy="1165860"/>
                          </a:xfrm>
                          <a:prstGeom prst="rect">
                            <a:avLst/>
                          </a:prstGeom>
                          <a:noFill/>
                          <a:ln>
                            <a:noFill/>
                          </a:ln>
                        </pic:spPr>
                      </pic:pic>
                    </a:graphicData>
                  </a:graphic>
                </wp:inline>
              </w:drawing>
            </w:r>
          </w:p>
        </w:tc>
      </w:tr>
    </w:tbl>
    <w:p w:rsidR="00F75F54" w:rsidRDefault="00F75F54" w:rsidP="007A77FC">
      <w:pPr>
        <w:jc w:val="both"/>
        <w:rPr>
          <w:rFonts w:ascii="Times New Roman" w:hAnsi="Times New Roman" w:cs="Times New Roman"/>
          <w:sz w:val="24"/>
          <w:szCs w:val="24"/>
        </w:rPr>
      </w:pPr>
    </w:p>
    <w:p w:rsidR="00F75F54" w:rsidRDefault="00F75F54" w:rsidP="007A77FC">
      <w:pPr>
        <w:jc w:val="both"/>
        <w:rPr>
          <w:rFonts w:ascii="Times New Roman" w:hAnsi="Times New Roman" w:cs="Times New Roman"/>
          <w:sz w:val="24"/>
          <w:szCs w:val="24"/>
        </w:rPr>
      </w:pPr>
    </w:p>
    <w:p w:rsidR="00F75F54" w:rsidRDefault="00F75F54" w:rsidP="007A77FC">
      <w:pPr>
        <w:jc w:val="both"/>
        <w:rPr>
          <w:rFonts w:ascii="Times New Roman" w:hAnsi="Times New Roman" w:cs="Times New Roman"/>
          <w:sz w:val="24"/>
          <w:szCs w:val="24"/>
        </w:rPr>
      </w:pPr>
    </w:p>
    <w:p w:rsidR="00F75F54" w:rsidRDefault="00F75F54" w:rsidP="007A77FC">
      <w:pPr>
        <w:jc w:val="both"/>
        <w:rPr>
          <w:rFonts w:ascii="Times New Roman" w:hAnsi="Times New Roman" w:cs="Times New Roman"/>
          <w:sz w:val="24"/>
          <w:szCs w:val="24"/>
        </w:rPr>
      </w:pPr>
    </w:p>
    <w:p w:rsidR="00F75F54" w:rsidRDefault="00F75F54" w:rsidP="007A77FC">
      <w:pPr>
        <w:jc w:val="both"/>
        <w:rPr>
          <w:rFonts w:ascii="Times New Roman" w:hAnsi="Times New Roman" w:cs="Times New Roman"/>
          <w:sz w:val="24"/>
          <w:szCs w:val="24"/>
        </w:rPr>
      </w:pPr>
    </w:p>
    <w:p w:rsidR="00F75F54" w:rsidRDefault="00F75F54" w:rsidP="007A77FC">
      <w:pPr>
        <w:jc w:val="both"/>
        <w:rPr>
          <w:rFonts w:ascii="Times New Roman" w:hAnsi="Times New Roman" w:cs="Times New Roman"/>
          <w:sz w:val="24"/>
          <w:szCs w:val="24"/>
        </w:rPr>
      </w:pPr>
    </w:p>
    <w:p w:rsidR="00F75F54" w:rsidRDefault="00F75F54" w:rsidP="007A77FC">
      <w:pPr>
        <w:jc w:val="both"/>
        <w:rPr>
          <w:rFonts w:ascii="Times New Roman" w:hAnsi="Times New Roman" w:cs="Times New Roman"/>
          <w:sz w:val="24"/>
          <w:szCs w:val="24"/>
        </w:rPr>
      </w:pPr>
    </w:p>
    <w:p w:rsidR="00F75F54" w:rsidRDefault="00F75F54" w:rsidP="007A77FC">
      <w:pPr>
        <w:jc w:val="both"/>
        <w:rPr>
          <w:rFonts w:ascii="Times New Roman" w:hAnsi="Times New Roman" w:cs="Times New Roman"/>
          <w:sz w:val="24"/>
          <w:szCs w:val="24"/>
        </w:rPr>
      </w:pPr>
    </w:p>
    <w:p w:rsidR="00F75F54" w:rsidRDefault="00F75F54" w:rsidP="007A77FC">
      <w:pPr>
        <w:jc w:val="both"/>
        <w:rPr>
          <w:rFonts w:ascii="Times New Roman" w:hAnsi="Times New Roman" w:cs="Times New Roman"/>
          <w:sz w:val="24"/>
          <w:szCs w:val="24"/>
        </w:rPr>
      </w:pPr>
    </w:p>
    <w:p w:rsidR="00F75F54" w:rsidRDefault="00F75F54" w:rsidP="007A77FC">
      <w:pPr>
        <w:jc w:val="both"/>
        <w:rPr>
          <w:rFonts w:ascii="Times New Roman" w:hAnsi="Times New Roman" w:cs="Times New Roman"/>
          <w:sz w:val="24"/>
          <w:szCs w:val="24"/>
        </w:rPr>
      </w:pPr>
    </w:p>
    <w:p w:rsidR="00A05D94" w:rsidRDefault="00A05D94" w:rsidP="007A77FC">
      <w:pPr>
        <w:pStyle w:val="Caption"/>
        <w:keepNext/>
        <w:jc w:val="both"/>
        <w:rPr>
          <w:rFonts w:ascii="Times New Roman" w:hAnsi="Times New Roman" w:cs="Times New Roman"/>
          <w:b/>
          <w:i w:val="0"/>
          <w:color w:val="auto"/>
          <w:sz w:val="24"/>
          <w:szCs w:val="24"/>
        </w:rPr>
      </w:pPr>
      <w:r w:rsidRPr="00B96DDF">
        <w:rPr>
          <w:rFonts w:ascii="Times New Roman" w:hAnsi="Times New Roman" w:cs="Times New Roman"/>
          <w:b/>
          <w:i w:val="0"/>
          <w:color w:val="auto"/>
          <w:sz w:val="24"/>
          <w:szCs w:val="24"/>
        </w:rPr>
        <w:t>Figure 2: Bitcoin/USD cross-quantilogram correlation in a rolling sample</w:t>
      </w:r>
    </w:p>
    <w:p w:rsidR="002F14FE" w:rsidRPr="002F14FE" w:rsidRDefault="002F14FE" w:rsidP="002F14FE"/>
    <w:tbl>
      <w:tblPr>
        <w:tblpPr w:leftFromText="181" w:rightFromText="181" w:vertAnchor="text" w:horzAnchor="margin" w:tblpXSpec="center" w:tblpY="1"/>
        <w:tblW w:w="10163"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34"/>
        <w:gridCol w:w="2675"/>
        <w:gridCol w:w="3081"/>
        <w:gridCol w:w="3073"/>
      </w:tblGrid>
      <w:tr w:rsidR="00A05D94" w:rsidRPr="00D03D9D" w:rsidTr="00041836">
        <w:trPr>
          <w:cantSplit/>
          <w:trHeight w:val="281"/>
        </w:trPr>
        <w:tc>
          <w:tcPr>
            <w:tcW w:w="1334" w:type="dxa"/>
            <w:tcBorders>
              <w:top w:val="single" w:sz="18" w:space="0" w:color="auto"/>
            </w:tcBorders>
            <w:vAlign w:val="center"/>
          </w:tcPr>
          <w:p w:rsidR="00A05D94" w:rsidRPr="002F14FE" w:rsidRDefault="002F14FE" w:rsidP="002F14FE">
            <w:pPr>
              <w:pStyle w:val="NoSpacing"/>
              <w:jc w:val="center"/>
              <w:rPr>
                <w:rFonts w:ascii="Times New Roman" w:hAnsi="Times New Roman" w:cs="Times New Roman"/>
                <w:b/>
                <w:szCs w:val="24"/>
                <w:lang w:val="en-US"/>
              </w:rPr>
            </w:pPr>
            <w:r>
              <w:rPr>
                <w:rFonts w:ascii="Times New Roman" w:hAnsi="Times New Roman" w:cs="Times New Roman"/>
                <w:b/>
                <w:szCs w:val="24"/>
                <w:lang w:val="en-US"/>
              </w:rPr>
              <w:t>BTC</w:t>
            </w:r>
            <w:r w:rsidR="00A05D94" w:rsidRPr="002F14FE">
              <w:rPr>
                <w:rFonts w:ascii="Times New Roman" w:hAnsi="Times New Roman" w:cs="Times New Roman"/>
                <w:b/>
                <w:szCs w:val="24"/>
                <w:lang w:val="en-US"/>
              </w:rPr>
              <w:t>/USD</w:t>
            </w:r>
          </w:p>
        </w:tc>
        <w:tc>
          <w:tcPr>
            <w:tcW w:w="2675" w:type="dxa"/>
            <w:tcBorders>
              <w:top w:val="single" w:sz="18" w:space="0" w:color="auto"/>
            </w:tcBorders>
            <w:vAlign w:val="bottom"/>
          </w:tcPr>
          <w:p w:rsidR="00A05D94" w:rsidRPr="002F14FE" w:rsidRDefault="00A05D94" w:rsidP="002F14FE">
            <w:pPr>
              <w:pStyle w:val="NoSpacing"/>
              <w:jc w:val="center"/>
              <w:rPr>
                <w:rFonts w:ascii="Times New Roman" w:hAnsi="Times New Roman" w:cs="Times New Roman"/>
                <w:b/>
                <w:szCs w:val="24"/>
                <w:lang w:val="en-US"/>
              </w:rPr>
            </w:pPr>
            <w:r w:rsidRPr="002F14FE">
              <w:rPr>
                <w:rFonts w:ascii="Times New Roman" w:hAnsi="Times New Roman" w:cs="Times New Roman"/>
                <w:b/>
                <w:szCs w:val="24"/>
                <w:lang w:val="en-US"/>
              </w:rPr>
              <w:t>[0.05-0.05]</w:t>
            </w:r>
          </w:p>
        </w:tc>
        <w:tc>
          <w:tcPr>
            <w:tcW w:w="3081" w:type="dxa"/>
            <w:tcBorders>
              <w:top w:val="single" w:sz="18" w:space="0" w:color="auto"/>
            </w:tcBorders>
            <w:vAlign w:val="bottom"/>
          </w:tcPr>
          <w:p w:rsidR="00A05D94" w:rsidRPr="002F14FE" w:rsidRDefault="00A05D94" w:rsidP="002F14FE">
            <w:pPr>
              <w:pStyle w:val="NoSpacing"/>
              <w:jc w:val="center"/>
              <w:rPr>
                <w:rFonts w:ascii="Times New Roman" w:hAnsi="Times New Roman" w:cs="Times New Roman"/>
                <w:b/>
                <w:szCs w:val="24"/>
                <w:lang w:val="en-US"/>
              </w:rPr>
            </w:pPr>
            <w:r w:rsidRPr="002F14FE">
              <w:rPr>
                <w:rFonts w:ascii="Times New Roman" w:hAnsi="Times New Roman" w:cs="Times New Roman"/>
                <w:b/>
                <w:szCs w:val="24"/>
                <w:lang w:val="en-US"/>
              </w:rPr>
              <w:t>[0.50-0.50]</w:t>
            </w:r>
          </w:p>
        </w:tc>
        <w:tc>
          <w:tcPr>
            <w:tcW w:w="3073" w:type="dxa"/>
            <w:tcBorders>
              <w:top w:val="single" w:sz="18" w:space="0" w:color="auto"/>
            </w:tcBorders>
            <w:vAlign w:val="bottom"/>
          </w:tcPr>
          <w:p w:rsidR="00A05D94" w:rsidRPr="002F14FE" w:rsidRDefault="00A05D94" w:rsidP="002F14FE">
            <w:pPr>
              <w:pStyle w:val="NoSpacing"/>
              <w:jc w:val="center"/>
              <w:rPr>
                <w:rFonts w:ascii="Times New Roman" w:hAnsi="Times New Roman" w:cs="Times New Roman"/>
                <w:b/>
                <w:szCs w:val="24"/>
                <w:lang w:val="en-US"/>
              </w:rPr>
            </w:pPr>
            <w:r w:rsidRPr="002F14FE">
              <w:rPr>
                <w:rFonts w:ascii="Times New Roman" w:hAnsi="Times New Roman" w:cs="Times New Roman"/>
                <w:b/>
                <w:szCs w:val="24"/>
                <w:lang w:val="en-US"/>
              </w:rPr>
              <w:t>[0.95-0.95]</w:t>
            </w:r>
          </w:p>
        </w:tc>
      </w:tr>
      <w:tr w:rsidR="00A05D94" w:rsidRPr="00D03D9D" w:rsidTr="00041836">
        <w:trPr>
          <w:cantSplit/>
          <w:trHeight w:val="1072"/>
        </w:trPr>
        <w:tc>
          <w:tcPr>
            <w:tcW w:w="1334" w:type="dxa"/>
            <w:tcBorders>
              <w:top w:val="single" w:sz="18" w:space="0" w:color="auto"/>
            </w:tcBorders>
            <w:textDirection w:val="btLr"/>
            <w:vAlign w:val="center"/>
          </w:tcPr>
          <w:p w:rsidR="00A05D94" w:rsidRPr="00D03D9D" w:rsidRDefault="00A05D94" w:rsidP="00D03D9D">
            <w:pPr>
              <w:spacing w:after="0" w:line="240" w:lineRule="auto"/>
              <w:ind w:left="113" w:right="113"/>
              <w:jc w:val="both"/>
              <w:rPr>
                <w:rFonts w:ascii="Times New Roman" w:hAnsi="Times New Roman" w:cs="Times New Roman"/>
                <w:sz w:val="24"/>
                <w:szCs w:val="24"/>
                <w:lang w:val="en-US"/>
              </w:rPr>
            </w:pPr>
            <w:r w:rsidRPr="00D03D9D">
              <w:rPr>
                <w:rFonts w:ascii="Times New Roman" w:hAnsi="Times New Roman" w:cs="Times New Roman"/>
                <w:sz w:val="24"/>
                <w:szCs w:val="24"/>
                <w:lang w:val="en-US"/>
              </w:rPr>
              <w:lastRenderedPageBreak/>
              <w:t>BTC/AUD</w:t>
            </w:r>
          </w:p>
        </w:tc>
        <w:tc>
          <w:tcPr>
            <w:tcW w:w="2675" w:type="dxa"/>
            <w:tcBorders>
              <w:top w:val="single" w:sz="18" w:space="0" w:color="auto"/>
            </w:tcBorders>
            <w:vAlign w:val="bottom"/>
          </w:tcPr>
          <w:p w:rsidR="00A05D94" w:rsidRPr="00D03D9D" w:rsidRDefault="000419AB" w:rsidP="00D03D9D">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GB"/>
              </w:rPr>
              <w:drawing>
                <wp:inline distT="0" distB="0" distL="0" distR="0">
                  <wp:extent cx="1691640" cy="868680"/>
                  <wp:effectExtent l="0" t="0" r="3810" b="7620"/>
                  <wp:docPr id="2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1640" cy="868680"/>
                          </a:xfrm>
                          <a:prstGeom prst="rect">
                            <a:avLst/>
                          </a:prstGeom>
                          <a:noFill/>
                          <a:ln>
                            <a:noFill/>
                          </a:ln>
                        </pic:spPr>
                      </pic:pic>
                    </a:graphicData>
                  </a:graphic>
                </wp:inline>
              </w:drawing>
            </w:r>
          </w:p>
        </w:tc>
        <w:tc>
          <w:tcPr>
            <w:tcW w:w="3081" w:type="dxa"/>
            <w:tcBorders>
              <w:top w:val="single" w:sz="18" w:space="0" w:color="auto"/>
            </w:tcBorders>
            <w:vAlign w:val="bottom"/>
          </w:tcPr>
          <w:p w:rsidR="00A05D94" w:rsidRPr="00D03D9D" w:rsidRDefault="000419AB" w:rsidP="00D03D9D">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GB"/>
              </w:rPr>
              <w:drawing>
                <wp:inline distT="0" distB="0" distL="0" distR="0">
                  <wp:extent cx="1691640" cy="868680"/>
                  <wp:effectExtent l="0" t="0" r="3810" b="7620"/>
                  <wp:docPr id="2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1640" cy="868680"/>
                          </a:xfrm>
                          <a:prstGeom prst="rect">
                            <a:avLst/>
                          </a:prstGeom>
                          <a:noFill/>
                          <a:ln>
                            <a:noFill/>
                          </a:ln>
                        </pic:spPr>
                      </pic:pic>
                    </a:graphicData>
                  </a:graphic>
                </wp:inline>
              </w:drawing>
            </w:r>
          </w:p>
        </w:tc>
        <w:tc>
          <w:tcPr>
            <w:tcW w:w="3073" w:type="dxa"/>
            <w:tcBorders>
              <w:top w:val="single" w:sz="18" w:space="0" w:color="auto"/>
            </w:tcBorders>
            <w:vAlign w:val="bottom"/>
          </w:tcPr>
          <w:p w:rsidR="00A05D94" w:rsidRPr="00D03D9D" w:rsidRDefault="000419AB" w:rsidP="00D03D9D">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GB"/>
              </w:rPr>
              <w:drawing>
                <wp:inline distT="0" distB="0" distL="0" distR="0">
                  <wp:extent cx="1691640" cy="868680"/>
                  <wp:effectExtent l="0" t="0" r="3810" b="7620"/>
                  <wp:docPr id="2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91640" cy="868680"/>
                          </a:xfrm>
                          <a:prstGeom prst="rect">
                            <a:avLst/>
                          </a:prstGeom>
                          <a:noFill/>
                          <a:ln>
                            <a:noFill/>
                          </a:ln>
                        </pic:spPr>
                      </pic:pic>
                    </a:graphicData>
                  </a:graphic>
                </wp:inline>
              </w:drawing>
            </w:r>
          </w:p>
        </w:tc>
      </w:tr>
      <w:tr w:rsidR="00A05D94" w:rsidRPr="00D03D9D" w:rsidTr="00041836">
        <w:trPr>
          <w:cantSplit/>
          <w:trHeight w:val="1360"/>
        </w:trPr>
        <w:tc>
          <w:tcPr>
            <w:tcW w:w="1334" w:type="dxa"/>
            <w:textDirection w:val="btLr"/>
            <w:vAlign w:val="center"/>
          </w:tcPr>
          <w:p w:rsidR="00A05D94" w:rsidRPr="00D03D9D" w:rsidRDefault="00A05D94" w:rsidP="00D03D9D">
            <w:pPr>
              <w:spacing w:after="0" w:line="240" w:lineRule="auto"/>
              <w:ind w:left="113" w:right="113"/>
              <w:jc w:val="both"/>
              <w:rPr>
                <w:rFonts w:ascii="Times New Roman" w:hAnsi="Times New Roman" w:cs="Times New Roman"/>
                <w:sz w:val="24"/>
                <w:szCs w:val="24"/>
                <w:lang w:val="en-US"/>
              </w:rPr>
            </w:pPr>
            <w:r w:rsidRPr="00D03D9D">
              <w:rPr>
                <w:rFonts w:ascii="Times New Roman" w:hAnsi="Times New Roman" w:cs="Times New Roman"/>
                <w:sz w:val="24"/>
                <w:szCs w:val="24"/>
                <w:lang w:val="en-US"/>
              </w:rPr>
              <w:t>BTC/CAD</w:t>
            </w:r>
          </w:p>
        </w:tc>
        <w:tc>
          <w:tcPr>
            <w:tcW w:w="2675" w:type="dxa"/>
            <w:vAlign w:val="bottom"/>
          </w:tcPr>
          <w:p w:rsidR="00A05D94" w:rsidRPr="00D03D9D" w:rsidRDefault="000419AB" w:rsidP="00D03D9D">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GB"/>
              </w:rPr>
              <w:drawing>
                <wp:inline distT="0" distB="0" distL="0" distR="0">
                  <wp:extent cx="1691640" cy="868680"/>
                  <wp:effectExtent l="0" t="0" r="3810" b="7620"/>
                  <wp:docPr id="2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1640" cy="868680"/>
                          </a:xfrm>
                          <a:prstGeom prst="rect">
                            <a:avLst/>
                          </a:prstGeom>
                          <a:noFill/>
                          <a:ln>
                            <a:noFill/>
                          </a:ln>
                        </pic:spPr>
                      </pic:pic>
                    </a:graphicData>
                  </a:graphic>
                </wp:inline>
              </w:drawing>
            </w:r>
          </w:p>
        </w:tc>
        <w:tc>
          <w:tcPr>
            <w:tcW w:w="3081" w:type="dxa"/>
            <w:vAlign w:val="bottom"/>
          </w:tcPr>
          <w:p w:rsidR="00A05D94" w:rsidRPr="00D03D9D" w:rsidRDefault="000419AB" w:rsidP="00D03D9D">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GB"/>
              </w:rPr>
              <w:drawing>
                <wp:inline distT="0" distB="0" distL="0" distR="0">
                  <wp:extent cx="1691640" cy="868680"/>
                  <wp:effectExtent l="0" t="0" r="3810" b="7620"/>
                  <wp:docPr id="2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91640" cy="868680"/>
                          </a:xfrm>
                          <a:prstGeom prst="rect">
                            <a:avLst/>
                          </a:prstGeom>
                          <a:noFill/>
                          <a:ln>
                            <a:noFill/>
                          </a:ln>
                        </pic:spPr>
                      </pic:pic>
                    </a:graphicData>
                  </a:graphic>
                </wp:inline>
              </w:drawing>
            </w:r>
          </w:p>
        </w:tc>
        <w:tc>
          <w:tcPr>
            <w:tcW w:w="3073" w:type="dxa"/>
            <w:vAlign w:val="bottom"/>
          </w:tcPr>
          <w:p w:rsidR="00A05D94" w:rsidRPr="00D03D9D" w:rsidRDefault="000419AB" w:rsidP="00D03D9D">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GB"/>
              </w:rPr>
              <w:drawing>
                <wp:inline distT="0" distB="0" distL="0" distR="0">
                  <wp:extent cx="1691640" cy="868680"/>
                  <wp:effectExtent l="0" t="0" r="3810" b="7620"/>
                  <wp:docPr id="3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91640" cy="868680"/>
                          </a:xfrm>
                          <a:prstGeom prst="rect">
                            <a:avLst/>
                          </a:prstGeom>
                          <a:noFill/>
                          <a:ln>
                            <a:noFill/>
                          </a:ln>
                        </pic:spPr>
                      </pic:pic>
                    </a:graphicData>
                  </a:graphic>
                </wp:inline>
              </w:drawing>
            </w:r>
          </w:p>
        </w:tc>
      </w:tr>
      <w:tr w:rsidR="00A05D94" w:rsidRPr="00D03D9D" w:rsidTr="00041836">
        <w:trPr>
          <w:cantSplit/>
          <w:trHeight w:val="1247"/>
        </w:trPr>
        <w:tc>
          <w:tcPr>
            <w:tcW w:w="1334" w:type="dxa"/>
            <w:textDirection w:val="btLr"/>
            <w:vAlign w:val="center"/>
          </w:tcPr>
          <w:p w:rsidR="00A05D94" w:rsidRPr="00D03D9D" w:rsidRDefault="00A05D94" w:rsidP="00D03D9D">
            <w:pPr>
              <w:spacing w:after="0" w:line="240" w:lineRule="auto"/>
              <w:ind w:left="113" w:right="113"/>
              <w:jc w:val="both"/>
              <w:rPr>
                <w:rFonts w:ascii="Times New Roman" w:hAnsi="Times New Roman" w:cs="Times New Roman"/>
                <w:sz w:val="24"/>
                <w:szCs w:val="24"/>
                <w:lang w:val="en-US"/>
              </w:rPr>
            </w:pPr>
            <w:r w:rsidRPr="00D03D9D">
              <w:rPr>
                <w:rFonts w:ascii="Times New Roman" w:hAnsi="Times New Roman" w:cs="Times New Roman"/>
                <w:sz w:val="24"/>
                <w:szCs w:val="24"/>
                <w:lang w:val="en-US"/>
              </w:rPr>
              <w:t>BTC/CNY</w:t>
            </w:r>
          </w:p>
        </w:tc>
        <w:tc>
          <w:tcPr>
            <w:tcW w:w="2675" w:type="dxa"/>
            <w:vAlign w:val="bottom"/>
          </w:tcPr>
          <w:p w:rsidR="00A05D94" w:rsidRPr="00D03D9D" w:rsidRDefault="000419AB" w:rsidP="00D03D9D">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GB"/>
              </w:rPr>
              <w:drawing>
                <wp:inline distT="0" distB="0" distL="0" distR="0">
                  <wp:extent cx="1691640" cy="868680"/>
                  <wp:effectExtent l="0" t="0" r="3810" b="7620"/>
                  <wp:docPr id="3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91640" cy="868680"/>
                          </a:xfrm>
                          <a:prstGeom prst="rect">
                            <a:avLst/>
                          </a:prstGeom>
                          <a:noFill/>
                          <a:ln>
                            <a:noFill/>
                          </a:ln>
                        </pic:spPr>
                      </pic:pic>
                    </a:graphicData>
                  </a:graphic>
                </wp:inline>
              </w:drawing>
            </w:r>
          </w:p>
        </w:tc>
        <w:tc>
          <w:tcPr>
            <w:tcW w:w="3081" w:type="dxa"/>
            <w:vAlign w:val="bottom"/>
          </w:tcPr>
          <w:p w:rsidR="00A05D94" w:rsidRPr="00D03D9D" w:rsidRDefault="000419AB" w:rsidP="00D03D9D">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GB"/>
              </w:rPr>
              <w:drawing>
                <wp:inline distT="0" distB="0" distL="0" distR="0">
                  <wp:extent cx="1691640" cy="868680"/>
                  <wp:effectExtent l="0" t="0" r="3810" b="7620"/>
                  <wp:docPr id="3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91640" cy="868680"/>
                          </a:xfrm>
                          <a:prstGeom prst="rect">
                            <a:avLst/>
                          </a:prstGeom>
                          <a:noFill/>
                          <a:ln>
                            <a:noFill/>
                          </a:ln>
                        </pic:spPr>
                      </pic:pic>
                    </a:graphicData>
                  </a:graphic>
                </wp:inline>
              </w:drawing>
            </w:r>
          </w:p>
        </w:tc>
        <w:tc>
          <w:tcPr>
            <w:tcW w:w="3073" w:type="dxa"/>
            <w:vAlign w:val="bottom"/>
          </w:tcPr>
          <w:p w:rsidR="00A05D94" w:rsidRPr="00D03D9D" w:rsidRDefault="000419AB" w:rsidP="00D03D9D">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GB"/>
              </w:rPr>
              <w:drawing>
                <wp:inline distT="0" distB="0" distL="0" distR="0">
                  <wp:extent cx="1691640" cy="868680"/>
                  <wp:effectExtent l="0" t="0" r="3810" b="7620"/>
                  <wp:docPr id="3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91640" cy="868680"/>
                          </a:xfrm>
                          <a:prstGeom prst="rect">
                            <a:avLst/>
                          </a:prstGeom>
                          <a:noFill/>
                          <a:ln>
                            <a:noFill/>
                          </a:ln>
                        </pic:spPr>
                      </pic:pic>
                    </a:graphicData>
                  </a:graphic>
                </wp:inline>
              </w:drawing>
            </w:r>
          </w:p>
        </w:tc>
      </w:tr>
      <w:tr w:rsidR="00A05D94" w:rsidRPr="00D03D9D" w:rsidTr="00041836">
        <w:trPr>
          <w:cantSplit/>
          <w:trHeight w:val="1312"/>
        </w:trPr>
        <w:tc>
          <w:tcPr>
            <w:tcW w:w="1334" w:type="dxa"/>
            <w:textDirection w:val="btLr"/>
            <w:vAlign w:val="center"/>
          </w:tcPr>
          <w:p w:rsidR="00A05D94" w:rsidRPr="00D03D9D" w:rsidRDefault="00A05D94" w:rsidP="00D03D9D">
            <w:pPr>
              <w:spacing w:after="0" w:line="240" w:lineRule="auto"/>
              <w:ind w:left="113" w:right="113"/>
              <w:jc w:val="both"/>
              <w:rPr>
                <w:rFonts w:ascii="Times New Roman" w:hAnsi="Times New Roman" w:cs="Times New Roman"/>
                <w:sz w:val="24"/>
                <w:szCs w:val="24"/>
                <w:lang w:val="en-US"/>
              </w:rPr>
            </w:pPr>
            <w:r w:rsidRPr="00D03D9D">
              <w:rPr>
                <w:rFonts w:ascii="Times New Roman" w:hAnsi="Times New Roman" w:cs="Times New Roman"/>
                <w:sz w:val="24"/>
                <w:szCs w:val="24"/>
                <w:lang w:val="en-US"/>
              </w:rPr>
              <w:t>BTC/EUR</w:t>
            </w:r>
          </w:p>
        </w:tc>
        <w:tc>
          <w:tcPr>
            <w:tcW w:w="2675" w:type="dxa"/>
            <w:vAlign w:val="bottom"/>
          </w:tcPr>
          <w:p w:rsidR="00A05D94" w:rsidRPr="00D03D9D" w:rsidRDefault="000419AB" w:rsidP="00D03D9D">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GB"/>
              </w:rPr>
              <w:drawing>
                <wp:inline distT="0" distB="0" distL="0" distR="0">
                  <wp:extent cx="1691640" cy="868680"/>
                  <wp:effectExtent l="0" t="0" r="3810" b="7620"/>
                  <wp:docPr id="3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91640" cy="868680"/>
                          </a:xfrm>
                          <a:prstGeom prst="rect">
                            <a:avLst/>
                          </a:prstGeom>
                          <a:noFill/>
                          <a:ln>
                            <a:noFill/>
                          </a:ln>
                        </pic:spPr>
                      </pic:pic>
                    </a:graphicData>
                  </a:graphic>
                </wp:inline>
              </w:drawing>
            </w:r>
          </w:p>
        </w:tc>
        <w:tc>
          <w:tcPr>
            <w:tcW w:w="3081" w:type="dxa"/>
            <w:vAlign w:val="bottom"/>
          </w:tcPr>
          <w:p w:rsidR="00A05D94" w:rsidRPr="00D03D9D" w:rsidRDefault="000419AB" w:rsidP="00D03D9D">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GB"/>
              </w:rPr>
              <w:drawing>
                <wp:inline distT="0" distB="0" distL="0" distR="0">
                  <wp:extent cx="1691640" cy="868680"/>
                  <wp:effectExtent l="0" t="0" r="3810" b="7620"/>
                  <wp:docPr id="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91640" cy="868680"/>
                          </a:xfrm>
                          <a:prstGeom prst="rect">
                            <a:avLst/>
                          </a:prstGeom>
                          <a:noFill/>
                          <a:ln>
                            <a:noFill/>
                          </a:ln>
                        </pic:spPr>
                      </pic:pic>
                    </a:graphicData>
                  </a:graphic>
                </wp:inline>
              </w:drawing>
            </w:r>
          </w:p>
        </w:tc>
        <w:tc>
          <w:tcPr>
            <w:tcW w:w="3073" w:type="dxa"/>
            <w:vAlign w:val="bottom"/>
          </w:tcPr>
          <w:p w:rsidR="00A05D94" w:rsidRPr="00D03D9D" w:rsidRDefault="000419AB" w:rsidP="00D03D9D">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GB"/>
              </w:rPr>
              <w:drawing>
                <wp:inline distT="0" distB="0" distL="0" distR="0">
                  <wp:extent cx="1691640" cy="868680"/>
                  <wp:effectExtent l="0" t="0" r="3810" b="7620"/>
                  <wp:docPr id="3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91640" cy="868680"/>
                          </a:xfrm>
                          <a:prstGeom prst="rect">
                            <a:avLst/>
                          </a:prstGeom>
                          <a:noFill/>
                          <a:ln>
                            <a:noFill/>
                          </a:ln>
                        </pic:spPr>
                      </pic:pic>
                    </a:graphicData>
                  </a:graphic>
                </wp:inline>
              </w:drawing>
            </w:r>
          </w:p>
        </w:tc>
      </w:tr>
      <w:tr w:rsidR="00A05D94" w:rsidRPr="00D03D9D" w:rsidTr="00041836">
        <w:trPr>
          <w:cantSplit/>
          <w:trHeight w:val="1239"/>
        </w:trPr>
        <w:tc>
          <w:tcPr>
            <w:tcW w:w="1334" w:type="dxa"/>
            <w:textDirection w:val="btLr"/>
            <w:vAlign w:val="center"/>
          </w:tcPr>
          <w:p w:rsidR="00A05D94" w:rsidRPr="00D03D9D" w:rsidRDefault="00A05D94" w:rsidP="00D03D9D">
            <w:pPr>
              <w:spacing w:after="0" w:line="240" w:lineRule="auto"/>
              <w:ind w:left="113" w:right="113"/>
              <w:jc w:val="both"/>
              <w:rPr>
                <w:rFonts w:ascii="Times New Roman" w:hAnsi="Times New Roman" w:cs="Times New Roman"/>
                <w:sz w:val="24"/>
                <w:szCs w:val="24"/>
                <w:lang w:val="en-US"/>
              </w:rPr>
            </w:pPr>
            <w:r w:rsidRPr="00D03D9D">
              <w:rPr>
                <w:rFonts w:ascii="Times New Roman" w:hAnsi="Times New Roman" w:cs="Times New Roman"/>
                <w:sz w:val="24"/>
                <w:szCs w:val="24"/>
                <w:lang w:val="en-US"/>
              </w:rPr>
              <w:t>BTC/GBP</w:t>
            </w:r>
          </w:p>
        </w:tc>
        <w:tc>
          <w:tcPr>
            <w:tcW w:w="2675" w:type="dxa"/>
            <w:vAlign w:val="bottom"/>
          </w:tcPr>
          <w:p w:rsidR="00A05D94" w:rsidRPr="00D03D9D" w:rsidRDefault="000419AB" w:rsidP="00D03D9D">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GB"/>
              </w:rPr>
              <w:drawing>
                <wp:inline distT="0" distB="0" distL="0" distR="0">
                  <wp:extent cx="1691640" cy="868680"/>
                  <wp:effectExtent l="0" t="0" r="3810" b="7620"/>
                  <wp:docPr id="3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1640" cy="868680"/>
                          </a:xfrm>
                          <a:prstGeom prst="rect">
                            <a:avLst/>
                          </a:prstGeom>
                          <a:noFill/>
                          <a:ln>
                            <a:noFill/>
                          </a:ln>
                        </pic:spPr>
                      </pic:pic>
                    </a:graphicData>
                  </a:graphic>
                </wp:inline>
              </w:drawing>
            </w:r>
          </w:p>
        </w:tc>
        <w:tc>
          <w:tcPr>
            <w:tcW w:w="3081" w:type="dxa"/>
            <w:vAlign w:val="bottom"/>
          </w:tcPr>
          <w:p w:rsidR="00A05D94" w:rsidRPr="00D03D9D" w:rsidRDefault="000419AB" w:rsidP="00D03D9D">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GB"/>
              </w:rPr>
              <w:drawing>
                <wp:inline distT="0" distB="0" distL="0" distR="0">
                  <wp:extent cx="1691640" cy="868680"/>
                  <wp:effectExtent l="0" t="0" r="3810" b="7620"/>
                  <wp:docPr id="3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91640" cy="868680"/>
                          </a:xfrm>
                          <a:prstGeom prst="rect">
                            <a:avLst/>
                          </a:prstGeom>
                          <a:noFill/>
                          <a:ln>
                            <a:noFill/>
                          </a:ln>
                        </pic:spPr>
                      </pic:pic>
                    </a:graphicData>
                  </a:graphic>
                </wp:inline>
              </w:drawing>
            </w:r>
          </w:p>
        </w:tc>
        <w:tc>
          <w:tcPr>
            <w:tcW w:w="3073" w:type="dxa"/>
            <w:vAlign w:val="bottom"/>
          </w:tcPr>
          <w:p w:rsidR="00A05D94" w:rsidRPr="00D03D9D" w:rsidRDefault="000419AB" w:rsidP="00D03D9D">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GB"/>
              </w:rPr>
              <w:drawing>
                <wp:inline distT="0" distB="0" distL="0" distR="0">
                  <wp:extent cx="1691640" cy="868680"/>
                  <wp:effectExtent l="0" t="0" r="3810" b="7620"/>
                  <wp:docPr id="3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91640" cy="868680"/>
                          </a:xfrm>
                          <a:prstGeom prst="rect">
                            <a:avLst/>
                          </a:prstGeom>
                          <a:noFill/>
                          <a:ln>
                            <a:noFill/>
                          </a:ln>
                        </pic:spPr>
                      </pic:pic>
                    </a:graphicData>
                  </a:graphic>
                </wp:inline>
              </w:drawing>
            </w:r>
          </w:p>
        </w:tc>
      </w:tr>
      <w:tr w:rsidR="00A05D94" w:rsidRPr="00D03D9D" w:rsidTr="00041836">
        <w:trPr>
          <w:cantSplit/>
          <w:trHeight w:val="1196"/>
        </w:trPr>
        <w:tc>
          <w:tcPr>
            <w:tcW w:w="1334" w:type="dxa"/>
            <w:textDirection w:val="btLr"/>
            <w:vAlign w:val="center"/>
          </w:tcPr>
          <w:p w:rsidR="00A05D94" w:rsidRPr="00D03D9D" w:rsidRDefault="00A05D94" w:rsidP="00D03D9D">
            <w:pPr>
              <w:spacing w:after="0" w:line="240" w:lineRule="auto"/>
              <w:ind w:left="113" w:right="113"/>
              <w:jc w:val="both"/>
              <w:rPr>
                <w:rFonts w:ascii="Times New Roman" w:hAnsi="Times New Roman" w:cs="Times New Roman"/>
                <w:sz w:val="24"/>
                <w:szCs w:val="24"/>
                <w:lang w:val="en-US"/>
              </w:rPr>
            </w:pPr>
            <w:r w:rsidRPr="00D03D9D">
              <w:rPr>
                <w:rFonts w:ascii="Times New Roman" w:hAnsi="Times New Roman" w:cs="Times New Roman"/>
                <w:sz w:val="24"/>
                <w:szCs w:val="24"/>
                <w:lang w:val="en-US"/>
              </w:rPr>
              <w:t>BTC/JPY</w:t>
            </w:r>
          </w:p>
        </w:tc>
        <w:tc>
          <w:tcPr>
            <w:tcW w:w="2675" w:type="dxa"/>
            <w:vAlign w:val="bottom"/>
          </w:tcPr>
          <w:p w:rsidR="00A05D94" w:rsidRPr="00D03D9D" w:rsidRDefault="000419AB" w:rsidP="00D03D9D">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GB"/>
              </w:rPr>
              <w:drawing>
                <wp:inline distT="0" distB="0" distL="0" distR="0">
                  <wp:extent cx="1691640" cy="868680"/>
                  <wp:effectExtent l="0" t="0" r="3810" b="7620"/>
                  <wp:docPr id="4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91640" cy="868680"/>
                          </a:xfrm>
                          <a:prstGeom prst="rect">
                            <a:avLst/>
                          </a:prstGeom>
                          <a:noFill/>
                          <a:ln>
                            <a:noFill/>
                          </a:ln>
                        </pic:spPr>
                      </pic:pic>
                    </a:graphicData>
                  </a:graphic>
                </wp:inline>
              </w:drawing>
            </w:r>
          </w:p>
        </w:tc>
        <w:tc>
          <w:tcPr>
            <w:tcW w:w="3081" w:type="dxa"/>
            <w:vAlign w:val="bottom"/>
          </w:tcPr>
          <w:p w:rsidR="00A05D94" w:rsidRPr="00D03D9D" w:rsidRDefault="000419AB" w:rsidP="00D03D9D">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GB"/>
              </w:rPr>
              <w:drawing>
                <wp:inline distT="0" distB="0" distL="0" distR="0">
                  <wp:extent cx="1691640" cy="868680"/>
                  <wp:effectExtent l="0" t="0" r="3810" b="7620"/>
                  <wp:docPr id="4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91640" cy="868680"/>
                          </a:xfrm>
                          <a:prstGeom prst="rect">
                            <a:avLst/>
                          </a:prstGeom>
                          <a:noFill/>
                          <a:ln>
                            <a:noFill/>
                          </a:ln>
                        </pic:spPr>
                      </pic:pic>
                    </a:graphicData>
                  </a:graphic>
                </wp:inline>
              </w:drawing>
            </w:r>
          </w:p>
        </w:tc>
        <w:tc>
          <w:tcPr>
            <w:tcW w:w="3073" w:type="dxa"/>
            <w:vAlign w:val="bottom"/>
          </w:tcPr>
          <w:p w:rsidR="00A05D94" w:rsidRPr="00D03D9D" w:rsidRDefault="000419AB" w:rsidP="00D03D9D">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GB"/>
              </w:rPr>
              <w:drawing>
                <wp:inline distT="0" distB="0" distL="0" distR="0">
                  <wp:extent cx="1691640" cy="868680"/>
                  <wp:effectExtent l="0" t="0" r="3810" b="7620"/>
                  <wp:docPr id="4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91640" cy="868680"/>
                          </a:xfrm>
                          <a:prstGeom prst="rect">
                            <a:avLst/>
                          </a:prstGeom>
                          <a:noFill/>
                          <a:ln>
                            <a:noFill/>
                          </a:ln>
                        </pic:spPr>
                      </pic:pic>
                    </a:graphicData>
                  </a:graphic>
                </wp:inline>
              </w:drawing>
            </w:r>
          </w:p>
        </w:tc>
      </w:tr>
      <w:tr w:rsidR="00A05D94" w:rsidRPr="00D03D9D" w:rsidTr="00041836">
        <w:trPr>
          <w:cantSplit/>
          <w:trHeight w:val="1348"/>
        </w:trPr>
        <w:tc>
          <w:tcPr>
            <w:tcW w:w="1334" w:type="dxa"/>
            <w:tcBorders>
              <w:bottom w:val="thinThickSmallGap" w:sz="24" w:space="0" w:color="auto"/>
            </w:tcBorders>
            <w:textDirection w:val="btLr"/>
            <w:vAlign w:val="center"/>
          </w:tcPr>
          <w:p w:rsidR="00A05D94" w:rsidRPr="00D03D9D" w:rsidRDefault="00A05D94" w:rsidP="00D03D9D">
            <w:pPr>
              <w:spacing w:after="0" w:line="240" w:lineRule="auto"/>
              <w:ind w:left="113" w:right="113"/>
              <w:jc w:val="both"/>
              <w:rPr>
                <w:rFonts w:ascii="Times New Roman" w:hAnsi="Times New Roman" w:cs="Times New Roman"/>
                <w:sz w:val="24"/>
                <w:szCs w:val="24"/>
                <w:lang w:val="en-US"/>
              </w:rPr>
            </w:pPr>
            <w:r w:rsidRPr="00D03D9D">
              <w:rPr>
                <w:rFonts w:ascii="Times New Roman" w:hAnsi="Times New Roman" w:cs="Times New Roman"/>
                <w:sz w:val="24"/>
                <w:szCs w:val="24"/>
                <w:lang w:val="en-US"/>
              </w:rPr>
              <w:t>BTC/KRW</w:t>
            </w:r>
          </w:p>
        </w:tc>
        <w:tc>
          <w:tcPr>
            <w:tcW w:w="2675" w:type="dxa"/>
            <w:tcBorders>
              <w:bottom w:val="thinThickSmallGap" w:sz="24" w:space="0" w:color="auto"/>
            </w:tcBorders>
            <w:vAlign w:val="bottom"/>
          </w:tcPr>
          <w:p w:rsidR="00A05D94" w:rsidRPr="00D03D9D" w:rsidRDefault="000419AB" w:rsidP="00D03D9D">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GB"/>
              </w:rPr>
              <w:drawing>
                <wp:inline distT="0" distB="0" distL="0" distR="0">
                  <wp:extent cx="1691640" cy="868680"/>
                  <wp:effectExtent l="0" t="0" r="3810" b="7620"/>
                  <wp:docPr id="4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91640" cy="868680"/>
                          </a:xfrm>
                          <a:prstGeom prst="rect">
                            <a:avLst/>
                          </a:prstGeom>
                          <a:noFill/>
                          <a:ln>
                            <a:noFill/>
                          </a:ln>
                        </pic:spPr>
                      </pic:pic>
                    </a:graphicData>
                  </a:graphic>
                </wp:inline>
              </w:drawing>
            </w:r>
          </w:p>
        </w:tc>
        <w:tc>
          <w:tcPr>
            <w:tcW w:w="3081" w:type="dxa"/>
            <w:tcBorders>
              <w:bottom w:val="thinThickSmallGap" w:sz="24" w:space="0" w:color="auto"/>
            </w:tcBorders>
            <w:vAlign w:val="bottom"/>
          </w:tcPr>
          <w:p w:rsidR="00A05D94" w:rsidRPr="00D03D9D" w:rsidRDefault="000419AB" w:rsidP="00D03D9D">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GB"/>
              </w:rPr>
              <w:drawing>
                <wp:inline distT="0" distB="0" distL="0" distR="0">
                  <wp:extent cx="1691640" cy="868680"/>
                  <wp:effectExtent l="0" t="0" r="3810" b="7620"/>
                  <wp:docPr id="4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91640" cy="868680"/>
                          </a:xfrm>
                          <a:prstGeom prst="rect">
                            <a:avLst/>
                          </a:prstGeom>
                          <a:noFill/>
                          <a:ln>
                            <a:noFill/>
                          </a:ln>
                        </pic:spPr>
                      </pic:pic>
                    </a:graphicData>
                  </a:graphic>
                </wp:inline>
              </w:drawing>
            </w:r>
          </w:p>
        </w:tc>
        <w:tc>
          <w:tcPr>
            <w:tcW w:w="3073" w:type="dxa"/>
            <w:tcBorders>
              <w:bottom w:val="thinThickSmallGap" w:sz="24" w:space="0" w:color="auto"/>
            </w:tcBorders>
            <w:vAlign w:val="bottom"/>
          </w:tcPr>
          <w:p w:rsidR="00A05D94" w:rsidRPr="00D03D9D" w:rsidRDefault="000419AB" w:rsidP="00D03D9D">
            <w:pPr>
              <w:keepNext/>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GB"/>
              </w:rPr>
              <w:drawing>
                <wp:inline distT="0" distB="0" distL="0" distR="0">
                  <wp:extent cx="1691640" cy="868680"/>
                  <wp:effectExtent l="0" t="0" r="3810" b="7620"/>
                  <wp:docPr id="4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91640" cy="868680"/>
                          </a:xfrm>
                          <a:prstGeom prst="rect">
                            <a:avLst/>
                          </a:prstGeom>
                          <a:noFill/>
                          <a:ln>
                            <a:noFill/>
                          </a:ln>
                        </pic:spPr>
                      </pic:pic>
                    </a:graphicData>
                  </a:graphic>
                </wp:inline>
              </w:drawing>
            </w:r>
          </w:p>
        </w:tc>
      </w:tr>
    </w:tbl>
    <w:p w:rsidR="002F14FE" w:rsidRDefault="002F14FE" w:rsidP="007A77FC">
      <w:pPr>
        <w:pStyle w:val="NoSpacing"/>
        <w:spacing w:line="276" w:lineRule="auto"/>
        <w:jc w:val="both"/>
        <w:rPr>
          <w:rFonts w:ascii="Times New Roman" w:hAnsi="Times New Roman" w:cs="Times New Roman"/>
          <w:b/>
          <w:sz w:val="24"/>
          <w:szCs w:val="24"/>
        </w:rPr>
      </w:pPr>
    </w:p>
    <w:p w:rsidR="002F14FE" w:rsidRPr="003975A4" w:rsidRDefault="002F14FE" w:rsidP="007A77FC">
      <w:pPr>
        <w:pStyle w:val="NoSpacing"/>
        <w:spacing w:line="276" w:lineRule="auto"/>
        <w:jc w:val="both"/>
        <w:rPr>
          <w:rFonts w:ascii="Times New Roman" w:hAnsi="Times New Roman" w:cs="Times New Roman"/>
          <w:b/>
          <w:szCs w:val="24"/>
        </w:rPr>
      </w:pPr>
    </w:p>
    <w:p w:rsidR="00A05D94" w:rsidRPr="003975A4" w:rsidRDefault="00A05D94" w:rsidP="007A77FC">
      <w:pPr>
        <w:pStyle w:val="NoSpacing"/>
        <w:spacing w:line="276" w:lineRule="auto"/>
        <w:jc w:val="both"/>
        <w:rPr>
          <w:rFonts w:ascii="Times New Roman" w:hAnsi="Times New Roman" w:cs="Times New Roman"/>
          <w:szCs w:val="24"/>
        </w:rPr>
      </w:pPr>
      <w:r w:rsidRPr="003975A4">
        <w:rPr>
          <w:rFonts w:ascii="Times New Roman" w:hAnsi="Times New Roman" w:cs="Times New Roman"/>
          <w:b/>
          <w:szCs w:val="24"/>
        </w:rPr>
        <w:t>Notes:</w:t>
      </w:r>
      <w:r w:rsidRPr="003975A4">
        <w:rPr>
          <w:rFonts w:ascii="Times New Roman" w:hAnsi="Times New Roman" w:cs="Times New Roman"/>
          <w:szCs w:val="24"/>
        </w:rPr>
        <w:t xml:space="preserve"> The confidence interval 95% (marked green) and 5% (marked red) and the cross-quantilogram correlation is marked by blue. If the CQC based blue line crosses either the green line from below or the red line from above indicate a 5% level of significance.</w:t>
      </w:r>
    </w:p>
    <w:p w:rsidR="00A05D94" w:rsidRDefault="00A05D94" w:rsidP="007A77FC">
      <w:pPr>
        <w:pStyle w:val="NoSpacing"/>
        <w:spacing w:line="276" w:lineRule="auto"/>
        <w:jc w:val="both"/>
        <w:rPr>
          <w:rFonts w:ascii="Times New Roman" w:hAnsi="Times New Roman" w:cs="Times New Roman"/>
          <w:sz w:val="24"/>
          <w:szCs w:val="24"/>
        </w:rPr>
      </w:pPr>
    </w:p>
    <w:p w:rsidR="00A05D94" w:rsidRDefault="00A05D94" w:rsidP="007A77FC">
      <w:pPr>
        <w:pStyle w:val="NoSpacing"/>
        <w:spacing w:line="276" w:lineRule="auto"/>
        <w:jc w:val="both"/>
        <w:rPr>
          <w:rFonts w:ascii="Times New Roman" w:hAnsi="Times New Roman" w:cs="Times New Roman"/>
          <w:sz w:val="24"/>
          <w:szCs w:val="24"/>
        </w:rPr>
      </w:pPr>
    </w:p>
    <w:p w:rsidR="003975A4" w:rsidRDefault="003975A4" w:rsidP="007A77FC">
      <w:pPr>
        <w:pStyle w:val="NoSpacing"/>
        <w:spacing w:line="276" w:lineRule="auto"/>
        <w:jc w:val="both"/>
        <w:rPr>
          <w:rFonts w:ascii="Times New Roman" w:hAnsi="Times New Roman" w:cs="Times New Roman"/>
          <w:sz w:val="24"/>
          <w:szCs w:val="24"/>
        </w:rPr>
      </w:pPr>
    </w:p>
    <w:p w:rsidR="003975A4" w:rsidRDefault="003975A4" w:rsidP="007A77FC">
      <w:pPr>
        <w:pStyle w:val="NoSpacing"/>
        <w:spacing w:line="276" w:lineRule="auto"/>
        <w:jc w:val="both"/>
        <w:rPr>
          <w:rFonts w:ascii="Times New Roman" w:hAnsi="Times New Roman" w:cs="Times New Roman"/>
          <w:sz w:val="24"/>
          <w:szCs w:val="24"/>
        </w:rPr>
      </w:pPr>
    </w:p>
    <w:p w:rsidR="00A05D94" w:rsidRDefault="00A05D94" w:rsidP="007A77FC">
      <w:pPr>
        <w:pStyle w:val="NoSpacing"/>
        <w:spacing w:line="276" w:lineRule="auto"/>
        <w:jc w:val="both"/>
        <w:rPr>
          <w:rFonts w:ascii="Times New Roman" w:hAnsi="Times New Roman" w:cs="Times New Roman"/>
          <w:sz w:val="24"/>
          <w:szCs w:val="24"/>
        </w:rPr>
      </w:pPr>
    </w:p>
    <w:p w:rsidR="00A05D94" w:rsidRDefault="00A05D94" w:rsidP="007A77FC">
      <w:pPr>
        <w:pStyle w:val="NoSpacing"/>
        <w:spacing w:line="276" w:lineRule="auto"/>
        <w:jc w:val="both"/>
        <w:rPr>
          <w:rFonts w:ascii="Times New Roman" w:hAnsi="Times New Roman" w:cs="Times New Roman"/>
          <w:b/>
          <w:sz w:val="24"/>
          <w:szCs w:val="24"/>
        </w:rPr>
      </w:pPr>
      <w:r w:rsidRPr="00B96DDF">
        <w:rPr>
          <w:rFonts w:ascii="Times New Roman" w:hAnsi="Times New Roman" w:cs="Times New Roman"/>
          <w:b/>
          <w:sz w:val="24"/>
          <w:szCs w:val="24"/>
        </w:rPr>
        <w:t>Figure 3: Surface tails plot</w:t>
      </w:r>
      <w:r w:rsidR="002F14FE">
        <w:rPr>
          <w:rFonts w:ascii="Times New Roman" w:hAnsi="Times New Roman" w:cs="Times New Roman"/>
          <w:b/>
          <w:sz w:val="24"/>
          <w:szCs w:val="24"/>
        </w:rPr>
        <w:t>s</w:t>
      </w:r>
      <w:r w:rsidRPr="00B96DDF">
        <w:rPr>
          <w:rFonts w:ascii="Times New Roman" w:hAnsi="Times New Roman" w:cs="Times New Roman"/>
          <w:b/>
          <w:sz w:val="24"/>
          <w:szCs w:val="24"/>
        </w:rPr>
        <w:t xml:space="preserve"> of cross-quantilogram correlation</w:t>
      </w:r>
    </w:p>
    <w:p w:rsidR="002F14FE" w:rsidRPr="00B96DDF" w:rsidRDefault="002F14FE" w:rsidP="007A77FC">
      <w:pPr>
        <w:pStyle w:val="NoSpacing"/>
        <w:spacing w:line="276" w:lineRule="auto"/>
        <w:jc w:val="both"/>
        <w:rPr>
          <w:rFonts w:ascii="Times New Roman" w:hAnsi="Times New Roman" w:cs="Times New Roman"/>
          <w:b/>
          <w:sz w:val="24"/>
          <w:szCs w:val="24"/>
        </w:rPr>
      </w:pPr>
    </w:p>
    <w:tbl>
      <w:tblPr>
        <w:tblpPr w:leftFromText="181" w:rightFromText="181" w:vertAnchor="text" w:horzAnchor="margin" w:tblpXSpec="center" w:tblpY="1"/>
        <w:tblW w:w="5843" w:type="pct"/>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11"/>
        <w:gridCol w:w="4448"/>
        <w:gridCol w:w="4600"/>
      </w:tblGrid>
      <w:tr w:rsidR="00A05D94" w:rsidRPr="00D03D9D" w:rsidTr="00041836">
        <w:trPr>
          <w:cantSplit/>
          <w:trHeight w:val="304"/>
        </w:trPr>
        <w:tc>
          <w:tcPr>
            <w:tcW w:w="590" w:type="pct"/>
            <w:tcBorders>
              <w:top w:val="single" w:sz="18" w:space="0" w:color="auto"/>
            </w:tcBorders>
            <w:vAlign w:val="center"/>
          </w:tcPr>
          <w:p w:rsidR="00A05D94" w:rsidRPr="002F14FE" w:rsidRDefault="002F14FE" w:rsidP="002F14FE">
            <w:pPr>
              <w:pStyle w:val="NoSpacing"/>
              <w:jc w:val="center"/>
              <w:rPr>
                <w:rFonts w:ascii="Times New Roman" w:hAnsi="Times New Roman" w:cs="Times New Roman"/>
                <w:b/>
                <w:szCs w:val="24"/>
                <w:lang w:val="en-US"/>
              </w:rPr>
            </w:pPr>
            <w:r w:rsidRPr="002F14FE">
              <w:rPr>
                <w:rFonts w:ascii="Times New Roman" w:hAnsi="Times New Roman" w:cs="Times New Roman"/>
                <w:b/>
                <w:szCs w:val="24"/>
                <w:lang w:val="en-US"/>
              </w:rPr>
              <w:t>BTC</w:t>
            </w:r>
            <w:r w:rsidR="00A05D94" w:rsidRPr="002F14FE">
              <w:rPr>
                <w:rFonts w:ascii="Times New Roman" w:hAnsi="Times New Roman" w:cs="Times New Roman"/>
                <w:b/>
                <w:szCs w:val="24"/>
                <w:lang w:val="en-US"/>
              </w:rPr>
              <w:t>/USD</w:t>
            </w:r>
          </w:p>
        </w:tc>
        <w:tc>
          <w:tcPr>
            <w:tcW w:w="2168" w:type="pct"/>
            <w:tcBorders>
              <w:top w:val="single" w:sz="18" w:space="0" w:color="auto"/>
            </w:tcBorders>
            <w:vAlign w:val="bottom"/>
          </w:tcPr>
          <w:p w:rsidR="00A05D94" w:rsidRPr="002F14FE" w:rsidRDefault="00A05D94" w:rsidP="002F14FE">
            <w:pPr>
              <w:pStyle w:val="NoSpacing"/>
              <w:jc w:val="center"/>
              <w:rPr>
                <w:rFonts w:ascii="Times New Roman" w:hAnsi="Times New Roman" w:cs="Times New Roman"/>
                <w:b/>
                <w:szCs w:val="24"/>
                <w:lang w:val="en-US"/>
              </w:rPr>
            </w:pPr>
            <w:r w:rsidRPr="002F14FE">
              <w:rPr>
                <w:rFonts w:ascii="Times New Roman" w:hAnsi="Times New Roman" w:cs="Times New Roman"/>
                <w:b/>
                <w:szCs w:val="24"/>
                <w:lang w:val="en-US"/>
              </w:rPr>
              <w:t>[0.05-0.05]</w:t>
            </w:r>
          </w:p>
        </w:tc>
        <w:tc>
          <w:tcPr>
            <w:tcW w:w="2242" w:type="pct"/>
            <w:tcBorders>
              <w:top w:val="single" w:sz="18" w:space="0" w:color="auto"/>
            </w:tcBorders>
            <w:vAlign w:val="bottom"/>
          </w:tcPr>
          <w:p w:rsidR="00A05D94" w:rsidRPr="002F14FE" w:rsidRDefault="00A05D94" w:rsidP="002F14FE">
            <w:pPr>
              <w:pStyle w:val="NoSpacing"/>
              <w:jc w:val="center"/>
              <w:rPr>
                <w:rFonts w:ascii="Times New Roman" w:hAnsi="Times New Roman" w:cs="Times New Roman"/>
                <w:b/>
                <w:szCs w:val="24"/>
                <w:lang w:val="en-US"/>
              </w:rPr>
            </w:pPr>
            <w:r w:rsidRPr="002F14FE">
              <w:rPr>
                <w:rFonts w:ascii="Times New Roman" w:hAnsi="Times New Roman" w:cs="Times New Roman"/>
                <w:b/>
                <w:szCs w:val="24"/>
                <w:lang w:val="en-US"/>
              </w:rPr>
              <w:t>[0.95-0.95]</w:t>
            </w:r>
          </w:p>
        </w:tc>
      </w:tr>
      <w:tr w:rsidR="00A05D94" w:rsidRPr="00D03D9D" w:rsidTr="00041836">
        <w:trPr>
          <w:cantSplit/>
          <w:trHeight w:val="1157"/>
        </w:trPr>
        <w:tc>
          <w:tcPr>
            <w:tcW w:w="590" w:type="pct"/>
            <w:tcBorders>
              <w:top w:val="single" w:sz="18" w:space="0" w:color="auto"/>
            </w:tcBorders>
            <w:textDirection w:val="btLr"/>
            <w:vAlign w:val="center"/>
          </w:tcPr>
          <w:p w:rsidR="00A05D94" w:rsidRPr="00D03D9D" w:rsidRDefault="00A05D94" w:rsidP="00D03D9D">
            <w:pPr>
              <w:spacing w:after="0" w:line="240" w:lineRule="auto"/>
              <w:ind w:left="113" w:right="113"/>
              <w:jc w:val="both"/>
              <w:rPr>
                <w:rFonts w:ascii="Times New Roman" w:hAnsi="Times New Roman" w:cs="Times New Roman"/>
                <w:b/>
                <w:sz w:val="24"/>
                <w:szCs w:val="24"/>
                <w:lang w:val="en-US"/>
              </w:rPr>
            </w:pPr>
            <w:r w:rsidRPr="00D03D9D">
              <w:rPr>
                <w:rFonts w:ascii="Times New Roman" w:hAnsi="Times New Roman" w:cs="Times New Roman"/>
                <w:b/>
                <w:sz w:val="24"/>
                <w:szCs w:val="24"/>
                <w:lang w:val="en-US"/>
              </w:rPr>
              <w:lastRenderedPageBreak/>
              <w:t>BTC/AUD</w:t>
            </w:r>
          </w:p>
        </w:tc>
        <w:tc>
          <w:tcPr>
            <w:tcW w:w="2168" w:type="pct"/>
            <w:tcBorders>
              <w:top w:val="single" w:sz="18" w:space="0" w:color="auto"/>
            </w:tcBorders>
            <w:vAlign w:val="bottom"/>
          </w:tcPr>
          <w:p w:rsidR="00A05D94" w:rsidRPr="00D03D9D" w:rsidRDefault="000419AB" w:rsidP="00D03D9D">
            <w:pPr>
              <w:spacing w:after="0" w:line="240" w:lineRule="auto"/>
              <w:jc w:val="both"/>
              <w:rPr>
                <w:rFonts w:ascii="Times New Roman" w:hAnsi="Times New Roman" w:cs="Times New Roman"/>
                <w:b/>
                <w:sz w:val="24"/>
                <w:szCs w:val="24"/>
                <w:lang w:val="en-US"/>
              </w:rPr>
            </w:pPr>
            <w:r>
              <w:rPr>
                <w:rFonts w:ascii="Times New Roman" w:hAnsi="Times New Roman" w:cs="Times New Roman"/>
                <w:b/>
                <w:noProof/>
                <w:sz w:val="24"/>
                <w:szCs w:val="24"/>
                <w:lang w:eastAsia="en-GB"/>
              </w:rPr>
              <w:drawing>
                <wp:inline distT="0" distB="0" distL="0" distR="0">
                  <wp:extent cx="2575560" cy="1043940"/>
                  <wp:effectExtent l="0" t="0" r="0" b="3810"/>
                  <wp:docPr id="4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75560" cy="1043940"/>
                          </a:xfrm>
                          <a:prstGeom prst="rect">
                            <a:avLst/>
                          </a:prstGeom>
                          <a:noFill/>
                          <a:ln>
                            <a:noFill/>
                          </a:ln>
                        </pic:spPr>
                      </pic:pic>
                    </a:graphicData>
                  </a:graphic>
                </wp:inline>
              </w:drawing>
            </w:r>
          </w:p>
        </w:tc>
        <w:tc>
          <w:tcPr>
            <w:tcW w:w="2242" w:type="pct"/>
            <w:tcBorders>
              <w:top w:val="single" w:sz="18" w:space="0" w:color="auto"/>
            </w:tcBorders>
            <w:vAlign w:val="bottom"/>
          </w:tcPr>
          <w:p w:rsidR="00A05D94" w:rsidRPr="00D03D9D" w:rsidRDefault="000419AB" w:rsidP="00D03D9D">
            <w:pPr>
              <w:spacing w:after="0" w:line="240" w:lineRule="auto"/>
              <w:jc w:val="both"/>
              <w:rPr>
                <w:rFonts w:ascii="Times New Roman" w:hAnsi="Times New Roman" w:cs="Times New Roman"/>
                <w:b/>
                <w:sz w:val="24"/>
                <w:szCs w:val="24"/>
                <w:lang w:val="en-US"/>
              </w:rPr>
            </w:pPr>
            <w:r>
              <w:rPr>
                <w:rFonts w:ascii="Times New Roman" w:hAnsi="Times New Roman" w:cs="Times New Roman"/>
                <w:b/>
                <w:noProof/>
                <w:sz w:val="24"/>
                <w:szCs w:val="24"/>
                <w:lang w:eastAsia="en-GB"/>
              </w:rPr>
              <w:drawing>
                <wp:inline distT="0" distB="0" distL="0" distR="0">
                  <wp:extent cx="2583180" cy="906780"/>
                  <wp:effectExtent l="0" t="0" r="7620" b="7620"/>
                  <wp:docPr id="4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83180" cy="906780"/>
                          </a:xfrm>
                          <a:prstGeom prst="rect">
                            <a:avLst/>
                          </a:prstGeom>
                          <a:noFill/>
                          <a:ln>
                            <a:noFill/>
                          </a:ln>
                        </pic:spPr>
                      </pic:pic>
                    </a:graphicData>
                  </a:graphic>
                </wp:inline>
              </w:drawing>
            </w:r>
          </w:p>
        </w:tc>
      </w:tr>
      <w:tr w:rsidR="00A05D94" w:rsidRPr="00D03D9D" w:rsidTr="00041836">
        <w:trPr>
          <w:cantSplit/>
          <w:trHeight w:val="1470"/>
        </w:trPr>
        <w:tc>
          <w:tcPr>
            <w:tcW w:w="590" w:type="pct"/>
            <w:textDirection w:val="btLr"/>
            <w:vAlign w:val="center"/>
          </w:tcPr>
          <w:p w:rsidR="00A05D94" w:rsidRPr="00D03D9D" w:rsidRDefault="00A05D94" w:rsidP="00D03D9D">
            <w:pPr>
              <w:spacing w:after="0" w:line="240" w:lineRule="auto"/>
              <w:ind w:left="113" w:right="113"/>
              <w:jc w:val="both"/>
              <w:rPr>
                <w:rFonts w:ascii="Times New Roman" w:hAnsi="Times New Roman" w:cs="Times New Roman"/>
                <w:b/>
                <w:sz w:val="24"/>
                <w:szCs w:val="24"/>
                <w:lang w:val="en-US"/>
              </w:rPr>
            </w:pPr>
            <w:r w:rsidRPr="00D03D9D">
              <w:rPr>
                <w:rFonts w:ascii="Times New Roman" w:hAnsi="Times New Roman" w:cs="Times New Roman"/>
                <w:b/>
                <w:sz w:val="24"/>
                <w:szCs w:val="24"/>
                <w:lang w:val="en-US"/>
              </w:rPr>
              <w:t>BTC/CAD</w:t>
            </w:r>
          </w:p>
        </w:tc>
        <w:tc>
          <w:tcPr>
            <w:tcW w:w="2168" w:type="pct"/>
            <w:vAlign w:val="bottom"/>
          </w:tcPr>
          <w:p w:rsidR="00A05D94" w:rsidRPr="00D03D9D" w:rsidRDefault="000419AB" w:rsidP="00D03D9D">
            <w:pPr>
              <w:spacing w:after="0" w:line="240" w:lineRule="auto"/>
              <w:jc w:val="both"/>
              <w:rPr>
                <w:rFonts w:ascii="Times New Roman" w:hAnsi="Times New Roman" w:cs="Times New Roman"/>
                <w:b/>
                <w:sz w:val="24"/>
                <w:szCs w:val="24"/>
                <w:lang w:val="en-US"/>
              </w:rPr>
            </w:pPr>
            <w:r>
              <w:rPr>
                <w:rFonts w:ascii="Times New Roman" w:hAnsi="Times New Roman" w:cs="Times New Roman"/>
                <w:b/>
                <w:noProof/>
                <w:sz w:val="24"/>
                <w:szCs w:val="24"/>
                <w:lang w:eastAsia="en-GB"/>
              </w:rPr>
              <w:drawing>
                <wp:inline distT="0" distB="0" distL="0" distR="0">
                  <wp:extent cx="2583180" cy="967740"/>
                  <wp:effectExtent l="0" t="0" r="7620" b="3810"/>
                  <wp:docPr id="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83180" cy="967740"/>
                          </a:xfrm>
                          <a:prstGeom prst="rect">
                            <a:avLst/>
                          </a:prstGeom>
                          <a:noFill/>
                          <a:ln>
                            <a:noFill/>
                          </a:ln>
                        </pic:spPr>
                      </pic:pic>
                    </a:graphicData>
                  </a:graphic>
                </wp:inline>
              </w:drawing>
            </w:r>
          </w:p>
        </w:tc>
        <w:tc>
          <w:tcPr>
            <w:tcW w:w="2242" w:type="pct"/>
            <w:vAlign w:val="bottom"/>
          </w:tcPr>
          <w:p w:rsidR="00A05D94" w:rsidRPr="00D03D9D" w:rsidRDefault="000419AB" w:rsidP="00D03D9D">
            <w:pPr>
              <w:spacing w:after="0" w:line="240" w:lineRule="auto"/>
              <w:jc w:val="both"/>
              <w:rPr>
                <w:rFonts w:ascii="Times New Roman" w:hAnsi="Times New Roman" w:cs="Times New Roman"/>
                <w:b/>
                <w:sz w:val="24"/>
                <w:szCs w:val="24"/>
                <w:lang w:val="en-US"/>
              </w:rPr>
            </w:pPr>
            <w:r>
              <w:rPr>
                <w:rFonts w:ascii="Times New Roman" w:hAnsi="Times New Roman" w:cs="Times New Roman"/>
                <w:b/>
                <w:noProof/>
                <w:sz w:val="24"/>
                <w:szCs w:val="24"/>
                <w:lang w:eastAsia="en-GB"/>
              </w:rPr>
              <w:drawing>
                <wp:inline distT="0" distB="0" distL="0" distR="0">
                  <wp:extent cx="2583180" cy="914400"/>
                  <wp:effectExtent l="0" t="0" r="7620" b="0"/>
                  <wp:docPr id="4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83180" cy="914400"/>
                          </a:xfrm>
                          <a:prstGeom prst="rect">
                            <a:avLst/>
                          </a:prstGeom>
                          <a:noFill/>
                          <a:ln>
                            <a:noFill/>
                          </a:ln>
                        </pic:spPr>
                      </pic:pic>
                    </a:graphicData>
                  </a:graphic>
                </wp:inline>
              </w:drawing>
            </w:r>
          </w:p>
        </w:tc>
      </w:tr>
      <w:tr w:rsidR="00A05D94" w:rsidRPr="00D03D9D" w:rsidTr="00041836">
        <w:trPr>
          <w:cantSplit/>
          <w:trHeight w:val="1347"/>
        </w:trPr>
        <w:tc>
          <w:tcPr>
            <w:tcW w:w="590" w:type="pct"/>
            <w:textDirection w:val="btLr"/>
            <w:vAlign w:val="center"/>
          </w:tcPr>
          <w:p w:rsidR="00A05D94" w:rsidRPr="00D03D9D" w:rsidRDefault="00A05D94" w:rsidP="00D03D9D">
            <w:pPr>
              <w:spacing w:after="0" w:line="240" w:lineRule="auto"/>
              <w:ind w:left="113" w:right="113"/>
              <w:jc w:val="both"/>
              <w:rPr>
                <w:rFonts w:ascii="Times New Roman" w:hAnsi="Times New Roman" w:cs="Times New Roman"/>
                <w:b/>
                <w:sz w:val="24"/>
                <w:szCs w:val="24"/>
                <w:lang w:val="en-US"/>
              </w:rPr>
            </w:pPr>
            <w:r w:rsidRPr="00D03D9D">
              <w:rPr>
                <w:rFonts w:ascii="Times New Roman" w:hAnsi="Times New Roman" w:cs="Times New Roman"/>
                <w:b/>
                <w:sz w:val="24"/>
                <w:szCs w:val="24"/>
                <w:lang w:val="en-US"/>
              </w:rPr>
              <w:t>BTC/CNY</w:t>
            </w:r>
          </w:p>
        </w:tc>
        <w:tc>
          <w:tcPr>
            <w:tcW w:w="2168" w:type="pct"/>
            <w:vAlign w:val="bottom"/>
          </w:tcPr>
          <w:p w:rsidR="00A05D94" w:rsidRPr="00D03D9D" w:rsidRDefault="000419AB" w:rsidP="00D03D9D">
            <w:pPr>
              <w:spacing w:after="0" w:line="240" w:lineRule="auto"/>
              <w:jc w:val="both"/>
              <w:rPr>
                <w:rFonts w:ascii="Times New Roman" w:hAnsi="Times New Roman" w:cs="Times New Roman"/>
                <w:b/>
                <w:sz w:val="24"/>
                <w:szCs w:val="24"/>
                <w:lang w:val="en-US"/>
              </w:rPr>
            </w:pPr>
            <w:r>
              <w:rPr>
                <w:rFonts w:ascii="Times New Roman" w:hAnsi="Times New Roman" w:cs="Times New Roman"/>
                <w:b/>
                <w:noProof/>
                <w:sz w:val="24"/>
                <w:szCs w:val="24"/>
                <w:lang w:eastAsia="en-GB"/>
              </w:rPr>
              <w:drawing>
                <wp:inline distT="0" distB="0" distL="0" distR="0">
                  <wp:extent cx="2575560" cy="1013460"/>
                  <wp:effectExtent l="0" t="0" r="0" b="0"/>
                  <wp:docPr id="5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75560" cy="1013460"/>
                          </a:xfrm>
                          <a:prstGeom prst="rect">
                            <a:avLst/>
                          </a:prstGeom>
                          <a:noFill/>
                          <a:ln>
                            <a:noFill/>
                          </a:ln>
                        </pic:spPr>
                      </pic:pic>
                    </a:graphicData>
                  </a:graphic>
                </wp:inline>
              </w:drawing>
            </w:r>
          </w:p>
        </w:tc>
        <w:tc>
          <w:tcPr>
            <w:tcW w:w="2242" w:type="pct"/>
            <w:vAlign w:val="bottom"/>
          </w:tcPr>
          <w:p w:rsidR="00A05D94" w:rsidRPr="00D03D9D" w:rsidRDefault="000419AB" w:rsidP="00D03D9D">
            <w:pPr>
              <w:spacing w:after="0" w:line="240" w:lineRule="auto"/>
              <w:jc w:val="both"/>
              <w:rPr>
                <w:rFonts w:ascii="Times New Roman" w:hAnsi="Times New Roman" w:cs="Times New Roman"/>
                <w:b/>
                <w:sz w:val="24"/>
                <w:szCs w:val="24"/>
                <w:lang w:val="en-US"/>
              </w:rPr>
            </w:pPr>
            <w:r>
              <w:rPr>
                <w:rFonts w:ascii="Times New Roman" w:hAnsi="Times New Roman" w:cs="Times New Roman"/>
                <w:b/>
                <w:noProof/>
                <w:sz w:val="24"/>
                <w:szCs w:val="24"/>
                <w:lang w:eastAsia="en-GB"/>
              </w:rPr>
              <w:drawing>
                <wp:inline distT="0" distB="0" distL="0" distR="0">
                  <wp:extent cx="2583180" cy="914400"/>
                  <wp:effectExtent l="0" t="0" r="7620" b="0"/>
                  <wp:docPr id="5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83180" cy="914400"/>
                          </a:xfrm>
                          <a:prstGeom prst="rect">
                            <a:avLst/>
                          </a:prstGeom>
                          <a:noFill/>
                          <a:ln>
                            <a:noFill/>
                          </a:ln>
                        </pic:spPr>
                      </pic:pic>
                    </a:graphicData>
                  </a:graphic>
                </wp:inline>
              </w:drawing>
            </w:r>
          </w:p>
        </w:tc>
      </w:tr>
      <w:tr w:rsidR="00A05D94" w:rsidRPr="00D03D9D" w:rsidTr="00041836">
        <w:trPr>
          <w:cantSplit/>
          <w:trHeight w:val="1417"/>
        </w:trPr>
        <w:tc>
          <w:tcPr>
            <w:tcW w:w="590" w:type="pct"/>
            <w:textDirection w:val="btLr"/>
            <w:vAlign w:val="center"/>
          </w:tcPr>
          <w:p w:rsidR="00A05D94" w:rsidRPr="00D03D9D" w:rsidRDefault="00A05D94" w:rsidP="00D03D9D">
            <w:pPr>
              <w:spacing w:after="0" w:line="240" w:lineRule="auto"/>
              <w:ind w:left="113" w:right="113"/>
              <w:jc w:val="both"/>
              <w:rPr>
                <w:rFonts w:ascii="Times New Roman" w:hAnsi="Times New Roman" w:cs="Times New Roman"/>
                <w:b/>
                <w:sz w:val="24"/>
                <w:szCs w:val="24"/>
                <w:lang w:val="en-US"/>
              </w:rPr>
            </w:pPr>
            <w:r w:rsidRPr="00D03D9D">
              <w:rPr>
                <w:rFonts w:ascii="Times New Roman" w:hAnsi="Times New Roman" w:cs="Times New Roman"/>
                <w:b/>
                <w:sz w:val="24"/>
                <w:szCs w:val="24"/>
                <w:lang w:val="en-US"/>
              </w:rPr>
              <w:t>BTC/EUR</w:t>
            </w:r>
          </w:p>
        </w:tc>
        <w:tc>
          <w:tcPr>
            <w:tcW w:w="2168" w:type="pct"/>
            <w:vAlign w:val="bottom"/>
          </w:tcPr>
          <w:p w:rsidR="00A05D94" w:rsidRPr="00D03D9D" w:rsidRDefault="000419AB" w:rsidP="00D03D9D">
            <w:pPr>
              <w:spacing w:after="0" w:line="240" w:lineRule="auto"/>
              <w:jc w:val="both"/>
              <w:rPr>
                <w:rFonts w:ascii="Times New Roman" w:hAnsi="Times New Roman" w:cs="Times New Roman"/>
                <w:b/>
                <w:sz w:val="24"/>
                <w:szCs w:val="24"/>
                <w:lang w:val="en-US"/>
              </w:rPr>
            </w:pPr>
            <w:r>
              <w:rPr>
                <w:rFonts w:ascii="Times New Roman" w:hAnsi="Times New Roman" w:cs="Times New Roman"/>
                <w:b/>
                <w:noProof/>
                <w:sz w:val="24"/>
                <w:szCs w:val="24"/>
                <w:lang w:eastAsia="en-GB"/>
              </w:rPr>
              <w:drawing>
                <wp:inline distT="0" distB="0" distL="0" distR="0">
                  <wp:extent cx="2583180" cy="1028700"/>
                  <wp:effectExtent l="0" t="0" r="7620" b="0"/>
                  <wp:docPr id="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83180" cy="1028700"/>
                          </a:xfrm>
                          <a:prstGeom prst="rect">
                            <a:avLst/>
                          </a:prstGeom>
                          <a:noFill/>
                          <a:ln>
                            <a:noFill/>
                          </a:ln>
                        </pic:spPr>
                      </pic:pic>
                    </a:graphicData>
                  </a:graphic>
                </wp:inline>
              </w:drawing>
            </w:r>
          </w:p>
        </w:tc>
        <w:tc>
          <w:tcPr>
            <w:tcW w:w="2242" w:type="pct"/>
            <w:vAlign w:val="bottom"/>
          </w:tcPr>
          <w:p w:rsidR="00A05D94" w:rsidRPr="00D03D9D" w:rsidRDefault="000419AB" w:rsidP="00D03D9D">
            <w:pPr>
              <w:spacing w:after="0" w:line="240" w:lineRule="auto"/>
              <w:jc w:val="both"/>
              <w:rPr>
                <w:rFonts w:ascii="Times New Roman" w:hAnsi="Times New Roman" w:cs="Times New Roman"/>
                <w:b/>
                <w:sz w:val="24"/>
                <w:szCs w:val="24"/>
                <w:lang w:val="en-US"/>
              </w:rPr>
            </w:pPr>
            <w:r>
              <w:rPr>
                <w:rFonts w:ascii="Times New Roman" w:hAnsi="Times New Roman" w:cs="Times New Roman"/>
                <w:b/>
                <w:noProof/>
                <w:sz w:val="24"/>
                <w:szCs w:val="24"/>
                <w:lang w:eastAsia="en-GB"/>
              </w:rPr>
              <w:drawing>
                <wp:inline distT="0" distB="0" distL="0" distR="0">
                  <wp:extent cx="2583180" cy="914400"/>
                  <wp:effectExtent l="0" t="0" r="7620" b="0"/>
                  <wp:docPr id="5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83180" cy="914400"/>
                          </a:xfrm>
                          <a:prstGeom prst="rect">
                            <a:avLst/>
                          </a:prstGeom>
                          <a:noFill/>
                          <a:ln>
                            <a:noFill/>
                          </a:ln>
                        </pic:spPr>
                      </pic:pic>
                    </a:graphicData>
                  </a:graphic>
                </wp:inline>
              </w:drawing>
            </w:r>
          </w:p>
        </w:tc>
      </w:tr>
      <w:tr w:rsidR="00A05D94" w:rsidRPr="00D03D9D" w:rsidTr="00041836">
        <w:trPr>
          <w:cantSplit/>
          <w:trHeight w:val="1338"/>
        </w:trPr>
        <w:tc>
          <w:tcPr>
            <w:tcW w:w="590" w:type="pct"/>
            <w:textDirection w:val="btLr"/>
            <w:vAlign w:val="center"/>
          </w:tcPr>
          <w:p w:rsidR="00A05D94" w:rsidRPr="00D03D9D" w:rsidRDefault="00A05D94" w:rsidP="00D03D9D">
            <w:pPr>
              <w:spacing w:after="0" w:line="240" w:lineRule="auto"/>
              <w:ind w:left="113" w:right="113"/>
              <w:jc w:val="both"/>
              <w:rPr>
                <w:rFonts w:ascii="Times New Roman" w:hAnsi="Times New Roman" w:cs="Times New Roman"/>
                <w:b/>
                <w:sz w:val="24"/>
                <w:szCs w:val="24"/>
                <w:lang w:val="en-US"/>
              </w:rPr>
            </w:pPr>
            <w:r w:rsidRPr="00D03D9D">
              <w:rPr>
                <w:rFonts w:ascii="Times New Roman" w:hAnsi="Times New Roman" w:cs="Times New Roman"/>
                <w:b/>
                <w:sz w:val="24"/>
                <w:szCs w:val="24"/>
                <w:lang w:val="en-US"/>
              </w:rPr>
              <w:t>BTC/GBP</w:t>
            </w:r>
          </w:p>
        </w:tc>
        <w:tc>
          <w:tcPr>
            <w:tcW w:w="2168" w:type="pct"/>
            <w:vAlign w:val="bottom"/>
          </w:tcPr>
          <w:p w:rsidR="00A05D94" w:rsidRPr="00D03D9D" w:rsidRDefault="000419AB" w:rsidP="00D03D9D">
            <w:pPr>
              <w:spacing w:after="0" w:line="240" w:lineRule="auto"/>
              <w:jc w:val="both"/>
              <w:rPr>
                <w:rFonts w:ascii="Times New Roman" w:hAnsi="Times New Roman" w:cs="Times New Roman"/>
                <w:b/>
                <w:sz w:val="24"/>
                <w:szCs w:val="24"/>
                <w:lang w:val="en-US"/>
              </w:rPr>
            </w:pPr>
            <w:r>
              <w:rPr>
                <w:rFonts w:ascii="Times New Roman" w:hAnsi="Times New Roman" w:cs="Times New Roman"/>
                <w:b/>
                <w:noProof/>
                <w:sz w:val="24"/>
                <w:szCs w:val="24"/>
                <w:lang w:eastAsia="en-GB"/>
              </w:rPr>
              <w:drawing>
                <wp:inline distT="0" distB="0" distL="0" distR="0">
                  <wp:extent cx="2575560" cy="967740"/>
                  <wp:effectExtent l="0" t="0" r="0" b="3810"/>
                  <wp:docPr id="5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75560" cy="967740"/>
                          </a:xfrm>
                          <a:prstGeom prst="rect">
                            <a:avLst/>
                          </a:prstGeom>
                          <a:noFill/>
                          <a:ln>
                            <a:noFill/>
                          </a:ln>
                        </pic:spPr>
                      </pic:pic>
                    </a:graphicData>
                  </a:graphic>
                </wp:inline>
              </w:drawing>
            </w:r>
          </w:p>
        </w:tc>
        <w:tc>
          <w:tcPr>
            <w:tcW w:w="2242" w:type="pct"/>
            <w:vAlign w:val="bottom"/>
          </w:tcPr>
          <w:p w:rsidR="00A05D94" w:rsidRPr="00D03D9D" w:rsidRDefault="000419AB" w:rsidP="00D03D9D">
            <w:pPr>
              <w:spacing w:after="0" w:line="240" w:lineRule="auto"/>
              <w:jc w:val="both"/>
              <w:rPr>
                <w:rFonts w:ascii="Times New Roman" w:hAnsi="Times New Roman" w:cs="Times New Roman"/>
                <w:b/>
                <w:sz w:val="24"/>
                <w:szCs w:val="24"/>
                <w:lang w:val="en-US"/>
              </w:rPr>
            </w:pPr>
            <w:r>
              <w:rPr>
                <w:rFonts w:ascii="Times New Roman" w:hAnsi="Times New Roman" w:cs="Times New Roman"/>
                <w:b/>
                <w:noProof/>
                <w:sz w:val="24"/>
                <w:szCs w:val="24"/>
                <w:lang w:eastAsia="en-GB"/>
              </w:rPr>
              <w:drawing>
                <wp:inline distT="0" distB="0" distL="0" distR="0">
                  <wp:extent cx="2552700" cy="990600"/>
                  <wp:effectExtent l="0" t="0" r="0" b="0"/>
                  <wp:docPr id="5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52700" cy="990600"/>
                          </a:xfrm>
                          <a:prstGeom prst="rect">
                            <a:avLst/>
                          </a:prstGeom>
                          <a:noFill/>
                          <a:ln>
                            <a:noFill/>
                          </a:ln>
                        </pic:spPr>
                      </pic:pic>
                    </a:graphicData>
                  </a:graphic>
                </wp:inline>
              </w:drawing>
            </w:r>
          </w:p>
        </w:tc>
      </w:tr>
      <w:tr w:rsidR="00A05D94" w:rsidRPr="00D03D9D" w:rsidTr="00041836">
        <w:trPr>
          <w:cantSplit/>
          <w:trHeight w:val="1292"/>
        </w:trPr>
        <w:tc>
          <w:tcPr>
            <w:tcW w:w="590" w:type="pct"/>
            <w:textDirection w:val="btLr"/>
            <w:vAlign w:val="center"/>
          </w:tcPr>
          <w:p w:rsidR="00A05D94" w:rsidRPr="00D03D9D" w:rsidRDefault="00A05D94" w:rsidP="00D03D9D">
            <w:pPr>
              <w:spacing w:after="0" w:line="240" w:lineRule="auto"/>
              <w:ind w:left="113" w:right="113"/>
              <w:jc w:val="both"/>
              <w:rPr>
                <w:rFonts w:ascii="Times New Roman" w:hAnsi="Times New Roman" w:cs="Times New Roman"/>
                <w:b/>
                <w:sz w:val="24"/>
                <w:szCs w:val="24"/>
                <w:lang w:val="en-US"/>
              </w:rPr>
            </w:pPr>
            <w:r w:rsidRPr="00D03D9D">
              <w:rPr>
                <w:rFonts w:ascii="Times New Roman" w:hAnsi="Times New Roman" w:cs="Times New Roman"/>
                <w:b/>
                <w:sz w:val="24"/>
                <w:szCs w:val="24"/>
                <w:lang w:val="en-US"/>
              </w:rPr>
              <w:t>BTC/JPY</w:t>
            </w:r>
          </w:p>
        </w:tc>
        <w:tc>
          <w:tcPr>
            <w:tcW w:w="2168" w:type="pct"/>
            <w:vAlign w:val="bottom"/>
          </w:tcPr>
          <w:p w:rsidR="00A05D94" w:rsidRPr="00D03D9D" w:rsidRDefault="000419AB" w:rsidP="00D03D9D">
            <w:pPr>
              <w:spacing w:after="0" w:line="240" w:lineRule="auto"/>
              <w:jc w:val="both"/>
              <w:rPr>
                <w:rFonts w:ascii="Times New Roman" w:hAnsi="Times New Roman" w:cs="Times New Roman"/>
                <w:b/>
                <w:sz w:val="24"/>
                <w:szCs w:val="24"/>
                <w:lang w:val="en-US"/>
              </w:rPr>
            </w:pPr>
            <w:r>
              <w:rPr>
                <w:rFonts w:ascii="Times New Roman" w:hAnsi="Times New Roman" w:cs="Times New Roman"/>
                <w:b/>
                <w:noProof/>
                <w:sz w:val="24"/>
                <w:szCs w:val="24"/>
                <w:lang w:eastAsia="en-GB"/>
              </w:rPr>
              <w:drawing>
                <wp:inline distT="0" distB="0" distL="0" distR="0">
                  <wp:extent cx="2575560" cy="975360"/>
                  <wp:effectExtent l="0" t="0" r="0" b="0"/>
                  <wp:docPr id="5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75560" cy="975360"/>
                          </a:xfrm>
                          <a:prstGeom prst="rect">
                            <a:avLst/>
                          </a:prstGeom>
                          <a:noFill/>
                          <a:ln>
                            <a:noFill/>
                          </a:ln>
                        </pic:spPr>
                      </pic:pic>
                    </a:graphicData>
                  </a:graphic>
                </wp:inline>
              </w:drawing>
            </w:r>
          </w:p>
        </w:tc>
        <w:tc>
          <w:tcPr>
            <w:tcW w:w="2242" w:type="pct"/>
            <w:vAlign w:val="bottom"/>
          </w:tcPr>
          <w:p w:rsidR="00A05D94" w:rsidRPr="00D03D9D" w:rsidRDefault="000419AB" w:rsidP="00D03D9D">
            <w:pPr>
              <w:spacing w:after="0" w:line="240" w:lineRule="auto"/>
              <w:jc w:val="both"/>
              <w:rPr>
                <w:rFonts w:ascii="Times New Roman" w:hAnsi="Times New Roman" w:cs="Times New Roman"/>
                <w:b/>
                <w:sz w:val="24"/>
                <w:szCs w:val="24"/>
                <w:lang w:val="en-US"/>
              </w:rPr>
            </w:pPr>
            <w:r>
              <w:rPr>
                <w:rFonts w:ascii="Times New Roman" w:hAnsi="Times New Roman" w:cs="Times New Roman"/>
                <w:b/>
                <w:noProof/>
                <w:sz w:val="24"/>
                <w:szCs w:val="24"/>
                <w:lang w:eastAsia="en-GB"/>
              </w:rPr>
              <w:drawing>
                <wp:inline distT="0" distB="0" distL="0" distR="0">
                  <wp:extent cx="2575560" cy="967740"/>
                  <wp:effectExtent l="0" t="0" r="0" b="3810"/>
                  <wp:docPr id="5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75560" cy="967740"/>
                          </a:xfrm>
                          <a:prstGeom prst="rect">
                            <a:avLst/>
                          </a:prstGeom>
                          <a:noFill/>
                          <a:ln>
                            <a:noFill/>
                          </a:ln>
                        </pic:spPr>
                      </pic:pic>
                    </a:graphicData>
                  </a:graphic>
                </wp:inline>
              </w:drawing>
            </w:r>
          </w:p>
        </w:tc>
      </w:tr>
      <w:tr w:rsidR="00A05D94" w:rsidRPr="00D03D9D" w:rsidTr="00041836">
        <w:trPr>
          <w:cantSplit/>
          <w:trHeight w:val="1457"/>
        </w:trPr>
        <w:tc>
          <w:tcPr>
            <w:tcW w:w="590" w:type="pct"/>
            <w:tcBorders>
              <w:bottom w:val="single" w:sz="18" w:space="0" w:color="auto"/>
            </w:tcBorders>
            <w:textDirection w:val="btLr"/>
            <w:vAlign w:val="center"/>
          </w:tcPr>
          <w:p w:rsidR="00A05D94" w:rsidRPr="00D03D9D" w:rsidRDefault="00A05D94" w:rsidP="00D03D9D">
            <w:pPr>
              <w:spacing w:after="0" w:line="240" w:lineRule="auto"/>
              <w:ind w:left="113" w:right="113"/>
              <w:jc w:val="both"/>
              <w:rPr>
                <w:rFonts w:ascii="Times New Roman" w:hAnsi="Times New Roman" w:cs="Times New Roman"/>
                <w:b/>
                <w:sz w:val="24"/>
                <w:szCs w:val="24"/>
                <w:lang w:val="en-US"/>
              </w:rPr>
            </w:pPr>
            <w:r w:rsidRPr="00D03D9D">
              <w:rPr>
                <w:rFonts w:ascii="Times New Roman" w:hAnsi="Times New Roman" w:cs="Times New Roman"/>
                <w:b/>
                <w:sz w:val="24"/>
                <w:szCs w:val="24"/>
                <w:lang w:val="en-US"/>
              </w:rPr>
              <w:t>BTC/KRW</w:t>
            </w:r>
          </w:p>
        </w:tc>
        <w:tc>
          <w:tcPr>
            <w:tcW w:w="2168" w:type="pct"/>
            <w:tcBorders>
              <w:bottom w:val="single" w:sz="18" w:space="0" w:color="auto"/>
            </w:tcBorders>
            <w:vAlign w:val="bottom"/>
          </w:tcPr>
          <w:p w:rsidR="00A05D94" w:rsidRPr="00D03D9D" w:rsidRDefault="000419AB" w:rsidP="00D03D9D">
            <w:pPr>
              <w:spacing w:after="0" w:line="240" w:lineRule="auto"/>
              <w:jc w:val="both"/>
              <w:rPr>
                <w:rFonts w:ascii="Times New Roman" w:hAnsi="Times New Roman" w:cs="Times New Roman"/>
                <w:b/>
                <w:sz w:val="24"/>
                <w:szCs w:val="24"/>
                <w:lang w:val="en-US"/>
              </w:rPr>
            </w:pPr>
            <w:r>
              <w:rPr>
                <w:rFonts w:ascii="Times New Roman" w:hAnsi="Times New Roman" w:cs="Times New Roman"/>
                <w:b/>
                <w:noProof/>
                <w:sz w:val="24"/>
                <w:szCs w:val="24"/>
                <w:lang w:eastAsia="en-GB"/>
              </w:rPr>
              <w:drawing>
                <wp:inline distT="0" distB="0" distL="0" distR="0">
                  <wp:extent cx="2575560" cy="1028700"/>
                  <wp:effectExtent l="0" t="0" r="0" b="0"/>
                  <wp:docPr id="5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75560" cy="1028700"/>
                          </a:xfrm>
                          <a:prstGeom prst="rect">
                            <a:avLst/>
                          </a:prstGeom>
                          <a:noFill/>
                          <a:ln>
                            <a:noFill/>
                          </a:ln>
                        </pic:spPr>
                      </pic:pic>
                    </a:graphicData>
                  </a:graphic>
                </wp:inline>
              </w:drawing>
            </w:r>
          </w:p>
        </w:tc>
        <w:tc>
          <w:tcPr>
            <w:tcW w:w="2242" w:type="pct"/>
            <w:tcBorders>
              <w:bottom w:val="single" w:sz="18" w:space="0" w:color="auto"/>
            </w:tcBorders>
            <w:vAlign w:val="bottom"/>
          </w:tcPr>
          <w:p w:rsidR="00A05D94" w:rsidRPr="00D03D9D" w:rsidRDefault="000419AB" w:rsidP="00D03D9D">
            <w:pPr>
              <w:keepNext/>
              <w:spacing w:after="0" w:line="240" w:lineRule="auto"/>
              <w:jc w:val="both"/>
              <w:rPr>
                <w:rFonts w:ascii="Times New Roman" w:hAnsi="Times New Roman" w:cs="Times New Roman"/>
                <w:b/>
                <w:sz w:val="24"/>
                <w:szCs w:val="24"/>
                <w:lang w:val="en-US"/>
              </w:rPr>
            </w:pPr>
            <w:r>
              <w:rPr>
                <w:rFonts w:ascii="Times New Roman" w:hAnsi="Times New Roman" w:cs="Times New Roman"/>
                <w:b/>
                <w:noProof/>
                <w:sz w:val="24"/>
                <w:szCs w:val="24"/>
                <w:lang w:eastAsia="en-GB"/>
              </w:rPr>
              <w:drawing>
                <wp:inline distT="0" distB="0" distL="0" distR="0">
                  <wp:extent cx="2560320" cy="1051560"/>
                  <wp:effectExtent l="0" t="0" r="0" b="0"/>
                  <wp:docPr id="5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60320" cy="1051560"/>
                          </a:xfrm>
                          <a:prstGeom prst="rect">
                            <a:avLst/>
                          </a:prstGeom>
                          <a:noFill/>
                          <a:ln>
                            <a:noFill/>
                          </a:ln>
                        </pic:spPr>
                      </pic:pic>
                    </a:graphicData>
                  </a:graphic>
                </wp:inline>
              </w:drawing>
            </w:r>
          </w:p>
        </w:tc>
      </w:tr>
    </w:tbl>
    <w:p w:rsidR="00A05D94" w:rsidRPr="003975A4" w:rsidRDefault="00A05D94" w:rsidP="007A77FC">
      <w:pPr>
        <w:pStyle w:val="Caption"/>
        <w:keepNext/>
        <w:jc w:val="both"/>
        <w:rPr>
          <w:rFonts w:ascii="Times New Roman" w:hAnsi="Times New Roman" w:cs="Times New Roman"/>
          <w:color w:val="auto"/>
          <w:sz w:val="22"/>
          <w:szCs w:val="24"/>
        </w:rPr>
      </w:pPr>
      <w:r w:rsidRPr="003975A4">
        <w:rPr>
          <w:rFonts w:ascii="Times New Roman" w:hAnsi="Times New Roman" w:cs="Times New Roman"/>
          <w:b/>
          <w:i w:val="0"/>
          <w:color w:val="auto"/>
          <w:sz w:val="22"/>
          <w:szCs w:val="24"/>
        </w:rPr>
        <w:t>Notes</w:t>
      </w:r>
      <w:r w:rsidRPr="003975A4">
        <w:rPr>
          <w:rFonts w:ascii="Times New Roman" w:hAnsi="Times New Roman" w:cs="Times New Roman"/>
          <w:i w:val="0"/>
          <w:color w:val="auto"/>
          <w:sz w:val="22"/>
          <w:szCs w:val="24"/>
        </w:rPr>
        <w:t>: Surface plot of Bitcoin/USD cross-quantilogram correlation with other Bitcoin denominations in a rolling sample. The x-axis contains the CQC for lags 1-10, the y-axis is the rolling sample (504 days), and z-axis is the magnitude of the CQC. We also use colouring to represent the magnitude of the CQC and the values can be seen on the colour bars. The z-axis may vary to create better contrast.</w:t>
      </w:r>
    </w:p>
    <w:p w:rsidR="00A05D94" w:rsidRPr="00B96DDF" w:rsidRDefault="00A05D94" w:rsidP="007A77FC">
      <w:pPr>
        <w:spacing w:line="276" w:lineRule="auto"/>
        <w:jc w:val="both"/>
        <w:rPr>
          <w:rFonts w:ascii="Times New Roman" w:eastAsia="Yu Mincho" w:hAnsi="Times New Roman" w:cs="Times New Roman"/>
          <w:sz w:val="24"/>
          <w:szCs w:val="24"/>
        </w:rPr>
      </w:pPr>
    </w:p>
    <w:sectPr w:rsidR="00A05D94" w:rsidRPr="00B96DDF" w:rsidSect="00F75F54">
      <w:footerReference w:type="default" r:id="rId62"/>
      <w:pgSz w:w="11906" w:h="16838"/>
      <w:pgMar w:top="1417" w:right="1700"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5AD2" w:rsidRDefault="007B5AD2" w:rsidP="006C3C31">
      <w:pPr>
        <w:spacing w:after="0" w:line="240" w:lineRule="auto"/>
      </w:pPr>
      <w:r>
        <w:separator/>
      </w:r>
    </w:p>
  </w:endnote>
  <w:endnote w:type="continuationSeparator" w:id="0">
    <w:p w:rsidR="007B5AD2" w:rsidRDefault="007B5AD2" w:rsidP="006C3C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D94" w:rsidRDefault="00422E48">
    <w:pPr>
      <w:pStyle w:val="Footer"/>
      <w:jc w:val="center"/>
    </w:pPr>
    <w:r>
      <w:rPr>
        <w:noProof/>
        <w:lang w:val="sv-SE"/>
      </w:rPr>
      <w:fldChar w:fldCharType="begin"/>
    </w:r>
    <w:r>
      <w:rPr>
        <w:noProof/>
        <w:lang w:val="sv-SE"/>
      </w:rPr>
      <w:instrText>PAGE   \* MERGEFORMAT</w:instrText>
    </w:r>
    <w:r>
      <w:rPr>
        <w:noProof/>
        <w:lang w:val="sv-SE"/>
      </w:rPr>
      <w:fldChar w:fldCharType="separate"/>
    </w:r>
    <w:r w:rsidR="00AF20D8">
      <w:rPr>
        <w:noProof/>
        <w:lang w:val="sv-SE"/>
      </w:rPr>
      <w:t>2</w:t>
    </w:r>
    <w:r>
      <w:rPr>
        <w:noProof/>
        <w:lang w:val="sv-SE"/>
      </w:rPr>
      <w:fldChar w:fldCharType="end"/>
    </w:r>
  </w:p>
  <w:p w:rsidR="00A05D94" w:rsidRDefault="00A05D9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5AD2" w:rsidRDefault="007B5AD2" w:rsidP="006C3C31">
      <w:pPr>
        <w:spacing w:after="0" w:line="240" w:lineRule="auto"/>
      </w:pPr>
      <w:r>
        <w:separator/>
      </w:r>
    </w:p>
  </w:footnote>
  <w:footnote w:type="continuationSeparator" w:id="0">
    <w:p w:rsidR="007B5AD2" w:rsidRDefault="007B5AD2" w:rsidP="006C3C31">
      <w:pPr>
        <w:spacing w:after="0" w:line="240" w:lineRule="auto"/>
      </w:pPr>
      <w:r>
        <w:continuationSeparator/>
      </w:r>
    </w:p>
  </w:footnote>
  <w:footnote w:id="1">
    <w:p w:rsidR="00A05D94" w:rsidRPr="00E83EB1" w:rsidRDefault="00A05D94" w:rsidP="00C5376F">
      <w:pPr>
        <w:ind w:left="360"/>
        <w:jc w:val="both"/>
      </w:pPr>
      <w:r>
        <w:rPr>
          <w:rStyle w:val="FootnoteReference"/>
          <w:rFonts w:cs="Arial"/>
        </w:rPr>
        <w:footnoteRef/>
      </w:r>
      <w:r>
        <w:t xml:space="preserve"> </w:t>
      </w:r>
      <w:r w:rsidRPr="00A46B31">
        <w:rPr>
          <w:rFonts w:ascii="Times New Roman" w:hAnsi="Times New Roman" w:cs="Times New Roman"/>
          <w:sz w:val="20"/>
          <w:szCs w:val="20"/>
          <w:lang w:val="en-US"/>
        </w:rPr>
        <w:t>It is a binary process: get a ‘hit’ in a specific-quantile or ‘miss’ it.</w:t>
      </w:r>
      <w:r>
        <w:rPr>
          <w:lang w:val="en-US"/>
        </w:rPr>
        <w:t xml:space="preserve"> </w:t>
      </w:r>
    </w:p>
    <w:p w:rsidR="00A05D94" w:rsidRDefault="00A05D94" w:rsidP="00C5376F">
      <w:pPr>
        <w:ind w:left="360"/>
        <w:jc w:val="both"/>
      </w:pPr>
    </w:p>
  </w:footnote>
  <w:footnote w:id="2">
    <w:p w:rsidR="00B85863" w:rsidRPr="00B85863" w:rsidRDefault="00B85863">
      <w:pPr>
        <w:pStyle w:val="FootnoteText"/>
      </w:pPr>
      <w:r>
        <w:rPr>
          <w:rStyle w:val="FootnoteReference"/>
        </w:rPr>
        <w:footnoteRef/>
      </w:r>
      <w:r>
        <w:t xml:space="preserve"> </w:t>
      </w:r>
      <w:hyperlink r:id="rId1" w:history="1">
        <w:r w:rsidRPr="00F44631">
          <w:rPr>
            <w:rStyle w:val="Hyperlink"/>
            <w:bdr w:val="none" w:sz="0" w:space="0" w:color="auto" w:frame="1"/>
            <w:shd w:val="clear" w:color="auto" w:fill="FFFFFF"/>
            <w:lang w:val="en-US"/>
          </w:rPr>
          <w:t>http://data.bitcoinity.org/markets/volume/30d?c=e\&amp;t=b$</w:t>
        </w:r>
      </w:hyperlink>
      <w:r w:rsidRPr="00743931">
        <w:rPr>
          <w:color w:val="0000CC"/>
          <w:shd w:val="clear" w:color="auto" w:fill="FFFFFF"/>
          <w:lang w:val="en-US"/>
        </w:rPr>
        <w:t>).</w:t>
      </w:r>
    </w:p>
  </w:footnote>
  <w:footnote w:id="3">
    <w:p w:rsidR="00A05D94" w:rsidRDefault="00A05D94" w:rsidP="00395FDC">
      <w:pPr>
        <w:pStyle w:val="FootnoteText"/>
        <w:jc w:val="both"/>
      </w:pPr>
      <w:r w:rsidRPr="00395FDC">
        <w:rPr>
          <w:rStyle w:val="FootnoteReference"/>
          <w:rFonts w:ascii="Times New Roman" w:hAnsi="Times New Roman"/>
        </w:rPr>
        <w:footnoteRef/>
      </w:r>
      <w:r w:rsidRPr="00395FDC">
        <w:rPr>
          <w:rStyle w:val="Hyperlink"/>
          <w:rFonts w:ascii="Times New Roman" w:hAnsi="Times New Roman"/>
        </w:rPr>
        <w:t>https://www.reuters.com/article/us-china-cryptocurrency/china-wants-to-ban-bitcoin-mining-idUSKCN1RL0C4</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94A3C"/>
    <w:multiLevelType w:val="hybridMultilevel"/>
    <w:tmpl w:val="4FCE261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088E6E13"/>
    <w:multiLevelType w:val="hybridMultilevel"/>
    <w:tmpl w:val="424E2578"/>
    <w:lvl w:ilvl="0" w:tplc="D43A3FDC">
      <w:start w:val="1"/>
      <w:numFmt w:val="bullet"/>
      <w:lvlText w:val="•"/>
      <w:lvlJc w:val="left"/>
      <w:pPr>
        <w:tabs>
          <w:tab w:val="num" w:pos="720"/>
        </w:tabs>
        <w:ind w:left="720" w:hanging="360"/>
      </w:pPr>
      <w:rPr>
        <w:rFonts w:ascii="Arial" w:hAnsi="Arial" w:hint="default"/>
      </w:rPr>
    </w:lvl>
    <w:lvl w:ilvl="1" w:tplc="5F747FAE" w:tentative="1">
      <w:start w:val="1"/>
      <w:numFmt w:val="bullet"/>
      <w:lvlText w:val="•"/>
      <w:lvlJc w:val="left"/>
      <w:pPr>
        <w:tabs>
          <w:tab w:val="num" w:pos="1440"/>
        </w:tabs>
        <w:ind w:left="1440" w:hanging="360"/>
      </w:pPr>
      <w:rPr>
        <w:rFonts w:ascii="Arial" w:hAnsi="Arial" w:hint="default"/>
      </w:rPr>
    </w:lvl>
    <w:lvl w:ilvl="2" w:tplc="B610316E" w:tentative="1">
      <w:start w:val="1"/>
      <w:numFmt w:val="bullet"/>
      <w:lvlText w:val="•"/>
      <w:lvlJc w:val="left"/>
      <w:pPr>
        <w:tabs>
          <w:tab w:val="num" w:pos="2160"/>
        </w:tabs>
        <w:ind w:left="2160" w:hanging="360"/>
      </w:pPr>
      <w:rPr>
        <w:rFonts w:ascii="Arial" w:hAnsi="Arial" w:hint="default"/>
      </w:rPr>
    </w:lvl>
    <w:lvl w:ilvl="3" w:tplc="D78CA008" w:tentative="1">
      <w:start w:val="1"/>
      <w:numFmt w:val="bullet"/>
      <w:lvlText w:val="•"/>
      <w:lvlJc w:val="left"/>
      <w:pPr>
        <w:tabs>
          <w:tab w:val="num" w:pos="2880"/>
        </w:tabs>
        <w:ind w:left="2880" w:hanging="360"/>
      </w:pPr>
      <w:rPr>
        <w:rFonts w:ascii="Arial" w:hAnsi="Arial" w:hint="default"/>
      </w:rPr>
    </w:lvl>
    <w:lvl w:ilvl="4" w:tplc="FA0E7838" w:tentative="1">
      <w:start w:val="1"/>
      <w:numFmt w:val="bullet"/>
      <w:lvlText w:val="•"/>
      <w:lvlJc w:val="left"/>
      <w:pPr>
        <w:tabs>
          <w:tab w:val="num" w:pos="3600"/>
        </w:tabs>
        <w:ind w:left="3600" w:hanging="360"/>
      </w:pPr>
      <w:rPr>
        <w:rFonts w:ascii="Arial" w:hAnsi="Arial" w:hint="default"/>
      </w:rPr>
    </w:lvl>
    <w:lvl w:ilvl="5" w:tplc="5904609E" w:tentative="1">
      <w:start w:val="1"/>
      <w:numFmt w:val="bullet"/>
      <w:lvlText w:val="•"/>
      <w:lvlJc w:val="left"/>
      <w:pPr>
        <w:tabs>
          <w:tab w:val="num" w:pos="4320"/>
        </w:tabs>
        <w:ind w:left="4320" w:hanging="360"/>
      </w:pPr>
      <w:rPr>
        <w:rFonts w:ascii="Arial" w:hAnsi="Arial" w:hint="default"/>
      </w:rPr>
    </w:lvl>
    <w:lvl w:ilvl="6" w:tplc="EB9A1332" w:tentative="1">
      <w:start w:val="1"/>
      <w:numFmt w:val="bullet"/>
      <w:lvlText w:val="•"/>
      <w:lvlJc w:val="left"/>
      <w:pPr>
        <w:tabs>
          <w:tab w:val="num" w:pos="5040"/>
        </w:tabs>
        <w:ind w:left="5040" w:hanging="360"/>
      </w:pPr>
      <w:rPr>
        <w:rFonts w:ascii="Arial" w:hAnsi="Arial" w:hint="default"/>
      </w:rPr>
    </w:lvl>
    <w:lvl w:ilvl="7" w:tplc="E37249F8" w:tentative="1">
      <w:start w:val="1"/>
      <w:numFmt w:val="bullet"/>
      <w:lvlText w:val="•"/>
      <w:lvlJc w:val="left"/>
      <w:pPr>
        <w:tabs>
          <w:tab w:val="num" w:pos="5760"/>
        </w:tabs>
        <w:ind w:left="5760" w:hanging="360"/>
      </w:pPr>
      <w:rPr>
        <w:rFonts w:ascii="Arial" w:hAnsi="Arial" w:hint="default"/>
      </w:rPr>
    </w:lvl>
    <w:lvl w:ilvl="8" w:tplc="3932B93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ECF3E1D"/>
    <w:multiLevelType w:val="hybridMultilevel"/>
    <w:tmpl w:val="56348464"/>
    <w:lvl w:ilvl="0" w:tplc="79AAF92A">
      <w:start w:val="1"/>
      <w:numFmt w:val="bullet"/>
      <w:lvlText w:val="•"/>
      <w:lvlJc w:val="left"/>
      <w:pPr>
        <w:tabs>
          <w:tab w:val="num" w:pos="720"/>
        </w:tabs>
        <w:ind w:left="720" w:hanging="360"/>
      </w:pPr>
      <w:rPr>
        <w:rFonts w:ascii="Arial" w:hAnsi="Arial" w:hint="default"/>
      </w:rPr>
    </w:lvl>
    <w:lvl w:ilvl="1" w:tplc="6688F224" w:tentative="1">
      <w:start w:val="1"/>
      <w:numFmt w:val="bullet"/>
      <w:lvlText w:val="•"/>
      <w:lvlJc w:val="left"/>
      <w:pPr>
        <w:tabs>
          <w:tab w:val="num" w:pos="1440"/>
        </w:tabs>
        <w:ind w:left="1440" w:hanging="360"/>
      </w:pPr>
      <w:rPr>
        <w:rFonts w:ascii="Arial" w:hAnsi="Arial" w:hint="default"/>
      </w:rPr>
    </w:lvl>
    <w:lvl w:ilvl="2" w:tplc="E8C80378" w:tentative="1">
      <w:start w:val="1"/>
      <w:numFmt w:val="bullet"/>
      <w:lvlText w:val="•"/>
      <w:lvlJc w:val="left"/>
      <w:pPr>
        <w:tabs>
          <w:tab w:val="num" w:pos="2160"/>
        </w:tabs>
        <w:ind w:left="2160" w:hanging="360"/>
      </w:pPr>
      <w:rPr>
        <w:rFonts w:ascii="Arial" w:hAnsi="Arial" w:hint="default"/>
      </w:rPr>
    </w:lvl>
    <w:lvl w:ilvl="3" w:tplc="50FEA4FE" w:tentative="1">
      <w:start w:val="1"/>
      <w:numFmt w:val="bullet"/>
      <w:lvlText w:val="•"/>
      <w:lvlJc w:val="left"/>
      <w:pPr>
        <w:tabs>
          <w:tab w:val="num" w:pos="2880"/>
        </w:tabs>
        <w:ind w:left="2880" w:hanging="360"/>
      </w:pPr>
      <w:rPr>
        <w:rFonts w:ascii="Arial" w:hAnsi="Arial" w:hint="default"/>
      </w:rPr>
    </w:lvl>
    <w:lvl w:ilvl="4" w:tplc="1A9C177E" w:tentative="1">
      <w:start w:val="1"/>
      <w:numFmt w:val="bullet"/>
      <w:lvlText w:val="•"/>
      <w:lvlJc w:val="left"/>
      <w:pPr>
        <w:tabs>
          <w:tab w:val="num" w:pos="3600"/>
        </w:tabs>
        <w:ind w:left="3600" w:hanging="360"/>
      </w:pPr>
      <w:rPr>
        <w:rFonts w:ascii="Arial" w:hAnsi="Arial" w:hint="default"/>
      </w:rPr>
    </w:lvl>
    <w:lvl w:ilvl="5" w:tplc="9B023FE6" w:tentative="1">
      <w:start w:val="1"/>
      <w:numFmt w:val="bullet"/>
      <w:lvlText w:val="•"/>
      <w:lvlJc w:val="left"/>
      <w:pPr>
        <w:tabs>
          <w:tab w:val="num" w:pos="4320"/>
        </w:tabs>
        <w:ind w:left="4320" w:hanging="360"/>
      </w:pPr>
      <w:rPr>
        <w:rFonts w:ascii="Arial" w:hAnsi="Arial" w:hint="default"/>
      </w:rPr>
    </w:lvl>
    <w:lvl w:ilvl="6" w:tplc="CFDA58D2" w:tentative="1">
      <w:start w:val="1"/>
      <w:numFmt w:val="bullet"/>
      <w:lvlText w:val="•"/>
      <w:lvlJc w:val="left"/>
      <w:pPr>
        <w:tabs>
          <w:tab w:val="num" w:pos="5040"/>
        </w:tabs>
        <w:ind w:left="5040" w:hanging="360"/>
      </w:pPr>
      <w:rPr>
        <w:rFonts w:ascii="Arial" w:hAnsi="Arial" w:hint="default"/>
      </w:rPr>
    </w:lvl>
    <w:lvl w:ilvl="7" w:tplc="C2CA56D6" w:tentative="1">
      <w:start w:val="1"/>
      <w:numFmt w:val="bullet"/>
      <w:lvlText w:val="•"/>
      <w:lvlJc w:val="left"/>
      <w:pPr>
        <w:tabs>
          <w:tab w:val="num" w:pos="5760"/>
        </w:tabs>
        <w:ind w:left="5760" w:hanging="360"/>
      </w:pPr>
      <w:rPr>
        <w:rFonts w:ascii="Arial" w:hAnsi="Arial" w:hint="default"/>
      </w:rPr>
    </w:lvl>
    <w:lvl w:ilvl="8" w:tplc="D6C4997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F010CD5"/>
    <w:multiLevelType w:val="hybridMultilevel"/>
    <w:tmpl w:val="D068C268"/>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F5A"/>
    <w:rsid w:val="0000038A"/>
    <w:rsid w:val="00001F1B"/>
    <w:rsid w:val="00002EF8"/>
    <w:rsid w:val="00010F5A"/>
    <w:rsid w:val="00017507"/>
    <w:rsid w:val="0002225B"/>
    <w:rsid w:val="00032663"/>
    <w:rsid w:val="00032A25"/>
    <w:rsid w:val="00036870"/>
    <w:rsid w:val="00041836"/>
    <w:rsid w:val="000419AB"/>
    <w:rsid w:val="000469E7"/>
    <w:rsid w:val="0005272A"/>
    <w:rsid w:val="0005633A"/>
    <w:rsid w:val="000575A1"/>
    <w:rsid w:val="000603D6"/>
    <w:rsid w:val="00065381"/>
    <w:rsid w:val="00074FA7"/>
    <w:rsid w:val="0007615F"/>
    <w:rsid w:val="00077389"/>
    <w:rsid w:val="000812F4"/>
    <w:rsid w:val="00081AB8"/>
    <w:rsid w:val="00084B6D"/>
    <w:rsid w:val="0008552B"/>
    <w:rsid w:val="00093599"/>
    <w:rsid w:val="00093DA4"/>
    <w:rsid w:val="00094675"/>
    <w:rsid w:val="000A14DD"/>
    <w:rsid w:val="000A18BD"/>
    <w:rsid w:val="000C7139"/>
    <w:rsid w:val="000D6E4D"/>
    <w:rsid w:val="000F2148"/>
    <w:rsid w:val="000F4C49"/>
    <w:rsid w:val="000F4E45"/>
    <w:rsid w:val="000F7EE2"/>
    <w:rsid w:val="00103A03"/>
    <w:rsid w:val="0010526A"/>
    <w:rsid w:val="0011458F"/>
    <w:rsid w:val="00117E19"/>
    <w:rsid w:val="001233EE"/>
    <w:rsid w:val="001315EE"/>
    <w:rsid w:val="00135874"/>
    <w:rsid w:val="00135A7A"/>
    <w:rsid w:val="0014333D"/>
    <w:rsid w:val="0015405C"/>
    <w:rsid w:val="001557F4"/>
    <w:rsid w:val="0015689A"/>
    <w:rsid w:val="00157B05"/>
    <w:rsid w:val="00165FE7"/>
    <w:rsid w:val="00166FBE"/>
    <w:rsid w:val="00167AD9"/>
    <w:rsid w:val="00170C0F"/>
    <w:rsid w:val="0017505A"/>
    <w:rsid w:val="0017507D"/>
    <w:rsid w:val="001770A3"/>
    <w:rsid w:val="001774A8"/>
    <w:rsid w:val="00180325"/>
    <w:rsid w:val="00194FE3"/>
    <w:rsid w:val="001A01CC"/>
    <w:rsid w:val="001A084B"/>
    <w:rsid w:val="001A649D"/>
    <w:rsid w:val="001A6847"/>
    <w:rsid w:val="001B239B"/>
    <w:rsid w:val="001B5379"/>
    <w:rsid w:val="001B5F87"/>
    <w:rsid w:val="001B7A65"/>
    <w:rsid w:val="001C18C3"/>
    <w:rsid w:val="001C4E7F"/>
    <w:rsid w:val="001D0616"/>
    <w:rsid w:val="001D2590"/>
    <w:rsid w:val="001E76E4"/>
    <w:rsid w:val="001F04A3"/>
    <w:rsid w:val="001F170D"/>
    <w:rsid w:val="001F3ACD"/>
    <w:rsid w:val="002048F2"/>
    <w:rsid w:val="00213550"/>
    <w:rsid w:val="00214D33"/>
    <w:rsid w:val="0022171A"/>
    <w:rsid w:val="00221D0D"/>
    <w:rsid w:val="00225FC1"/>
    <w:rsid w:val="0022610A"/>
    <w:rsid w:val="002262A0"/>
    <w:rsid w:val="002305E6"/>
    <w:rsid w:val="00232712"/>
    <w:rsid w:val="0023588C"/>
    <w:rsid w:val="00241E2B"/>
    <w:rsid w:val="00242B03"/>
    <w:rsid w:val="002465D0"/>
    <w:rsid w:val="0025315C"/>
    <w:rsid w:val="00260283"/>
    <w:rsid w:val="002603C9"/>
    <w:rsid w:val="00261747"/>
    <w:rsid w:val="0026473F"/>
    <w:rsid w:val="00271376"/>
    <w:rsid w:val="00276C84"/>
    <w:rsid w:val="00286133"/>
    <w:rsid w:val="00290565"/>
    <w:rsid w:val="00293CC0"/>
    <w:rsid w:val="002940EA"/>
    <w:rsid w:val="00295743"/>
    <w:rsid w:val="002A2C02"/>
    <w:rsid w:val="002A37C4"/>
    <w:rsid w:val="002A7286"/>
    <w:rsid w:val="002B2206"/>
    <w:rsid w:val="002B3E1F"/>
    <w:rsid w:val="002B4129"/>
    <w:rsid w:val="002C0BCF"/>
    <w:rsid w:val="002C13D9"/>
    <w:rsid w:val="002C367F"/>
    <w:rsid w:val="002C3C42"/>
    <w:rsid w:val="002C4817"/>
    <w:rsid w:val="002C61CF"/>
    <w:rsid w:val="002C6705"/>
    <w:rsid w:val="002E41C0"/>
    <w:rsid w:val="002E65EB"/>
    <w:rsid w:val="002E6D09"/>
    <w:rsid w:val="002E794E"/>
    <w:rsid w:val="002F02BB"/>
    <w:rsid w:val="002F14FE"/>
    <w:rsid w:val="002F1785"/>
    <w:rsid w:val="002F3120"/>
    <w:rsid w:val="00302A98"/>
    <w:rsid w:val="00302D85"/>
    <w:rsid w:val="003041C7"/>
    <w:rsid w:val="00305E13"/>
    <w:rsid w:val="00306887"/>
    <w:rsid w:val="00311222"/>
    <w:rsid w:val="003128F6"/>
    <w:rsid w:val="00312B1F"/>
    <w:rsid w:val="00317B6B"/>
    <w:rsid w:val="0032260C"/>
    <w:rsid w:val="003248A7"/>
    <w:rsid w:val="00340A5A"/>
    <w:rsid w:val="00342C56"/>
    <w:rsid w:val="0034796D"/>
    <w:rsid w:val="0035212B"/>
    <w:rsid w:val="00353438"/>
    <w:rsid w:val="00354161"/>
    <w:rsid w:val="00363A10"/>
    <w:rsid w:val="003648BE"/>
    <w:rsid w:val="00366B31"/>
    <w:rsid w:val="00367548"/>
    <w:rsid w:val="003676E8"/>
    <w:rsid w:val="00375F41"/>
    <w:rsid w:val="003769BC"/>
    <w:rsid w:val="00384856"/>
    <w:rsid w:val="00387453"/>
    <w:rsid w:val="00391CEC"/>
    <w:rsid w:val="00392E10"/>
    <w:rsid w:val="00395A80"/>
    <w:rsid w:val="00395FDC"/>
    <w:rsid w:val="003975A4"/>
    <w:rsid w:val="00397F5C"/>
    <w:rsid w:val="003B1C35"/>
    <w:rsid w:val="003C0F28"/>
    <w:rsid w:val="003C5BDF"/>
    <w:rsid w:val="003D3A3A"/>
    <w:rsid w:val="003D5DA8"/>
    <w:rsid w:val="003D5E3D"/>
    <w:rsid w:val="003D7FF4"/>
    <w:rsid w:val="003F1FD6"/>
    <w:rsid w:val="003F2F9E"/>
    <w:rsid w:val="003F5686"/>
    <w:rsid w:val="003F5DA3"/>
    <w:rsid w:val="003F676E"/>
    <w:rsid w:val="003F6FD4"/>
    <w:rsid w:val="003F790D"/>
    <w:rsid w:val="004115F3"/>
    <w:rsid w:val="00411BF2"/>
    <w:rsid w:val="00412944"/>
    <w:rsid w:val="0042175B"/>
    <w:rsid w:val="00422E48"/>
    <w:rsid w:val="00422F3C"/>
    <w:rsid w:val="00425E4F"/>
    <w:rsid w:val="00426F23"/>
    <w:rsid w:val="004301C3"/>
    <w:rsid w:val="00433844"/>
    <w:rsid w:val="004365E4"/>
    <w:rsid w:val="00450D45"/>
    <w:rsid w:val="00456004"/>
    <w:rsid w:val="00457F75"/>
    <w:rsid w:val="00460698"/>
    <w:rsid w:val="004625AC"/>
    <w:rsid w:val="0046326F"/>
    <w:rsid w:val="00465DD9"/>
    <w:rsid w:val="00467E8A"/>
    <w:rsid w:val="00473440"/>
    <w:rsid w:val="00483019"/>
    <w:rsid w:val="00490472"/>
    <w:rsid w:val="004922DA"/>
    <w:rsid w:val="004942A8"/>
    <w:rsid w:val="0049603D"/>
    <w:rsid w:val="004A6E4F"/>
    <w:rsid w:val="004A7998"/>
    <w:rsid w:val="004B4C9E"/>
    <w:rsid w:val="004B4E6B"/>
    <w:rsid w:val="004B72B5"/>
    <w:rsid w:val="004C4118"/>
    <w:rsid w:val="004D1B29"/>
    <w:rsid w:val="004D3F15"/>
    <w:rsid w:val="004D451D"/>
    <w:rsid w:val="004D5B01"/>
    <w:rsid w:val="004E6F0B"/>
    <w:rsid w:val="004F0D49"/>
    <w:rsid w:val="004F3D06"/>
    <w:rsid w:val="004F6520"/>
    <w:rsid w:val="0050045D"/>
    <w:rsid w:val="005021B9"/>
    <w:rsid w:val="00504374"/>
    <w:rsid w:val="005056A5"/>
    <w:rsid w:val="00514DAD"/>
    <w:rsid w:val="00516D9E"/>
    <w:rsid w:val="005215E3"/>
    <w:rsid w:val="005219F3"/>
    <w:rsid w:val="00522546"/>
    <w:rsid w:val="00522D04"/>
    <w:rsid w:val="005346A1"/>
    <w:rsid w:val="00541BAA"/>
    <w:rsid w:val="00550D36"/>
    <w:rsid w:val="00560A01"/>
    <w:rsid w:val="005658F7"/>
    <w:rsid w:val="00567B7F"/>
    <w:rsid w:val="005704EE"/>
    <w:rsid w:val="00570CAA"/>
    <w:rsid w:val="005729D5"/>
    <w:rsid w:val="005753A4"/>
    <w:rsid w:val="005772F3"/>
    <w:rsid w:val="0058055D"/>
    <w:rsid w:val="00581B7D"/>
    <w:rsid w:val="005842D1"/>
    <w:rsid w:val="005908E1"/>
    <w:rsid w:val="00591E8A"/>
    <w:rsid w:val="005955F9"/>
    <w:rsid w:val="005A10D0"/>
    <w:rsid w:val="005A3971"/>
    <w:rsid w:val="005A60DA"/>
    <w:rsid w:val="005B0361"/>
    <w:rsid w:val="005B0E75"/>
    <w:rsid w:val="005B7A4E"/>
    <w:rsid w:val="005C7268"/>
    <w:rsid w:val="005D11E4"/>
    <w:rsid w:val="005E4ADC"/>
    <w:rsid w:val="005E59AD"/>
    <w:rsid w:val="005F24FC"/>
    <w:rsid w:val="005F75B5"/>
    <w:rsid w:val="006015BF"/>
    <w:rsid w:val="00607918"/>
    <w:rsid w:val="00612F25"/>
    <w:rsid w:val="006254A1"/>
    <w:rsid w:val="0064291D"/>
    <w:rsid w:val="00645545"/>
    <w:rsid w:val="00647257"/>
    <w:rsid w:val="006575FF"/>
    <w:rsid w:val="00661DB2"/>
    <w:rsid w:val="00662787"/>
    <w:rsid w:val="006638F3"/>
    <w:rsid w:val="00663D20"/>
    <w:rsid w:val="006803D3"/>
    <w:rsid w:val="00683B0E"/>
    <w:rsid w:val="006846BB"/>
    <w:rsid w:val="00686C32"/>
    <w:rsid w:val="006901AF"/>
    <w:rsid w:val="00691AC0"/>
    <w:rsid w:val="00692F5E"/>
    <w:rsid w:val="00693577"/>
    <w:rsid w:val="00697AC0"/>
    <w:rsid w:val="006A2932"/>
    <w:rsid w:val="006A6A7F"/>
    <w:rsid w:val="006C252D"/>
    <w:rsid w:val="006C3941"/>
    <w:rsid w:val="006C3C31"/>
    <w:rsid w:val="006C5076"/>
    <w:rsid w:val="006C5C4C"/>
    <w:rsid w:val="006C62FF"/>
    <w:rsid w:val="006C6AD3"/>
    <w:rsid w:val="006D1558"/>
    <w:rsid w:val="006D1B87"/>
    <w:rsid w:val="006D4223"/>
    <w:rsid w:val="006D4FF0"/>
    <w:rsid w:val="006E3CAA"/>
    <w:rsid w:val="006F2612"/>
    <w:rsid w:val="006F2F0B"/>
    <w:rsid w:val="006F333F"/>
    <w:rsid w:val="006F648A"/>
    <w:rsid w:val="00701D97"/>
    <w:rsid w:val="007100BA"/>
    <w:rsid w:val="007117C6"/>
    <w:rsid w:val="007217E8"/>
    <w:rsid w:val="0072567C"/>
    <w:rsid w:val="007257EB"/>
    <w:rsid w:val="007359A6"/>
    <w:rsid w:val="00735C82"/>
    <w:rsid w:val="00742E22"/>
    <w:rsid w:val="0075609F"/>
    <w:rsid w:val="00762A18"/>
    <w:rsid w:val="0077347C"/>
    <w:rsid w:val="00777C14"/>
    <w:rsid w:val="00784E09"/>
    <w:rsid w:val="00787C8F"/>
    <w:rsid w:val="0079001E"/>
    <w:rsid w:val="00790F9C"/>
    <w:rsid w:val="007A4EA8"/>
    <w:rsid w:val="007A5308"/>
    <w:rsid w:val="007A5F86"/>
    <w:rsid w:val="007A77FC"/>
    <w:rsid w:val="007A7EB2"/>
    <w:rsid w:val="007B5AD2"/>
    <w:rsid w:val="007B7B23"/>
    <w:rsid w:val="007C0F2F"/>
    <w:rsid w:val="007C253E"/>
    <w:rsid w:val="007C3369"/>
    <w:rsid w:val="007D3776"/>
    <w:rsid w:val="007D3A0E"/>
    <w:rsid w:val="007E4576"/>
    <w:rsid w:val="007F2926"/>
    <w:rsid w:val="007F443C"/>
    <w:rsid w:val="007F6B18"/>
    <w:rsid w:val="00800A22"/>
    <w:rsid w:val="00800DFE"/>
    <w:rsid w:val="00804628"/>
    <w:rsid w:val="00824B05"/>
    <w:rsid w:val="00824C6B"/>
    <w:rsid w:val="00827BC6"/>
    <w:rsid w:val="008314C9"/>
    <w:rsid w:val="008323B1"/>
    <w:rsid w:val="00835B0F"/>
    <w:rsid w:val="008362EF"/>
    <w:rsid w:val="008409E2"/>
    <w:rsid w:val="00840CE4"/>
    <w:rsid w:val="00843892"/>
    <w:rsid w:val="00861366"/>
    <w:rsid w:val="008630C9"/>
    <w:rsid w:val="008777D4"/>
    <w:rsid w:val="00882412"/>
    <w:rsid w:val="008855E5"/>
    <w:rsid w:val="00890027"/>
    <w:rsid w:val="008A573B"/>
    <w:rsid w:val="008A6E65"/>
    <w:rsid w:val="008B783B"/>
    <w:rsid w:val="008C670D"/>
    <w:rsid w:val="008D371B"/>
    <w:rsid w:val="008E093A"/>
    <w:rsid w:val="008E1E3D"/>
    <w:rsid w:val="008E22B1"/>
    <w:rsid w:val="008E5A08"/>
    <w:rsid w:val="008E7C55"/>
    <w:rsid w:val="008F0A13"/>
    <w:rsid w:val="008F2454"/>
    <w:rsid w:val="008F7E0A"/>
    <w:rsid w:val="009078CC"/>
    <w:rsid w:val="009227E9"/>
    <w:rsid w:val="00933280"/>
    <w:rsid w:val="00943140"/>
    <w:rsid w:val="00953540"/>
    <w:rsid w:val="009546DE"/>
    <w:rsid w:val="009634F4"/>
    <w:rsid w:val="009635A3"/>
    <w:rsid w:val="009647FB"/>
    <w:rsid w:val="009664C1"/>
    <w:rsid w:val="009711FC"/>
    <w:rsid w:val="009754CD"/>
    <w:rsid w:val="00976870"/>
    <w:rsid w:val="009773B6"/>
    <w:rsid w:val="00980A6B"/>
    <w:rsid w:val="009831F4"/>
    <w:rsid w:val="00987453"/>
    <w:rsid w:val="00997C60"/>
    <w:rsid w:val="009A1577"/>
    <w:rsid w:val="009A40FC"/>
    <w:rsid w:val="009B1EA8"/>
    <w:rsid w:val="009C1016"/>
    <w:rsid w:val="009C2042"/>
    <w:rsid w:val="009C40B7"/>
    <w:rsid w:val="009C7F21"/>
    <w:rsid w:val="009D180B"/>
    <w:rsid w:val="009D1B1C"/>
    <w:rsid w:val="009D286D"/>
    <w:rsid w:val="009D55E5"/>
    <w:rsid w:val="009E0948"/>
    <w:rsid w:val="009F3EB6"/>
    <w:rsid w:val="009F5CD2"/>
    <w:rsid w:val="00A01539"/>
    <w:rsid w:val="00A03040"/>
    <w:rsid w:val="00A05D94"/>
    <w:rsid w:val="00A13267"/>
    <w:rsid w:val="00A14BE7"/>
    <w:rsid w:val="00A16B10"/>
    <w:rsid w:val="00A17015"/>
    <w:rsid w:val="00A229F5"/>
    <w:rsid w:val="00A2413D"/>
    <w:rsid w:val="00A24CA5"/>
    <w:rsid w:val="00A32DFC"/>
    <w:rsid w:val="00A3305F"/>
    <w:rsid w:val="00A3438A"/>
    <w:rsid w:val="00A35599"/>
    <w:rsid w:val="00A46B31"/>
    <w:rsid w:val="00A46F0D"/>
    <w:rsid w:val="00A5215F"/>
    <w:rsid w:val="00A52F6E"/>
    <w:rsid w:val="00A54C3F"/>
    <w:rsid w:val="00A55B5D"/>
    <w:rsid w:val="00A640EE"/>
    <w:rsid w:val="00A6598A"/>
    <w:rsid w:val="00A67C6C"/>
    <w:rsid w:val="00A72CE2"/>
    <w:rsid w:val="00A75BCD"/>
    <w:rsid w:val="00A76986"/>
    <w:rsid w:val="00A82813"/>
    <w:rsid w:val="00A83520"/>
    <w:rsid w:val="00A86F1C"/>
    <w:rsid w:val="00A875E2"/>
    <w:rsid w:val="00A952B3"/>
    <w:rsid w:val="00AA066F"/>
    <w:rsid w:val="00AA164B"/>
    <w:rsid w:val="00AA5D84"/>
    <w:rsid w:val="00AA61F0"/>
    <w:rsid w:val="00AA6490"/>
    <w:rsid w:val="00AA67D5"/>
    <w:rsid w:val="00AB0545"/>
    <w:rsid w:val="00AC0025"/>
    <w:rsid w:val="00AC4524"/>
    <w:rsid w:val="00AC56BF"/>
    <w:rsid w:val="00AC572F"/>
    <w:rsid w:val="00AC641E"/>
    <w:rsid w:val="00AC68B2"/>
    <w:rsid w:val="00AD1537"/>
    <w:rsid w:val="00AD3B9E"/>
    <w:rsid w:val="00AD7F38"/>
    <w:rsid w:val="00AE1C75"/>
    <w:rsid w:val="00AF20D8"/>
    <w:rsid w:val="00AF56D7"/>
    <w:rsid w:val="00AF5AE1"/>
    <w:rsid w:val="00AF5D77"/>
    <w:rsid w:val="00AF689C"/>
    <w:rsid w:val="00AF7CC4"/>
    <w:rsid w:val="00AF7E35"/>
    <w:rsid w:val="00B05B03"/>
    <w:rsid w:val="00B171A4"/>
    <w:rsid w:val="00B20BD1"/>
    <w:rsid w:val="00B223F4"/>
    <w:rsid w:val="00B311BF"/>
    <w:rsid w:val="00B347A6"/>
    <w:rsid w:val="00B36D86"/>
    <w:rsid w:val="00B37A0C"/>
    <w:rsid w:val="00B40427"/>
    <w:rsid w:val="00B432B0"/>
    <w:rsid w:val="00B43777"/>
    <w:rsid w:val="00B443D9"/>
    <w:rsid w:val="00B45981"/>
    <w:rsid w:val="00B45EF5"/>
    <w:rsid w:val="00B46E38"/>
    <w:rsid w:val="00B550FE"/>
    <w:rsid w:val="00B632E4"/>
    <w:rsid w:val="00B65051"/>
    <w:rsid w:val="00B71BD9"/>
    <w:rsid w:val="00B74CC6"/>
    <w:rsid w:val="00B76820"/>
    <w:rsid w:val="00B84B1D"/>
    <w:rsid w:val="00B84D83"/>
    <w:rsid w:val="00B85863"/>
    <w:rsid w:val="00B86A75"/>
    <w:rsid w:val="00B96370"/>
    <w:rsid w:val="00B96DDF"/>
    <w:rsid w:val="00BA1A58"/>
    <w:rsid w:val="00BA42FF"/>
    <w:rsid w:val="00BB58A5"/>
    <w:rsid w:val="00BB5D8E"/>
    <w:rsid w:val="00BC1C0A"/>
    <w:rsid w:val="00BD2260"/>
    <w:rsid w:val="00BD7211"/>
    <w:rsid w:val="00BF0940"/>
    <w:rsid w:val="00BF1A64"/>
    <w:rsid w:val="00BF2A7A"/>
    <w:rsid w:val="00C0204F"/>
    <w:rsid w:val="00C02DAD"/>
    <w:rsid w:val="00C02F9A"/>
    <w:rsid w:val="00C0732F"/>
    <w:rsid w:val="00C12AF1"/>
    <w:rsid w:val="00C25801"/>
    <w:rsid w:val="00C33444"/>
    <w:rsid w:val="00C33706"/>
    <w:rsid w:val="00C347D0"/>
    <w:rsid w:val="00C3533F"/>
    <w:rsid w:val="00C36E28"/>
    <w:rsid w:val="00C4226B"/>
    <w:rsid w:val="00C42881"/>
    <w:rsid w:val="00C5376F"/>
    <w:rsid w:val="00C617BE"/>
    <w:rsid w:val="00C67F77"/>
    <w:rsid w:val="00C70472"/>
    <w:rsid w:val="00C74119"/>
    <w:rsid w:val="00C772F8"/>
    <w:rsid w:val="00C775B1"/>
    <w:rsid w:val="00C80959"/>
    <w:rsid w:val="00C90D0C"/>
    <w:rsid w:val="00C9198A"/>
    <w:rsid w:val="00C92BD8"/>
    <w:rsid w:val="00C94B3C"/>
    <w:rsid w:val="00CA00BE"/>
    <w:rsid w:val="00CA3B97"/>
    <w:rsid w:val="00CB0C47"/>
    <w:rsid w:val="00CC0217"/>
    <w:rsid w:val="00CC24EE"/>
    <w:rsid w:val="00CC6701"/>
    <w:rsid w:val="00CC7C41"/>
    <w:rsid w:val="00CD2C28"/>
    <w:rsid w:val="00CD483E"/>
    <w:rsid w:val="00CE179F"/>
    <w:rsid w:val="00CE2609"/>
    <w:rsid w:val="00CE3B96"/>
    <w:rsid w:val="00CE3C31"/>
    <w:rsid w:val="00CE52DF"/>
    <w:rsid w:val="00CE70A8"/>
    <w:rsid w:val="00CF21BE"/>
    <w:rsid w:val="00CF4237"/>
    <w:rsid w:val="00CF5720"/>
    <w:rsid w:val="00CF5CC7"/>
    <w:rsid w:val="00CF7E4D"/>
    <w:rsid w:val="00D03D9D"/>
    <w:rsid w:val="00D07D1A"/>
    <w:rsid w:val="00D147FF"/>
    <w:rsid w:val="00D169E7"/>
    <w:rsid w:val="00D228F4"/>
    <w:rsid w:val="00D2442C"/>
    <w:rsid w:val="00D253EF"/>
    <w:rsid w:val="00D2631D"/>
    <w:rsid w:val="00D5257F"/>
    <w:rsid w:val="00D53A40"/>
    <w:rsid w:val="00D552BB"/>
    <w:rsid w:val="00D63127"/>
    <w:rsid w:val="00D736F7"/>
    <w:rsid w:val="00D77391"/>
    <w:rsid w:val="00D84474"/>
    <w:rsid w:val="00D8748D"/>
    <w:rsid w:val="00DA2721"/>
    <w:rsid w:val="00DB30F1"/>
    <w:rsid w:val="00DB48BB"/>
    <w:rsid w:val="00DC070B"/>
    <w:rsid w:val="00DC466A"/>
    <w:rsid w:val="00DC571D"/>
    <w:rsid w:val="00DD2F6E"/>
    <w:rsid w:val="00DD7D62"/>
    <w:rsid w:val="00DE3F64"/>
    <w:rsid w:val="00DF2436"/>
    <w:rsid w:val="00DF37F8"/>
    <w:rsid w:val="00DF5D56"/>
    <w:rsid w:val="00DF61C0"/>
    <w:rsid w:val="00E11059"/>
    <w:rsid w:val="00E1106C"/>
    <w:rsid w:val="00E17111"/>
    <w:rsid w:val="00E27F8C"/>
    <w:rsid w:val="00E30C7A"/>
    <w:rsid w:val="00E3165D"/>
    <w:rsid w:val="00E33C2D"/>
    <w:rsid w:val="00E369BF"/>
    <w:rsid w:val="00E37CD3"/>
    <w:rsid w:val="00E41D1E"/>
    <w:rsid w:val="00E50A97"/>
    <w:rsid w:val="00E5539D"/>
    <w:rsid w:val="00E56625"/>
    <w:rsid w:val="00E57FEB"/>
    <w:rsid w:val="00E6105A"/>
    <w:rsid w:val="00E62354"/>
    <w:rsid w:val="00E72AC5"/>
    <w:rsid w:val="00E73518"/>
    <w:rsid w:val="00E744B8"/>
    <w:rsid w:val="00E76E57"/>
    <w:rsid w:val="00E80252"/>
    <w:rsid w:val="00E8349A"/>
    <w:rsid w:val="00E83EB1"/>
    <w:rsid w:val="00E9084D"/>
    <w:rsid w:val="00E95E40"/>
    <w:rsid w:val="00EA1A2A"/>
    <w:rsid w:val="00EA35BE"/>
    <w:rsid w:val="00EB02EF"/>
    <w:rsid w:val="00EB2E37"/>
    <w:rsid w:val="00EB45F6"/>
    <w:rsid w:val="00EB782B"/>
    <w:rsid w:val="00EC0C57"/>
    <w:rsid w:val="00EC1853"/>
    <w:rsid w:val="00EC21F5"/>
    <w:rsid w:val="00EC247F"/>
    <w:rsid w:val="00EC5C4E"/>
    <w:rsid w:val="00ED03D1"/>
    <w:rsid w:val="00ED1F5C"/>
    <w:rsid w:val="00ED5BD6"/>
    <w:rsid w:val="00EE4049"/>
    <w:rsid w:val="00EE4DAD"/>
    <w:rsid w:val="00EE7731"/>
    <w:rsid w:val="00EF53D8"/>
    <w:rsid w:val="00EF6DCF"/>
    <w:rsid w:val="00F03FAE"/>
    <w:rsid w:val="00F1415F"/>
    <w:rsid w:val="00F227AA"/>
    <w:rsid w:val="00F229CE"/>
    <w:rsid w:val="00F25A29"/>
    <w:rsid w:val="00F2732F"/>
    <w:rsid w:val="00F30664"/>
    <w:rsid w:val="00F306AF"/>
    <w:rsid w:val="00F342C2"/>
    <w:rsid w:val="00F35AC0"/>
    <w:rsid w:val="00F35E0C"/>
    <w:rsid w:val="00F41F67"/>
    <w:rsid w:val="00F50B75"/>
    <w:rsid w:val="00F6449A"/>
    <w:rsid w:val="00F65839"/>
    <w:rsid w:val="00F71B32"/>
    <w:rsid w:val="00F75F54"/>
    <w:rsid w:val="00F760C1"/>
    <w:rsid w:val="00F81358"/>
    <w:rsid w:val="00F85A4E"/>
    <w:rsid w:val="00F86507"/>
    <w:rsid w:val="00F90E56"/>
    <w:rsid w:val="00F90E6A"/>
    <w:rsid w:val="00FB012F"/>
    <w:rsid w:val="00FB02C5"/>
    <w:rsid w:val="00FB3B20"/>
    <w:rsid w:val="00FB65D7"/>
    <w:rsid w:val="00FD00D1"/>
    <w:rsid w:val="00FD1479"/>
    <w:rsid w:val="00FD43B3"/>
    <w:rsid w:val="00FD5500"/>
    <w:rsid w:val="00FE060D"/>
    <w:rsid w:val="00FE35D2"/>
    <w:rsid w:val="00FE3FB5"/>
    <w:rsid w:val="00FE479F"/>
    <w:rsid w:val="00FE5DAA"/>
    <w:rsid w:val="00FE7C24"/>
    <w:rsid w:val="00FF08B0"/>
    <w:rsid w:val="00FF36E5"/>
    <w:rsid w:val="00FF4B81"/>
    <w:rsid w:val="00FF528B"/>
    <w:rsid w:val="00FF63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585620F9-4DBE-4557-9E7A-C439CA006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15BF"/>
    <w:pPr>
      <w:spacing w:after="160" w:line="259" w:lineRule="auto"/>
    </w:pPr>
    <w:rPr>
      <w:sz w:val="22"/>
      <w:szCs w:val="22"/>
      <w:lang w:eastAsia="en-US"/>
    </w:rPr>
  </w:style>
  <w:style w:type="paragraph" w:styleId="Heading1">
    <w:name w:val="heading 1"/>
    <w:basedOn w:val="Normal"/>
    <w:next w:val="Normal"/>
    <w:link w:val="Heading1Char"/>
    <w:qFormat/>
    <w:locked/>
    <w:rsid w:val="002F14FE"/>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nhideWhenUsed/>
    <w:qFormat/>
    <w:locked/>
    <w:rsid w:val="002F14FE"/>
    <w:pPr>
      <w:keepNext/>
      <w:spacing w:before="240" w:after="60"/>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015BF"/>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qFormat/>
    <w:rsid w:val="006015BF"/>
    <w:rPr>
      <w:sz w:val="22"/>
      <w:szCs w:val="22"/>
      <w:lang w:eastAsia="en-US"/>
    </w:rPr>
  </w:style>
  <w:style w:type="paragraph" w:styleId="BalloonText">
    <w:name w:val="Balloon Text"/>
    <w:basedOn w:val="Normal"/>
    <w:link w:val="BalloonTextChar"/>
    <w:uiPriority w:val="99"/>
    <w:semiHidden/>
    <w:rsid w:val="005C72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5C7268"/>
    <w:rPr>
      <w:rFonts w:ascii="Segoe UI" w:hAnsi="Segoe UI" w:cs="Segoe UI"/>
      <w:sz w:val="18"/>
      <w:szCs w:val="18"/>
    </w:rPr>
  </w:style>
  <w:style w:type="paragraph" w:styleId="Caption">
    <w:name w:val="caption"/>
    <w:basedOn w:val="Normal"/>
    <w:next w:val="Normal"/>
    <w:uiPriority w:val="99"/>
    <w:qFormat/>
    <w:rsid w:val="00CA00BE"/>
    <w:pPr>
      <w:spacing w:after="200" w:line="240" w:lineRule="auto"/>
    </w:pPr>
    <w:rPr>
      <w:i/>
      <w:iCs/>
      <w:color w:val="44546A"/>
      <w:sz w:val="18"/>
      <w:szCs w:val="18"/>
    </w:rPr>
  </w:style>
  <w:style w:type="character" w:styleId="CommentReference">
    <w:name w:val="annotation reference"/>
    <w:basedOn w:val="DefaultParagraphFont"/>
    <w:uiPriority w:val="99"/>
    <w:semiHidden/>
    <w:rsid w:val="00560A01"/>
    <w:rPr>
      <w:rFonts w:cs="Times New Roman"/>
      <w:sz w:val="16"/>
      <w:szCs w:val="16"/>
    </w:rPr>
  </w:style>
  <w:style w:type="paragraph" w:styleId="CommentText">
    <w:name w:val="annotation text"/>
    <w:basedOn w:val="Normal"/>
    <w:link w:val="CommentTextChar"/>
    <w:uiPriority w:val="99"/>
    <w:semiHidden/>
    <w:rsid w:val="00560A01"/>
    <w:pPr>
      <w:spacing w:line="240" w:lineRule="auto"/>
    </w:pPr>
    <w:rPr>
      <w:sz w:val="20"/>
      <w:szCs w:val="20"/>
    </w:rPr>
  </w:style>
  <w:style w:type="character" w:customStyle="1" w:styleId="CommentTextChar">
    <w:name w:val="Comment Text Char"/>
    <w:basedOn w:val="DefaultParagraphFont"/>
    <w:link w:val="CommentText"/>
    <w:uiPriority w:val="99"/>
    <w:semiHidden/>
    <w:locked/>
    <w:rsid w:val="00560A01"/>
    <w:rPr>
      <w:rFonts w:cs="Times New Roman"/>
      <w:sz w:val="20"/>
      <w:szCs w:val="20"/>
    </w:rPr>
  </w:style>
  <w:style w:type="paragraph" w:styleId="CommentSubject">
    <w:name w:val="annotation subject"/>
    <w:basedOn w:val="CommentText"/>
    <w:next w:val="CommentText"/>
    <w:link w:val="CommentSubjectChar"/>
    <w:uiPriority w:val="99"/>
    <w:semiHidden/>
    <w:rsid w:val="00560A01"/>
    <w:rPr>
      <w:b/>
      <w:bCs/>
    </w:rPr>
  </w:style>
  <w:style w:type="character" w:customStyle="1" w:styleId="CommentSubjectChar">
    <w:name w:val="Comment Subject Char"/>
    <w:basedOn w:val="CommentTextChar"/>
    <w:link w:val="CommentSubject"/>
    <w:uiPriority w:val="99"/>
    <w:semiHidden/>
    <w:locked/>
    <w:rsid w:val="00560A01"/>
    <w:rPr>
      <w:rFonts w:cs="Times New Roman"/>
      <w:b/>
      <w:bCs/>
      <w:sz w:val="20"/>
      <w:szCs w:val="20"/>
    </w:rPr>
  </w:style>
  <w:style w:type="paragraph" w:styleId="FootnoteText">
    <w:name w:val="footnote text"/>
    <w:basedOn w:val="Normal"/>
    <w:link w:val="FootnoteTextChar"/>
    <w:uiPriority w:val="99"/>
    <w:semiHidden/>
    <w:rsid w:val="006C3C31"/>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6C3C31"/>
    <w:rPr>
      <w:rFonts w:cs="Times New Roman"/>
      <w:sz w:val="20"/>
      <w:szCs w:val="20"/>
    </w:rPr>
  </w:style>
  <w:style w:type="character" w:styleId="FootnoteReference">
    <w:name w:val="footnote reference"/>
    <w:basedOn w:val="DefaultParagraphFont"/>
    <w:uiPriority w:val="99"/>
    <w:semiHidden/>
    <w:rsid w:val="006C3C31"/>
    <w:rPr>
      <w:rFonts w:cs="Times New Roman"/>
      <w:vertAlign w:val="superscript"/>
    </w:rPr>
  </w:style>
  <w:style w:type="character" w:styleId="Hyperlink">
    <w:name w:val="Hyperlink"/>
    <w:basedOn w:val="DefaultParagraphFont"/>
    <w:uiPriority w:val="99"/>
    <w:rsid w:val="000A14DD"/>
    <w:rPr>
      <w:rFonts w:cs="Times New Roman"/>
      <w:color w:val="0000FF"/>
      <w:u w:val="single"/>
    </w:rPr>
  </w:style>
  <w:style w:type="character" w:customStyle="1" w:styleId="UnresolvedMention1">
    <w:name w:val="Unresolved Mention1"/>
    <w:basedOn w:val="DefaultParagraphFont"/>
    <w:uiPriority w:val="99"/>
    <w:semiHidden/>
    <w:rsid w:val="00A17015"/>
    <w:rPr>
      <w:rFonts w:cs="Times New Roman"/>
      <w:color w:val="605E5C"/>
      <w:shd w:val="clear" w:color="auto" w:fill="E1DFDD"/>
    </w:rPr>
  </w:style>
  <w:style w:type="paragraph" w:styleId="ListParagraph">
    <w:name w:val="List Paragraph"/>
    <w:basedOn w:val="Normal"/>
    <w:uiPriority w:val="99"/>
    <w:qFormat/>
    <w:rsid w:val="00CE2609"/>
    <w:pPr>
      <w:ind w:left="720"/>
      <w:contextualSpacing/>
    </w:pPr>
  </w:style>
  <w:style w:type="paragraph" w:customStyle="1" w:styleId="footnotedescription">
    <w:name w:val="footnote description"/>
    <w:next w:val="Normal"/>
    <w:link w:val="footnotedescriptionChar"/>
    <w:hidden/>
    <w:uiPriority w:val="99"/>
    <w:rsid w:val="00302A98"/>
    <w:pPr>
      <w:spacing w:line="292" w:lineRule="auto"/>
      <w:ind w:right="278" w:firstLine="249"/>
      <w:jc w:val="both"/>
    </w:pPr>
    <w:rPr>
      <w:rFonts w:ascii="Cambria" w:eastAsia="Times New Roman" w:hAnsi="Cambria" w:cs="Times New Roman"/>
      <w:color w:val="000000"/>
      <w:sz w:val="22"/>
      <w:szCs w:val="22"/>
    </w:rPr>
  </w:style>
  <w:style w:type="character" w:customStyle="1" w:styleId="footnotedescriptionChar">
    <w:name w:val="footnote description Char"/>
    <w:link w:val="footnotedescription"/>
    <w:uiPriority w:val="99"/>
    <w:locked/>
    <w:rsid w:val="00302A98"/>
    <w:rPr>
      <w:rFonts w:ascii="Cambria" w:eastAsia="Times New Roman" w:hAnsi="Cambria" w:cs="Times New Roman"/>
      <w:color w:val="000000"/>
      <w:sz w:val="22"/>
      <w:szCs w:val="22"/>
      <w:lang w:eastAsia="en-GB" w:bidi="ar-SA"/>
    </w:rPr>
  </w:style>
  <w:style w:type="character" w:customStyle="1" w:styleId="footnotemark">
    <w:name w:val="footnote mark"/>
    <w:hidden/>
    <w:uiPriority w:val="99"/>
    <w:rsid w:val="00302A98"/>
    <w:rPr>
      <w:rFonts w:ascii="Cambria" w:eastAsia="Times New Roman" w:hAnsi="Cambria"/>
      <w:color w:val="000000"/>
      <w:sz w:val="18"/>
      <w:vertAlign w:val="superscript"/>
    </w:rPr>
  </w:style>
  <w:style w:type="paragraph" w:styleId="Header">
    <w:name w:val="header"/>
    <w:basedOn w:val="Normal"/>
    <w:link w:val="HeaderChar"/>
    <w:uiPriority w:val="99"/>
    <w:rsid w:val="00CC0217"/>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CC0217"/>
    <w:rPr>
      <w:rFonts w:cs="Times New Roman"/>
    </w:rPr>
  </w:style>
  <w:style w:type="paragraph" w:styleId="Footer">
    <w:name w:val="footer"/>
    <w:basedOn w:val="Normal"/>
    <w:link w:val="FooterChar"/>
    <w:uiPriority w:val="99"/>
    <w:rsid w:val="00CC0217"/>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CC0217"/>
    <w:rPr>
      <w:rFonts w:cs="Times New Roman"/>
    </w:rPr>
  </w:style>
  <w:style w:type="character" w:styleId="PlaceholderText">
    <w:name w:val="Placeholder Text"/>
    <w:basedOn w:val="DefaultParagraphFont"/>
    <w:uiPriority w:val="99"/>
    <w:semiHidden/>
    <w:rsid w:val="00550D36"/>
    <w:rPr>
      <w:rFonts w:cs="Times New Roman"/>
      <w:color w:val="808080"/>
    </w:rPr>
  </w:style>
  <w:style w:type="character" w:customStyle="1" w:styleId="Heading2Char">
    <w:name w:val="Heading 2 Char"/>
    <w:basedOn w:val="DefaultParagraphFont"/>
    <w:link w:val="Heading2"/>
    <w:rsid w:val="002F14FE"/>
    <w:rPr>
      <w:rFonts w:ascii="Cambria" w:eastAsia="Times New Roman" w:hAnsi="Cambria" w:cs="Times New Roman"/>
      <w:b/>
      <w:bCs/>
      <w:i/>
      <w:iCs/>
      <w:sz w:val="28"/>
      <w:szCs w:val="28"/>
      <w:lang w:eastAsia="en-US"/>
    </w:rPr>
  </w:style>
  <w:style w:type="character" w:customStyle="1" w:styleId="Heading1Char">
    <w:name w:val="Heading 1 Char"/>
    <w:basedOn w:val="DefaultParagraphFont"/>
    <w:link w:val="Heading1"/>
    <w:rsid w:val="002F14FE"/>
    <w:rPr>
      <w:rFonts w:ascii="Cambria" w:eastAsia="Times New Roman" w:hAnsi="Cambria" w:cs="Times New Roman"/>
      <w:b/>
      <w:bCs/>
      <w:kern w:val="32"/>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5212757">
      <w:marLeft w:val="0"/>
      <w:marRight w:val="0"/>
      <w:marTop w:val="0"/>
      <w:marBottom w:val="0"/>
      <w:divBdr>
        <w:top w:val="none" w:sz="0" w:space="0" w:color="auto"/>
        <w:left w:val="none" w:sz="0" w:space="0" w:color="auto"/>
        <w:bottom w:val="none" w:sz="0" w:space="0" w:color="auto"/>
        <w:right w:val="none" w:sz="0" w:space="0" w:color="auto"/>
      </w:divBdr>
    </w:div>
    <w:div w:id="1935212759">
      <w:marLeft w:val="0"/>
      <w:marRight w:val="0"/>
      <w:marTop w:val="0"/>
      <w:marBottom w:val="0"/>
      <w:divBdr>
        <w:top w:val="none" w:sz="0" w:space="0" w:color="auto"/>
        <w:left w:val="none" w:sz="0" w:space="0" w:color="auto"/>
        <w:bottom w:val="none" w:sz="0" w:space="0" w:color="auto"/>
        <w:right w:val="none" w:sz="0" w:space="0" w:color="auto"/>
      </w:divBdr>
      <w:divsChild>
        <w:div w:id="1935212758">
          <w:marLeft w:val="0"/>
          <w:marRight w:val="0"/>
          <w:marTop w:val="0"/>
          <w:marBottom w:val="0"/>
          <w:divBdr>
            <w:top w:val="none" w:sz="0" w:space="0" w:color="auto"/>
            <w:left w:val="none" w:sz="0" w:space="0" w:color="auto"/>
            <w:bottom w:val="none" w:sz="0" w:space="0" w:color="auto"/>
            <w:right w:val="none" w:sz="0" w:space="0" w:color="auto"/>
          </w:divBdr>
        </w:div>
        <w:div w:id="1935212762">
          <w:marLeft w:val="0"/>
          <w:marRight w:val="0"/>
          <w:marTop w:val="0"/>
          <w:marBottom w:val="0"/>
          <w:divBdr>
            <w:top w:val="none" w:sz="0" w:space="0" w:color="auto"/>
            <w:left w:val="none" w:sz="0" w:space="0" w:color="auto"/>
            <w:bottom w:val="none" w:sz="0" w:space="0" w:color="auto"/>
            <w:right w:val="none" w:sz="0" w:space="0" w:color="auto"/>
          </w:divBdr>
        </w:div>
        <w:div w:id="1935212763">
          <w:marLeft w:val="0"/>
          <w:marRight w:val="0"/>
          <w:marTop w:val="0"/>
          <w:marBottom w:val="0"/>
          <w:divBdr>
            <w:top w:val="none" w:sz="0" w:space="0" w:color="auto"/>
            <w:left w:val="none" w:sz="0" w:space="0" w:color="auto"/>
            <w:bottom w:val="none" w:sz="0" w:space="0" w:color="auto"/>
            <w:right w:val="none" w:sz="0" w:space="0" w:color="auto"/>
          </w:divBdr>
        </w:div>
      </w:divsChild>
    </w:div>
    <w:div w:id="1935212764">
      <w:marLeft w:val="0"/>
      <w:marRight w:val="0"/>
      <w:marTop w:val="0"/>
      <w:marBottom w:val="0"/>
      <w:divBdr>
        <w:top w:val="none" w:sz="0" w:space="0" w:color="auto"/>
        <w:left w:val="none" w:sz="0" w:space="0" w:color="auto"/>
        <w:bottom w:val="none" w:sz="0" w:space="0" w:color="auto"/>
        <w:right w:val="none" w:sz="0" w:space="0" w:color="auto"/>
      </w:divBdr>
      <w:divsChild>
        <w:div w:id="1935212760">
          <w:marLeft w:val="547"/>
          <w:marRight w:val="0"/>
          <w:marTop w:val="180"/>
          <w:marBottom w:val="0"/>
          <w:divBdr>
            <w:top w:val="none" w:sz="0" w:space="0" w:color="auto"/>
            <w:left w:val="none" w:sz="0" w:space="0" w:color="auto"/>
            <w:bottom w:val="none" w:sz="0" w:space="0" w:color="auto"/>
            <w:right w:val="none" w:sz="0" w:space="0" w:color="auto"/>
          </w:divBdr>
        </w:div>
        <w:div w:id="1935212761">
          <w:marLeft w:val="547"/>
          <w:marRight w:val="0"/>
          <w:marTop w:val="18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ssrn.com/abstract=3114108" TargetMode="External"/><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hyperlink" Target="mailto:gazi.salah.uddin@liu.se"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theme" Target="theme/theme1.xml"/><Relationship Id="rId8" Type="http://schemas.openxmlformats.org/officeDocument/2006/relationships/hyperlink" Target="mailto:axel.hedstrom@liu.se" TargetMode="Externa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papers.ssrn.com/sol3/papers.cfm?abstract_id=3171204"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s>
</file>

<file path=word/_rels/footnotes.xml.rels><?xml version="1.0" encoding="UTF-8" standalone="yes"?>
<Relationships xmlns="http://schemas.openxmlformats.org/package/2006/relationships"><Relationship Id="rId1" Type="http://schemas.openxmlformats.org/officeDocument/2006/relationships/hyperlink" Target="http://data.bitcoinity.org/markets/volume/30d?c=e\&amp;t=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82A32-D5C7-4870-B6FE-F99F48B77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3385</Words>
  <Characters>19295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Axel Hedström</dc:creator>
  <cp:keywords/>
  <dc:description/>
  <cp:lastModifiedBy>Timothy Wright</cp:lastModifiedBy>
  <cp:revision>2</cp:revision>
  <dcterms:created xsi:type="dcterms:W3CDTF">2020-10-15T15:17:00Z</dcterms:created>
  <dcterms:modified xsi:type="dcterms:W3CDTF">2020-10-15T15:17:00Z</dcterms:modified>
</cp:coreProperties>
</file>