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375D7" w14:textId="77777777" w:rsidR="00B60E59" w:rsidRDefault="00B60E59" w:rsidP="00B60E59">
      <w:pPr>
        <w:spacing w:line="480" w:lineRule="auto"/>
        <w:rPr>
          <w:b/>
          <w:bCs/>
          <w:sz w:val="24"/>
          <w:szCs w:val="24"/>
        </w:rPr>
      </w:pPr>
      <w:bookmarkStart w:id="0" w:name="_Hlk45876228"/>
      <w:bookmarkStart w:id="1" w:name="_GoBack"/>
      <w:bookmarkEnd w:id="1"/>
      <w:r>
        <w:rPr>
          <w:b/>
          <w:bCs/>
          <w:sz w:val="24"/>
          <w:szCs w:val="24"/>
        </w:rPr>
        <w:t xml:space="preserve">Ileal </w:t>
      </w:r>
      <w:r w:rsidRPr="00BB3681">
        <w:rPr>
          <w:b/>
          <w:bCs/>
          <w:sz w:val="24"/>
          <w:szCs w:val="24"/>
        </w:rPr>
        <w:t xml:space="preserve">transcriptomic analysis </w:t>
      </w:r>
      <w:r>
        <w:rPr>
          <w:b/>
          <w:bCs/>
          <w:sz w:val="24"/>
          <w:szCs w:val="24"/>
        </w:rPr>
        <w:t>in</w:t>
      </w:r>
      <w:r w:rsidRPr="00BB3681">
        <w:rPr>
          <w:b/>
          <w:bCs/>
          <w:sz w:val="24"/>
          <w:szCs w:val="24"/>
        </w:rPr>
        <w:t xml:space="preserve"> paediatric Crohn’s disease reveals </w:t>
      </w:r>
      <w:r w:rsidRPr="00271CED">
        <w:rPr>
          <w:b/>
          <w:bCs/>
          <w:i/>
          <w:iCs/>
          <w:sz w:val="24"/>
          <w:szCs w:val="24"/>
        </w:rPr>
        <w:t>IL17</w:t>
      </w:r>
      <w:r>
        <w:rPr>
          <w:b/>
          <w:bCs/>
          <w:i/>
          <w:iCs/>
          <w:sz w:val="24"/>
          <w:szCs w:val="24"/>
        </w:rPr>
        <w:t>-</w:t>
      </w:r>
      <w:r w:rsidRPr="00271CED">
        <w:t xml:space="preserve"> </w:t>
      </w:r>
      <w:r>
        <w:rPr>
          <w:b/>
          <w:bCs/>
          <w:sz w:val="24"/>
          <w:szCs w:val="24"/>
        </w:rPr>
        <w:t xml:space="preserve">and </w:t>
      </w:r>
      <w:r>
        <w:rPr>
          <w:b/>
          <w:bCs/>
          <w:i/>
          <w:iCs/>
          <w:sz w:val="24"/>
          <w:szCs w:val="24"/>
        </w:rPr>
        <w:t>NOD-</w:t>
      </w:r>
      <w:r w:rsidRPr="00271CED">
        <w:rPr>
          <w:b/>
          <w:bCs/>
          <w:sz w:val="24"/>
          <w:szCs w:val="24"/>
        </w:rPr>
        <w:t>signalling</w:t>
      </w:r>
      <w:r>
        <w:rPr>
          <w:b/>
          <w:bCs/>
          <w:i/>
          <w:iCs/>
          <w:sz w:val="24"/>
          <w:szCs w:val="24"/>
        </w:rPr>
        <w:t xml:space="preserve"> </w:t>
      </w:r>
      <w:r>
        <w:rPr>
          <w:b/>
          <w:bCs/>
          <w:sz w:val="24"/>
          <w:szCs w:val="24"/>
        </w:rPr>
        <w:t>expression</w:t>
      </w:r>
      <w:r w:rsidRPr="00BB3681">
        <w:rPr>
          <w:b/>
          <w:bCs/>
          <w:sz w:val="24"/>
          <w:szCs w:val="24"/>
        </w:rPr>
        <w:t xml:space="preserve"> signature</w:t>
      </w:r>
      <w:r>
        <w:rPr>
          <w:b/>
          <w:bCs/>
          <w:sz w:val="24"/>
          <w:szCs w:val="24"/>
        </w:rPr>
        <w:t>s</w:t>
      </w:r>
      <w:r w:rsidRPr="00BB3681">
        <w:rPr>
          <w:b/>
          <w:bCs/>
          <w:sz w:val="24"/>
          <w:szCs w:val="24"/>
        </w:rPr>
        <w:t xml:space="preserve"> in treatment-naïve patients and identifies </w:t>
      </w:r>
      <w:r>
        <w:rPr>
          <w:b/>
          <w:bCs/>
          <w:sz w:val="24"/>
          <w:szCs w:val="24"/>
        </w:rPr>
        <w:t>epithelial cells driving differentially expressed genes</w:t>
      </w:r>
      <w:r w:rsidRPr="00BB3681">
        <w:rPr>
          <w:b/>
          <w:bCs/>
          <w:sz w:val="24"/>
          <w:szCs w:val="24"/>
        </w:rPr>
        <w:t xml:space="preserve"> </w:t>
      </w:r>
    </w:p>
    <w:bookmarkEnd w:id="0"/>
    <w:p w14:paraId="27ACA78D" w14:textId="77777777" w:rsidR="00B60E59" w:rsidRPr="00F7115C" w:rsidRDefault="00B60E59" w:rsidP="00B60E59">
      <w:pPr>
        <w:spacing w:line="480" w:lineRule="auto"/>
        <w:rPr>
          <w:b/>
          <w:bCs/>
          <w:sz w:val="24"/>
          <w:szCs w:val="24"/>
        </w:rPr>
      </w:pPr>
      <w:r>
        <w:rPr>
          <w:b/>
          <w:bCs/>
          <w:i/>
          <w:iCs/>
          <w:sz w:val="24"/>
          <w:szCs w:val="24"/>
        </w:rPr>
        <w:t>Ileal epithelium drives IL17-signalling in Crohn’s disease</w:t>
      </w:r>
    </w:p>
    <w:p w14:paraId="25A49C06" w14:textId="77777777" w:rsidR="00B60E59" w:rsidRPr="003912AF" w:rsidRDefault="00B60E59" w:rsidP="00B60E59">
      <w:pPr>
        <w:spacing w:line="480" w:lineRule="auto"/>
      </w:pPr>
      <w:r w:rsidRPr="003912AF">
        <w:t>James J Ashton</w:t>
      </w:r>
      <w:r w:rsidRPr="009C70E7">
        <w:rPr>
          <w:vertAlign w:val="superscript"/>
        </w:rPr>
        <w:t>1,2</w:t>
      </w:r>
      <w:r w:rsidRPr="003912AF">
        <w:t>, Konstantinos Boukas</w:t>
      </w:r>
      <w:r w:rsidRPr="009C70E7">
        <w:rPr>
          <w:vertAlign w:val="superscript"/>
        </w:rPr>
        <w:t>3</w:t>
      </w:r>
      <w:r w:rsidRPr="003912AF">
        <w:t xml:space="preserve">, </w:t>
      </w:r>
      <w:r>
        <w:t>James Davies</w:t>
      </w:r>
      <w:r w:rsidRPr="009C70E7">
        <w:rPr>
          <w:vertAlign w:val="superscript"/>
        </w:rPr>
        <w:t>4</w:t>
      </w:r>
      <w:r>
        <w:t xml:space="preserve">, </w:t>
      </w:r>
      <w:r w:rsidRPr="003912AF">
        <w:t>Imogen S Stafford</w:t>
      </w:r>
      <w:r w:rsidRPr="009C70E7">
        <w:rPr>
          <w:vertAlign w:val="superscript"/>
        </w:rPr>
        <w:t>1,5</w:t>
      </w:r>
      <w:r w:rsidRPr="003912AF">
        <w:t xml:space="preserve">, </w:t>
      </w:r>
      <w:r>
        <w:t>Andres F. Vallejo</w:t>
      </w:r>
      <w:r w:rsidRPr="009C70E7">
        <w:rPr>
          <w:vertAlign w:val="superscript"/>
        </w:rPr>
        <w:t>4</w:t>
      </w:r>
      <w:r>
        <w:t xml:space="preserve">, </w:t>
      </w:r>
      <w:r w:rsidRPr="003912AF">
        <w:t>Rachel Haggarty</w:t>
      </w:r>
      <w:r w:rsidRPr="009C70E7">
        <w:rPr>
          <w:vertAlign w:val="superscript"/>
        </w:rPr>
        <w:t>6</w:t>
      </w:r>
      <w:r w:rsidRPr="003912AF">
        <w:t>, Tracy AF Coelho</w:t>
      </w:r>
      <w:r w:rsidRPr="009C70E7">
        <w:rPr>
          <w:vertAlign w:val="superscript"/>
        </w:rPr>
        <w:t>2</w:t>
      </w:r>
      <w:r w:rsidRPr="003912AF">
        <w:t>, Akshay Batra</w:t>
      </w:r>
      <w:r w:rsidRPr="009C70E7">
        <w:rPr>
          <w:vertAlign w:val="superscript"/>
        </w:rPr>
        <w:t>2</w:t>
      </w:r>
      <w:r w:rsidRPr="003912AF">
        <w:t>, Nadeem A Afzal</w:t>
      </w:r>
      <w:r w:rsidRPr="009C70E7">
        <w:rPr>
          <w:vertAlign w:val="superscript"/>
        </w:rPr>
        <w:t>2</w:t>
      </w:r>
      <w:r w:rsidRPr="003912AF">
        <w:t xml:space="preserve">, </w:t>
      </w:r>
      <w:r>
        <w:t>Bhumita Vadgama</w:t>
      </w:r>
      <w:r w:rsidRPr="009C70E7">
        <w:rPr>
          <w:vertAlign w:val="superscript"/>
        </w:rPr>
        <w:t>7</w:t>
      </w:r>
      <w:r>
        <w:t>, Anthony P. Williams</w:t>
      </w:r>
      <w:r w:rsidRPr="009C70E7">
        <w:rPr>
          <w:vertAlign w:val="superscript"/>
        </w:rPr>
        <w:t>3</w:t>
      </w:r>
      <w:r>
        <w:rPr>
          <w:vertAlign w:val="superscript"/>
        </w:rPr>
        <w:t>,5</w:t>
      </w:r>
      <w:r>
        <w:t xml:space="preserve">, </w:t>
      </w:r>
      <w:r w:rsidRPr="003912AF">
        <w:t>R Mark Beattie</w:t>
      </w:r>
      <w:r w:rsidRPr="009C70E7">
        <w:rPr>
          <w:vertAlign w:val="superscript"/>
        </w:rPr>
        <w:t>2</w:t>
      </w:r>
      <w:r>
        <w:t>,</w:t>
      </w:r>
      <w:r w:rsidRPr="003912AF">
        <w:t xml:space="preserve"> </w:t>
      </w:r>
      <w:r>
        <w:t>Marta E Polak</w:t>
      </w:r>
      <w:r w:rsidRPr="009C70E7">
        <w:rPr>
          <w:vertAlign w:val="superscript"/>
        </w:rPr>
        <w:t>4,</w:t>
      </w:r>
      <w:r>
        <w:rPr>
          <w:vertAlign w:val="superscript"/>
        </w:rPr>
        <w:t>8</w:t>
      </w:r>
      <w:r>
        <w:t xml:space="preserve">, </w:t>
      </w:r>
      <w:r w:rsidRPr="003912AF">
        <w:t>and Sarah Ennis</w:t>
      </w:r>
      <w:r w:rsidRPr="009C70E7">
        <w:rPr>
          <w:vertAlign w:val="superscript"/>
        </w:rPr>
        <w:t>1</w:t>
      </w:r>
      <w:r w:rsidRPr="003912AF">
        <w:t xml:space="preserve"> </w:t>
      </w:r>
    </w:p>
    <w:p w14:paraId="370256D1" w14:textId="77777777" w:rsidR="00B60E59" w:rsidRPr="003912AF" w:rsidRDefault="00B60E59" w:rsidP="00B60E59">
      <w:pPr>
        <w:pStyle w:val="ListParagraph"/>
        <w:numPr>
          <w:ilvl w:val="0"/>
          <w:numId w:val="1"/>
        </w:numPr>
        <w:spacing w:line="480" w:lineRule="auto"/>
        <w:rPr>
          <w:rFonts w:ascii="Calibri" w:hAnsi="Calibri" w:cs="Calibri"/>
        </w:rPr>
      </w:pPr>
      <w:r w:rsidRPr="003912AF">
        <w:rPr>
          <w:rFonts w:ascii="Calibri" w:hAnsi="Calibri" w:cs="Calibri"/>
          <w:noProof/>
        </w:rPr>
        <w:t>Department of Human Genetics and Genomic Medicine, University of Southampton, Southampton, UK</w:t>
      </w:r>
    </w:p>
    <w:p w14:paraId="6FC95216" w14:textId="77777777" w:rsidR="00B60E59" w:rsidRPr="003912AF" w:rsidRDefault="00B60E59" w:rsidP="00B60E59">
      <w:pPr>
        <w:pStyle w:val="ListParagraph"/>
        <w:numPr>
          <w:ilvl w:val="0"/>
          <w:numId w:val="1"/>
        </w:numPr>
        <w:spacing w:line="480" w:lineRule="auto"/>
        <w:rPr>
          <w:rFonts w:ascii="Calibri" w:hAnsi="Calibri" w:cs="Calibri"/>
        </w:rPr>
      </w:pPr>
      <w:r w:rsidRPr="003912AF">
        <w:rPr>
          <w:rFonts w:ascii="Calibri" w:hAnsi="Calibri" w:cs="Calibri"/>
        </w:rPr>
        <w:t>Department of Paediatric Gastroenterology, Southampton Children’s Hospital, Southampton, UK</w:t>
      </w:r>
    </w:p>
    <w:p w14:paraId="195EFEBF" w14:textId="77777777" w:rsidR="00B60E59" w:rsidRDefault="00B60E59" w:rsidP="00B60E59">
      <w:pPr>
        <w:pStyle w:val="ListParagraph"/>
        <w:numPr>
          <w:ilvl w:val="0"/>
          <w:numId w:val="1"/>
        </w:numPr>
        <w:spacing w:line="480" w:lineRule="auto"/>
        <w:rPr>
          <w:rFonts w:ascii="Calibri" w:hAnsi="Calibri" w:cs="Calibri"/>
        </w:rPr>
      </w:pPr>
      <w:r w:rsidRPr="002B4108">
        <w:rPr>
          <w:rFonts w:ascii="Calibri" w:hAnsi="Calibri" w:cs="Calibri"/>
        </w:rPr>
        <w:t>Wessex Investigational Sciences Hub, University of Southampton Faculty of Medicine, Southampton General Hospital, Southampton, UK</w:t>
      </w:r>
    </w:p>
    <w:p w14:paraId="6C5F9676" w14:textId="77777777" w:rsidR="00B60E59" w:rsidRPr="003912AF" w:rsidRDefault="00B60E59" w:rsidP="00B60E59">
      <w:pPr>
        <w:pStyle w:val="ListParagraph"/>
        <w:numPr>
          <w:ilvl w:val="0"/>
          <w:numId w:val="1"/>
        </w:numPr>
        <w:spacing w:line="480" w:lineRule="auto"/>
        <w:rPr>
          <w:rFonts w:ascii="Calibri" w:hAnsi="Calibri" w:cs="Calibri"/>
        </w:rPr>
      </w:pPr>
      <w:r>
        <w:t xml:space="preserve">Clinical and Experimental Sciences, Sir Henry </w:t>
      </w:r>
      <w:proofErr w:type="spellStart"/>
      <w:r>
        <w:t>Wellcome</w:t>
      </w:r>
      <w:proofErr w:type="spellEnd"/>
      <w:r>
        <w:t xml:space="preserve"> Laboratories, Faculty of Medicine, University of Southampton, Southampton, UK</w:t>
      </w:r>
    </w:p>
    <w:p w14:paraId="2A1C2C19" w14:textId="77777777" w:rsidR="00B60E59" w:rsidRPr="003912AF" w:rsidRDefault="00B60E59" w:rsidP="00B60E59">
      <w:pPr>
        <w:pStyle w:val="ListParagraph"/>
        <w:numPr>
          <w:ilvl w:val="0"/>
          <w:numId w:val="1"/>
        </w:numPr>
        <w:spacing w:line="480" w:lineRule="auto"/>
        <w:rPr>
          <w:rFonts w:ascii="Calibri" w:hAnsi="Calibri" w:cs="Calibri"/>
        </w:rPr>
      </w:pPr>
      <w:r w:rsidRPr="003912AF">
        <w:rPr>
          <w:rFonts w:ascii="Calibri" w:hAnsi="Calibri" w:cs="Calibri"/>
        </w:rPr>
        <w:t>Institute for Life Sciences, University of Southampton, Southampton, UK</w:t>
      </w:r>
    </w:p>
    <w:p w14:paraId="15D47F0B" w14:textId="77777777" w:rsidR="00B60E59" w:rsidRDefault="00B60E59" w:rsidP="00B60E59">
      <w:pPr>
        <w:pStyle w:val="ListParagraph"/>
        <w:numPr>
          <w:ilvl w:val="0"/>
          <w:numId w:val="1"/>
        </w:numPr>
        <w:spacing w:line="480" w:lineRule="auto"/>
        <w:rPr>
          <w:rFonts w:ascii="Calibri" w:hAnsi="Calibri" w:cs="Calibri"/>
        </w:rPr>
      </w:pPr>
      <w:r w:rsidRPr="003912AF">
        <w:rPr>
          <w:rFonts w:ascii="Calibri" w:hAnsi="Calibri" w:cs="Calibri"/>
        </w:rPr>
        <w:t>NIHR Southampton Biomedical Research Centre, University Hospital Southampton, Southampton, UK</w:t>
      </w:r>
    </w:p>
    <w:p w14:paraId="141A992C" w14:textId="77777777" w:rsidR="00B60E59" w:rsidRPr="00E902FE" w:rsidRDefault="00B60E59" w:rsidP="00B60E59">
      <w:pPr>
        <w:pStyle w:val="ListParagraph"/>
        <w:numPr>
          <w:ilvl w:val="0"/>
          <w:numId w:val="1"/>
        </w:numPr>
        <w:spacing w:line="480" w:lineRule="auto"/>
      </w:pPr>
      <w:r>
        <w:t xml:space="preserve">Department of Paediatric Histopathology, Southampton Children’s Hospital, Southampton, UK </w:t>
      </w:r>
    </w:p>
    <w:p w14:paraId="5B72EE19" w14:textId="77777777" w:rsidR="00B60E59" w:rsidRPr="00261AC9" w:rsidRDefault="00B60E59" w:rsidP="00B60E59">
      <w:pPr>
        <w:pStyle w:val="ListParagraph"/>
        <w:numPr>
          <w:ilvl w:val="0"/>
          <w:numId w:val="1"/>
        </w:numPr>
        <w:spacing w:line="480" w:lineRule="auto"/>
        <w:rPr>
          <w:rFonts w:ascii="Calibri" w:hAnsi="Calibri" w:cs="Calibri"/>
        </w:rPr>
      </w:pPr>
      <w:r>
        <w:t>Institute for Life Sciences, University of Southampton, Southampton, UK</w:t>
      </w:r>
    </w:p>
    <w:p w14:paraId="63250900" w14:textId="77777777" w:rsidR="00B60E59" w:rsidRDefault="00B60E59" w:rsidP="00B60E59">
      <w:pPr>
        <w:spacing w:line="480" w:lineRule="auto"/>
      </w:pPr>
    </w:p>
    <w:p w14:paraId="1ED72FA0" w14:textId="77777777" w:rsidR="00B60E59" w:rsidRDefault="00B60E59" w:rsidP="00B60E59">
      <w:pPr>
        <w:spacing w:line="480" w:lineRule="auto"/>
      </w:pPr>
    </w:p>
    <w:p w14:paraId="404AD2CF" w14:textId="77777777" w:rsidR="00B60E59" w:rsidRDefault="00B60E59" w:rsidP="00B60E59">
      <w:pPr>
        <w:spacing w:line="480" w:lineRule="auto"/>
      </w:pPr>
    </w:p>
    <w:p w14:paraId="11862632" w14:textId="77777777" w:rsidR="00B60E59" w:rsidRDefault="00B60E59" w:rsidP="00B60E59">
      <w:pPr>
        <w:spacing w:line="480" w:lineRule="auto"/>
      </w:pPr>
    </w:p>
    <w:p w14:paraId="6273FB38" w14:textId="77777777" w:rsidR="00B60E59" w:rsidRDefault="00B60E59" w:rsidP="00B60E59">
      <w:pPr>
        <w:spacing w:line="480" w:lineRule="auto"/>
      </w:pPr>
      <w:r>
        <w:lastRenderedPageBreak/>
        <w:t>Correspondence to-</w:t>
      </w:r>
    </w:p>
    <w:p w14:paraId="16796FE2" w14:textId="77777777" w:rsidR="00B60E59" w:rsidRDefault="00B60E59" w:rsidP="00B60E59">
      <w:pPr>
        <w:spacing w:line="240" w:lineRule="auto"/>
      </w:pPr>
      <w:r>
        <w:t>Professor Sarah Ennis</w:t>
      </w:r>
    </w:p>
    <w:p w14:paraId="4BC5F117" w14:textId="77777777" w:rsidR="00B60E59" w:rsidRDefault="00B60E59" w:rsidP="00B60E59">
      <w:pPr>
        <w:spacing w:line="240" w:lineRule="auto"/>
      </w:pPr>
      <w:r>
        <w:t>Human Genetics &amp; Genomic Medicine</w:t>
      </w:r>
    </w:p>
    <w:p w14:paraId="03BEDDD8" w14:textId="77777777" w:rsidR="00B60E59" w:rsidRDefault="00B60E59" w:rsidP="00B60E59">
      <w:pPr>
        <w:spacing w:line="240" w:lineRule="auto"/>
      </w:pPr>
      <w:r>
        <w:t>University of Southampton</w:t>
      </w:r>
    </w:p>
    <w:p w14:paraId="4C515CD1" w14:textId="77777777" w:rsidR="00B60E59" w:rsidRDefault="00B60E59" w:rsidP="00B60E59">
      <w:pPr>
        <w:spacing w:line="240" w:lineRule="auto"/>
      </w:pPr>
      <w:r>
        <w:t>Duthie Building (</w:t>
      </w:r>
      <w:proofErr w:type="spellStart"/>
      <w:r>
        <w:t>Mailpoint</w:t>
      </w:r>
      <w:proofErr w:type="spellEnd"/>
      <w:r>
        <w:t xml:space="preserve"> 808)</w:t>
      </w:r>
    </w:p>
    <w:p w14:paraId="6862A45A" w14:textId="77777777" w:rsidR="00B60E59" w:rsidRDefault="00B60E59" w:rsidP="00B60E59">
      <w:pPr>
        <w:spacing w:line="240" w:lineRule="auto"/>
      </w:pPr>
      <w:r>
        <w:t>Southampton General Hospital</w:t>
      </w:r>
    </w:p>
    <w:p w14:paraId="2B47F626" w14:textId="77777777" w:rsidR="00B60E59" w:rsidRDefault="00B60E59" w:rsidP="00B60E59">
      <w:pPr>
        <w:spacing w:line="240" w:lineRule="auto"/>
      </w:pPr>
      <w:r>
        <w:t>Southampton</w:t>
      </w:r>
    </w:p>
    <w:p w14:paraId="02BAE766" w14:textId="77777777" w:rsidR="00B60E59" w:rsidRDefault="00B60E59" w:rsidP="00B60E59">
      <w:pPr>
        <w:spacing w:line="480" w:lineRule="auto"/>
      </w:pPr>
      <w:r>
        <w:t>SO16 6YD</w:t>
      </w:r>
    </w:p>
    <w:p w14:paraId="574BF47E" w14:textId="77777777" w:rsidR="00B60E59" w:rsidRDefault="00B60E59" w:rsidP="00B60E59">
      <w:pPr>
        <w:spacing w:line="480" w:lineRule="auto"/>
      </w:pPr>
      <w:r>
        <w:t>Tel: +44 (0)23 8079 8614</w:t>
      </w:r>
    </w:p>
    <w:p w14:paraId="17EF67B6" w14:textId="77777777" w:rsidR="00B60E59" w:rsidRDefault="00F53136" w:rsidP="00B60E59">
      <w:pPr>
        <w:spacing w:line="480" w:lineRule="auto"/>
      </w:pPr>
      <w:hyperlink r:id="rId8" w:history="1">
        <w:r w:rsidR="00B60E59" w:rsidRPr="00D0035C">
          <w:rPr>
            <w:rStyle w:val="Hyperlink"/>
          </w:rPr>
          <w:t>s.ennis@southampton.ac.uk</w:t>
        </w:r>
      </w:hyperlink>
    </w:p>
    <w:p w14:paraId="566A64BE" w14:textId="77777777" w:rsidR="00B60E59" w:rsidRDefault="00B60E59" w:rsidP="00B60E59">
      <w:pPr>
        <w:spacing w:line="480" w:lineRule="auto"/>
        <w:rPr>
          <w:b/>
          <w:bCs/>
          <w:u w:val="single"/>
        </w:rPr>
      </w:pPr>
      <w:r w:rsidRPr="00261AC9">
        <w:rPr>
          <w:b/>
          <w:bCs/>
          <w:u w:val="single"/>
        </w:rPr>
        <w:t>Conflicts of interest</w:t>
      </w:r>
    </w:p>
    <w:p w14:paraId="4AA7ACA2" w14:textId="77777777" w:rsidR="00B60E59" w:rsidRPr="00261AC9" w:rsidRDefault="00B60E59" w:rsidP="00B60E59">
      <w:pPr>
        <w:spacing w:line="480" w:lineRule="auto"/>
      </w:pPr>
      <w:r>
        <w:t>The authors declare no conflicts of interest</w:t>
      </w:r>
    </w:p>
    <w:p w14:paraId="1D969400" w14:textId="77777777" w:rsidR="00B60E59" w:rsidRPr="00261AC9" w:rsidRDefault="00B60E59" w:rsidP="00B60E59">
      <w:pPr>
        <w:spacing w:line="480" w:lineRule="auto"/>
        <w:rPr>
          <w:b/>
          <w:bCs/>
          <w:u w:val="single"/>
        </w:rPr>
      </w:pPr>
      <w:r w:rsidRPr="00261AC9">
        <w:rPr>
          <w:b/>
          <w:bCs/>
          <w:u w:val="single"/>
        </w:rPr>
        <w:t xml:space="preserve">Author contributions </w:t>
      </w:r>
    </w:p>
    <w:p w14:paraId="34B892FA" w14:textId="77777777" w:rsidR="00B60E59" w:rsidRDefault="00B60E59" w:rsidP="00B60E59">
      <w:pPr>
        <w:spacing w:line="480" w:lineRule="auto"/>
      </w:pPr>
      <w:r>
        <w:t xml:space="preserve">JJA, RMB and SE conceived the study. Patients were recruited by JJA and RH. Patient samples were acquired by JJA, RH, TAC, AB, NAA and RMB. Samples were processed and sequenced by JJA, KB and JD. Analyses were performed by JJA, KB, JD and ISS, under the guidance of AFV, MP, AW and SE. BV performed histological analysis for all patients. JJA wrote the manuscript with help from all authors. All authors approved the final manuscript prior to submission. </w:t>
      </w:r>
    </w:p>
    <w:p w14:paraId="27EB4588" w14:textId="77777777" w:rsidR="00B60E59" w:rsidRDefault="00B60E59" w:rsidP="00B60E59">
      <w:pPr>
        <w:spacing w:line="480" w:lineRule="auto"/>
      </w:pPr>
      <w:r>
        <w:t>Abstract word count- 248</w:t>
      </w:r>
    </w:p>
    <w:p w14:paraId="07D73B8A" w14:textId="77777777" w:rsidR="00B60E59" w:rsidRPr="003912AF" w:rsidRDefault="00B60E59" w:rsidP="00B60E59">
      <w:pPr>
        <w:spacing w:line="480" w:lineRule="auto"/>
      </w:pPr>
      <w:r>
        <w:t>Word count- 6389</w:t>
      </w:r>
    </w:p>
    <w:p w14:paraId="6713DB65" w14:textId="77777777" w:rsidR="00B60E59" w:rsidRPr="00531A0F" w:rsidRDefault="00B60E59" w:rsidP="00B60E59">
      <w:pPr>
        <w:spacing w:line="480" w:lineRule="auto"/>
        <w:rPr>
          <w:b/>
          <w:bCs/>
          <w:u w:val="single"/>
        </w:rPr>
      </w:pPr>
      <w:r w:rsidRPr="00531A0F">
        <w:rPr>
          <w:b/>
          <w:bCs/>
          <w:u w:val="single"/>
        </w:rPr>
        <w:t>Supplementary data</w:t>
      </w:r>
    </w:p>
    <w:p w14:paraId="7FD4AFB8" w14:textId="77777777" w:rsidR="00B60E59" w:rsidRPr="003912AF" w:rsidRDefault="00B60E59" w:rsidP="00B60E59">
      <w:pPr>
        <w:spacing w:line="480" w:lineRule="auto"/>
      </w:pPr>
      <w:r>
        <w:t xml:space="preserve">Supplementary data can be found at the following link- </w:t>
      </w:r>
      <w:hyperlink r:id="rId9" w:history="1">
        <w:r w:rsidRPr="00393071">
          <w:rPr>
            <w:rStyle w:val="Hyperlink"/>
          </w:rPr>
          <w:t>https://www.dropbox.com/sh/h84y1qcc35j6as4/AACxbGTQ263y5M8NrQLuk6O1a?dl=0</w:t>
        </w:r>
      </w:hyperlink>
      <w:r>
        <w:t xml:space="preserve"> </w:t>
      </w:r>
    </w:p>
    <w:p w14:paraId="1D66139E" w14:textId="77777777" w:rsidR="00B60E59" w:rsidRDefault="00B60E59" w:rsidP="00B60E59">
      <w:pPr>
        <w:spacing w:line="480" w:lineRule="auto"/>
        <w:rPr>
          <w:b/>
          <w:bCs/>
          <w:u w:val="single"/>
        </w:rPr>
      </w:pPr>
    </w:p>
    <w:p w14:paraId="700B4BEB" w14:textId="77777777" w:rsidR="00B60E59" w:rsidRPr="00531A0F" w:rsidRDefault="00B60E59" w:rsidP="00B60E59">
      <w:pPr>
        <w:spacing w:line="480" w:lineRule="auto"/>
        <w:rPr>
          <w:b/>
          <w:bCs/>
          <w:u w:val="single"/>
        </w:rPr>
      </w:pPr>
      <w:r w:rsidRPr="00531A0F">
        <w:rPr>
          <w:b/>
          <w:bCs/>
          <w:u w:val="single"/>
        </w:rPr>
        <w:lastRenderedPageBreak/>
        <w:t>Data Availability Statement</w:t>
      </w:r>
    </w:p>
    <w:p w14:paraId="7C6C670F" w14:textId="77777777" w:rsidR="00B60E59" w:rsidRDefault="00B60E59" w:rsidP="00B60E59">
      <w:pPr>
        <w:spacing w:line="480" w:lineRule="auto"/>
      </w:pPr>
      <w:r>
        <w:t xml:space="preserve">All data generated in this project are available via the GEO repository- </w:t>
      </w:r>
      <w:r w:rsidRPr="001A1C30">
        <w:rPr>
          <w:lang w:val="en-US"/>
        </w:rPr>
        <w:t>GSE153974</w:t>
      </w:r>
      <w:r>
        <w:rPr>
          <w:lang w:val="en-US"/>
        </w:rPr>
        <w:t xml:space="preserve"> and </w:t>
      </w:r>
      <w:r w:rsidRPr="00A55BF9">
        <w:t>GSE153866</w:t>
      </w:r>
    </w:p>
    <w:p w14:paraId="65BAB1D8" w14:textId="77777777" w:rsidR="00B60E59" w:rsidRDefault="00B60E59" w:rsidP="00B60E59">
      <w:pPr>
        <w:spacing w:line="480" w:lineRule="auto"/>
      </w:pPr>
    </w:p>
    <w:p w14:paraId="46458E00" w14:textId="77777777" w:rsidR="00B60E59" w:rsidRDefault="00B60E59" w:rsidP="00B60E59">
      <w:pPr>
        <w:spacing w:line="480" w:lineRule="auto"/>
      </w:pPr>
    </w:p>
    <w:p w14:paraId="75656A5E" w14:textId="77777777" w:rsidR="00B60E59" w:rsidRDefault="00B60E59" w:rsidP="00B60E59">
      <w:pPr>
        <w:spacing w:line="480" w:lineRule="auto"/>
      </w:pPr>
    </w:p>
    <w:p w14:paraId="4EAE8638" w14:textId="77777777" w:rsidR="00B60E59" w:rsidRDefault="00B60E59" w:rsidP="00B60E59">
      <w:pPr>
        <w:spacing w:line="480" w:lineRule="auto"/>
      </w:pPr>
    </w:p>
    <w:p w14:paraId="185FE5BE" w14:textId="77777777" w:rsidR="00B60E59" w:rsidRDefault="00B60E59" w:rsidP="00B60E59">
      <w:pPr>
        <w:spacing w:line="480" w:lineRule="auto"/>
      </w:pPr>
    </w:p>
    <w:p w14:paraId="31FD63DF" w14:textId="77777777" w:rsidR="00B60E59" w:rsidRDefault="00B60E59" w:rsidP="00B60E59">
      <w:pPr>
        <w:spacing w:line="480" w:lineRule="auto"/>
      </w:pPr>
    </w:p>
    <w:p w14:paraId="60ED1E2D" w14:textId="77777777" w:rsidR="00B60E59" w:rsidRDefault="00B60E59" w:rsidP="00B60E59">
      <w:pPr>
        <w:spacing w:line="480" w:lineRule="auto"/>
      </w:pPr>
    </w:p>
    <w:p w14:paraId="03AB9F16" w14:textId="77777777" w:rsidR="00B60E59" w:rsidRDefault="00B60E59" w:rsidP="00B60E59">
      <w:pPr>
        <w:spacing w:line="480" w:lineRule="auto"/>
      </w:pPr>
    </w:p>
    <w:p w14:paraId="6A02B055" w14:textId="77777777" w:rsidR="00B60E59" w:rsidRDefault="00B60E59" w:rsidP="00B60E59">
      <w:pPr>
        <w:spacing w:line="480" w:lineRule="auto"/>
      </w:pPr>
    </w:p>
    <w:p w14:paraId="0433A691" w14:textId="77777777" w:rsidR="00B60E59" w:rsidRDefault="00B60E59" w:rsidP="00B60E59">
      <w:pPr>
        <w:spacing w:line="480" w:lineRule="auto"/>
      </w:pPr>
    </w:p>
    <w:p w14:paraId="4C89BB8D" w14:textId="77777777" w:rsidR="00B60E59" w:rsidRDefault="00B60E59" w:rsidP="00B60E59">
      <w:pPr>
        <w:spacing w:line="480" w:lineRule="auto"/>
      </w:pPr>
    </w:p>
    <w:p w14:paraId="5AECF6E0" w14:textId="77777777" w:rsidR="00B60E59" w:rsidRDefault="00B60E59" w:rsidP="00B60E59">
      <w:pPr>
        <w:spacing w:line="480" w:lineRule="auto"/>
      </w:pPr>
    </w:p>
    <w:p w14:paraId="4FC7C35E" w14:textId="77777777" w:rsidR="00B60E59" w:rsidRDefault="00B60E59" w:rsidP="00B60E59">
      <w:pPr>
        <w:spacing w:line="480" w:lineRule="auto"/>
      </w:pPr>
    </w:p>
    <w:p w14:paraId="3D9EDEBD" w14:textId="77777777" w:rsidR="00B60E59" w:rsidRDefault="00B60E59" w:rsidP="00B60E59">
      <w:pPr>
        <w:spacing w:line="480" w:lineRule="auto"/>
      </w:pPr>
    </w:p>
    <w:p w14:paraId="12D3E097" w14:textId="77777777" w:rsidR="00B60E59" w:rsidRDefault="00B60E59" w:rsidP="00B60E59">
      <w:pPr>
        <w:spacing w:line="480" w:lineRule="auto"/>
      </w:pPr>
    </w:p>
    <w:p w14:paraId="655BB1DB" w14:textId="77777777" w:rsidR="00B60E59" w:rsidRDefault="00B60E59" w:rsidP="00B60E59">
      <w:pPr>
        <w:spacing w:line="480" w:lineRule="auto"/>
      </w:pPr>
    </w:p>
    <w:p w14:paraId="09C316D2" w14:textId="77777777" w:rsidR="00B60E59" w:rsidRDefault="00B60E59" w:rsidP="00B60E59">
      <w:pPr>
        <w:spacing w:line="480" w:lineRule="auto"/>
      </w:pPr>
    </w:p>
    <w:p w14:paraId="1C4F3E39" w14:textId="77777777" w:rsidR="00B60E59" w:rsidRPr="003912AF" w:rsidRDefault="00B60E59" w:rsidP="00B60E59">
      <w:pPr>
        <w:spacing w:line="480" w:lineRule="auto"/>
      </w:pPr>
    </w:p>
    <w:p w14:paraId="2712D292" w14:textId="77777777" w:rsidR="00B60E59" w:rsidRPr="003912AF" w:rsidRDefault="00B60E59" w:rsidP="00B60E59">
      <w:pPr>
        <w:spacing w:line="480" w:lineRule="auto"/>
        <w:rPr>
          <w:b/>
          <w:bCs/>
          <w:u w:val="single"/>
        </w:rPr>
      </w:pPr>
      <w:r w:rsidRPr="003912AF">
        <w:rPr>
          <w:b/>
          <w:bCs/>
          <w:u w:val="single"/>
        </w:rPr>
        <w:lastRenderedPageBreak/>
        <w:t>Abstract</w:t>
      </w:r>
    </w:p>
    <w:p w14:paraId="1824F7EB" w14:textId="77777777" w:rsidR="00B60E59" w:rsidRPr="00133E0E" w:rsidRDefault="00B60E59" w:rsidP="00B60E59">
      <w:pPr>
        <w:spacing w:line="480" w:lineRule="auto"/>
      </w:pPr>
      <w:r w:rsidRPr="00B3313A">
        <w:rPr>
          <w:u w:val="single"/>
        </w:rPr>
        <w:t>Background/Aims</w:t>
      </w:r>
      <w:r>
        <w:rPr>
          <w:u w:val="single"/>
        </w:rPr>
        <w:t>-</w:t>
      </w:r>
      <w:r w:rsidRPr="003B618F">
        <w:t xml:space="preserve"> </w:t>
      </w:r>
      <w:r>
        <w:t>Crohn’s disease (CD) arises through host-environment interaction. Abnormal gene expression results from disturbed pathway activation or response to bacteria. W</w:t>
      </w:r>
      <w:r w:rsidRPr="003912AF">
        <w:t xml:space="preserve">e </w:t>
      </w:r>
      <w:r>
        <w:t>aimed to</w:t>
      </w:r>
      <w:r w:rsidRPr="003912AF">
        <w:t xml:space="preserve"> </w:t>
      </w:r>
      <w:r>
        <w:t>determine activated pathways and driving cell types in</w:t>
      </w:r>
      <w:r w:rsidRPr="003912AF">
        <w:t xml:space="preserve"> paediatric </w:t>
      </w:r>
      <w:r>
        <w:t>CD.</w:t>
      </w:r>
    </w:p>
    <w:p w14:paraId="5D47B3C8" w14:textId="77777777" w:rsidR="00B60E59" w:rsidRPr="00C0392C" w:rsidRDefault="00B60E59" w:rsidP="00B60E59">
      <w:pPr>
        <w:spacing w:line="480" w:lineRule="auto"/>
      </w:pPr>
      <w:r w:rsidRPr="00B3313A">
        <w:rPr>
          <w:u w:val="single"/>
        </w:rPr>
        <w:t>Methods</w:t>
      </w:r>
      <w:r>
        <w:rPr>
          <w:u w:val="single"/>
        </w:rPr>
        <w:t>-</w:t>
      </w:r>
      <w:r>
        <w:t xml:space="preserve"> We employed contemporary targeted autoimmune RNA sequencing, in parallel to single-cell sequencing, to ileal tissue derived from paediatric CD and controls. Weighted-gene-co-expression-network-analysis (WGCNA) was performed and differentially expressed genes (DEGs) were determined. We integrated clinical data to determine co-expression modules associated with outcomes.  </w:t>
      </w:r>
    </w:p>
    <w:p w14:paraId="22C8EF74" w14:textId="77777777" w:rsidR="00B60E59" w:rsidRDefault="00B60E59" w:rsidP="00B60E59">
      <w:pPr>
        <w:spacing w:line="480" w:lineRule="auto"/>
      </w:pPr>
      <w:r w:rsidRPr="00B3313A">
        <w:rPr>
          <w:u w:val="single"/>
        </w:rPr>
        <w:t>Results</w:t>
      </w:r>
      <w:r>
        <w:rPr>
          <w:u w:val="single"/>
        </w:rPr>
        <w:t>-</w:t>
      </w:r>
      <w:r w:rsidRPr="003B618F">
        <w:t xml:space="preserve"> </w:t>
      </w:r>
      <w:r>
        <w:t xml:space="preserve">Twenty-seven treatment-naive CD (TN-CD), 26 established-CD patients and 17 controls were included. WGCNA revealed </w:t>
      </w:r>
      <w:proofErr w:type="gramStart"/>
      <w:r>
        <w:t>a 31-gene signature characterising TN-CD patients</w:t>
      </w:r>
      <w:proofErr w:type="gramEnd"/>
      <w:r>
        <w:t xml:space="preserve">, but not established-CD, or controls. </w:t>
      </w:r>
      <w:r w:rsidRPr="003B618F">
        <w:t xml:space="preserve">The </w:t>
      </w:r>
      <w:r w:rsidRPr="003B618F">
        <w:rPr>
          <w:i/>
          <w:iCs/>
        </w:rPr>
        <w:t>CSF3R</w:t>
      </w:r>
      <w:r w:rsidRPr="003B618F">
        <w:t xml:space="preserve"> gene</w:t>
      </w:r>
      <w:r>
        <w:t xml:space="preserve"> is</w:t>
      </w:r>
      <w:r w:rsidRPr="003B618F">
        <w:t xml:space="preserve"> a hub within </w:t>
      </w:r>
      <w:r>
        <w:t>this</w:t>
      </w:r>
      <w:r w:rsidRPr="003B618F">
        <w:t xml:space="preserve"> module</w:t>
      </w:r>
      <w:r>
        <w:t xml:space="preserve"> and is key in</w:t>
      </w:r>
      <w:r w:rsidRPr="003B618F">
        <w:t xml:space="preserve"> </w:t>
      </w:r>
      <w:r>
        <w:t xml:space="preserve">neutrophil expansion and differentiation. </w:t>
      </w:r>
    </w:p>
    <w:p w14:paraId="1196E8EB" w14:textId="77777777" w:rsidR="00B60E59" w:rsidRDefault="00B60E59" w:rsidP="00B60E59">
      <w:pPr>
        <w:spacing w:line="480" w:lineRule="auto"/>
      </w:pPr>
      <w:r>
        <w:t>A</w:t>
      </w:r>
      <w:r w:rsidRPr="003B618F">
        <w:t>ntimicrobial genes</w:t>
      </w:r>
      <w:r>
        <w:t xml:space="preserve"> including</w:t>
      </w:r>
      <w:r w:rsidRPr="003B618F">
        <w:t xml:space="preserve"> </w:t>
      </w:r>
      <w:r w:rsidRPr="003B618F">
        <w:rPr>
          <w:i/>
          <w:iCs/>
        </w:rPr>
        <w:t>S100A12</w:t>
      </w:r>
      <w:r w:rsidRPr="003B618F">
        <w:t xml:space="preserve"> and</w:t>
      </w:r>
      <w:r>
        <w:t xml:space="preserve"> the calprotectin subunit</w:t>
      </w:r>
      <w:r w:rsidRPr="003B618F">
        <w:t xml:space="preserve"> </w:t>
      </w:r>
      <w:r w:rsidRPr="003B618F">
        <w:rPr>
          <w:i/>
          <w:iCs/>
        </w:rPr>
        <w:t>S100A9</w:t>
      </w:r>
      <w:r w:rsidRPr="003B618F">
        <w:t xml:space="preserve"> </w:t>
      </w:r>
      <w:r>
        <w:t>were</w:t>
      </w:r>
      <w:r w:rsidRPr="003B618F">
        <w:t xml:space="preserve"> significantly</w:t>
      </w:r>
      <w:r>
        <w:t xml:space="preserve"> </w:t>
      </w:r>
      <w:r w:rsidRPr="003B618F">
        <w:t xml:space="preserve">upregulated in </w:t>
      </w:r>
      <w:r>
        <w:t>TN CD compared to controls (p=2.61x10</w:t>
      </w:r>
      <w:r w:rsidRPr="00BB7F22">
        <w:rPr>
          <w:vertAlign w:val="superscript"/>
        </w:rPr>
        <w:t>-15</w:t>
      </w:r>
      <w:r>
        <w:rPr>
          <w:vertAlign w:val="superscript"/>
        </w:rPr>
        <w:t xml:space="preserve"> </w:t>
      </w:r>
      <w:r>
        <w:t>and p=9.13x10</w:t>
      </w:r>
      <w:r w:rsidRPr="00BB7F22">
        <w:rPr>
          <w:vertAlign w:val="superscript"/>
        </w:rPr>
        <w:t>-14</w:t>
      </w:r>
      <w:r>
        <w:t>,</w:t>
      </w:r>
      <w:r>
        <w:rPr>
          <w:vertAlign w:val="superscript"/>
        </w:rPr>
        <w:t xml:space="preserve"> </w:t>
      </w:r>
      <w:r>
        <w:t>respectively)</w:t>
      </w:r>
      <w:r w:rsidRPr="003B618F">
        <w:t xml:space="preserve"> </w:t>
      </w:r>
      <w:r>
        <w:t xml:space="preserve">and established-CD (both p=0.0055). Gene-enrichment analysis confirmed upregulation of the </w:t>
      </w:r>
      <w:r w:rsidRPr="007777DA">
        <w:t>IL17-</w:t>
      </w:r>
      <w:r>
        <w:t xml:space="preserve">, </w:t>
      </w:r>
      <w:r w:rsidRPr="007777DA">
        <w:t>NOD-</w:t>
      </w:r>
      <w:r>
        <w:t xml:space="preserve"> and Oncostatin-M-</w:t>
      </w:r>
      <w:r w:rsidRPr="007777DA">
        <w:t xml:space="preserve">signalling pathways </w:t>
      </w:r>
      <w:r>
        <w:t>in TN-CD patients, identified in b</w:t>
      </w:r>
      <w:r w:rsidRPr="007777DA">
        <w:t xml:space="preserve">oth </w:t>
      </w:r>
      <w:r>
        <w:t>WGCNA</w:t>
      </w:r>
      <w:r w:rsidRPr="007777DA">
        <w:t xml:space="preserve"> and </w:t>
      </w:r>
      <w:r>
        <w:t>DEG analyses</w:t>
      </w:r>
      <w:r w:rsidRPr="007777DA">
        <w:t xml:space="preserve">. </w:t>
      </w:r>
      <w:r>
        <w:t>An</w:t>
      </w:r>
      <w:r w:rsidRPr="007777DA">
        <w:t xml:space="preserve"> </w:t>
      </w:r>
      <w:r>
        <w:t xml:space="preserve">upregulated </w:t>
      </w:r>
      <w:r w:rsidRPr="007777DA">
        <w:t>gene</w:t>
      </w:r>
      <w:r>
        <w:t xml:space="preserve">-signature was enriched for transcripts promoting </w:t>
      </w:r>
      <w:r w:rsidRPr="007777DA">
        <w:t>Th17-cell differentiation</w:t>
      </w:r>
      <w:r>
        <w:t xml:space="preserve"> and correlated</w:t>
      </w:r>
      <w:r w:rsidRPr="007777DA">
        <w:t xml:space="preserve"> with prolonged time to relapse</w:t>
      </w:r>
      <w:r>
        <w:t xml:space="preserve"> (correlation-coefficient-0.36, p=0.07).</w:t>
      </w:r>
    </w:p>
    <w:p w14:paraId="6572468D" w14:textId="77777777" w:rsidR="00B60E59" w:rsidRPr="008D0FBC" w:rsidRDefault="00B60E59" w:rsidP="00B60E59">
      <w:pPr>
        <w:spacing w:line="480" w:lineRule="auto"/>
        <w:rPr>
          <w:i/>
          <w:iCs/>
          <w:u w:val="single"/>
        </w:rPr>
      </w:pPr>
      <w:r>
        <w:t>Single-cell sequencing of TN-CD patients identified s</w:t>
      </w:r>
      <w:r w:rsidRPr="007777DA">
        <w:t>pecialised epithelial cells driv</w:t>
      </w:r>
      <w:r>
        <w:t>ing</w:t>
      </w:r>
      <w:r w:rsidRPr="007777DA">
        <w:t xml:space="preserve"> differential expression of </w:t>
      </w:r>
      <w:r w:rsidRPr="007777DA">
        <w:rPr>
          <w:i/>
          <w:iCs/>
        </w:rPr>
        <w:t>S100A9</w:t>
      </w:r>
      <w:r>
        <w:t>.</w:t>
      </w:r>
      <w:r w:rsidRPr="007777DA">
        <w:t xml:space="preserve"> </w:t>
      </w:r>
      <w:r>
        <w:t>Cell groups, determined by single-cell gene-expression, demonstrated e</w:t>
      </w:r>
      <w:r w:rsidRPr="007777DA">
        <w:t>nrichment of I</w:t>
      </w:r>
      <w:r>
        <w:t>L</w:t>
      </w:r>
      <w:r w:rsidRPr="007777DA">
        <w:t>17-signalling in monocytes and epithelial cells</w:t>
      </w:r>
      <w:r>
        <w:t>.</w:t>
      </w:r>
      <w:r w:rsidRPr="008D0FBC">
        <w:rPr>
          <w:i/>
          <w:iCs/>
          <w:u w:val="single"/>
        </w:rPr>
        <w:t xml:space="preserve"> </w:t>
      </w:r>
    </w:p>
    <w:p w14:paraId="6C097E7D" w14:textId="77777777" w:rsidR="00B60E59" w:rsidRDefault="00B60E59" w:rsidP="00B60E59">
      <w:pPr>
        <w:spacing w:line="480" w:lineRule="auto"/>
      </w:pPr>
      <w:r w:rsidRPr="00B3313A">
        <w:rPr>
          <w:u w:val="single"/>
        </w:rPr>
        <w:lastRenderedPageBreak/>
        <w:t>Conclusion</w:t>
      </w:r>
      <w:r>
        <w:rPr>
          <w:u w:val="single"/>
        </w:rPr>
        <w:t>-</w:t>
      </w:r>
      <w:r w:rsidRPr="008758F5">
        <w:t xml:space="preserve"> </w:t>
      </w:r>
      <w:r>
        <w:t xml:space="preserve">Ileal tissue from treatment naïve paediatric patients is significantly upregulated for genes driving IL17-, NOD- and Oncostatin-M-signalling. This signal is driven by a distinct subset of epithelial cells expressing antimicrobial gene transcripts.  </w:t>
      </w:r>
    </w:p>
    <w:p w14:paraId="4346777F" w14:textId="77777777" w:rsidR="00B60E59" w:rsidRDefault="00B60E59" w:rsidP="00B60E59">
      <w:pPr>
        <w:spacing w:line="480" w:lineRule="auto"/>
      </w:pPr>
    </w:p>
    <w:p w14:paraId="0163272C" w14:textId="77777777" w:rsidR="00B60E59" w:rsidRDefault="00B60E59" w:rsidP="00B60E59">
      <w:pPr>
        <w:spacing w:line="480" w:lineRule="auto"/>
      </w:pPr>
    </w:p>
    <w:p w14:paraId="53E262E7" w14:textId="77777777" w:rsidR="00B60E59" w:rsidRDefault="00B60E59" w:rsidP="00B60E59">
      <w:pPr>
        <w:spacing w:line="480" w:lineRule="auto"/>
      </w:pPr>
    </w:p>
    <w:p w14:paraId="2EF9204C" w14:textId="77777777" w:rsidR="00B60E59" w:rsidRDefault="00B60E59" w:rsidP="00B60E59">
      <w:pPr>
        <w:spacing w:line="480" w:lineRule="auto"/>
      </w:pPr>
    </w:p>
    <w:p w14:paraId="2658C386" w14:textId="77777777" w:rsidR="00B60E59" w:rsidRDefault="00B60E59" w:rsidP="00B60E59">
      <w:pPr>
        <w:spacing w:line="480" w:lineRule="auto"/>
      </w:pPr>
    </w:p>
    <w:p w14:paraId="3651C332" w14:textId="77777777" w:rsidR="00B60E59" w:rsidRDefault="00B60E59" w:rsidP="00B60E59">
      <w:pPr>
        <w:spacing w:line="480" w:lineRule="auto"/>
      </w:pPr>
    </w:p>
    <w:p w14:paraId="79BA34FF" w14:textId="77777777" w:rsidR="00B60E59" w:rsidRDefault="00B60E59" w:rsidP="00B60E59">
      <w:pPr>
        <w:spacing w:line="480" w:lineRule="auto"/>
      </w:pPr>
    </w:p>
    <w:p w14:paraId="779000B0" w14:textId="77777777" w:rsidR="00B60E59" w:rsidRDefault="00B60E59" w:rsidP="00B60E59">
      <w:pPr>
        <w:spacing w:line="480" w:lineRule="auto"/>
      </w:pPr>
    </w:p>
    <w:p w14:paraId="6A77490F" w14:textId="77777777" w:rsidR="00B60E59" w:rsidRDefault="00B60E59" w:rsidP="00B60E59">
      <w:pPr>
        <w:spacing w:line="480" w:lineRule="auto"/>
      </w:pPr>
    </w:p>
    <w:p w14:paraId="7D3ABEA7" w14:textId="77777777" w:rsidR="00B60E59" w:rsidRDefault="00B60E59" w:rsidP="00B60E59">
      <w:pPr>
        <w:spacing w:line="480" w:lineRule="auto"/>
      </w:pPr>
    </w:p>
    <w:p w14:paraId="51B116AF" w14:textId="77777777" w:rsidR="00B60E59" w:rsidRDefault="00B60E59" w:rsidP="00B60E59">
      <w:pPr>
        <w:spacing w:line="480" w:lineRule="auto"/>
      </w:pPr>
    </w:p>
    <w:p w14:paraId="11C027E5" w14:textId="77777777" w:rsidR="00B60E59" w:rsidRDefault="00B60E59" w:rsidP="00B60E59">
      <w:pPr>
        <w:spacing w:line="480" w:lineRule="auto"/>
      </w:pPr>
    </w:p>
    <w:p w14:paraId="13C73A63" w14:textId="77777777" w:rsidR="00B60E59" w:rsidRDefault="00B60E59" w:rsidP="00B60E59">
      <w:pPr>
        <w:spacing w:line="480" w:lineRule="auto"/>
      </w:pPr>
    </w:p>
    <w:p w14:paraId="5D17924C" w14:textId="77777777" w:rsidR="00B60E59" w:rsidRDefault="00B60E59" w:rsidP="00B60E59">
      <w:pPr>
        <w:spacing w:line="480" w:lineRule="auto"/>
      </w:pPr>
    </w:p>
    <w:p w14:paraId="6C545F7F" w14:textId="77777777" w:rsidR="00B60E59" w:rsidRDefault="00B60E59" w:rsidP="00B60E59">
      <w:pPr>
        <w:spacing w:line="480" w:lineRule="auto"/>
      </w:pPr>
    </w:p>
    <w:p w14:paraId="7BE08EEF" w14:textId="77777777" w:rsidR="00B60E59" w:rsidRDefault="00B60E59" w:rsidP="00B60E59">
      <w:pPr>
        <w:spacing w:line="480" w:lineRule="auto"/>
      </w:pPr>
    </w:p>
    <w:p w14:paraId="70D85424" w14:textId="77777777" w:rsidR="00B60E59" w:rsidRDefault="00B60E59" w:rsidP="00B60E59">
      <w:pPr>
        <w:spacing w:line="480" w:lineRule="auto"/>
      </w:pPr>
    </w:p>
    <w:p w14:paraId="3620E9E1" w14:textId="77777777" w:rsidR="00B60E59" w:rsidRDefault="00B60E59" w:rsidP="00B60E59">
      <w:pPr>
        <w:spacing w:line="480" w:lineRule="auto"/>
      </w:pPr>
    </w:p>
    <w:p w14:paraId="27B93FDF" w14:textId="77777777" w:rsidR="00B60E59" w:rsidRPr="003912AF" w:rsidRDefault="00B60E59" w:rsidP="00B60E59">
      <w:pPr>
        <w:spacing w:line="480" w:lineRule="auto"/>
        <w:rPr>
          <w:b/>
          <w:bCs/>
          <w:u w:val="single"/>
        </w:rPr>
      </w:pPr>
      <w:r w:rsidRPr="003912AF">
        <w:rPr>
          <w:b/>
          <w:bCs/>
          <w:u w:val="single"/>
        </w:rPr>
        <w:lastRenderedPageBreak/>
        <w:t xml:space="preserve">Introduction </w:t>
      </w:r>
    </w:p>
    <w:p w14:paraId="08D40D68" w14:textId="77777777" w:rsidR="00B60E59" w:rsidRPr="003912AF" w:rsidRDefault="00B60E59" w:rsidP="00B60E59">
      <w:pPr>
        <w:spacing w:line="480" w:lineRule="auto"/>
      </w:pPr>
      <w:r w:rsidRPr="003912AF">
        <w:t>Paediatric-onset Crohn’s disease is a heterogenous condition characterised by chronic, relapsing and remitting inflammation, largely of the intestinal tract. Paediatric-onset Crohn’s disease has a greater genetic contribution to pathogenesis compared to adult-onset disease, with multiple genes and pathways implicated in the inflammation observed in the condition</w:t>
      </w:r>
      <w:r w:rsidRPr="003912AF">
        <w:fldChar w:fldCharType="begin" w:fldLock="1"/>
      </w:r>
      <w:r w:rsidRPr="003912AF">
        <w:instrText>ADDIN CSL_CITATION {"citationItems":[{"id":"ITEM-1","itemData":{"DOI":"10.1038/nature10209","ISSN":"1476-4687 14764687","author":[{"dropping-particle":"","family":"Khor","given":"Bernard","non-dropping-particle":"","parse-names":false,"suffix":""},{"dropping-particle":"","family":"Gardet","given":"A","non-dropping-particle":"","parse-names":false,"suffix":""},{"dropping-particle":"","family":"Xavier","given":"R J","non-dropping-particle":"","parse-names":false,"suffix":""},{"dropping-particle":"","family":"s","given":"Gardet Agn","non-dropping-particle":"","parse-names":false,"suffix":""},{"dropping-particle":"","family":"J.","given":"Xavier Ramnik","non-dropping-particle":"","parse-names":false,"suffix":""}],"container-title":"Nature","id":"ITEM-1","issue":"7351","issued":{"date-parts":[["2011"]]},"page":"307-317","title":"Genetics and pathogenesis of inflammatory bowel disease","type":"article-journal","volume":"474"},"uris":["http://www.mendeley.com/documents/?uuid=602c4c0f-79c6-4862-a780-7adf4de49d1d"]}],"mendeley":{"formattedCitation":"&lt;sup&gt;1&lt;/sup&gt;","plainTextFormattedCitation":"1","previouslyFormattedCitation":"&lt;sup&gt;1&lt;/sup&gt;"},"properties":{"noteIndex":0},"schema":"https://github.com/citation-style-language/schema/raw/master/csl-citation.json"}</w:instrText>
      </w:r>
      <w:r w:rsidRPr="003912AF">
        <w:fldChar w:fldCharType="separate"/>
      </w:r>
      <w:r w:rsidRPr="003912AF">
        <w:rPr>
          <w:noProof/>
          <w:vertAlign w:val="superscript"/>
        </w:rPr>
        <w:t>1</w:t>
      </w:r>
      <w:r w:rsidRPr="003912AF">
        <w:fldChar w:fldCharType="end"/>
      </w:r>
      <w:r w:rsidRPr="003912AF">
        <w:t>. These genes are largely centred on innate and adaptive immune pathways, cytokine signalling pathways, and bacterial recognition and response pathways</w:t>
      </w:r>
      <w:r w:rsidRPr="003912AF">
        <w:fldChar w:fldCharType="begin" w:fldLock="1"/>
      </w:r>
      <w:r w:rsidRPr="003912AF">
        <w:instrText>ADDIN CSL_CITATION {"citationItems":[{"id":"ITEM-1","itemData":{"DOI":"10.1038/s41586-020-2025-2","ISSN":"0028-0836","abstract":"Inflammatory bowel disease (IBD) is a complex genetic disease that is instigated and amplified by the confluence of multiple genetic and environmental variables that perturb the immune–microbiome axis. The challenge of dissecting pathological mechanisms underlying IBD has led to the development of transformative approaches in human genetics and functional genomics. Here we describe IBD as a model disease in the context of leveraging human genetics to dissect interactions in cellular and molecular pathways that regulate homeostasis of the mucosal immune system. Finally, we synthesize emerging insights from multiple experimental approaches into pathway paradigms and discuss future prospects for disease-subtype classification and therapeutic intervention. This Review examines inflammatory bowel disease in the context of human genetics studies that help to identify pathways that regulate homeostasis of the mucosal immune system and discusses future prospects for disease-subtype classification and therapeutic intervention.","author":[{"dropping-particle":"","family":"Graham","given":"Daniel B.","non-dropping-particle":"","parse-names":false,"suffix":""},{"dropping-particle":"","family":"Xavier","given":"Ramnik J.","non-dropping-particle":"","parse-names":false,"suffix":""}],"container-title":"Nature","id":"ITEM-1","issue":"7796","issued":{"date-parts":[["2020","2","26"]]},"page":"527-539","publisher":"Nature Publishing Group","title":"Pathway paradigms revealed from the genetics of inflammatory bowel disease","type":"article-journal","volume":"578"},"uris":["http://www.mendeley.com/documents/?uuid=5a45aa9b-5ada-368a-9325-e6290b07eae1"]}],"mendeley":{"formattedCitation":"&lt;sup&gt;2&lt;/sup&gt;","plainTextFormattedCitation":"2","previouslyFormattedCitation":"&lt;sup&gt;2&lt;/sup&gt;"},"properties":{"noteIndex":0},"schema":"https://github.com/citation-style-language/schema/raw/master/csl-citation.json"}</w:instrText>
      </w:r>
      <w:r w:rsidRPr="003912AF">
        <w:fldChar w:fldCharType="separate"/>
      </w:r>
      <w:r w:rsidRPr="003912AF">
        <w:rPr>
          <w:noProof/>
          <w:vertAlign w:val="superscript"/>
        </w:rPr>
        <w:t>2</w:t>
      </w:r>
      <w:r w:rsidRPr="003912AF">
        <w:fldChar w:fldCharType="end"/>
      </w:r>
      <w:r w:rsidRPr="003912AF">
        <w:t xml:space="preserve">. Recently Mendelian causes of inflammatory bowel disease (IBD) have given additional insights into causes and risk factors for polygenic disease, with variation in a number of genes including </w:t>
      </w:r>
      <w:r w:rsidRPr="003912AF">
        <w:rPr>
          <w:i/>
          <w:iCs/>
        </w:rPr>
        <w:t>IL10</w:t>
      </w:r>
      <w:r w:rsidRPr="003912AF">
        <w:t xml:space="preserve"> pathway, </w:t>
      </w:r>
      <w:r w:rsidRPr="003912AF">
        <w:rPr>
          <w:i/>
          <w:iCs/>
        </w:rPr>
        <w:t xml:space="preserve">NOD2 </w:t>
      </w:r>
      <w:r w:rsidRPr="003912AF">
        <w:t>and NADPH oxidase complex genes being implicated in both forms of disease</w:t>
      </w:r>
      <w:r w:rsidRPr="003912AF">
        <w:fldChar w:fldCharType="begin" w:fldLock="1"/>
      </w:r>
      <w:r w:rsidRPr="003912AF">
        <w:instrText>ADDIN CSL_CITATION {"citationItems":[{"id":"ITEM-1","itemData":{"DOI":"10.1053/j.gastro.2012.04.045","ISSN":"00165085","PMID":"22549091","abstract":"BACKGROUND &amp; AIMS Homozygous loss of function mutations in interleukin-10 (IL10) and interleukin-10 receptors (IL10R) cause severe infantile (very early onset) inflammatory bowel disease (IBD). Allogeneic hematopoietic stem cell transplantation (HSCT) was reported to induce sustained remission in 1 patient with IL-10R deficiency. We investigated heterogeneity among patients with very early onset IBD, its mechanisms, and the use of allogeneic HSCT to treat this disorder. METHODS We analyzed 66 patients with early onset IBD (younger than 5 years of age) for mutations in the genes encoding IL-10, IL-10R1, and IL-10R2. IL-10R deficiency was confirmed by functional assays on patients' peripheral blood mononuclear cells (immunoblot and enzyme-linked immunosorbent assay analyses). We assessed the therapeutic effects of standardized allogeneic HSCT. RESULTS Using a candidate gene sequencing approach, we identified 16 patients with IL-10 or IL-10R deficiency: 3 patients had mutations in IL-10, 5 had mutations in IL-10R1, and 8 had mutations in IL-10R2. Refractory colitis became manifest in all patients within the first 3 months of life and was associated with perianal disease (16 of 16 patients). Extraintestinal symptoms included folliculitis (11 of 16) and arthritis (4 of 16). Allogeneic HSCT was performed in 5 patients and induced sustained clinical remission with a median follow-up time of 2 years. In vitro experiments confirmed reconstitution of IL-10R-mediated signaling in all patients who received the transplant. CONCLUSIONS We identified loss of function mutations in IL-10 and IL-10R in patients with very early onset IBD. These findings indicate that infantile IBD patients with perianal disease should be screened for IL-10 and IL-10R deficiency and that allogeneic HSCT can induce remission in those with IL-10R deficiency.","author":[{"dropping-particle":"","family":"Kotlarz","given":"Daniel","non-dropping-particle":"","parse-names":false,"suffix":""},{"dropping-particle":"","family":"Beier","given":"Rita","non-dropping-particle":"","parse-names":false,"suffix":""},{"dropping-particle":"","family":"Murugan","given":"Dhaarini","non-dropping-particle":"","parse-names":false,"suffix":""},{"dropping-particle":"","family":"Diestelhorst","given":"Jana","non-dropping-particle":"","parse-names":false,"suffix":""},{"dropping-particle":"","family":"Jensen","given":"Ole","non-dropping-particle":"","parse-names":false,"suffix":""},{"dropping-particle":"","family":"Boztug","given":"Kaan","non-dropping-particle":"","parse-names":false,"suffix":""},{"dropping-particle":"","family":"Pfeifer","given":"Dietmar","non-dropping-particle":"","parse-names":false,"suffix":""},{"dropping-particle":"","family":"Kreipe","given":"Hans","non-dropping-particle":"","parse-names":false,"suffix":""},{"dropping-particle":"","family":"Pfister","given":"Eva–Doreen","non-dropping-particle":"","parse-names":false,"suffix":""},{"dropping-particle":"","family":"Baumann","given":"Ulrich","non-dropping-particle":"","parse-names":false,"suffix":""},{"dropping-particle":"","family":"Puchalka","given":"Jacek","non-dropping-particle":"","parse-names":false,"suffix":""},{"dropping-particle":"","family":"Bohne","given":"Jens","non-dropping-particle":"","parse-names":false,"suffix":""},{"dropping-particle":"","family":"Egritas","given":"Odul","non-dropping-particle":"","parse-names":false,"suffix":""},{"dropping-particle":"","family":"Dalgic","given":"Buket","non-dropping-particle":"","parse-names":false,"suffix":""},{"dropping-particle":"","family":"Kolho","given":"Kaija–Leena","non-dropping-particle":"","parse-names":false,"suffix":""},{"dropping-particle":"","family":"Sauerbrey","given":"Axel","non-dropping-particle":"","parse-names":false,"suffix":""},{"dropping-particle":"","family":"Buderus","given":"Stephan","non-dropping-particle":"","parse-names":false,"suffix":""},{"dropping-particle":"","family":"Güngör","given":"Tayfun","non-dropping-particle":"","parse-names":false,"suffix":""},{"dropping-particle":"","family":"Enninger","given":"Axel","non-dropping-particle":"","parse-names":false,"suffix":""},{"dropping-particle":"","family":"Koda","given":"Yu Kar Ling","non-dropping-particle":"","parse-names":false,"suffix":""},{"dropping-particle":"","family":"Guariso","given":"Graziella","non-dropping-particle":"","parse-names":false,"suffix":""},{"dropping-particle":"","family":"Weiss","given":"Batia","non-dropping-particle":"","parse-names":false,"suffix":""},{"dropping-particle":"","family":"Corbacioglu","given":"Selim","non-dropping-particle":"","parse-names":false,"suffix":""},{"dropping-particle":"","family":"Socha","given":"Piotr","non-dropping-particle":"","parse-names":false,"suffix":""},{"dropping-particle":"","family":"Uslu","given":"Nuray","non-dropping-particle":"","parse-names":false,"suffix":""},{"dropping-particle":"","family":"Metin","given":"Ayse","non-dropping-particle":"","parse-names":false,"suffix":""},{"dropping-particle":"","family":"Wahbeh","given":"Ghassan T.","non-dropping-particle":"","parse-names":false,"suffix":""},{"dropping-particle":"","family":"Husain","given":"Khalid","non-dropping-particle":"","parse-names":false,"suffix":""},{"dropping-particle":"","family":"Ramadan","given":"Dina","non-dropping-particle":"","parse-names":false,"suffix":""},{"dropping-particle":"","family":"Al–Herz","given":"Waleed","non-dropping-particle":"","parse-names":false,"suffix":""},{"dropping-particle":"","family":"Grimbacher","given":"Bodo","non-dropping-particle":"","parse-names":false,"suffix":""},{"dropping-particle":"","family":"Sauer","given":"Martin","non-dropping-particle":"","parse-names":false,"suffix":""},{"dropping-particle":"","family":"Sykora","given":"Karl–Walter","non-dropping-particle":"","parse-names":false,"suffix":""},{"dropping-particle":"","family":"Koletzko","given":"Sibylle","non-dropping-particle":"","parse-names":false,"suffix":""},{"dropping-particle":"","family":"Klein","given":"Christoph","non-dropping-particle":"","parse-names":false,"suffix":""}],"container-title":"Gastroenterology","id":"ITEM-1","issue":"2","issued":{"date-parts":[["2012","8"]]},"page":"347-355","title":"Loss of Interleukin-10 Signaling and Infantile Inflammatory Bowel Disease: Implications for Diagnosis and Therapy","type":"article-journal","volume":"143"},"uris":["http://www.mendeley.com/documents/?uuid=8aba80d9-3d2c-321e-892e-45426e9733d7"]},{"id":"ITEM-2","itemData":{"DOI":"10.14309/ctg.0000000000000129","ISSN":"2155-384X","author":[{"dropping-particle":"","family":"Ashton","given":"James J.","non-dropping-particle":"","parse-names":false,"suffix":""},{"dropping-particle":"","family":"Mossotto","given":"Enrico","non-dropping-particle":"","parse-names":false,"suffix":""},{"dropping-particle":"","family":"Stafford","given":"Imogen S.","non-dropping-particle":"","parse-names":false,"suffix":""},{"dropping-particle":"","family":"Haggarty","given":"Rachel","non-dropping-particle":"","parse-names":false,"suffix":""},{"dropping-particle":"","family":"Coelho","given":"Tracy A.F.","non-dropping-particle":"","parse-names":false,"suffix":""},{"dropping-particle":"","family":"Batra","given":"Akshay","non-dropping-particle":"","parse-names":false,"suffix":""},{"dropping-particle":"","family":"Afzal","given":"Nadeem A.","non-dropping-particle":"","parse-names":false,"suffix":""},{"dropping-particle":"","family":"Mort","given":"Matthew","non-dropping-particle":"","parse-names":false,"suffix":""},{"dropping-particle":"","family":"Bunyan","given":"David","non-dropping-particle":"","parse-names":false,"suffix":""},{"dropping-particle":"","family":"Beattie","given":"Robert Mark","non-dropping-particle":"","parse-names":false,"suffix":""},{"dropping-particle":"","family":"Ennis","given":"Sarah","non-dropping-particle":"","parse-names":false,"suffix":""}],"container-title":"Clinical and Translational Gastroenterology","id":"ITEM-2","issue":"2","issued":{"date-parts":[["2020","2"]]},"page":"e00129","title":"Genetic Sequencing of Pediatric Patients Identifies Mutations in Monogenic Inflammatory Bowel Disease Genes that Translate to Distinct Clinical Phenotypes","type":"article-journal","volume":"11"},"uris":["http://www.mendeley.com/documents/?uuid=33eb5a8a-b745-3f96-b79c-f7bb66101de9"]},{"id":"ITEM-3","itemData":{"DOI":"10.1053/j.gastro.2018.02.016","ISSN":"1528-0012","PMID":"29454792","abstract":"BACKGROUND &amp; AIMS Individuals with monogenic disorders of phagocyte function develop chronic colitis that resembles Crohn's disease (CD). We tested for associations between mutations in genes encoding reduced nicotinamide adenine dinucleotide phosphate (NADPH) oxidases, neutrophil function, and phenotypes of CD in pediatric patients. METHODS We performed whole-exome sequence analysis to identify mutations in genes encoding NADPH oxidases (such as CYBA, CYBB, NCF1, NCF2, NCF4, RAC1, and RAC2) using DNA from 543 pediatric patients with inflammatory bowel diseases. Blood samples were collected from an additional 129 pediatric patients with CD and 26 children without IBD (controls); we performed assays for neutrophil activation, reactive oxygen species (ROS) production, and bacteria uptake and killing. Whole-exome sequence analysis was performed using DNA from 46 of the children with CD to examine associations with NADPH gene mutations; RNA sequence analyses were performed using blood cells from 46 children with CD to test for variations in neutrophil gene expression associated with ROS production. RESULTS We identified 26 missense mutations in CYBA, CYBB, NCF1, NCF2, and NCF4. Patients with CD who carried mutations in these genes were 3-fold more likely to have perianal disease (P = .0008) and stricturing complications (P = .002) than children with CD without these mutations. Among patients with CD with none of these mutations, 9% had undergone abdominal surgery; among patients with mutations in these NADPH oxidase genes, 31% had undergone abdominal surgery (P = .0004). A higher proportion of neutrophils from children with CD had low ROS production (47%) than from controls (15%) among the 129 patients tested for ROS (P = .002). Minor alleles of the NADPH genes were detected in 7% of children with CD whose neutrophils produced normal levels of ROS vs 38% of children whose neutrophils produced low levels of ROS (P = .009). Neutrophils that produced low levels of ROS had specific alterations in genes that regulate glucose metabolism and antimicrobial responses. CONCLUSIONS We identified missense mutations in genes that encode NADPH oxidases in children with CD; these were associated with a more aggressive disease course and reduced ROS production by neutrophils from the patients.","author":[{"dropping-particle":"","family":"Denson","given":"Lee A","non-dropping-particle":"","parse-names":false,"suffix":""},{"dropping-particle":"","family":"Jurickova","given":"Ingrid","non-dropping-particle":"","parse-names":false,"suffix":""},{"dropping-particle":"","family":"Karns","given":"Rebekah","non-dropping-particle":"","parse-names":false,"suffix":""},{"dropping-particle":"","family":"Shaw","given":"Kelly A","non-dropping-particle":"","parse-names":false,"suffix":""},{"dropping-particle":"","family":"Cutler","given":"David J","non-dropping-particle":"","parse-names":false,"suffix":""},{"dropping-particle":"","family":"Okou","given":"David T","non-dropping-particle":"","parse-names":false,"suffix":""},{"dropping-particle":"","family":"Dodd","given":"Anne","non-dropping-particle":"","parse-names":false,"suffix":""},{"dropping-particle":"","family":"Quinn","given":"Kathryn","non-dropping-particle":"","parse-names":false,"suffix":""},{"dropping-particle":"","family":"Mondal","given":"Kajari","non-dropping-particle":"","parse-names":false,"suffix":""},{"dropping-particle":"","family":"Aronow","given":"Bruce J","non-dropping-particle":"","parse-names":false,"suffix":""},{"dropping-particle":"","family":"Haberman","given":"Yael","non-dropping-particle":"","parse-names":false,"suffix":""},{"dropping-particle":"","family":"Linn","given":"Aaron","non-dropping-particle":"","parse-names":false,"suffix":""},{"dropping-particle":"","family":"Price","given":"Adam","non-dropping-particle":"","parse-names":false,"suffix":""},{"dropping-particle":"","family":"Bezold","given":"Ramona","non-dropping-particle":"","parse-names":false,"suffix":""},{"dropping-particle":"","family":"Lake","given":"Kathleen","non-dropping-particle":"","parse-names":false,"suffix":""},{"dropping-particle":"","family":"Jackson","given":"Kimberly","non-dropping-particle":"","parse-names":false,"suffix":""},{"dropping-particle":"","family":"Walters","given":"Thomas D","non-dropping-particle":"","parse-names":false,"suffix":""},{"dropping-particle":"","family":"Griffiths","given":"Anne","non-dropping-particle":"","parse-names":false,"suffix":""},{"dropping-particle":"","family":"Baldassano","given":"Robert N","non-dropping-particle":"","parse-names":false,"suffix":""},{"dropping-particle":"","family":"Noe","given":"Joshua D","non-dropping-particle":"","parse-names":false,"suffix":""},{"dropping-particle":"","family":"Hyams","given":"Jeffrey S","non-dropping-particle":"","parse-names":false,"suffix":""},{"dropping-particle":"V","family":"Crandall","given":"Wallace","non-dropping-particle":"","parse-names":false,"suffix":""},{"dropping-particle":"","family":"Kirschner","given":"Barbara S","non-dropping-particle":"","parse-names":false,"suffix":""},{"dropping-particle":"","family":"Heyman","given":"Melvin B","non-dropping-particle":"","parse-names":false,"suffix":""},{"dropping-particle":"","family":"Snapper","given":"Scott","non-dropping-particle":"","parse-names":false,"suffix":""},{"dropping-particle":"","family":"Guthery","given":"Stephen L","non-dropping-particle":"","parse-names":false,"suffix":""},{"dropping-particle":"","family":"Dubinsky","given":"Marla C","non-dropping-particle":"","parse-names":false,"suffix":""},{"dropping-particle":"","family":"Leleiko","given":"Neal S","non-dropping-particle":"","parse-names":false,"suffix":""},{"dropping-particle":"","family":"Otley","given":"Anthony R","non-dropping-particle":"","parse-names":false,"suffix":""},{"dropping-particle":"","family":"Xavier","given":"Ramnik J","non-dropping-particle":"","parse-names":false,"suffix":""},{"dropping-particle":"","family":"Stevens","given":"Christine","non-dropping-particle":"","parse-names":false,"suffix":""},{"dropping-particle":"","family":"Daly","given":"Mark J","non-dropping-particle":"","parse-names":false,"suffix":""},{"dropping-particle":"","family":"Zwick","given":"Michael E","non-dropping-particle":"","parse-names":false,"suffix":""},{"dropping-particle":"","family":"Kugathasan","given":"Subra","non-dropping-particle":"","parse-names":false,"suffix":""}],"container-title":"Gastroenterology","id":"ITEM-3","issue":"8","issued":{"date-parts":[["2018","6","1"]]},"page":"2097-2110","publisher":"Elsevier","title":"Clinical and Genomic Correlates of Neutrophil Reactive Oxygen Species Production in Pediatric Patients With Crohn's Disease.","type":"article-journal","volume":"154"},"uris":["http://www.mendeley.com/documents/?uuid=272d5f74-a68e-34e3-9bde-91fc954f9528"]}],"mendeley":{"formattedCitation":"&lt;sup&gt;3–5&lt;/sup&gt;","plainTextFormattedCitation":"3–5","previouslyFormattedCitation":"&lt;sup&gt;3–5&lt;/sup&gt;"},"properties":{"noteIndex":0},"schema":"https://github.com/citation-style-language/schema/raw/master/csl-citation.json"}</w:instrText>
      </w:r>
      <w:r w:rsidRPr="003912AF">
        <w:fldChar w:fldCharType="separate"/>
      </w:r>
      <w:r w:rsidRPr="003912AF">
        <w:rPr>
          <w:noProof/>
          <w:vertAlign w:val="superscript"/>
        </w:rPr>
        <w:t>3–5</w:t>
      </w:r>
      <w:r w:rsidRPr="003912AF">
        <w:fldChar w:fldCharType="end"/>
      </w:r>
      <w:r w:rsidRPr="003912AF">
        <w:t>. Non-Mendelian forms of Crohn’s disease may present with similar phenotypic appearance</w:t>
      </w:r>
      <w:r>
        <w:t>.</w:t>
      </w:r>
      <w:r w:rsidRPr="003912AF">
        <w:t xml:space="preserve"> </w:t>
      </w:r>
      <w:r>
        <w:t>H</w:t>
      </w:r>
      <w:r w:rsidRPr="003912AF">
        <w:t xml:space="preserve">owever, it is becoming increasingly clear that </w:t>
      </w:r>
      <w:r>
        <w:t>individual</w:t>
      </w:r>
      <w:r w:rsidRPr="003912AF">
        <w:t xml:space="preserve"> patient</w:t>
      </w:r>
      <w:r>
        <w:t>s are</w:t>
      </w:r>
      <w:r w:rsidRPr="003912AF">
        <w:t xml:space="preserve"> likely to have a specific molecular diagnosis related to </w:t>
      </w:r>
      <w:r>
        <w:t xml:space="preserve">their </w:t>
      </w:r>
      <w:r w:rsidRPr="003912AF">
        <w:t xml:space="preserve">underlying </w:t>
      </w:r>
      <w:r>
        <w:t xml:space="preserve">genetic </w:t>
      </w:r>
      <w:r w:rsidRPr="003912AF">
        <w:t>variation</w:t>
      </w:r>
      <w:r>
        <w:t>. This may present</w:t>
      </w:r>
      <w:r w:rsidRPr="003912AF">
        <w:t xml:space="preserve"> </w:t>
      </w:r>
      <w:r>
        <w:t>through</w:t>
      </w:r>
      <w:r w:rsidRPr="003912AF">
        <w:t xml:space="preserve"> either </w:t>
      </w:r>
      <w:r>
        <w:t xml:space="preserve">a </w:t>
      </w:r>
      <w:r w:rsidRPr="003912AF">
        <w:t>limited number of genes (oligogenic IBD) or</w:t>
      </w:r>
      <w:r>
        <w:t xml:space="preserve"> through interaction of</w:t>
      </w:r>
      <w:r w:rsidRPr="003912AF">
        <w:t xml:space="preserve"> many genes (polygenic IBD)</w:t>
      </w:r>
      <w:r>
        <w:t>, often resulting in perturbation of inflammatory pathways common to all genetic causes</w:t>
      </w:r>
      <w:r w:rsidRPr="003912AF">
        <w:fldChar w:fldCharType="begin" w:fldLock="1"/>
      </w:r>
      <w:r w:rsidRPr="003912AF">
        <w:instrText>ADDIN CSL_CITATION {"citationItems":[{"id":"ITEM-1","itemData":{"DOI":"10.1038/s41586-020-2025-2","ISSN":"0028-0836","abstract":"Inflammatory bowel disease (IBD) is a complex genetic disease that is instigated and amplified by the confluence of multiple genetic and environmental variables that perturb the immune–microbiome axis. The challenge of dissecting pathological mechanisms underlying IBD has led to the development of transformative approaches in human genetics and functional genomics. Here we describe IBD as a model disease in the context of leveraging human genetics to dissect interactions in cellular and molecular pathways that regulate homeostasis of the mucosal immune system. Finally, we synthesize emerging insights from multiple experimental approaches into pathway paradigms and discuss future prospects for disease-subtype classification and therapeutic intervention. This Review examines inflammatory bowel disease in the context of human genetics studies that help to identify pathways that regulate homeostasis of the mucosal immune system and discusses future prospects for disease-subtype classification and therapeutic intervention.","author":[{"dropping-particle":"","family":"Graham","given":"Daniel B.","non-dropping-particle":"","parse-names":false,"suffix":""},{"dropping-particle":"","family":"Xavier","given":"Ramnik J.","non-dropping-particle":"","parse-names":false,"suffix":""}],"container-title":"Nature","id":"ITEM-1","issue":"7796","issued":{"date-parts":[["2020","2","26"]]},"page":"527-539","publisher":"Nature Publishing Group","title":"Pathway paradigms revealed from the genetics of inflammatory bowel disease","type":"article-journal","volume":"578"},"uris":["http://www.mendeley.com/documents/?uuid=5a45aa9b-5ada-368a-9325-e6290b07eae1"]}],"mendeley":{"formattedCitation":"&lt;sup&gt;2&lt;/sup&gt;","plainTextFormattedCitation":"2","previouslyFormattedCitation":"&lt;sup&gt;2&lt;/sup&gt;"},"properties":{"noteIndex":0},"schema":"https://github.com/citation-style-language/schema/raw/master/csl-citation.json"}</w:instrText>
      </w:r>
      <w:r w:rsidRPr="003912AF">
        <w:fldChar w:fldCharType="separate"/>
      </w:r>
      <w:r w:rsidRPr="003912AF">
        <w:rPr>
          <w:noProof/>
          <w:vertAlign w:val="superscript"/>
        </w:rPr>
        <w:t>2</w:t>
      </w:r>
      <w:r w:rsidRPr="003912AF">
        <w:fldChar w:fldCharType="end"/>
      </w:r>
      <w:r w:rsidRPr="003912AF">
        <w:t>. The ability to determine this genetic signature within an individual patient will bring new opportunities for predicting disease outcome and personalisation of therapy</w:t>
      </w:r>
      <w:r w:rsidRPr="003912AF">
        <w:fldChar w:fldCharType="begin" w:fldLock="1"/>
      </w:r>
      <w:r w:rsidRPr="003912AF">
        <w:instrText>ADDIN CSL_CITATION {"citationItems":[{"id":"ITEM-1","itemData":{"DOI":"10.21037/TP.2018.12.03","ISSN":"2224-4344","PMID":"30881899","abstract":"Up to 25% of inflammatory bowel disease (IBD) presents during childhood, often with severe and extensive disease, leading to significant morbidity including delayed growth and nutritional impairment. The classical approach to management has centred on differentiation into Crohn's disease (CD) or ulcerative colitis (UC), with subsequent treatment based on symptoms, results and complications. However, IBD is a heterogeneous condition with substantial variation in phenotype, disease course and outcome, so whilst effective treatment exists one size does not fit all. The ability to predict disease course at diagnosis, alongside tailoring medications based on response gives the potential for a more 'personalised approach'. The move to a pre-emptive strategy to prevent IBD-related complications, whilst simultaneously minimising side effects and long-term toxicity from therapy, particularly in those with relatively indolent disease, has the potential to revolutionise care. In very early-onset IBD, personalised approaches to diagnosis and management have become the standard of treatment enabling clinicians to significantly alter the outcomes of the few children with monogenic disease. However, the promise of discoveries in genomics, microbiome and transcriptomics in paediatric IBD has not yet translated to clinical application for the vast majority of patients. Despite this, the opportunity presents itself to apply data gathered at diagnosis and follow-up to predict which patients are likely to progress to complicated disease, which will respond well and which will require additional therapy. Using complex mathematics and innovative, cutting-edge machine learning (ML) techniques gives the potential to use this data to develop personalised clinical care algorithms to treat patients more effectively, reduce toxicity and improve outcome. In this review, we will consider current management of paediatric IBD, discuss how precision medicine is making inroads into clinical practice already, examine the contemporary studies applying data to stratify patients and explore how future management may be revolutionised by personalisation with clinical, genomic and other multi-omic data.","author":[{"dropping-particle":"","family":"Ashton","given":"James J.","non-dropping-particle":"","parse-names":false,"suffix":""},{"dropping-particle":"","family":"Mossotto","given":"Enrico","non-dropping-particle":"","parse-names":false,"suffix":""},{"dropping-particle":"","family":"Ennis","given":"Sarah","non-dropping-particle":"","parse-names":false,"suffix":""},{"dropping-particle":"","family":"Beattie","given":"R. Mark","non-dropping-particle":"","parse-names":false,"suffix":""}],"container-title":"Translational Pediatrics","id":"ITEM-1","issue":"1","issued":{"date-parts":[["2019","1"]]},"page":"56","publisher":"AME Publications","title":"Personalising medicine in inflammatory bowel disease—current and future perspectives","type":"article-journal","volume":"8"},"uris":["http://www.mendeley.com/documents/?uuid=71212577-e626-3c4e-8465-316e62e0ad3b"]}],"mendeley":{"formattedCitation":"&lt;sup&gt;6&lt;/sup&gt;","plainTextFormattedCitation":"6","previouslyFormattedCitation":"&lt;sup&gt;6&lt;/sup&gt;"},"properties":{"noteIndex":0},"schema":"https://github.com/citation-style-language/schema/raw/master/csl-citation.json"}</w:instrText>
      </w:r>
      <w:r w:rsidRPr="003912AF">
        <w:fldChar w:fldCharType="separate"/>
      </w:r>
      <w:r w:rsidRPr="003912AF">
        <w:rPr>
          <w:noProof/>
          <w:vertAlign w:val="superscript"/>
        </w:rPr>
        <w:t>6</w:t>
      </w:r>
      <w:r w:rsidRPr="003912AF">
        <w:fldChar w:fldCharType="end"/>
      </w:r>
      <w:r w:rsidRPr="003912AF">
        <w:t>.</w:t>
      </w:r>
    </w:p>
    <w:p w14:paraId="4A12F585" w14:textId="77777777" w:rsidR="00B60E59" w:rsidRPr="003912AF" w:rsidRDefault="00B60E59" w:rsidP="00B60E59">
      <w:pPr>
        <w:spacing w:line="480" w:lineRule="auto"/>
      </w:pPr>
      <w:r w:rsidRPr="003912AF">
        <w:t xml:space="preserve">RNA sequencing </w:t>
      </w:r>
      <w:r>
        <w:t>allows identification of</w:t>
      </w:r>
      <w:r w:rsidRPr="003912AF">
        <w:t xml:space="preserve"> </w:t>
      </w:r>
      <w:r>
        <w:t>abnormal</w:t>
      </w:r>
      <w:r w:rsidRPr="003912AF">
        <w:t xml:space="preserve"> gene</w:t>
      </w:r>
      <w:r>
        <w:t xml:space="preserve"> expression</w:t>
      </w:r>
      <w:r w:rsidRPr="003912AF">
        <w:t xml:space="preserve">, and </w:t>
      </w:r>
      <w:r>
        <w:t xml:space="preserve">specific </w:t>
      </w:r>
      <w:r w:rsidRPr="003912AF">
        <w:t>gene signatures</w:t>
      </w:r>
      <w:r>
        <w:t>,</w:t>
      </w:r>
      <w:r w:rsidRPr="003912AF">
        <w:t xml:space="preserve"> which are associated </w:t>
      </w:r>
      <w:r>
        <w:t xml:space="preserve">with </w:t>
      </w:r>
      <w:r w:rsidRPr="003912AF">
        <w:t xml:space="preserve">disease </w:t>
      </w:r>
      <w:r>
        <w:t xml:space="preserve">subtypes. This </w:t>
      </w:r>
      <w:r w:rsidRPr="003912AF">
        <w:t xml:space="preserve">information </w:t>
      </w:r>
      <w:r>
        <w:t>provides insight into the</w:t>
      </w:r>
      <w:r w:rsidRPr="003912AF">
        <w:t xml:space="preserve"> biological </w:t>
      </w:r>
      <w:r>
        <w:t>processes underlying</w:t>
      </w:r>
      <w:r w:rsidRPr="003912AF">
        <w:t xml:space="preserve"> pathways driving inflammation. Previous studies have identified differentially expressed genes</w:t>
      </w:r>
      <w:r>
        <w:t xml:space="preserve">, including </w:t>
      </w:r>
      <w:r w:rsidRPr="00271CED">
        <w:rPr>
          <w:i/>
          <w:iCs/>
        </w:rPr>
        <w:t>OSM</w:t>
      </w:r>
      <w:r>
        <w:t xml:space="preserve"> and </w:t>
      </w:r>
      <w:r w:rsidRPr="00271CED">
        <w:rPr>
          <w:i/>
          <w:iCs/>
        </w:rPr>
        <w:t>TREM</w:t>
      </w:r>
      <w:r>
        <w:rPr>
          <w:i/>
          <w:iCs/>
        </w:rPr>
        <w:t>1,</w:t>
      </w:r>
      <w:r w:rsidRPr="003912AF">
        <w:t xml:space="preserve"> associated with disease onset, treatment response and have been able to predict disease course</w:t>
      </w:r>
      <w:r>
        <w:t xml:space="preserve"> </w:t>
      </w:r>
      <w:r w:rsidRPr="003912AF">
        <w:fldChar w:fldCharType="begin" w:fldLock="1"/>
      </w:r>
      <w:r w:rsidRPr="003912AF">
        <w:instrText>ADDIN CSL_CITATION {"citationItems":[{"id":"ITEM-1","itemData":{"DOI":"10.1038/nm.4307","ISSN":"1546170X","abstract":"Inflammatory bowel diseases (IBD), including Crohn’s disease (CD) and ulcerative colitis (UC), are complex chronic inflammatory conditions of the gastrointestinal tract that are driven by perturbed cytokine pathways. Anti-tumor necrosis factor-α (TNF) antibodies are mainstay therapies for IBD. However, up to 40% of patients are nonresponsive to anti-TNF agents, which makes the identification of alternative therapeutic targets a priority. Here we show that, relative to healthy controls, inflamed intestinal tissues from patients with IBD express high amounts of the cytokine oncostatin M (OSM) and its receptor (OSMR), which correlate closely with histopathological disease severity. The OSMR is expressed in nonhematopoietic, nonepithelial intestinal stromal cells, which respond to OSM by producing various proinflammatory molecules, including interleukin (IL)-6, the leukocyte adhesion factor ICAM1, and chemokines that attract neutrophils, monocytes, and T cells. In an animal model of anti-TNF-resistant intestinal inflammation, genetic deletion or pharmacological blockade of OSM significantly attenuates colitis. Furthermore, according to an analysis of more than 200 patients with IBD, including two cohorts from phase 3 clinical trials of infliximab and golimumab, high pretreatment expression of OSM is strongly associated with failure of anti-TNF therapy. OSM is thus a potential biomarker and therapeutic target for IBD, and has particular relevance for anti-TNF-resistant patients.","author":[{"dropping-particle":"","family":"West","given":"Nathaniel R.","non-dropping-particle":"","parse-names":false,"suffix":""},{"dropping-particle":"","family":"Hegazy","given":"Ahmed N.","non-dropping-particle":"","parse-names":false,"suffix":""},{"dropping-particle":"","family":"Owens","given":"Benjamin M.J.","non-dropping-particle":"","parse-names":false,"suffix":""},{"dropping-particle":"","family":"Bullers","given":"Samuel J.","non-dropping-particle":"","parse-names":false,"suffix":""},{"dropping-particle":"","family":"Linggi","given":"Bryan","non-dropping-particle":"","parse-names":false,"suffix":""},{"dropping-particle":"","family":"Buonocore","given":"Sofia","non-dropping-particle":"","parse-names":false,"suffix":""},{"dropping-particle":"","family":"Coccia","given":"Margherita","non-dropping-particle":"","parse-names":false,"suffix":""},{"dropping-particle":"","family":"Görtz","given":"Dieter","non-dropping-particle":"","parse-names":false,"suffix":""},{"dropping-particle":"","family":"This","given":"Sébastien","non-dropping-particle":"","parse-names":false,"suffix":""},{"dropping-particle":"","family":"Stockenhuber","given":"Krista","non-dropping-particle":"","parse-names":false,"suffix":""},{"dropping-particle":"","family":"Pott","given":"Johanna","non-dropping-particle":"","parse-names":false,"suffix":""},{"dropping-particle":"","family":"Friedrich","given":"Matthias","non-dropping-particle":"","parse-names":false,"suffix":""},{"dropping-particle":"","family":"Ryzhakov","given":"Grigory","non-dropping-particle":"","parse-names":false,"suffix":""},{"dropping-particle":"","family":"Baribaud","given":"Frédéric","non-dropping-particle":"","parse-names":false,"suffix":""},{"dropping-particle":"","family":"Brodmerkel","given":"Carrie","non-dropping-particle":"","parse-names":false,"suffix":""},{"dropping-particle":"","family":"Cieluch","given":"Constanze","non-dropping-particle":"","parse-names":false,"suffix":""},{"dropping-particle":"","family":"Rahman","given":"Nahid","non-dropping-particle":"","parse-names":false,"suffix":""},{"dropping-particle":"","family":"Müller-Newen","given":"Gerhard","non-dropping-particle":"","parse-names":false,"suffix":""},{"dropping-particle":"","family":"Owens","given":"Raymond J.","non-dropping-particle":"","parse-names":false,"suffix":""},{"dropping-particle":"","family":"Kühl","given":"Anja A.","non-dropping-particle":"","parse-names":false,"suffix":""},{"dropping-particle":"","family":"Maloy","given":"Kevin J.","non-dropping-particle":"","parse-names":false,"suffix":""},{"dropping-particle":"","family":"Plevy","given":"Scott E.","non-dropping-particle":"","parse-names":false,"suffix":""},{"dropping-particle":"","family":"Keshav","given":"Satish","non-dropping-particle":"","parse-names":false,"suffix":""},{"dropping-particle":"","family":"Travis","given":"Simon P.L.","non-dropping-particle":"","parse-names":false,"suffix":""},{"dropping-particle":"","family":"Powrie","given":"Fiona","non-dropping-particle":"","parse-names":false,"suffix":""},{"dropping-particle":"","family":"Bailey","given":"Adam","non-dropping-particle":"","parse-names":false,"suffix":""},{"dropping-particle":"","family":"Barnes","given":"Ellie","non-dropping-particle":"","parse-names":false,"suffix":""},{"dropping-particle":"","family":"Bird-Lieberman","given":"Beth","non-dropping-particle":"","parse-names":false,"suffix":""},{"dropping-particle":"","family":"Brain","given":"Oliver","non-dropping-particle":"","parse-names":false,"suffix":""},{"dropping-particle":"","family":"Braden","given":"Barbara","non-dropping-particle":"","parse-names":false,"suffix":""},{"dropping-particle":"","family":"Collier","given":"Jane","non-dropping-particle":"","parse-names":false,"suffix":""},{"dropping-particle":"","family":"East","given":"James","non-dropping-particle":"","parse-names":false,"suffix":""},{"dropping-particle":"","family":"Howarth","given":"Lucy","non-dropping-particle":"","parse-names":false,"suffix":""},{"dropping-particle":"","family":"Klenerman","given":"Paul","non-dropping-particle":"","parse-names":false,"suffix":""},{"dropping-particle":"","family":"Leedham","given":"Simon","non-dropping-particle":"","parse-names":false,"suffix":""},{"dropping-particle":"","family":"Palmer","given":"Rebecca","non-dropping-particle":"","parse-names":false,"suffix":""},{"dropping-particle":"","family":"Rodrigues","given":"Astor","non-dropping-particle":"","parse-names":false,"suffix":""},{"dropping-particle":"","family":"Simmons","given":"Alison","non-dropping-particle":"","parse-names":false,"suffix":""},{"dropping-particle":"","family":"Sullivan","given":"Peter","non-dropping-particle":"","parse-names":false,"suffix":""},{"dropping-particle":"","family":"Uhlig","given":"Holm","non-dropping-particle":"","parse-names":false,"suffix":""}],"container-title":"Nature Medicine","id":"ITEM-1","issued":{"date-parts":[["2017"]]},"page":"579-589","publisher":"Nature Publishing Group","title":"Oncostatin M drives intestinal inflammation and predicts response to tumor necrosis factor–neutralizing therapy in patients with inflammatory bowel disease","type":"article-journal","volume":"23"},"uris":["http://www.mendeley.com/documents/?uuid=19ed1467-fc09-3719-b5a9-a111facf0421"]},{"id":"ITEM-2","itemData":{"DOI":"10.1172/JCI79657","ISSN":"1558-8238","author":[{"dropping-particle":"","family":"Haberman","given":"Y","non-dropping-particle":"","parse-names":false,"suffix":""},{"dropping-particle":"","family":"Tickle","given":"T L","non-dropping-particle":"","parse-names":false,"suffix":""},{"dropping-particle":"","family":"Dexheimer","given":"P J","non-dropping-particle":"","parse-names":false,"suffix":""},{"dropping-particle":"","family":"Kim","given":"M O","non-dropping-particle":"","parse-names":false,"suffix":""},{"dropping-particle":"","family":"Tang","given":"D","non-dropping-particle":"","parse-names":false,"suffix":""},{"dropping-particle":"","family":"Karns","given":"R","non-dropping-particle":"","parse-names":false,"suffix":""},{"dropping-particle":"","family":"Baldassano","given":"R N","non-dropping-particle":"","parse-names":false,"suffix":""},{"dropping-particle":"","family":"Noe","given":"J D","non-dropping-particle":"","parse-names":false,"suffix":""},{"dropping-particle":"","family":"Rosh","given":"J","non-dropping-particle":"","parse-names":false,"suffix":""},{"dropping-particle":"","family":"Markowitz","given":"J","non-dropping-particle":"","parse-names":false,"suffix":""},{"dropping-particle":"","family":"Heyman","given":"M B","non-dropping-particle":"","parse-names":false,"suffix":""},{"dropping-particle":"","family":"Griffiths","given":"A M","non-dropping-particle":"","parse-names":false,"suffix":""},{"dropping-particle":"V","family":"Crandall","given":"W","non-dropping-particle":"","parse-names":false,"suffix":""},{"dropping-particle":"","family":"Mack","given":"D R","non-dropping-particle":"","parse-names":false,"suffix":""},{"dropping-particle":"","family":"Baker","given":"S S","non-dropping-particle":"","parse-names":false,"suffix":""},{"dropping-particle":"","family":"Huttenhower","given":"C","non-dropping-particle":"","parse-names":false,"suffix":""},{"dropping-particle":"","family":"Keljo","given":"D J","non-dropping-particle":"","parse-names":false,"suffix":""},{"dropping-particle":"","family":"Hyams","given":"J S","non-dropping-particle":"","parse-names":false,"suffix":""},{"dropping-particle":"","family":"Kugathasan","given":"S","non-dropping-particle":"","parse-names":false,"suffix":""},{"dropping-particle":"","family":"Walters","given":"T D","non-dropping-particle":"","parse-names":false,"suffix":""},{"dropping-particle":"","family":"Aronow","given":"B","non-dropping-particle":"","parse-names":false,"suffix":""},{"dropping-particle":"","family":"Xavier","given":"R J","non-dropping-particle":"","parse-names":false,"suffix":""},{"dropping-particle":"","family":"Gevers","given":"D","non-dropping-particle":"","parse-names":false,"suffix":""},{"dropping-particle":"","family":"Denson","given":"L A","non-dropping-particle":"","parse-names":false,"suffix":""}],"container-title":"J Clin Invest","id":"ITEM-2","issue":"3","issued":{"date-parts":[["2015"]]},"page":"1363","title":"Pediatric Crohn disease patients exhibit specific ileal transcriptome and microbiome signature","type":"article-journal","volume":"125"},"uris":["http://www.mendeley.com/documents/?uuid=d2e89b9f-6489-4637-81d0-edf226e2f1bd"]},{"id":"ITEM-3","itemData":{"DOI":"10.1016/j.ebiom.2019.01.027","ISSN":"23523964","abstract":"Background: With the changed therapeutic armamentarium for Crohn's disease (CD) and ulcerative colitis (UC), biomarkers predicting treatment response are urgently needed. We studied whole blood and mucosal expression of genes previously reported to predict outcome to anti-TNF therapy, and investigated if the signature was specific for anti-TNF agents. Methods: We prospectively included 54 active IBD patients (24CD, 30UC) initiating anti-TNF therapy, as well as 22 CD patients initiating ustekinumab and 51 patients initiating vedolizumab (25CD, 26UC). Whole blood expression of OSM, TREM1, TNF and TNFR2 was measured prior to start of therapy using qPCR, and mucosal gene expression in inflamed biopsies using RNA-sequencing. Response was defined as endoscopic remission (SES-CD ≤ 2 at week 24 for CD and Mayo endoscopic sub-score ≤ 1 at week 10 for UC). Findings: Baseline whole blood TREM1 was downregulated in future anti-TNF responders, both in UC (FC = 0.53, p = .001) and CD (FC = 0.66, p = .007), as well as in the complete cohort (FC = 0.67, p &lt; .001). Receiver operator characteristic statistics showed an area under the curve (AUC) of 0.78 (p = .001). A similar accuracy could be achieved with mucosal TREM1 (AUC 0.77, p = .003), which outperformed the accuracy of serum TREM1 (AUC 0.58, p = .31). Although differentially expressed in tissue, OSM, TNF and TNFR2 were not differentially expressed in whole blood. The TREM1 predictive signal was anti-TNF specific, as no changes were seen in ustekinumab and vedolizumab treated patients. Interpretation: We identified low TREM-1 as a specific biomarker for anti-TNF induced endoscopic remission. These results can aid in the selection of therapy in biologic-naïve patients.","author":[{"dropping-particle":"","family":"Verstockt","given":"Bram","non-dropping-particle":"","parse-names":false,"suffix":""},{"dropping-particle":"","family":"Verstockt","given":"Sare","non-dropping-particle":"","parse-names":false,"suffix":""},{"dropping-particle":"","family":"Dehairs","given":"Jonas","non-dropping-particle":"","parse-names":false,"suffix":""},{"dropping-particle":"","family":"Ballet","given":"Vera","non-dropping-particle":"","parse-names":false,"suffix":""},{"dropping-particle":"","family":"Blevi","given":"Helene","non-dropping-particle":"","parse-names":false,"suffix":""},{"dropping-particle":"","family":"Wollants","given":"Willem Jan","non-dropping-particle":"","parse-names":false,"suffix":""},{"dropping-particle":"","family":"Breynaert","given":"Christine","non-dropping-particle":"","parse-names":false,"suffix":""},{"dropping-particle":"","family":"Assche","given":"Gert","non-dropping-particle":"Van","parse-names":false,"suffix":""},{"dropping-particle":"","family":"Vermeire","given":"Séverine","non-dropping-particle":"","parse-names":false,"suffix":""},{"dropping-particle":"","family":"Ferrante","given":"Marc","non-dropping-particle":"","parse-names":false,"suffix":""}],"container-title":"EBioMedicine","id":"ITEM-3","issued":{"date-parts":[["2019","2","1"]]},"page":"733-742","publisher":"Elsevier B.V.","title":"Low TREM1 expression in whole blood predicts anti-TNF response in inflammatory bowel disease","type":"article-journal","volume":"40"},"uris":["http://www.mendeley.com/documents/?uuid=671ba9f6-38a7-37be-845a-0b4bad518d11"]}],"mendeley":{"formattedCitation":"&lt;sup&gt;7–9&lt;/sup&gt;","plainTextFormattedCitation":"7–9","previouslyFormattedCitation":"&lt;sup&gt;7–9&lt;/sup&gt;"},"properties":{"noteIndex":0},"schema":"https://github.com/citation-style-language/schema/raw/master/csl-citation.json"}</w:instrText>
      </w:r>
      <w:r w:rsidRPr="003912AF">
        <w:fldChar w:fldCharType="separate"/>
      </w:r>
      <w:r w:rsidRPr="003912AF">
        <w:rPr>
          <w:noProof/>
          <w:vertAlign w:val="superscript"/>
        </w:rPr>
        <w:t>7–9</w:t>
      </w:r>
      <w:r w:rsidRPr="003912AF">
        <w:fldChar w:fldCharType="end"/>
      </w:r>
      <w:r w:rsidRPr="003912AF">
        <w:t>. Whilst there is clear utility in determining markers of disease in blood, insights</w:t>
      </w:r>
      <w:r>
        <w:t xml:space="preserve"> from non-gastrointestinal tissues are likely sub-optimal to elucidate</w:t>
      </w:r>
      <w:r w:rsidRPr="003912AF">
        <w:t xml:space="preserve"> drivers of intestinal inflammation</w:t>
      </w:r>
      <w:r w:rsidRPr="003912AF">
        <w:fldChar w:fldCharType="begin" w:fldLock="1"/>
      </w:r>
      <w:r w:rsidRPr="003912AF">
        <w:instrText>ADDIN CSL_CITATION {"citationItems":[{"id":"ITEM-1","itemData":{"DOI":"10.1371/journal.pone.0222952","ISSN":"1932-6203","abstract":"Background Presenting features of inflammatory bowel disease (IBD) are non-specific. We hypothesized that mRNA profiles could (1) identify genes and pathways involved in disease pathogenesis; (2) identify a molecular signature that differentiates IBD from other conditions; (3) provide insight into systemic and colon-specific dysregulation through study of the concordance of the gene expression. Methods Children (8-18 years) were prospectively recruited at the time of diagnostic colonoscopy for possible IBD. We used transcriptome-wide mRNA profiling to study gene expression in colon biopsies and paired whole blood samples. Using blood mRNA measurements, we fit a regression model for disease state prediction that was validated in an independent test set of adult subjects (GSE3365). Results Ninety-eight children were recruited [39 Crohn's disease, 18 ulcerative colitis, 2 IBDU, 39 non-IBD]. There were 1,118 significantly differentially (IBD vs non-IBD) expressed genes in colon tissue, and 880 in blood. The direction of relative change in expression was concordant for 106/112 genes differentially expressed in both tissue types. The regression model from the blood mRNA measurements distinguished IBD vs non-IBD disease status in the independent test set with 80% accuracy using only 6 genes. The overlap of 5 immune and metabolic pathways in the two tissue types was significant (p&lt;0.001). Conclusions Blood and colon tissue from patients with IBD share a common transcriptional profile dominated by immune and metabolic pathways. Our results suggest that peripheral blood expression levels of as few as 6 genes (IL7R, UBB, TXNIP, S100A8, ALAS2, and SLC2A3) may distinguish patients with IBD from non-IBD.","author":[{"dropping-particle":"","family":"Palmer","given":"Nathan P.","non-dropping-particle":"","parse-names":false,"suffix":""},{"dropping-particle":"","family":"Silvester","given":"Jocelyn A.","non-dropping-particle":"","parse-names":false,"suffix":""},{"dropping-particle":"","family":"Lee","given":"Jessica J.","non-dropping-particle":"","parse-names":false,"suffix":""},{"dropping-particle":"","family":"Beam","given":"Andrew L.","non-dropping-particle":"","parse-names":false,"suffix":""},{"dropping-particle":"","family":"Fried","given":"Inbar","non-dropping-particle":"","parse-names":false,"suffix":""},{"dropping-particle":"","family":"Valtchinov","given":"Vladimir I.","non-dropping-particle":"","parse-names":false,"suffix":""},{"dropping-particle":"","family":"Rahimov","given":"Fedik","non-dropping-particle":"","parse-names":false,"suffix":""},{"dropping-particle":"","family":"Kong","given":"Sek Won","non-dropping-particle":"","parse-names":false,"suffix":""},{"dropping-particle":"","family":"Ghodoussipour","given":"Saum","non-dropping-particle":"","parse-names":false,"suffix":""},{"dropping-particle":"","family":"Hood","given":"Helen C.","non-dropping-particle":"","parse-names":false,"suffix":""},{"dropping-particle":"","family":"Bousvaros","given":"Athos","non-dropping-particle":"","parse-names":false,"suffix":""},{"dropping-particle":"","family":"Grand","given":"Richard J.","non-dropping-particle":"","parse-names":false,"suffix":""},{"dropping-particle":"","family":"Kunkel","given":"Louis M.","non-dropping-particle":"","parse-names":false,"suffix":""},{"dropping-particle":"","family":"Kohane","given":"Isaac S.","non-dropping-particle":"","parse-names":false,"suffix":""}],"container-title":"PLOS ONE","editor":[{"dropping-particle":"","family":"Pai","given":"Nikhil","non-dropping-particle":"","parse-names":false,"suffix":""}],"id":"ITEM-1","issue":"10","issued":{"date-parts":[["2019","10","16"]]},"page":"e0222952","publisher":"Public Library of Science","title":"Concordance between gene expression in peripheral whole blood and colonic tissue in children with inflammatory bowel disease","type":"article-journal","volume":"14"},"uris":["http://www.mendeley.com/documents/?uuid=124d711c-19c3-34bc-8392-f05fd9cf4f14"]}],"mendeley":{"formattedCitation":"&lt;sup&gt;10&lt;/sup&gt;","plainTextFormattedCitation":"10","previouslyFormattedCitation":"&lt;sup&gt;10&lt;/sup&gt;"},"properties":{"noteIndex":0},"schema":"https://github.com/citation-style-language/schema/raw/master/csl-citation.json"}</w:instrText>
      </w:r>
      <w:r w:rsidRPr="003912AF">
        <w:fldChar w:fldCharType="separate"/>
      </w:r>
      <w:r w:rsidRPr="003912AF">
        <w:rPr>
          <w:noProof/>
          <w:vertAlign w:val="superscript"/>
        </w:rPr>
        <w:t>10</w:t>
      </w:r>
      <w:r w:rsidRPr="003912AF">
        <w:fldChar w:fldCharType="end"/>
      </w:r>
      <w:r w:rsidRPr="003912AF">
        <w:t>. In addition, bulk RNA sequencing</w:t>
      </w:r>
      <w:r>
        <w:t>, where all cell types resident within a single biopsy sample are assessed concurrently,</w:t>
      </w:r>
      <w:r w:rsidRPr="003912AF">
        <w:t xml:space="preserve"> </w:t>
      </w:r>
      <w:r>
        <w:t>may</w:t>
      </w:r>
      <w:r w:rsidRPr="003912AF">
        <w:t xml:space="preserve"> to fail </w:t>
      </w:r>
      <w:r>
        <w:t>to sequence</w:t>
      </w:r>
      <w:r w:rsidRPr="003912AF">
        <w:t xml:space="preserve"> lowly expressed genes, with reads being </w:t>
      </w:r>
      <w:r>
        <w:t>overwhelmed by</w:t>
      </w:r>
      <w:r w:rsidRPr="003912AF">
        <w:t xml:space="preserve"> housekeeping transcripts that provide </w:t>
      </w:r>
      <w:r>
        <w:t>little</w:t>
      </w:r>
      <w:r w:rsidRPr="003912AF">
        <w:t xml:space="preserve"> biological insight</w:t>
      </w:r>
      <w:r w:rsidRPr="003912AF">
        <w:fldChar w:fldCharType="begin" w:fldLock="1"/>
      </w:r>
      <w:r w:rsidRPr="003912AF">
        <w:instrText>ADDIN CSL_CITATION {"citationItems":[{"id":"ITEM-1","itemData":{"DOI":"10.3791/54090","ISSN":"1940087X","abstract":"RNA sequencing (RNAseq) is a versatile method that can be utilized to detect and characterize gene expression, mutations, gene fusions, and noncoding RNAs. Standard RNAseq requires 30 - 100 million sequencing reads and can include multiple RNA products such as mRNA and noncoding RNAs. We demonstrate how targeted RNAseq (capture) permits a focused study on selected RNA products using a desktop sequencer. RNAseq capture can characterize unannotated, low, or transiently expressed transcripts that may otherwise be missed using traditional RNAseq methods. Here we describe the extraction of RNA from cell lines, ribosomal RNA depletion, cDNA synthesis, preparation of barcoded libraries, hybridization and capture of targeted transcripts and multiplex sequencing on a desktop sequencer. We also outline the computational analysis pipeline, which includes quality control assessment, alignment, fusion detection, gene expression quantification and identification of single nucleotide variants. This assay allows for targeted transcript sequencing to characterize gene expression, gene fusions, and mutations.","author":[{"dropping-particle":"","family":"Martin","given":"Dorrelyn P.","non-dropping-particle":"","parse-names":false,"suffix":""},{"dropping-particle":"","family":"Miya","given":"Jharna","non-dropping-particle":"","parse-names":false,"suffix":""},{"dropping-particle":"","family":"Reeser","given":"Julie W.","non-dropping-particle":"","parse-names":false,"suffix":""},{"dropping-particle":"","family":"Roychowdhury","given":"Sameek","non-dropping-particle":"","parse-names":false,"suffix":""}],"container-title":"Journal of Visualized Experiments","id":"ITEM-1","issue":"114","issued":{"date-parts":[["2016","8","4"]]},"publisher":"Journal of Visualized Experiments","title":"Targeted RNA sequencing assay to characterize gene expression and genomic alterations","type":"article-journal","volume":"2016"},"uris":["http://www.mendeley.com/documents/?uuid=c4408c19-9d47-306d-a338-385fb766d3c0"]}],"mendeley":{"formattedCitation":"&lt;sup&gt;11&lt;/sup&gt;","plainTextFormattedCitation":"11","previouslyFormattedCitation":"&lt;sup&gt;11&lt;/sup&gt;"},"properties":{"noteIndex":0},"schema":"https://github.com/citation-style-language/schema/raw/master/csl-citation.json"}</w:instrText>
      </w:r>
      <w:r w:rsidRPr="003912AF">
        <w:fldChar w:fldCharType="separate"/>
      </w:r>
      <w:r w:rsidRPr="003912AF">
        <w:rPr>
          <w:noProof/>
          <w:vertAlign w:val="superscript"/>
        </w:rPr>
        <w:t>11</w:t>
      </w:r>
      <w:r w:rsidRPr="003912AF">
        <w:fldChar w:fldCharType="end"/>
      </w:r>
      <w:r w:rsidRPr="003912AF">
        <w:t xml:space="preserve">. </w:t>
      </w:r>
      <w:r>
        <w:t xml:space="preserve">In </w:t>
      </w:r>
      <w:r>
        <w:lastRenderedPageBreak/>
        <w:t>contrast, c</w:t>
      </w:r>
      <w:r w:rsidRPr="003912AF">
        <w:t xml:space="preserve">ontemporary efforts at targeted </w:t>
      </w:r>
      <w:r>
        <w:t xml:space="preserve">and single-cell </w:t>
      </w:r>
      <w:r w:rsidRPr="003912AF">
        <w:t xml:space="preserve">sequencing in cancer have revealed novel pathways and genes associated with disease, and provided clinical diagnostic </w:t>
      </w:r>
      <w:r>
        <w:t>value</w:t>
      </w:r>
      <w:r>
        <w:fldChar w:fldCharType="begin" w:fldLock="1"/>
      </w:r>
      <w:r>
        <w:instrText>ADDIN CSL_CITATION {"citationItems":[{"id":"ITEM-1","itemData":{"DOI":"10.1016/s1470-2045(19)30826-5","ISSN":"14702045","abstract":"&lt;h2 class=\"section-title u-h3 u-margin-l-top u-margin-xs-bottom\"&gt;Summary&lt;/h2&gt;&lt;h3 class=\"u-h4 u-margin-m-top u-margin-xs-bottom\"&gt;Background&lt;/h3&gt;&lt;p&gt;Solitary fibrous tumour is an ultra-rare sarcoma, which encompasses different clinicopathological subgroups. The dedifferentiated subgroup shows an aggressive course with resistance to pazopanib, whereas in the malignant subgroup, pazopanib shows higher activity than in previous studies with chemotherapy. We designed a trial to test pazopanib activity in two different cohorts of solitary fibrous tumour: the malignant-dedifferentiated cohort, which was previously published, and the typical cohort, which is presented here.&lt;/p&gt;&lt;h3 class=\"u-h4 u-margin-m-top u-margin-xs-bottom\"&gt;Methods&lt;/h3&gt;&lt;p&gt;In this single-arm, phase 2 trial, adult patients (aged ≥18 years) diagnosed with confirmed metastatic or unresectable typical solitary fibrous tumour of any location, who had progressed in the previous 6 months (by Choi criteria or Response Evaluation Criteria in Solid Tumors [RECIST]) and an Eastern Cooperative Oncology Group (ECOG) performance status of 0–2 were enrolled at 11 tertiary hospitals in Italy, France, and Spain. Patients received pazopanib 800 mg once daily, taken orally, until progression, unacceptable toxicity, withdrawal of consent, non-compliance, or a delay in pazopanib administration of longer than 3 weeks. The primary endpoint was proportion of patients achieving an overall response measured by Choi criteria in patients who received at least 1 month of treatment with at least one radiological assessment. All patients who received at least one dose of the study drug were included in the safety analyses. This study is registered in &lt;a href=\"http://ClinicalTrials.gov\"&gt;ClinicalTrials.gov&lt;/a&gt;, &lt;a href=\"https://clinicaltrials.gov/show/NCT02066285\"&gt;NCT02066285&lt;/a&gt;, and with the European Clinical Trials Database, EudraCT 2013-005456-15.&lt;/p&gt;&lt;h3 class=\"u-h4 u-margin-m-top u-margin-xs-bottom\"&gt;Findings&lt;/h3&gt;&lt;p&gt;From June 26, 2014, to Dec 13, 2018, of 40 patients who were assessed, 34 patients were enrolled and 31 patients were included in the response analysis. Median follow-up was 18 months (IQR 14–34), and 18 (58%) of 31 patients had a partial response, 12 (39%) had stable disease, and one (3%) showed progressive disease according to Choi criteria and central review. The proportion of overall response based on Choi criteria was 58% (95% CI 34–69). There were no deaths caused by toxicity, and the most frequent advers…","author":[{"dropping-particle":"","family":"Martin-Broto","given":"Javier","non-dropping-particle":"","parse-names":false,"suffix":""},{"dropping-particle":"","family":"Cruz","given":"Josefina","non-dropping-particle":"","parse-names":false,"suffix":""},{"dropping-particle":"","family":"Penel","given":"Nicolas","non-dropping-particle":"","parse-names":false,"suffix":""},{"dropping-particle":"","family":"Cesne","given":"Axel","non-dropping-particle":"Le","parse-names":false,"suffix":""},{"dropping-particle":"","family":"Hindi","given":"Nadia","non-dropping-particle":"","parse-names":false,"suffix":""},{"dropping-particle":"","family":"Luna","given":"Pablo","non-dropping-particle":"","parse-names":false,"suffix":""},{"dropping-particle":"","family":"Moura","given":"David S","non-dropping-particle":"","parse-names":false,"suffix":""},{"dropping-particle":"","family":"Bernabeu","given":"Daniel","non-dropping-particle":"","parse-names":false,"suffix":""},{"dropping-particle":"","family":"Alava","given":"Enrique","non-dropping-particle":"de","parse-names":false,"suffix":""},{"dropping-particle":"","family":"Lopez-Guerrero","given":"Jose Antonio","non-dropping-particle":"","parse-names":false,"suffix":""},{"dropping-particle":"","family":"Dopazo","given":"Joaquin","non-dropping-particle":"","parse-names":false,"suffix":""},{"dropping-particle":"","family":"Peña-Chilet","given":"Maria","non-dropping-particle":"","parse-names":false,"suffix":""},{"dropping-particle":"","family":"Gutierrez","given":"Antonio","non-dropping-particle":"","parse-names":false,"suffix":""},{"dropping-particle":"","family":"Collini","given":"Paola","non-dropping-particle":"","parse-names":false,"suffix":""},{"dropping-particle":"","family":"Karanian","given":"Marie","non-dropping-particle":"","parse-names":false,"suffix":""},{"dropping-particle":"","family":"Redondo","given":"Andres","non-dropping-particle":"","parse-names":false,"suffix":""},{"dropping-particle":"","family":"Lopez-Pousa","given":"Antonio","non-dropping-particle":"","parse-names":false,"suffix":""},{"dropping-particle":"","family":"Grignani","given":"Giovanni","non-dropping-particle":"","parse-names":false,"suffix":""},{"dropping-particle":"","family":"Diaz-Martin","given":"Juan","non-dropping-particle":"","parse-names":false,"suffix":""},{"dropping-particle":"","family":"Marcilla","given":"David","non-dropping-particle":"","parse-names":false,"suffix":""},{"dropping-particle":"","family":"Fernandez-Serra","given":"Antonio","non-dropping-particle":"","parse-names":false,"suffix":""},{"dropping-particle":"","family":"Gonzalez-Aguilera","given":"Cristina","non-dropping-particle":"","parse-names":false,"suffix":""},{"dropping-particle":"","family":"Casali","given":"Paolo G","non-dropping-particle":"","parse-names":false,"suffix":""},{"dropping-particle":"","family":"Blay","given":"Jean-Yves","non-dropping-particle":"","parse-names":false,"suffix":""},{"dropping-particle":"","family":"Stacchiotti","given":"Silvia","non-dropping-particle":"","parse-names":false,"suffix":""}],"container-title":"The Lancet Oncology","id":"ITEM-1","issue":"3","issued":{"date-parts":[["2020","2","1"]]},"page":"456-466","publisher":"Elsevier BV","title":"Pazopanib for treatment of typical solitary fibrous tumours: a multicentre, single-arm, phase 2 trial","type":"article-journal","volume":"21"},"uris":["http://www.mendeley.com/documents/?uuid=1abd2175-f9c6-33ff-9579-39ada530aa90"]},{"id":"ITEM-2","itemData":{"DOI":"10.1016/j.procbio.2019.10.022","ISSN":"13595113","abstract":"Anti-cancer activity of tolfenamic acid (TA) in preclinical models for pancreatic cancer (PaCa) is well established. Since the dosage for anti-cancer actions of TA is rather high, we recently demonstrated that IC50 values of Copper-TA are 30–80% less than TA in 12 cancer cell lines. This study elucidates the underlying mechanisms of Copper-TA in PaCa cells. Control and Copper-TA (IC50) treated PaCa cells were processed by next-generation sequencing (NGS) to determine differentially expressed genes using HTG EdgeSeq Oncology Biomarker panel. Ingenuity Pathway Analysis (IPA®) was used to identify functional significance of altered genes. The conformational studies for assessing the expression of key regulators and genes were conducted by Western blot and qPCR. IPA® identified several networks, regulators, as well as molecular and cellular functions associated with cancer. The top 5 molecular and cellular functions affected by Cu-TA treatment were cell death and survival, cellular development, cell growth and proliferation, cell cycle and cellular movement. The expression of top upstream regulators was confirmed by Western blot analysis while qPCR results of selected genes demonstrated that Copper-TA is efficacious at lower doses than TA. Results suggest that Copper-TA alters genes/key regulators associated with cancer and potentially serve as an effective anti-cancer agent.","author":[{"dropping-particle":"","family":"Hurtado","given":"Myrna","non-dropping-particle":"","parse-names":false,"suffix":""},{"dropping-particle":"","family":"Prokai","given":"Laszlo","non-dropping-particle":"","parse-names":false,"suffix":""},{"dropping-particle":"","family":"Sankpal","given":"Umesh T.","non-dropping-particle":"","parse-names":false,"suffix":""},{"dropping-particle":"","family":"Levesque","given":"Blair","non-dropping-particle":"","parse-names":false,"suffix":""},{"dropping-particle":"","family":"Maram","given":"Rajasekhar","non-dropping-particle":"","parse-names":false,"suffix":""},{"dropping-particle":"","family":"Chhabra","given":"Jaya","non-dropping-particle":"","parse-names":false,"suffix":""},{"dropping-particle":"","family":"Brown","given":"Deondra T.","non-dropping-particle":"","parse-names":false,"suffix":""},{"dropping-particle":"","family":"Gurung","given":"Raj K.","non-dropping-particle":"","parse-names":false,"suffix":""},{"dropping-particle":"","family":"Holder","given":"Alvin A.","non-dropping-particle":"","parse-names":false,"suffix":""},{"dropping-particle":"","family":"Vishwanatha","given":"Jamboor K.","non-dropping-particle":"","parse-names":false,"suffix":""},{"dropping-particle":"","family":"Basha","given":"Riyaz","non-dropping-particle":"","parse-names":false,"suffix":""}],"container-title":"Process Biochemistry","id":"ITEM-2","issued":{"date-parts":[["2020","2","1"]]},"page":"155-164","publisher":"Elsevier Ltd","title":"Next generation sequencing and functional pathway analysis to understand the mechanism of action of copper-tolfenamic acid against pancreatic cancer cells","type":"article-journal","volume":"89"},"uris":["http://www.mendeley.com/documents/?uuid=a1d8cf9e-f34e-3db5-9118-2a3dd3acbd77"]},{"id":"ITEM-3","itemData":{"DOI":"10.1016/j.cell.2015.05.002","ISSN":"10974172","abstract":"Cells, the basic units of biological structure and function, vary broadly in type and state. Single-cell genomics can characterize cell identity and function, but limitations of ease and scale have prevented its broad application. Here we describe Drop-seq, a strategy for quickly profiling thousands of individual cells by separating them into nanoliter-sized aqueous droplets, associating a different barcode with each cell's RNAs, and sequencing them all together. Drop-seq analyzes mRNA transcripts from thousands of individual cells simultaneously while remembering transcripts' cell of origin. We analyzed transcriptomes from 44,808 mouse retinal cells and identified 39 transcriptionally distinct cell populations, creating a molecular atlas of gene expression for known retinal cell classes and novel candidate cell subtypes. Drop-seq will accelerate biological discovery by enabling routine transcriptional profiling at single-cell resolution. Video Abstract","author":[{"dropping-particle":"","family":"Macosko","given":"Evan Z.","non-dropping-particle":"","parse-names":false,"suffix":""},{"dropping-particle":"","family":"Basu","given":"Anindita","non-dropping-particle":"","parse-names":false,"suffix":""},{"dropping-particle":"","family":"Satija","given":"Rahul","non-dropping-particle":"","parse-names":false,"suffix":""},{"dropping-particle":"","family":"Nemesh","given":"James","non-dropping-particle":"","parse-names":false,"suffix":""},{"dropping-particle":"","family":"Shekhar","given":"Karthik","non-dropping-particle":"","parse-names":false,"suffix":""},{"dropping-particle":"","family":"Goldman","given":"Melissa","non-dropping-particle":"","parse-names":false,"suffix":""},{"dropping-particle":"","family":"Tirosh","given":"Itay","non-dropping-particle":"","parse-names":false,"suffix":""},{"dropping-particle":"","family":"Bialas","given":"Allison R.","non-dropping-particle":"","parse-names":false,"suffix":""},{"dropping-particle":"","family":"Kamitaki","given":"Nolan","non-dropping-particle":"","parse-names":false,"suffix":""},{"dropping-particle":"","family":"Martersteck","given":"Emily M.","non-dropping-particle":"","parse-names":false,"suffix":""},{"dropping-particle":"","family":"Trombetta","given":"John J.","non-dropping-particle":"","parse-names":false,"suffix":""},{"dropping-particle":"","family":"Weitz","given":"David A.","non-dropping-particle":"","parse-names":false,"suffix":""},{"dropping-particle":"","family":"Sanes","given":"Joshua R.","non-dropping-particle":"","parse-names":false,"suffix":""},{"dropping-particle":"","family":"Shalek","given":"Alex K.","non-dropping-particle":"","parse-names":false,"suffix":""},{"dropping-particle":"","family":"Regev","given":"Aviv","non-dropping-particle":"","parse-names":false,"suffix":""},{"dropping-particle":"","family":"McCarroll","given":"Steven A.","non-dropping-particle":"","parse-names":false,"suffix":""}],"container-title":"Cell","id":"ITEM-3","issue":"5","issued":{"date-parts":[["2015","5","30"]]},"page":"1202-1214","publisher":"Cell Press","title":"Highly parallel genome-wide expression profiling of individual cells using nanoliter droplets","type":"article-journal","volume":"161"},"uris":["http://www.mendeley.com/documents/?uuid=e3fd9a75-9459-30b1-bf80-67a57630b657"]}],"mendeley":{"formattedCitation":"&lt;sup&gt;12–14&lt;/sup&gt;","plainTextFormattedCitation":"12–14","previouslyFormattedCitation":"&lt;sup&gt;12–14&lt;/sup&gt;"},"properties":{"noteIndex":0},"schema":"https://github.com/citation-style-language/schema/raw/master/csl-citation.json"}</w:instrText>
      </w:r>
      <w:r>
        <w:fldChar w:fldCharType="separate"/>
      </w:r>
      <w:r w:rsidRPr="00102C57">
        <w:rPr>
          <w:noProof/>
          <w:vertAlign w:val="superscript"/>
        </w:rPr>
        <w:t>12–14</w:t>
      </w:r>
      <w:r>
        <w:fldChar w:fldCharType="end"/>
      </w:r>
      <w:r>
        <w:t>.</w:t>
      </w:r>
      <w:r w:rsidRPr="003912AF">
        <w:t xml:space="preserve"> Furthermore, integration of targeted RNA sequencing, </w:t>
      </w:r>
      <w:r>
        <w:t>single cell sequencing</w:t>
      </w:r>
      <w:r w:rsidRPr="003912AF">
        <w:t xml:space="preserve"> and clinical outcome data provides the opportunity for improved molecular profiling of patients, garnering understanding of the </w:t>
      </w:r>
      <w:r>
        <w:t>specific cells driving</w:t>
      </w:r>
      <w:r w:rsidRPr="003912AF">
        <w:t xml:space="preserve"> inflammatory pathways whilst simultaneously using RNA gene signatures to stratify patients. </w:t>
      </w:r>
      <w:r>
        <w:t>Recently, single cell analysis in 22 adult Crohn’s disease patients determined a specific transcriptomic module from cells derived from the lamina propria, which was reproducibly found in bulk RNA sequencing and was associated with failure to respond to anti-TNF therapy</w:t>
      </w:r>
      <w:r>
        <w:fldChar w:fldCharType="begin" w:fldLock="1"/>
      </w:r>
      <w:r>
        <w:instrText>ADDIN CSL_CITATION {"citationItems":[{"id":"ITEM-1","itemData":{"DOI":"10.1016/j.cell.2019.08.008","ISSN":"10974172","abstract":"Clinical benefits of cytokine blockade in ileal Crohn's disease (iCD) are limited to a subset of patients. Here, we applied single-cell technologies to iCD lesions to address whether cellular heterogeneity contributes to treatment resistance. We found that a subset of patients expressed a unique cellular module in inflamed tissues that consisted of IgG plasma cells, inflammatory mononuclear phagocytes, activated T cells, and stromal cells, which we named the GIMATS module. Analysis of ligand-receptor interaction pairs identified a distinct network connectivity that likely drives the GIMATS module. Strikingly, the GIMATS module was also present in a subset of patients in four independent iCD cohorts (n = 441), and its presence at diagnosis correlated with failure to achieve durable corticosteroid-free remission upon anti-TNF therapy. These results emphasize the limitations of current diagnostic assays and the potential for single-cell mapping tools to identify novel biomarkers of treatment response and tailored therapeutic opportunities.","author":[{"dropping-particle":"","family":"Martin","given":"Jerome C.","non-dropping-particle":"","parse-names":false,"suffix":""},{"dropping-particle":"","family":"Chang","given":"Christie","non-dropping-particle":"","parse-names":false,"suffix":""},{"dropping-particle":"","family":"Boschetti","given":"Gilles","non-dropping-particle":"","parse-names":false,"suffix":""},{"dropping-particle":"","family":"Ungaro","given":"Ryan","non-dropping-particle":"","parse-names":false,"suffix":""},{"dropping-particle":"","family":"Giri","given":"Mamta","non-dropping-particle":"","parse-names":false,"suffix":""},{"dropping-particle":"","family":"Grout","given":"John A.","non-dropping-particle":"","parse-names":false,"suffix":""},{"dropping-particle":"","family":"Gettler","given":"Kyle","non-dropping-particle":"","parse-names":false,"suffix":""},{"dropping-particle":"","family":"Chuang","given":"Ling shiang","non-dropping-particle":"","parse-names":false,"suffix":""},{"dropping-particle":"","family":"Nayar","given":"Shikha","non-dropping-particle":"","parse-names":false,"suffix":""},{"dropping-particle":"","family":"Greenstein","given":"Alexander J.","non-dropping-particle":"","parse-names":false,"suffix":""},{"dropping-particle":"","family":"Dubinsky","given":"Marla","non-dropping-particle":"","parse-names":false,"suffix":""},{"dropping-particle":"","family":"Walker","given":"Laura","non-dropping-particle":"","parse-names":false,"suffix":""},{"dropping-particle":"","family":"Leader","given":"Andrew","non-dropping-particle":"","parse-names":false,"suffix":""},{"dropping-particle":"","family":"Fine","given":"Jay S.","non-dropping-particle":"","parse-names":false,"suffix":""},{"dropping-particle":"","family":"Whitehurst","given":"Charles E.","non-dropping-particle":"","parse-names":false,"suffix":""},{"dropping-particle":"","family":"Mbow","given":"M. Lamine","non-dropping-particle":"","parse-names":false,"suffix":""},{"dropping-particle":"","family":"Kugathasan","given":"Subra","non-dropping-particle":"","parse-names":false,"suffix":""},{"dropping-particle":"","family":"Denson","given":"Lee A.","non-dropping-particle":"","parse-names":false,"suffix":""},{"dropping-particle":"","family":"Hyams","given":"Jeffrey S.","non-dropping-particle":"","parse-names":false,"suffix":""},{"dropping-particle":"","family":"Friedman","given":"Joshua R.","non-dropping-particle":"","parse-names":false,"suffix":""},{"dropping-particle":"","family":"Desai","given":"Prerak T.","non-dropping-particle":"","parse-names":false,"suffix":""},{"dropping-particle":"","family":"Ko","given":"Huaibin M.","non-dropping-particle":"","parse-names":false,"suffix":""},{"dropping-particle":"","family":"Laface","given":"Ilaria","non-dropping-particle":"","parse-names":false,"suffix":""},{"dropping-particle":"","family":"Akturk","given":"Guray","non-dropping-particle":"","parse-names":false,"suffix":""},{"dropping-particle":"","family":"Schadt","given":"Eric E.","non-dropping-particle":"","parse-names":false,"suffix":""},{"dropping-particle":"","family":"Salmon","given":"Helene","non-dropping-particle":"","parse-names":false,"suffix":""},{"dropping-particle":"","family":"Gnjatic","given":"Sacha","non-dropping-particle":"","parse-names":false,"suffix":""},{"dropping-particle":"","family":"Rahman","given":"Adeeb H.","non-dropping-particle":"","parse-names":false,"suffix":""},{"dropping-particle":"","family":"Merad","given":"Miriam","non-dropping-particle":"","parse-names":false,"suffix":""},{"dropping-particle":"","family":"Cho","given":"Judy H.","non-dropping-particle":"","parse-names":false,"suffix":""},{"dropping-particle":"","family":"Kenigsberg","given":"Ephraim","non-dropping-particle":"","parse-names":false,"suffix":""}],"container-title":"Cell","id":"ITEM-1","issue":"6","issued":{"date-parts":[["2019","9","5"]]},"page":"1493-1508.e20","publisher":"Cell Press","title":"Single-Cell Analysis of Crohn's Disease Lesions Identifies a Pathogenic Cellular Module Associated with Resistance to Anti-TNF Therapy","type":"article-journal","volume":"178"},"uris":["http://www.mendeley.com/documents/?uuid=b22dbd6f-34b9-3ac5-8b46-1a9d979f7668"]}],"mendeley":{"formattedCitation":"&lt;sup&gt;15&lt;/sup&gt;","plainTextFormattedCitation":"15","previouslyFormattedCitation":"&lt;sup&gt;15&lt;/sup&gt;"},"properties":{"noteIndex":0},"schema":"https://github.com/citation-style-language/schema/raw/master/csl-citation.json"}</w:instrText>
      </w:r>
      <w:r>
        <w:fldChar w:fldCharType="separate"/>
      </w:r>
      <w:r w:rsidRPr="00102C57">
        <w:rPr>
          <w:noProof/>
          <w:vertAlign w:val="superscript"/>
        </w:rPr>
        <w:t>15</w:t>
      </w:r>
      <w:r>
        <w:fldChar w:fldCharType="end"/>
      </w:r>
      <w:r>
        <w:t xml:space="preserve">. </w:t>
      </w:r>
    </w:p>
    <w:p w14:paraId="5461C5A2" w14:textId="77777777" w:rsidR="00B60E59" w:rsidRPr="003912AF" w:rsidRDefault="00B60E59" w:rsidP="00B60E59">
      <w:pPr>
        <w:spacing w:line="480" w:lineRule="auto"/>
      </w:pPr>
      <w:r>
        <w:t>In</w:t>
      </w:r>
      <w:r w:rsidRPr="003912AF">
        <w:t xml:space="preserve"> this study we apply cutting-edge autoimmune targeted RNA sequencing of ileal biopsy tissue from a cohort of paediatric Crohn’s disease patients. We utilise these data to characterise patients by underlying gene transcription signatures, identify differentially expressed genes impacting on signalling pathways in treatment naïve and established disease patients</w:t>
      </w:r>
      <w:r>
        <w:t xml:space="preserve">. We </w:t>
      </w:r>
      <w:r w:rsidRPr="003912AF">
        <w:t xml:space="preserve">integrate </w:t>
      </w:r>
      <w:r>
        <w:t xml:space="preserve">single cell RNA sequencing performed on a subset of patients to </w:t>
      </w:r>
      <w:r w:rsidRPr="003912AF">
        <w:t xml:space="preserve">determine </w:t>
      </w:r>
      <w:r>
        <w:t>cell populations driving specific</w:t>
      </w:r>
      <w:r w:rsidRPr="003912AF">
        <w:t xml:space="preserve"> gene expression. </w:t>
      </w:r>
    </w:p>
    <w:p w14:paraId="45E7BB48" w14:textId="77777777" w:rsidR="00B60E59" w:rsidRPr="003912AF" w:rsidRDefault="00B60E59" w:rsidP="00B60E59">
      <w:pPr>
        <w:spacing w:line="480" w:lineRule="auto"/>
      </w:pPr>
    </w:p>
    <w:p w14:paraId="6608946B" w14:textId="77777777" w:rsidR="00B60E59" w:rsidRPr="003912AF" w:rsidRDefault="00B60E59" w:rsidP="00B60E59">
      <w:pPr>
        <w:spacing w:line="480" w:lineRule="auto"/>
      </w:pPr>
    </w:p>
    <w:p w14:paraId="7232AFD9" w14:textId="77777777" w:rsidR="00B60E59" w:rsidRPr="003912AF" w:rsidRDefault="00B60E59" w:rsidP="00B60E59">
      <w:pPr>
        <w:spacing w:line="480" w:lineRule="auto"/>
      </w:pPr>
    </w:p>
    <w:p w14:paraId="1D911604" w14:textId="77777777" w:rsidR="00B60E59" w:rsidRPr="003912AF" w:rsidRDefault="00B60E59" w:rsidP="00B60E59">
      <w:pPr>
        <w:spacing w:line="480" w:lineRule="auto"/>
      </w:pPr>
    </w:p>
    <w:p w14:paraId="6206466E" w14:textId="77777777" w:rsidR="00B60E59" w:rsidRDefault="00B60E59" w:rsidP="00B60E59">
      <w:pPr>
        <w:spacing w:line="480" w:lineRule="auto"/>
      </w:pPr>
    </w:p>
    <w:p w14:paraId="25C8E5E5" w14:textId="77777777" w:rsidR="00B60E59" w:rsidRDefault="00B60E59" w:rsidP="00B60E59">
      <w:pPr>
        <w:spacing w:line="480" w:lineRule="auto"/>
      </w:pPr>
    </w:p>
    <w:p w14:paraId="2728464E" w14:textId="77777777" w:rsidR="00B60E59" w:rsidRDefault="00B60E59" w:rsidP="00B60E59">
      <w:pPr>
        <w:spacing w:line="480" w:lineRule="auto"/>
      </w:pPr>
    </w:p>
    <w:p w14:paraId="4F1DD615" w14:textId="77777777" w:rsidR="00B60E59" w:rsidRDefault="00B60E59" w:rsidP="00B60E59">
      <w:pPr>
        <w:spacing w:line="480" w:lineRule="auto"/>
      </w:pPr>
    </w:p>
    <w:p w14:paraId="46AAC2DD" w14:textId="77777777" w:rsidR="00B60E59" w:rsidRDefault="00B60E59" w:rsidP="00B60E59">
      <w:pPr>
        <w:spacing w:line="480" w:lineRule="auto"/>
      </w:pPr>
    </w:p>
    <w:p w14:paraId="20026CF5" w14:textId="77777777" w:rsidR="00B60E59" w:rsidRPr="003912AF" w:rsidRDefault="00B60E59" w:rsidP="00B60E59">
      <w:pPr>
        <w:spacing w:line="480" w:lineRule="auto"/>
        <w:rPr>
          <w:b/>
          <w:bCs/>
          <w:u w:val="single"/>
        </w:rPr>
      </w:pPr>
      <w:r w:rsidRPr="003912AF">
        <w:rPr>
          <w:b/>
          <w:bCs/>
          <w:u w:val="single"/>
        </w:rPr>
        <w:lastRenderedPageBreak/>
        <w:t>Methods</w:t>
      </w:r>
    </w:p>
    <w:p w14:paraId="181AB039" w14:textId="77777777" w:rsidR="00B60E59" w:rsidRDefault="00B60E59" w:rsidP="00B60E59">
      <w:pPr>
        <w:spacing w:line="480" w:lineRule="auto"/>
        <w:rPr>
          <w:rFonts w:ascii="Calibri" w:hAnsi="Calibri" w:cs="Calibri"/>
          <w:noProof/>
        </w:rPr>
      </w:pPr>
      <w:r>
        <w:rPr>
          <w:rFonts w:ascii="Calibri" w:hAnsi="Calibri" w:cs="Calibri"/>
          <w:noProof/>
        </w:rPr>
        <w:t>Paediatric IBD p</w:t>
      </w:r>
      <w:r w:rsidRPr="00340CD7">
        <w:rPr>
          <w:rFonts w:ascii="Calibri" w:hAnsi="Calibri" w:cs="Calibri"/>
          <w:noProof/>
        </w:rPr>
        <w:t xml:space="preserve">atients were recruited through </w:t>
      </w:r>
      <w:r>
        <w:rPr>
          <w:rFonts w:ascii="Calibri" w:hAnsi="Calibri" w:cs="Calibri"/>
          <w:noProof/>
        </w:rPr>
        <w:t>from the Paediatric Gastroenterology service</w:t>
      </w:r>
      <w:r w:rsidRPr="00340CD7">
        <w:rPr>
          <w:rFonts w:ascii="Calibri" w:hAnsi="Calibri" w:cs="Calibri"/>
          <w:noProof/>
        </w:rPr>
        <w:t xml:space="preserve"> at the Southampton</w:t>
      </w:r>
      <w:r>
        <w:rPr>
          <w:rFonts w:ascii="Calibri" w:hAnsi="Calibri" w:cs="Calibri"/>
          <w:noProof/>
        </w:rPr>
        <w:t xml:space="preserve"> Children’s Hospital</w:t>
      </w:r>
      <w:r w:rsidRPr="00340CD7">
        <w:rPr>
          <w:rFonts w:ascii="Calibri" w:hAnsi="Calibri" w:cs="Calibri"/>
          <w:noProof/>
        </w:rPr>
        <w:t xml:space="preserve">. </w:t>
      </w:r>
      <w:r>
        <w:rPr>
          <w:rFonts w:ascii="Calibri" w:hAnsi="Calibri" w:cs="Calibri"/>
          <w:noProof/>
        </w:rPr>
        <w:t xml:space="preserve">All </w:t>
      </w:r>
      <w:r w:rsidRPr="00340CD7">
        <w:rPr>
          <w:rFonts w:ascii="Calibri" w:hAnsi="Calibri" w:cs="Calibri"/>
          <w:noProof/>
        </w:rPr>
        <w:t>patient</w:t>
      </w:r>
      <w:r>
        <w:rPr>
          <w:rFonts w:ascii="Calibri" w:hAnsi="Calibri" w:cs="Calibri"/>
          <w:noProof/>
        </w:rPr>
        <w:t>s</w:t>
      </w:r>
      <w:r w:rsidRPr="00340CD7">
        <w:rPr>
          <w:rFonts w:ascii="Calibri" w:hAnsi="Calibri" w:cs="Calibri"/>
          <w:noProof/>
        </w:rPr>
        <w:t xml:space="preserve"> w</w:t>
      </w:r>
      <w:r>
        <w:rPr>
          <w:rFonts w:ascii="Calibri" w:hAnsi="Calibri" w:cs="Calibri"/>
          <w:noProof/>
        </w:rPr>
        <w:t>ere</w:t>
      </w:r>
      <w:r w:rsidRPr="00340CD7">
        <w:rPr>
          <w:rFonts w:ascii="Calibri" w:hAnsi="Calibri" w:cs="Calibri"/>
          <w:noProof/>
        </w:rPr>
        <w:t xml:space="preserve"> diagnosed under the age of 18 years</w:t>
      </w:r>
      <w:r>
        <w:rPr>
          <w:rFonts w:ascii="Calibri" w:hAnsi="Calibri" w:cs="Calibri"/>
          <w:noProof/>
        </w:rPr>
        <w:t>,</w:t>
      </w:r>
      <w:r w:rsidRPr="00340CD7">
        <w:rPr>
          <w:rFonts w:ascii="Calibri" w:hAnsi="Calibri" w:cs="Calibri"/>
          <w:noProof/>
        </w:rPr>
        <w:t xml:space="preserve"> according to the modified Porto criteria</w:t>
      </w:r>
      <w:r>
        <w:rPr>
          <w:rFonts w:ascii="Calibri" w:hAnsi="Calibri" w:cs="Calibri"/>
          <w:noProof/>
        </w:rPr>
        <w:fldChar w:fldCharType="begin" w:fldLock="1"/>
      </w:r>
      <w:r>
        <w:rPr>
          <w:rFonts w:ascii="Calibri" w:hAnsi="Calibri" w:cs="Calibri"/>
          <w:noProof/>
        </w:rPr>
        <w:instrText>ADDIN CSL_CITATION {"citationItems":[{"id":"ITEM-1","itemData":{"DOI":"10.1097/MPG.0000000000000239","ISBN":"0000000000000","ISSN":"1536-4801","PMID":"24231644","abstract":"BACKGROUND: The diagnosis of pediatric-onset inflammatory bowel disease (PIBD) can be challenging in choosing the most informative diagnostic tests and correctly classifying PIBD into its different subtypes. Recent advances in our understanding of the natural history and phenotype of PIBD, increasing availability of serological and fecal biomarkers, and the emergence of novel endoscopic and imaging technologies taken together have made the previous Porto criteria for the diagnosis of PIBD obsolete.\\n\\nMETHODS: We aimed to revise the original Porto criteria using an evidence-based approach and consensus process to yield specific practice recommendations for the diagnosis of PIBD. These revised criteria are based on the Paris classification of PIBD and the original Porto criteria while incorporating novel data, such as for serum and fecal biomarkers. A consensus of at least 80% of participants was achieved for all recommendations and the summary algorithm.\\n\\nRESULTS: The revised criteria depart from existing criteria by defining 2 categories of ulcerative colitis (UC, typical and atypical); atypical phenotypes of UC should be treated as UC. A novel approach based on multiple criteria for diagnosing IBD-unclassified (IBD-U) is proposed. Specifically, these revised criteria recommend upper gastrointestinal endoscopy and ileocolonscopy for all suspected patients with PIBD, with small bowel imaging (unless typical UC after endoscopy and histology) by magnetic resonance enterography or wireless capsule endoscopy.\\n\\nCONCLUSIONS: These revised Porto criteria for the diagnosis of PIBD have been developed to meet present challenges and developments in PIBD and provide up-to-date guidelines for the definition and diagnosis of the IBD spectrum.","author":[{"dropping-particle":"","family":"Levine","given":"Arie","non-dropping-particle":"","parse-names":false,"suffix":""},{"dropping-particle":"","family":"Koletzko","given":"Sibylle","non-dropping-particle":"","parse-names":false,"suffix":""},{"dropping-particle":"","family":"Turner","given":"Dan","non-dropping-particle":"","parse-names":false,"suffix":""},{"dropping-particle":"","family":"Escher","given":"Johanna C","non-dropping-particle":"","parse-names":false,"suffix":""},{"dropping-particle":"","family":"Cucchiara","given":"Salvatore","non-dropping-particle":"","parse-names":false,"suffix":""},{"dropping-particle":"","family":"Ridder","given":"Lissy","non-dropping-particle":"de","parse-names":false,"suffix":""},{"dropping-particle":"","family":"Kolho","given":"Kaija-Leena","non-dropping-particle":"","parse-names":false,"suffix":""},{"dropping-particle":"","family":"Veres","given":"Gabor","non-dropping-particle":"","parse-names":false,"suffix":""},{"dropping-particle":"","family":"Russell","given":"Richard K","non-dropping-particle":"","parse-names":false,"suffix":""},{"dropping-particle":"","family":"Paerregaard","given":"Anders","non-dropping-particle":"","parse-names":false,"suffix":""},{"dropping-particle":"","family":"Buderus","given":"Stephan","non-dropping-particle":"","parse-names":false,"suffix":""},{"dropping-particle":"","family":"Greer","given":"Mary-Louise C","non-dropping-particle":"","parse-names":false,"suffix":""},{"dropping-particle":"","family":"Dias","given":"Jorge a","non-dropping-particle":"","parse-names":false,"suffix":""},{"dropping-particle":"","family":"Veereman-Wauters","given":"Gigi","non-dropping-particle":"","parse-names":false,"suffix":""},{"dropping-particle":"","family":"Lionetti","given":"Paolo","non-dropping-particle":"","parse-names":false,"suffix":""},{"dropping-particle":"","family":"Sladek","given":"Malgorzata","non-dropping-particle":"","parse-names":false,"suffix":""},{"dropping-particle":"","family":"Martin de Carpi","given":"Javier","non-dropping-particle":"","parse-names":false,"suffix":""},{"dropping-particle":"","family":"Staiano","given":"Annamaria","non-dropping-particle":"","parse-names":false,"suffix":""},{"dropping-particle":"","family":"Ruemmele","given":"Frank M","non-dropping-particle":"","parse-names":false,"suffix":""},{"dropping-particle":"","family":"Wilson","given":"David C","non-dropping-particle":"","parse-names":false,"suffix":""}],"container-title":"Journal of pediatric gastroenterology and nutrition","id":"ITEM-1","issue":"6","issued":{"date-parts":[["2014"]]},"title":"ESPGHAN revised porto criteria for the diagnosis of inflammatory bowel disease in children and adolescents.","type":"article-journal","volume":"58"},"uris":["http://www.mendeley.com/documents/?uuid=0dbf1d52-7d9a-3316-8b45-b430dd316e12"]}],"mendeley":{"formattedCitation":"&lt;sup&gt;16&lt;/sup&gt;","plainTextFormattedCitation":"16","previouslyFormattedCitation":"&lt;sup&gt;16&lt;/sup&gt;"},"properties":{"noteIndex":0},"schema":"https://github.com/citation-style-language/schema/raw/master/csl-citation.json"}</w:instrText>
      </w:r>
      <w:r>
        <w:rPr>
          <w:rFonts w:ascii="Calibri" w:hAnsi="Calibri" w:cs="Calibri"/>
          <w:noProof/>
        </w:rPr>
        <w:fldChar w:fldCharType="separate"/>
      </w:r>
      <w:r w:rsidRPr="00102C57">
        <w:rPr>
          <w:rFonts w:ascii="Calibri" w:hAnsi="Calibri" w:cs="Calibri"/>
          <w:noProof/>
          <w:vertAlign w:val="superscript"/>
        </w:rPr>
        <w:t>16</w:t>
      </w:r>
      <w:r>
        <w:rPr>
          <w:rFonts w:ascii="Calibri" w:hAnsi="Calibri" w:cs="Calibri"/>
          <w:noProof/>
        </w:rPr>
        <w:fldChar w:fldCharType="end"/>
      </w:r>
      <w:r w:rsidRPr="00340CD7">
        <w:rPr>
          <w:rFonts w:ascii="Calibri" w:hAnsi="Calibri" w:cs="Calibri"/>
          <w:noProof/>
        </w:rPr>
        <w:t>.</w:t>
      </w:r>
      <w:r>
        <w:rPr>
          <w:rFonts w:ascii="Calibri" w:hAnsi="Calibri" w:cs="Calibri"/>
          <w:noProof/>
        </w:rPr>
        <w:t xml:space="preserve"> Two patient populations were recruited, the first consisted of patients referred to paediatric gastroenteology with a suspected diagnosis of IBD, recruited prior to diagnostic endoscopy. Patients who were diagnosed with Crohn’s disease following successful ileoscopy, were labelled as the treatment-naïve (TN) Crohn’s disease group. Children who had a normal endoscopy and were not diagnosed with IBD or any other gastrointestinal pathology, were included in a control group. The control group was followed-up for a minimum of 6 months to confirm there was no subsequent diagnosis of IBD. The second population consisted of patients with established (ED) Crohn’s disease undergoing routine endoscopy for reassessment, termed the established disease group (figure 1 and supplementary methods).</w:t>
      </w:r>
    </w:p>
    <w:p w14:paraId="52E73D8B" w14:textId="77777777" w:rsidR="00B60E59" w:rsidRDefault="00B60E59" w:rsidP="00B60E59">
      <w:pPr>
        <w:spacing w:line="480" w:lineRule="auto"/>
        <w:rPr>
          <w:rFonts w:ascii="Calibri" w:hAnsi="Calibri" w:cs="Calibri"/>
          <w:u w:val="single"/>
        </w:rPr>
      </w:pPr>
      <w:r w:rsidRPr="004474C5">
        <w:rPr>
          <w:rFonts w:ascii="Calibri" w:hAnsi="Calibri" w:cs="Calibri"/>
          <w:u w:val="single"/>
        </w:rPr>
        <w:t xml:space="preserve">Ethical approval </w:t>
      </w:r>
    </w:p>
    <w:p w14:paraId="0C30D83D" w14:textId="77777777" w:rsidR="00B60E59" w:rsidRPr="007C3A37" w:rsidRDefault="00B60E59" w:rsidP="00B60E59">
      <w:pPr>
        <w:spacing w:line="480" w:lineRule="auto"/>
      </w:pPr>
      <w:r w:rsidRPr="007C3A37">
        <w:t xml:space="preserve">The study </w:t>
      </w:r>
      <w:r>
        <w:t>has</w:t>
      </w:r>
      <w:r w:rsidRPr="007C3A37">
        <w:t xml:space="preserve"> category A ERGO II ethics approval (30630) and a REC approval from Southampton and South West Hampshire Research Ethics Committee (09/H0504/125).</w:t>
      </w:r>
      <w:r>
        <w:t xml:space="preserve"> All patients and families provided informed consent at recruitment. </w:t>
      </w:r>
    </w:p>
    <w:p w14:paraId="48E44E5D" w14:textId="77777777" w:rsidR="00B60E59" w:rsidRDefault="00B60E59" w:rsidP="00B60E59">
      <w:pPr>
        <w:spacing w:line="480" w:lineRule="auto"/>
        <w:rPr>
          <w:u w:val="single"/>
        </w:rPr>
      </w:pPr>
      <w:bookmarkStart w:id="2" w:name="_Hlk42774587"/>
      <w:r>
        <w:rPr>
          <w:u w:val="single"/>
        </w:rPr>
        <w:t>RNA sequencing of terminal ileal biopsies</w:t>
      </w:r>
    </w:p>
    <w:p w14:paraId="799F1415" w14:textId="77777777" w:rsidR="00B60E59" w:rsidRPr="00F26390" w:rsidRDefault="00B60E59" w:rsidP="00B60E59">
      <w:pPr>
        <w:spacing w:line="480" w:lineRule="auto"/>
        <w:rPr>
          <w:i/>
          <w:iCs/>
          <w:u w:val="single"/>
        </w:rPr>
      </w:pPr>
      <w:r w:rsidRPr="00F26390">
        <w:rPr>
          <w:i/>
          <w:iCs/>
          <w:u w:val="single"/>
        </w:rPr>
        <w:t>Sample acquisition, processing and storage</w:t>
      </w:r>
    </w:p>
    <w:p w14:paraId="66D262B6" w14:textId="77777777" w:rsidR="00B60E59" w:rsidRDefault="00B60E59" w:rsidP="00B60E59">
      <w:pPr>
        <w:spacing w:line="480" w:lineRule="auto"/>
      </w:pPr>
      <w:r>
        <w:t xml:space="preserve">Terminal ileal biopsies were obtained during endoscopy and immediately placed into a cryovial containing 1ml of </w:t>
      </w:r>
      <w:proofErr w:type="spellStart"/>
      <w:r>
        <w:t>RNAlater</w:t>
      </w:r>
      <w:proofErr w:type="spellEnd"/>
      <w:r>
        <w:t xml:space="preserve"> (Sigma Aldrich), and frozen at -80</w:t>
      </w:r>
      <w:r>
        <w:sym w:font="Symbol" w:char="F0B0"/>
      </w:r>
      <w:r>
        <w:t>C within 30 minutes from collection. The diameter of each biopsy was an average of 2.5mm (range 1-4.5mm) with the mean volume of 27mm</w:t>
      </w:r>
      <w:r w:rsidRPr="000C134A">
        <w:rPr>
          <w:vertAlign w:val="superscript"/>
        </w:rPr>
        <w:t>3</w:t>
      </w:r>
      <w:r>
        <w:t xml:space="preserve"> (equivalent to 30mg). </w:t>
      </w:r>
    </w:p>
    <w:p w14:paraId="3021CE57" w14:textId="77777777" w:rsidR="00B60E59" w:rsidRDefault="00B60E59" w:rsidP="00B60E59">
      <w:pPr>
        <w:spacing w:line="480" w:lineRule="auto"/>
      </w:pPr>
    </w:p>
    <w:p w14:paraId="1BF59A80" w14:textId="77777777" w:rsidR="00B60E59" w:rsidRDefault="00B60E59" w:rsidP="00B60E59">
      <w:pPr>
        <w:spacing w:line="480" w:lineRule="auto"/>
      </w:pPr>
    </w:p>
    <w:p w14:paraId="3834F180" w14:textId="77777777" w:rsidR="00B60E59" w:rsidRPr="00A57510" w:rsidRDefault="00B60E59" w:rsidP="00B60E59">
      <w:pPr>
        <w:spacing w:line="480" w:lineRule="auto"/>
        <w:rPr>
          <w:i/>
          <w:iCs/>
          <w:u w:val="single"/>
          <w:lang w:val="en-US"/>
        </w:rPr>
      </w:pPr>
      <w:r w:rsidRPr="00A57510">
        <w:rPr>
          <w:i/>
          <w:iCs/>
          <w:u w:val="single"/>
          <w:lang w:val="en-US"/>
        </w:rPr>
        <w:lastRenderedPageBreak/>
        <w:t>RNA extraction</w:t>
      </w:r>
    </w:p>
    <w:p w14:paraId="62217C89" w14:textId="77777777" w:rsidR="00B60E59" w:rsidRPr="00A57510" w:rsidRDefault="00B60E59" w:rsidP="00B60E59">
      <w:pPr>
        <w:spacing w:line="480" w:lineRule="auto"/>
        <w:rPr>
          <w:lang w:val="en-US"/>
        </w:rPr>
      </w:pPr>
      <w:r w:rsidRPr="00A57510">
        <w:rPr>
          <w:lang w:val="en-US"/>
        </w:rPr>
        <w:t xml:space="preserve">Biopsies were </w:t>
      </w:r>
      <w:r w:rsidRPr="00083D2F">
        <w:rPr>
          <w:lang w:val="en-US"/>
        </w:rPr>
        <w:t>homogenized</w:t>
      </w:r>
      <w:r w:rsidRPr="00A57510">
        <w:rPr>
          <w:lang w:val="en-US"/>
        </w:rPr>
        <w:t xml:space="preserve"> using Qiagen </w:t>
      </w:r>
      <w:proofErr w:type="spellStart"/>
      <w:r w:rsidRPr="00A57510">
        <w:rPr>
          <w:lang w:val="en-US"/>
        </w:rPr>
        <w:t>TissueLyser</w:t>
      </w:r>
      <w:proofErr w:type="spellEnd"/>
      <w:r>
        <w:t>™</w:t>
      </w:r>
      <w:r w:rsidRPr="00A57510">
        <w:rPr>
          <w:lang w:val="en-US"/>
        </w:rPr>
        <w:t xml:space="preserve"> and RNA was extracted using Promega Maxwell RSC</w:t>
      </w:r>
      <w:r>
        <w:t>™</w:t>
      </w:r>
      <w:r w:rsidRPr="00A57510">
        <w:rPr>
          <w:lang w:val="en-US"/>
        </w:rPr>
        <w:t xml:space="preserve"> (</w:t>
      </w:r>
      <w:proofErr w:type="spellStart"/>
      <w:r w:rsidRPr="00A57510">
        <w:rPr>
          <w:lang w:val="en-US"/>
        </w:rPr>
        <w:t>simplyRNA</w:t>
      </w:r>
      <w:proofErr w:type="spellEnd"/>
      <w:r w:rsidRPr="00A57510">
        <w:rPr>
          <w:lang w:val="en-US"/>
        </w:rPr>
        <w:t xml:space="preserve"> tissue) and frozen at -80</w:t>
      </w:r>
      <w:r w:rsidRPr="00A57510">
        <w:rPr>
          <w:lang w:val="en-US"/>
        </w:rPr>
        <w:sym w:font="Symbol" w:char="F0B0"/>
      </w:r>
      <w:r w:rsidRPr="00A57510">
        <w:rPr>
          <w:lang w:val="en-US"/>
        </w:rPr>
        <w:t>C. RNA quality was assessed using the Agilent Bioanalyzer</w:t>
      </w:r>
      <w:bookmarkStart w:id="3" w:name="_Hlk42774737"/>
      <w:r>
        <w:t>™</w:t>
      </w:r>
      <w:bookmarkEnd w:id="3"/>
      <w:r w:rsidRPr="00A57510">
        <w:rPr>
          <w:lang w:val="en-US"/>
        </w:rPr>
        <w:t xml:space="preserve"> (RNA Nano). RIN values and RNA concentrations are available as supplementary data 1.</w:t>
      </w:r>
    </w:p>
    <w:p w14:paraId="39B38716" w14:textId="77777777" w:rsidR="00B60E59" w:rsidRPr="00A57510" w:rsidRDefault="00B60E59" w:rsidP="00B60E59">
      <w:pPr>
        <w:spacing w:line="480" w:lineRule="auto"/>
        <w:rPr>
          <w:i/>
          <w:iCs/>
          <w:u w:val="single"/>
          <w:lang w:val="en-US"/>
        </w:rPr>
      </w:pPr>
      <w:r w:rsidRPr="00A57510">
        <w:rPr>
          <w:i/>
          <w:iCs/>
          <w:u w:val="single"/>
          <w:lang w:val="en-US"/>
        </w:rPr>
        <w:t>Targeted RNA sequencing</w:t>
      </w:r>
    </w:p>
    <w:p w14:paraId="37521F60" w14:textId="77777777" w:rsidR="00B60E59" w:rsidRPr="00A57510" w:rsidRDefault="00B60E59" w:rsidP="00B60E59">
      <w:pPr>
        <w:spacing w:line="480" w:lineRule="auto"/>
        <w:rPr>
          <w:lang w:val="en-US"/>
        </w:rPr>
      </w:pPr>
      <w:r w:rsidRPr="00A57510">
        <w:rPr>
          <w:lang w:val="en-US"/>
        </w:rPr>
        <w:t xml:space="preserve">The contemporary HTG </w:t>
      </w:r>
      <w:proofErr w:type="spellStart"/>
      <w:r w:rsidRPr="00A57510">
        <w:rPr>
          <w:lang w:val="en-US"/>
        </w:rPr>
        <w:t>EdgeSeq</w:t>
      </w:r>
      <w:proofErr w:type="spellEnd"/>
      <w:r w:rsidRPr="00A57510">
        <w:rPr>
          <w:lang w:val="en-US"/>
        </w:rPr>
        <w:t xml:space="preserve"> Autoimmune Panel was used to measure mRNA expression levels in 2002 autoimmune genes, including inflammatory bowel disease</w:t>
      </w:r>
      <w:r w:rsidRPr="00A57510">
        <w:rPr>
          <w:lang w:val="en-US"/>
        </w:rPr>
        <w:fldChar w:fldCharType="begin" w:fldLock="1"/>
      </w:r>
      <w:r>
        <w:rPr>
          <w:lang w:val="en-US"/>
        </w:rPr>
        <w:instrText>ADDIN CSL_CITATION {"citationItems":[{"id":"ITEM-1","itemData":{"id":"ITEM-1","issued":{"date-parts":[["0"]]},"title":"HTG Autoimmune - HTG Autoimmune","type":"webpage"},"uris":["http://www.mendeley.com/documents/?uuid=d8b76348-e97a-4086-850f-8f2cee347222"]}],"mendeley":{"formattedCitation":"&lt;sup&gt;17&lt;/sup&gt;","plainTextFormattedCitation":"17","previouslyFormattedCitation":"&lt;sup&gt;17&lt;/sup&gt;"},"properties":{"noteIndex":0},"schema":"https://github.com/citation-style-language/schema/raw/master/csl-citation.json"}</w:instrText>
      </w:r>
      <w:r w:rsidRPr="00A57510">
        <w:rPr>
          <w:lang w:val="en-US"/>
        </w:rPr>
        <w:fldChar w:fldCharType="separate"/>
      </w:r>
      <w:r w:rsidRPr="00270593">
        <w:rPr>
          <w:noProof/>
          <w:vertAlign w:val="superscript"/>
          <w:lang w:val="en-US"/>
        </w:rPr>
        <w:t>17</w:t>
      </w:r>
      <w:r w:rsidRPr="00A57510">
        <w:rPr>
          <w:lang w:val="en-US"/>
        </w:rPr>
        <w:fldChar w:fldCharType="end"/>
      </w:r>
      <w:r w:rsidRPr="00A57510">
        <w:rPr>
          <w:lang w:val="en-US"/>
        </w:rPr>
        <w:t xml:space="preserve">. Briefly, RNA samples were thawed, diluted and 25ng of RNA per sample was plated in 96 wells and loaded onto the HTG </w:t>
      </w:r>
      <w:proofErr w:type="spellStart"/>
      <w:r w:rsidRPr="00A57510">
        <w:rPr>
          <w:lang w:val="en-US"/>
        </w:rPr>
        <w:t>EdgeSeq</w:t>
      </w:r>
      <w:proofErr w:type="spellEnd"/>
      <w:r w:rsidRPr="00A57510">
        <w:rPr>
          <w:lang w:val="en-US"/>
        </w:rPr>
        <w:t xml:space="preserve"> instrument. HTG fully automated nuclease target protection chemistry includes hybridization of mRNA to target-specific Nuclease Protection Probes (NPPs), addition of S1 nuclease to digest excess NPPs and non-</w:t>
      </w:r>
      <w:r w:rsidRPr="00083D2F">
        <w:rPr>
          <w:lang w:val="en-US"/>
        </w:rPr>
        <w:t>hybridized</w:t>
      </w:r>
      <w:r w:rsidRPr="00A57510">
        <w:rPr>
          <w:lang w:val="en-US"/>
        </w:rPr>
        <w:t xml:space="preserve"> RNA followed by heat denaturation of S1. The processed samples contain 5’ and 3’-end wing sequences and were used as a template for PCR reactions with primers complementary to the “wings</w:t>
      </w:r>
      <w:r w:rsidRPr="001C20E1">
        <w:rPr>
          <w:lang w:val="en-US"/>
        </w:rPr>
        <w:t>” which also</w:t>
      </w:r>
      <w:r w:rsidRPr="00A57510">
        <w:rPr>
          <w:lang w:val="en-US"/>
        </w:rPr>
        <w:t xml:space="preserve"> contain barcode sequences and common adaptors required for cluster generation and sequencing (P5, P7). Libraries were </w:t>
      </w:r>
      <w:proofErr w:type="gramStart"/>
      <w:r w:rsidRPr="00A57510">
        <w:rPr>
          <w:lang w:val="en-US"/>
        </w:rPr>
        <w:t>cleaned-</w:t>
      </w:r>
      <w:r w:rsidRPr="00083D2F">
        <w:rPr>
          <w:lang w:val="en-US"/>
        </w:rPr>
        <w:t>up</w:t>
      </w:r>
      <w:proofErr w:type="gramEnd"/>
      <w:r w:rsidRPr="00083D2F">
        <w:rPr>
          <w:lang w:val="en-US"/>
        </w:rPr>
        <w:t xml:space="preserve"> following</w:t>
      </w:r>
      <w:r w:rsidRPr="00A57510">
        <w:rPr>
          <w:lang w:val="en-US"/>
        </w:rPr>
        <w:t xml:space="preserve"> a standard clean-up proc</w:t>
      </w:r>
      <w:r>
        <w:rPr>
          <w:lang w:val="en-US"/>
        </w:rPr>
        <w:t>ed</w:t>
      </w:r>
      <w:r w:rsidRPr="00A57510">
        <w:rPr>
          <w:lang w:val="en-US"/>
        </w:rPr>
        <w:t>ure (</w:t>
      </w:r>
      <w:proofErr w:type="spellStart"/>
      <w:r w:rsidRPr="00A57510">
        <w:rPr>
          <w:lang w:val="en-US"/>
        </w:rPr>
        <w:t>AMPureXP</w:t>
      </w:r>
      <w:proofErr w:type="spellEnd"/>
      <w:r w:rsidRPr="00A57510">
        <w:rPr>
          <w:lang w:val="en-US"/>
        </w:rPr>
        <w:t xml:space="preserve">, PEG8000) and quantified with qPCR using KAPA Library quantification (Roche) kit. Libraries were </w:t>
      </w:r>
      <w:r w:rsidRPr="00083D2F">
        <w:rPr>
          <w:lang w:val="en-US"/>
        </w:rPr>
        <w:t>normalized</w:t>
      </w:r>
      <w:r w:rsidRPr="00A57510">
        <w:rPr>
          <w:lang w:val="en-US"/>
        </w:rPr>
        <w:t xml:space="preserve"> accordingly, were pooled in a 3pM concentration and were loaded on the Illumina NextSeq500 for single read deep sequencing (Read1: 50bp, Index1: 6bp, Index2: 6bp).</w:t>
      </w:r>
    </w:p>
    <w:p w14:paraId="648A6B2F" w14:textId="77777777" w:rsidR="00B60E59" w:rsidRPr="00A57510" w:rsidRDefault="00B60E59" w:rsidP="00B60E59">
      <w:pPr>
        <w:spacing w:line="480" w:lineRule="auto"/>
        <w:rPr>
          <w:i/>
          <w:iCs/>
          <w:u w:val="single"/>
          <w:lang w:val="en-US"/>
        </w:rPr>
      </w:pPr>
      <w:r w:rsidRPr="00A57510">
        <w:rPr>
          <w:i/>
          <w:iCs/>
          <w:u w:val="single"/>
          <w:lang w:val="en-US"/>
        </w:rPr>
        <w:t>RNA data processing</w:t>
      </w:r>
    </w:p>
    <w:p w14:paraId="2D3EC497" w14:textId="77777777" w:rsidR="00B60E59" w:rsidRPr="00A57510" w:rsidRDefault="00B60E59" w:rsidP="00B60E59">
      <w:pPr>
        <w:spacing w:line="480" w:lineRule="auto"/>
        <w:rPr>
          <w:lang w:val="en-US"/>
        </w:rPr>
      </w:pPr>
      <w:r w:rsidRPr="00A57510">
        <w:rPr>
          <w:lang w:val="en-US"/>
        </w:rPr>
        <w:t xml:space="preserve">Sequencing output </w:t>
      </w:r>
      <w:proofErr w:type="spellStart"/>
      <w:r w:rsidRPr="00A57510">
        <w:rPr>
          <w:lang w:val="en-US"/>
        </w:rPr>
        <w:t>basecalls</w:t>
      </w:r>
      <w:proofErr w:type="spellEnd"/>
      <w:r w:rsidRPr="00A57510">
        <w:rPr>
          <w:lang w:val="en-US"/>
        </w:rPr>
        <w:t xml:space="preserve"> were converted int</w:t>
      </w:r>
      <w:r>
        <w:rPr>
          <w:lang w:val="en-US"/>
        </w:rPr>
        <w:t>o</w:t>
      </w:r>
      <w:r w:rsidRPr="00A57510">
        <w:rPr>
          <w:lang w:val="en-US"/>
        </w:rPr>
        <w:t xml:space="preserve"> FASTQ and demultiplexed using module bcl2fastq2/2.18 on IRIDIS HPS (</w:t>
      </w:r>
      <w:r>
        <w:rPr>
          <w:lang w:val="en-US"/>
        </w:rPr>
        <w:t>University of Southampton</w:t>
      </w:r>
      <w:r w:rsidRPr="00A57510">
        <w:rPr>
          <w:lang w:val="en-US"/>
        </w:rPr>
        <w:t xml:space="preserve">), adding the option --barcode-mismatches 0.  FASTQ files were parsed on HTG </w:t>
      </w:r>
      <w:proofErr w:type="spellStart"/>
      <w:r w:rsidRPr="00A57510">
        <w:rPr>
          <w:lang w:val="en-US"/>
        </w:rPr>
        <w:t>EdgeSeq</w:t>
      </w:r>
      <w:proofErr w:type="spellEnd"/>
      <w:r w:rsidRPr="00A57510">
        <w:rPr>
          <w:lang w:val="en-US"/>
        </w:rPr>
        <w:t xml:space="preserve"> parser (v 5.2.823) constructing a gene expression count matrix for each gene and each patient. The</w:t>
      </w:r>
      <w:r>
        <w:rPr>
          <w:lang w:val="en-US"/>
        </w:rPr>
        <w:t>y</w:t>
      </w:r>
      <w:r w:rsidRPr="00A57510">
        <w:rPr>
          <w:lang w:val="en-US"/>
        </w:rPr>
        <w:t xml:space="preserve"> were merged to form a single output file containing all </w:t>
      </w:r>
      <w:r w:rsidRPr="00A57510">
        <w:rPr>
          <w:lang w:val="en-US"/>
        </w:rPr>
        <w:lastRenderedPageBreak/>
        <w:t>genes and all counts. Downstream anal</w:t>
      </w:r>
      <w:r w:rsidRPr="002B4108">
        <w:rPr>
          <w:lang w:val="en-US"/>
        </w:rPr>
        <w:t xml:space="preserve">yses of RNA data </w:t>
      </w:r>
      <w:r w:rsidRPr="002B4108">
        <w:rPr>
          <w:rFonts w:cstheme="minorHAnsi"/>
          <w:lang w:val="en-US"/>
        </w:rPr>
        <w:t>were performed using HTG Reveal, a web-based, GDPR-compliant data analysis suite. Gene counts were normalized using quantile normalization</w:t>
      </w:r>
      <w:r w:rsidRPr="00A57510">
        <w:rPr>
          <w:lang w:val="en-US"/>
        </w:rPr>
        <w:t xml:space="preserve"> (QN) based on best practice guidelines </w:t>
      </w:r>
      <w:r>
        <w:rPr>
          <w:lang w:val="en-US"/>
        </w:rPr>
        <w:t xml:space="preserve">previously applied with HTG </w:t>
      </w:r>
      <w:proofErr w:type="spellStart"/>
      <w:r>
        <w:rPr>
          <w:lang w:val="en-US"/>
        </w:rPr>
        <w:t>EdgeSeq</w:t>
      </w:r>
      <w:proofErr w:type="spellEnd"/>
      <w:r>
        <w:rPr>
          <w:lang w:val="en-US"/>
        </w:rPr>
        <w:t xml:space="preserve"> targeted immuno-oncology panel</w:t>
      </w:r>
      <w:r w:rsidRPr="00A57510">
        <w:rPr>
          <w:lang w:val="en-US"/>
        </w:rPr>
        <w:fldChar w:fldCharType="begin" w:fldLock="1"/>
      </w:r>
      <w:r>
        <w:rPr>
          <w:lang w:val="en-US"/>
        </w:rPr>
        <w:instrText>ADDIN CSL_CITATION {"citationItems":[{"id":"ITEM-1","itemData":{"DOI":"10.1016/j.celrep.2019.11.078","abstract":"Graphical Abstract Highlights d Four miRNA profiling methods are compared on synthetic and biological samples d Small RNA-seq is the most accurate, sensitive, and specific d EdgeSeq is the most reproducible and has the least detection bias d nCounter is less sensitive than small RNA-seq, EdgeSeq, and FirePlex","author":[{"dropping-particle":"","family":"Godoy","given":"Paula M","non-dropping-particle":"","parse-names":false,"suffix":""},{"dropping-particle":"","family":"Barczak","given":"Andrea J","non-dropping-particle":"","parse-names":false,"suffix":""},{"dropping-particle":"","family":"Dehoff","given":"Peter","non-dropping-particle":"","parse-names":false,"suffix":""},{"dropping-particle":"","family":"Das","given":"Saumya","non-dropping-particle":"","parse-names":false,"suffix":""},{"dropping-particle":"","family":"Erle","given":"David J","non-dropping-particle":"","parse-names":false,"suffix":""},{"dropping-particle":"","family":"Correspondence","given":"Louise C Laurent","non-dropping-particle":"","parse-names":false,"suffix":""}],"id":"ITEM-1","issued":{"date-parts":[["0"]]},"title":"Comparison of Reproducibility, Accuracy, Sensitivity, and Specificity of miRNA Quantification Platforms","type":"article-journal"},"uris":["http://www.mendeley.com/documents/?uuid=e8215a04-3207-3962-a9ec-10022fff3164"]},{"id":"ITEM-2","itemData":{"DOI":"10.1093/bib/bbs046","ISSN":"1467-5463","author":[{"dropping-particle":"","family":"Dillies","given":"M.-A.","non-dropping-particle":"","parse-names":false,"suffix":""},{"dropping-particle":"","family":"Rau","given":"A.","non-dropping-particle":"","parse-names":false,"suffix":""},{"dropping-particle":"","family":"Aubert","given":"J.","non-dropping-particle":"","parse-names":false,"suffix":""},{"dropping-particle":"","family":"Hennequet-Antier","given":"C.","non-dropping-particle":"","parse-names":false,"suffix":""},{"dropping-particle":"","family":"Jeanmougin","given":"M.","non-dropping-particle":"","parse-names":false,"suffix":""},{"dropping-particle":"","family":"Servant","given":"N.","non-dropping-particle":"","parse-names":false,"suffix":""},{"dropping-particle":"","family":"Keime","given":"C.","non-dropping-particle":"","parse-names":false,"suffix":""},{"dropping-particle":"","family":"Marot","given":"G.","non-dropping-particle":"","parse-names":false,"suffix":""},{"dropping-particle":"","family":"Castel","given":"D.","non-dropping-particle":"","parse-names":false,"suffix":""},{"dropping-particle":"","family":"Estelle","given":"J.","non-dropping-particle":"","parse-names":false,"suffix":""},{"dropping-particle":"","family":"Guernec","given":"G.","non-dropping-particle":"","parse-names":false,"suffix":""},{"dropping-particle":"","family":"Jagla","given":"B.","non-dropping-particle":"","parse-names":false,"suffix":""},{"dropping-particle":"","family":"Jouneau","given":"L.","non-dropping-particle":"","parse-names":false,"suffix":""},{"dropping-particle":"","family":"Laloe","given":"D.","non-dropping-particle":"","parse-names":false,"suffix":""},{"dropping-particle":"","family":"Gall","given":"C.","non-dropping-particle":"Le","parse-names":false,"suffix":""},{"dropping-particle":"","family":"Schaeffer","given":"B.","non-dropping-particle":"","parse-names":false,"suffix":""},{"dropping-particle":"","family":"Crom","given":"S.","non-dropping-particle":"Le","parse-names":false,"suffix":""},{"dropping-particle":"","family":"Guedj","given":"M.","non-dropping-particle":"","parse-names":false,"suffix":""},{"dropping-particle":"","family":"Jaffrezic","given":"F.","non-dropping-particle":"","parse-names":false,"suffix":""}],"container-title":"Briefings in Bioinformatics","id":"ITEM-2","issue":"6","issued":{"date-parts":[["2013","11","1"]]},"page":"671-683","title":"A comprehensive evaluation of normalization methods for Illumina high-throughput RNA sequencing data analysis","type":"article-journal","volume":"14"},"uris":["http://www.mendeley.com/documents/?uuid=a593cdaf-ce2e-37ee-aba8-e46820676cab"]}],"mendeley":{"formattedCitation":"&lt;sup&gt;18,19&lt;/sup&gt;","plainTextFormattedCitation":"18,19","previouslyFormattedCitation":"&lt;sup&gt;18,19&lt;/sup&gt;"},"properties":{"noteIndex":0},"schema":"https://github.com/citation-style-language/schema/raw/master/csl-citation.json"}</w:instrText>
      </w:r>
      <w:r w:rsidRPr="00A57510">
        <w:rPr>
          <w:lang w:val="en-US"/>
        </w:rPr>
        <w:fldChar w:fldCharType="separate"/>
      </w:r>
      <w:r w:rsidRPr="00270593">
        <w:rPr>
          <w:noProof/>
          <w:vertAlign w:val="superscript"/>
          <w:lang w:val="en-US"/>
        </w:rPr>
        <w:t>18,19</w:t>
      </w:r>
      <w:r w:rsidRPr="00A57510">
        <w:rPr>
          <w:lang w:val="en-US"/>
        </w:rPr>
        <w:fldChar w:fldCharType="end"/>
      </w:r>
      <w:r w:rsidRPr="00A57510">
        <w:rPr>
          <w:lang w:val="en-US"/>
        </w:rPr>
        <w:t>.</w:t>
      </w:r>
    </w:p>
    <w:p w14:paraId="5C089884" w14:textId="77777777" w:rsidR="00B60E59" w:rsidRPr="00A57510" w:rsidRDefault="00B60E59" w:rsidP="00B60E59">
      <w:pPr>
        <w:spacing w:line="480" w:lineRule="auto"/>
        <w:rPr>
          <w:lang w:val="en-US"/>
        </w:rPr>
      </w:pPr>
      <w:r w:rsidRPr="00A57510">
        <w:rPr>
          <w:i/>
          <w:iCs/>
          <w:u w:val="single"/>
          <w:lang w:val="en-US"/>
        </w:rPr>
        <w:t>RNA sequencing data quality assessment and analysis</w:t>
      </w:r>
    </w:p>
    <w:p w14:paraId="50CFDA9E" w14:textId="77777777" w:rsidR="00B60E59" w:rsidRPr="00A57510" w:rsidRDefault="00B60E59" w:rsidP="00B60E59">
      <w:pPr>
        <w:spacing w:line="480" w:lineRule="auto"/>
        <w:rPr>
          <w:lang w:val="en-US"/>
        </w:rPr>
      </w:pPr>
      <w:r w:rsidRPr="00A57510">
        <w:rPr>
          <w:lang w:val="en-US"/>
        </w:rPr>
        <w:t xml:space="preserve">Quality control of RNA sequencing data was performed in line with recommendations from HTG, to satisfy cut-offs for sample quality, </w:t>
      </w:r>
      <w:proofErr w:type="gramStart"/>
      <w:r w:rsidRPr="00A57510">
        <w:rPr>
          <w:lang w:val="en-US"/>
        </w:rPr>
        <w:t>sufficient</w:t>
      </w:r>
      <w:proofErr w:type="gramEnd"/>
      <w:r w:rsidRPr="00A57510">
        <w:rPr>
          <w:lang w:val="en-US"/>
        </w:rPr>
        <w:t xml:space="preserve"> read depth and minimal expression variability across probes. Differential expression was assessed using DESeq2 package (Python, within Reveal software, 2020 version)</w:t>
      </w:r>
      <w:r w:rsidRPr="00A57510">
        <w:rPr>
          <w:lang w:val="en-US"/>
        </w:rPr>
        <w:fldChar w:fldCharType="begin" w:fldLock="1"/>
      </w:r>
      <w:r>
        <w:rPr>
          <w:lang w:val="en-US"/>
        </w:rPr>
        <w:instrText>ADDIN CSL_CITATION {"citationItems":[{"id":"ITEM-1","itemData":{"DOI":"10.1186/gb-2010-11-10-r106","ISSN":"14747596","PMID":"20979621","abstract":"High-throughput sequencing assays such as RNA-Seq, ChIP-Seq or barcode counting provide quantitative readouts in the form of count data. To infer differential signal in such data correctly and with good statistical power, estimation of data variability throughout the dynamic range and a suitable error model are required. We propose a method based on the negative binomial distribution, with variance and mean linked by local regression and present an implementation, DESeq, as an R/Bioconductor package. © 2010 Anders et al.","author":[{"dropping-particle":"","family":"Anders","given":"Simon","non-dropping-particle":"","parse-names":false,"suffix":""},{"dropping-particle":"","family":"Huber","given":"Wolfgang","non-dropping-particle":"","parse-names":false,"suffix":""}],"container-title":"Genome Biology","id":"ITEM-1","issue":"10","issued":{"date-parts":[["2010","10","27"]]},"page":"R106","publisher":"BioMed Central","title":"Differential expression analysis for sequence count data","type":"article-journal","volume":"11"},"uris":["http://www.mendeley.com/documents/?uuid=5bc4c695-fe78-39cb-b124-5f5fbe921c3f"]}],"mendeley":{"formattedCitation":"&lt;sup&gt;20&lt;/sup&gt;","plainTextFormattedCitation":"20","previouslyFormattedCitation":"&lt;sup&gt;20&lt;/sup&gt;"},"properties":{"noteIndex":0},"schema":"https://github.com/citation-style-language/schema/raw/master/csl-citation.json"}</w:instrText>
      </w:r>
      <w:r w:rsidRPr="00A57510">
        <w:rPr>
          <w:lang w:val="en-US"/>
        </w:rPr>
        <w:fldChar w:fldCharType="separate"/>
      </w:r>
      <w:r w:rsidRPr="00270593">
        <w:rPr>
          <w:noProof/>
          <w:vertAlign w:val="superscript"/>
          <w:lang w:val="en-US"/>
        </w:rPr>
        <w:t>20</w:t>
      </w:r>
      <w:r w:rsidRPr="00A57510">
        <w:rPr>
          <w:lang w:val="en-US"/>
        </w:rPr>
        <w:fldChar w:fldCharType="end"/>
      </w:r>
      <w:r w:rsidRPr="00A57510">
        <w:rPr>
          <w:lang w:val="en-US"/>
        </w:rPr>
        <w:t xml:space="preserve">. Gene-co-expression networks enable regulatory hubs and gene-gene associations to be determined. </w:t>
      </w:r>
      <w:proofErr w:type="spellStart"/>
      <w:r w:rsidRPr="00A57510">
        <w:rPr>
          <w:lang w:val="en-US"/>
        </w:rPr>
        <w:t>CEMiTool</w:t>
      </w:r>
      <w:proofErr w:type="spellEnd"/>
      <w:r w:rsidRPr="00A57510">
        <w:rPr>
          <w:lang w:val="en-US"/>
        </w:rPr>
        <w:t xml:space="preserve"> (2020 version) was used to assess weighted gene co-expression networks within </w:t>
      </w:r>
      <w:r w:rsidRPr="00083D2F">
        <w:rPr>
          <w:lang w:val="en-US"/>
        </w:rPr>
        <w:t>normalized</w:t>
      </w:r>
      <w:r w:rsidRPr="00A57510">
        <w:rPr>
          <w:lang w:val="en-US"/>
        </w:rPr>
        <w:t xml:space="preserve"> data, and to determine modules and hub regulatory genes observed in different categorical groups</w:t>
      </w:r>
      <w:r w:rsidRPr="00A57510">
        <w:rPr>
          <w:lang w:val="en-US"/>
        </w:rPr>
        <w:fldChar w:fldCharType="begin" w:fldLock="1"/>
      </w:r>
      <w:r>
        <w:rPr>
          <w:lang w:val="en-US"/>
        </w:rPr>
        <w:instrText>ADDIN CSL_CITATION {"citationItems":[{"id":"ITEM-1","itemData":{"DOI":"10.1186/s12859-018-2053-1","ISSN":"14712105","abstract":"Background: The analysis of modular gene co-expression networks is a well-established method commonly used for discovering the systems-level functionality of genes. In addition, these studies provide a basis for the discovery of clinically relevant molecular pathways underlying different diseases and conditions. Results: In this paper, we present a fast and easy-to-use Bioconductor package named CEMiTool that unifies the discovery and the analysis of co-expression modules. Using the same real datasets, we demonstrate that CEMiTool outperforms existing tools, and provides unique results in a user-friendly html report with high quality graphs. Among its features, our tool evaluates whether modules contain genes that are over-represented by specific pathways or that are altered in a specific sample group, as well as it integrates transcriptomic data with interactome information, identifying the potential hubs on each network. We successfully applied CEMiTool to over 1000 transcriptome datasets, and to a new RNA-seq dataset of patients infected with Leishmania, revealing novel insights of the disease's physiopathology. Conclusion: The CEMiTool R package provides users with an easy-to-use method to automatically implement gene co-expression network analyses, obtain key information about the discovered gene modules using additional downstream analyses and retrieve publication-ready results via a high-quality interactive report.","author":[{"dropping-particle":"","family":"Russo","given":"Pedro S.T.","non-dropping-particle":"","parse-names":false,"suffix":""},{"dropping-particle":"","family":"Ferreira","given":"Gustavo R.","non-dropping-particle":"","parse-names":false,"suffix":""},{"dropping-particle":"","family":"Cardozo","given":"Lucas E.","non-dropping-particle":"","parse-names":false,"suffix":""},{"dropping-particle":"","family":"Bürger","given":"Matheus C.","non-dropping-particle":"","parse-names":false,"suffix":""},{"dropping-particle":"","family":"Arias-Carrasco","given":"Raul","non-dropping-particle":"","parse-names":false,"suffix":""},{"dropping-particle":"","family":"Maruyama","given":"Sandra R.","non-dropping-particle":"","parse-names":false,"suffix":""},{"dropping-particle":"","family":"Hirata","given":"Thiago D.C.","non-dropping-particle":"","parse-names":false,"suffix":""},{"dropping-particle":"","family":"Lima","given":"Diógenes S.","non-dropping-particle":"","parse-names":false,"suffix":""},{"dropping-particle":"","family":"Passos","given":"Fernando M.","non-dropping-particle":"","parse-names":false,"suffix":""},{"dropping-particle":"","family":"Fukutani","given":"Kiyoshi F.","non-dropping-particle":"","parse-names":false,"suffix":""},{"dropping-particle":"","family":"Lever","given":"Melissa","non-dropping-particle":"","parse-names":false,"suffix":""},{"dropping-particle":"","family":"Silva","given":"João S.","non-dropping-particle":"","parse-names":false,"suffix":""},{"dropping-particle":"","family":"Maracaja-Coutinho","given":"Vinicius","non-dropping-particle":"","parse-names":false,"suffix":""},{"dropping-particle":"","family":"Nakaya","given":"Helder I.","non-dropping-particle":"","parse-names":false,"suffix":""}],"container-title":"BMC Bioinformatics","id":"ITEM-1","issue":"1","issued":{"date-parts":[["2018","2","20"]]},"page":"56","publisher":"BioMed Central Ltd.","title":"CEMiTool: A Bioconductor package for performing comprehensive modular co-expression analyses","type":"article-journal","volume":"19"},"uris":["http://www.mendeley.com/documents/?uuid=a46b796b-ed61-3c6d-aa79-6aeccc7a0fc4"]}],"mendeley":{"formattedCitation":"&lt;sup&gt;21&lt;/sup&gt;","plainTextFormattedCitation":"21","previouslyFormattedCitation":"&lt;sup&gt;21&lt;/sup&gt;"},"properties":{"noteIndex":0},"schema":"https://github.com/citation-style-language/schema/raw/master/csl-citation.json"}</w:instrText>
      </w:r>
      <w:r w:rsidRPr="00A57510">
        <w:rPr>
          <w:lang w:val="en-US"/>
        </w:rPr>
        <w:fldChar w:fldCharType="separate"/>
      </w:r>
      <w:r w:rsidRPr="00270593">
        <w:rPr>
          <w:noProof/>
          <w:vertAlign w:val="superscript"/>
          <w:lang w:val="en-US"/>
        </w:rPr>
        <w:t>21</w:t>
      </w:r>
      <w:r w:rsidRPr="00A57510">
        <w:rPr>
          <w:lang w:val="en-US"/>
        </w:rPr>
        <w:fldChar w:fldCharType="end"/>
      </w:r>
      <w:r w:rsidRPr="00A57510">
        <w:rPr>
          <w:lang w:val="en-US"/>
        </w:rPr>
        <w:t xml:space="preserve">. Gene-Gene interactions within co-expressed genes were determined using the </w:t>
      </w:r>
      <w:proofErr w:type="spellStart"/>
      <w:r w:rsidRPr="00A57510">
        <w:rPr>
          <w:lang w:val="en-US"/>
        </w:rPr>
        <w:t>HitPredict</w:t>
      </w:r>
      <w:proofErr w:type="spellEnd"/>
      <w:r w:rsidRPr="00A57510">
        <w:rPr>
          <w:lang w:val="en-US"/>
        </w:rPr>
        <w:t xml:space="preserve"> database</w:t>
      </w:r>
      <w:r w:rsidRPr="00A57510">
        <w:rPr>
          <w:lang w:val="en-US"/>
        </w:rPr>
        <w:fldChar w:fldCharType="begin" w:fldLock="1"/>
      </w:r>
      <w:r>
        <w:rPr>
          <w:lang w:val="en-US"/>
        </w:rPr>
        <w:instrText>ADDIN CSL_CITATION {"citationItems":[{"id":"ITEM-1","itemData":{"author":[{"dropping-particle":"","family":"Lopez","given":"Yosavany","non-dropping-particle":"","parse-names":false,"suffix":""},{"dropping-particle":"","family":"Nakai","given":"Kenta","non-dropping-particle":"","parse-names":false,"suffix":""},{"dropping-particle":"","family":"Patil","given":"Ashwini","non-dropping-particle":"","parse-names":false,"suffix":""}],"container-title":"Database","id":"ITEM-1","issued":{"date-parts":[["2015"]]},"title":"HitPredict Version 4: Comprehensive Reliability Scoring of Physical Protein-Protein Interactions From More Than 100 Species - PubMed","type":"article-journal"},"uris":["http://www.mendeley.com/documents/?uuid=dfec106f-4ac6-34a5-9688-a9b31aab8a80"]}],"mendeley":{"formattedCitation":"&lt;sup&gt;22&lt;/sup&gt;","plainTextFormattedCitation":"22","previouslyFormattedCitation":"&lt;sup&gt;22&lt;/sup&gt;"},"properties":{"noteIndex":0},"schema":"https://github.com/citation-style-language/schema/raw/master/csl-citation.json"}</w:instrText>
      </w:r>
      <w:r w:rsidRPr="00A57510">
        <w:rPr>
          <w:lang w:val="en-US"/>
        </w:rPr>
        <w:fldChar w:fldCharType="separate"/>
      </w:r>
      <w:r w:rsidRPr="00270593">
        <w:rPr>
          <w:noProof/>
          <w:vertAlign w:val="superscript"/>
          <w:lang w:val="en-US"/>
        </w:rPr>
        <w:t>22</w:t>
      </w:r>
      <w:r w:rsidRPr="00A57510">
        <w:rPr>
          <w:lang w:val="en-US"/>
        </w:rPr>
        <w:fldChar w:fldCharType="end"/>
      </w:r>
      <w:r w:rsidRPr="00A57510">
        <w:rPr>
          <w:lang w:val="en-US"/>
        </w:rPr>
        <w:t xml:space="preserve">. </w:t>
      </w:r>
      <w:r>
        <w:t>WGCNA (R package in R studio v</w:t>
      </w:r>
      <w:r w:rsidRPr="00684E67">
        <w:t>ersion 1.2.1335</w:t>
      </w:r>
      <w:r>
        <w:t xml:space="preserve">) </w:t>
      </w:r>
      <w:r w:rsidRPr="00A57510">
        <w:rPr>
          <w:lang w:val="en-US"/>
        </w:rPr>
        <w:t>was used to establish gene co-expression modules and assess correlation between continuous clinical outcome variables</w:t>
      </w:r>
      <w:r w:rsidRPr="00A57510">
        <w:rPr>
          <w:lang w:val="en-US"/>
        </w:rPr>
        <w:fldChar w:fldCharType="begin" w:fldLock="1"/>
      </w:r>
      <w:r>
        <w:rPr>
          <w:lang w:val="en-US"/>
        </w:rPr>
        <w:instrText>ADDIN CSL_CITATION {"citationItems":[{"id":"ITEM-1","itemData":{"DOI":"10.1186/1471-2105-9-559","ISSN":"14712105","PMID":"19114008","abstract":"Background: Correlation networks are increasingly being used in bioinformatics applications. For example, weighted gene co-expression network analysis is a systems biology method for describing the correlation patterns among genes across microarray samples. Weighted correlation network analysis (WGCNA) can be used for finding clusters (modules) of highly correlated genes, for summarizing such clusters using the module eigengene or an intramodular hub gene, for relating modules to one another and to external sample traits (using eigengene network methodology), and for calculating module membership measures. Correlation networks facilitate network based gene screening methods that can be used to identify candidate biomarkers or therapeutic targets. These methods have been successfully applied in various biological contexts, e.g. cancer, mouse genetics, yeast genetics, and analysis of brain imaging data. While parts of the correlation network methodology have been described in separate publications, there is a need to provide a user-friendly, comprehensive, and consistent software implementation and an accompanying tutorial. Results: The WGCNA R software package is a comprehensive collection of R functions for performing various aspects of weighted correlation network analysis. The package includes functions for network construction, module detection, gene selection, calculations of topological properties, data simulation, visualization, and interfacing with external software. Along with the R package we also present R software tutorials. While the methods development was motivated by gene expression data, the underlying data mining approach can be applied to a variety of different settings. Conclusion: The WGCNA package provides R functions for weighted correlation network analysis, e.g. co-expression network analysis of gene expression data. The R package along with its source code and additional material are freely available at http://www.genetics.ucla.edu/ labs/horvath/CoexpressionNetwork/Rpackages/WGCNA. © 2008 Langfelder and Horvath; licensee BioMed Central Ltd.","author":[{"dropping-particle":"","family":"Langfelder","given":"Peter","non-dropping-particle":"","parse-names":false,"suffix":""},{"dropping-particle":"","family":"Horvath","given":"Steve","non-dropping-particle":"","parse-names":false,"suffix":""}],"container-title":"BMC Bioinformatics","id":"ITEM-1","issue":"1","issued":{"date-parts":[["2008","12","29"]]},"page":"559","publisher":"BioMed Central","title":"WGCNA: An R package for weighted correlation network analysis","type":"article-journal","volume":"9"},"uris":["http://www.mendeley.com/documents/?uuid=ea432cbd-d911-30ff-9251-1ed4387d5609"]}],"mendeley":{"formattedCitation":"&lt;sup&gt;23&lt;/sup&gt;","plainTextFormattedCitation":"23","previouslyFormattedCitation":"&lt;sup&gt;23&lt;/sup&gt;"},"properties":{"noteIndex":0},"schema":"https://github.com/citation-style-language/schema/raw/master/csl-citation.json"}</w:instrText>
      </w:r>
      <w:r w:rsidRPr="00A57510">
        <w:rPr>
          <w:lang w:val="en-US"/>
        </w:rPr>
        <w:fldChar w:fldCharType="separate"/>
      </w:r>
      <w:r w:rsidRPr="00270593">
        <w:rPr>
          <w:noProof/>
          <w:vertAlign w:val="superscript"/>
          <w:lang w:val="en-US"/>
        </w:rPr>
        <w:t>23</w:t>
      </w:r>
      <w:r w:rsidRPr="00A57510">
        <w:rPr>
          <w:lang w:val="en-US"/>
        </w:rPr>
        <w:fldChar w:fldCharType="end"/>
      </w:r>
      <w:r w:rsidRPr="00A57510">
        <w:rPr>
          <w:lang w:val="en-US"/>
        </w:rPr>
        <w:t xml:space="preserve">. </w:t>
      </w:r>
    </w:p>
    <w:p w14:paraId="5102B0FF" w14:textId="77777777" w:rsidR="00B60E59" w:rsidRPr="00A57510" w:rsidRDefault="00B60E59" w:rsidP="00B60E59">
      <w:pPr>
        <w:spacing w:line="480" w:lineRule="auto"/>
        <w:rPr>
          <w:lang w:val="en-US"/>
        </w:rPr>
      </w:pPr>
      <w:r w:rsidRPr="00A57510">
        <w:rPr>
          <w:lang w:val="en-US"/>
        </w:rPr>
        <w:t>We assessed for enrichment of genes in specific WGCNA modules, and differentially expressed genes (DEGs), in specific pathways using ToppFun</w:t>
      </w:r>
      <w:r w:rsidRPr="00A57510">
        <w:rPr>
          <w:lang w:val="en-US"/>
        </w:rPr>
        <w:fldChar w:fldCharType="begin" w:fldLock="1"/>
      </w:r>
      <w:r>
        <w:rPr>
          <w:lang w:val="en-US"/>
        </w:rPr>
        <w:instrText>ADDIN CSL_CITATION {"citationItems":[{"id":"ITEM-1","itemData":{"DOI":"10.1093/nar/gkp427","ISSN":"1362-4962","PMID":"19465376","abstract":"ToppGene Suite (http://toppgene.cchmc.org; this web site is free and open to all users and does not require a login to access) is a one-stop portal for (i) gene list functional enrichment, (ii) candidate gene prioritization using either functional annotations or network analysis and (iii) identification and prioritization of novel disease candidate genes in the interactome. Functional annotation-based disease candidate gene prioritization uses a fuzzy-based similarity measure to compute the similarity between any two genes based on semantic annotations. The similarity scores from individual features are combined into an overall score using statistical meta-analysis. A P-value of each annotation of a test gene is derived by random sampling of the whole genome. The protein-protein interaction network (PPIN)-based disease candidate gene prioritization uses social and Web networks analysis algorithms (extended versions of the PageRank and HITS algorithms, and the K-Step Markov method). We demonstrate the utility of ToppGene Suite using 20 recently reported GWAS-based gene-disease associations (including novel disease genes) representing five diseases. ToppGene ranked 19 of 20 (95%) candidate genes within the top 20%, while ToppNet ranked 12 of 16 (75%) candidate genes among the top 20%.","author":[{"dropping-particle":"","family":"Chen","given":"Jing","non-dropping-particle":"","parse-names":false,"suffix":""},{"dropping-particle":"","family":"Bardes","given":"Eric E","non-dropping-particle":"","parse-names":false,"suffix":""},{"dropping-particle":"","family":"Aronow","given":"Bruce J","non-dropping-particle":"","parse-names":false,"suffix":""},{"dropping-particle":"","family":"Jegga","given":"Anil G","non-dropping-particle":"","parse-names":false,"suffix":""}],"container-title":"Nucleic acids research","id":"ITEM-1","issue":"Web Server issue","issued":{"date-parts":[["2009","7"]]},"page":"W305-11","title":"ToppGene Suite for gene list enrichment analysis and candidate gene prioritization.","type":"article-journal","volume":"37"},"uris":["http://www.mendeley.com/documents/?uuid=634025f1-7b96-387e-8def-15742d2ca965"]}],"mendeley":{"formattedCitation":"&lt;sup&gt;24&lt;/sup&gt;","plainTextFormattedCitation":"24","previouslyFormattedCitation":"&lt;sup&gt;24&lt;/sup&gt;"},"properties":{"noteIndex":0},"schema":"https://github.com/citation-style-language/schema/raw/master/csl-citation.json"}</w:instrText>
      </w:r>
      <w:r w:rsidRPr="00A57510">
        <w:rPr>
          <w:lang w:val="en-US"/>
        </w:rPr>
        <w:fldChar w:fldCharType="separate"/>
      </w:r>
      <w:r w:rsidRPr="00270593">
        <w:rPr>
          <w:noProof/>
          <w:vertAlign w:val="superscript"/>
          <w:lang w:val="en-US"/>
        </w:rPr>
        <w:t>24</w:t>
      </w:r>
      <w:r w:rsidRPr="00A57510">
        <w:rPr>
          <w:lang w:val="en-US"/>
        </w:rPr>
        <w:fldChar w:fldCharType="end"/>
      </w:r>
      <w:r w:rsidRPr="00A57510">
        <w:rPr>
          <w:lang w:val="en-US"/>
        </w:rPr>
        <w:t>, EnRichR</w:t>
      </w:r>
      <w:r w:rsidRPr="00A57510">
        <w:rPr>
          <w:lang w:val="en-US"/>
        </w:rPr>
        <w:fldChar w:fldCharType="begin" w:fldLock="1"/>
      </w:r>
      <w:r>
        <w:rPr>
          <w:lang w:val="en-US"/>
        </w:rPr>
        <w:instrText>ADDIN CSL_CITATION {"citationItems":[{"id":"ITEM-1","itemData":{"DOI":"10.1093/nar/gkw377","ISSN":"13624962","PMID":"27141961","abstract":"Enrichment analysis is a popular method for analyzing gene sets generated by genome-wide experiments. Here we present a significant update to one of the tools in this domain called Enrichr. Enrichr currently contains a large collection of diverse gene set libraries available for analysis and download. In total, Enrichr currently contains 180 184 annotated gene sets from 102 gene set libraries. New features have been added to Enrichr including the ability to submit fuzzy sets, upload BED files, improved application programming interface and visualization of the results as clustergrams. Overall, Enrichr is a comprehensive resource for curated gene sets and a search engine that accumulates biological knowledge for further biological discoveries. Enrichr is freely available at: http://amp.pharm.mssm.edu/Enrichr.","author":[{"dropping-particle":"V.","family":"Kuleshov","given":"Maxim","non-dropping-particle":"","parse-names":false,"suffix":""},{"dropping-particle":"","family":"Jones","given":"Matthew R.","non-dropping-particle":"","parse-names":false,"suffix":""},{"dropping-particle":"","family":"Rouillard","given":"Andrew D.","non-dropping-particle":"","parse-names":false,"suffix":""},{"dropping-particle":"","family":"Fernandez","given":"Nicolas F.","non-dropping-particle":"","parse-names":false,"suffix":""},{"dropping-particle":"","family":"Duan","given":"Qiaonan","non-dropping-particle":"","parse-names":false,"suffix":""},{"dropping-particle":"","family":"Wang","given":"Zichen","non-dropping-particle":"","parse-names":false,"suffix":""},{"dropping-particle":"","family":"Koplev","given":"Simon","non-dropping-particle":"","parse-names":false,"suffix":""},{"dropping-particle":"","family":"Jenkins","given":"Sherry L.","non-dropping-particle":"","parse-names":false,"suffix":""},{"dropping-particle":"","family":"Jagodnik","given":"Kathleen M.","non-dropping-particle":"","parse-names":false,"suffix":""},{"dropping-particle":"","family":"Lachmann","given":"Alexander","non-dropping-particle":"","parse-names":false,"suffix":""},{"dropping-particle":"","family":"McDermott","given":"Michael G.","non-dropping-particle":"","parse-names":false,"suffix":""},{"dropping-particle":"","family":"Monteiro","given":"Caroline D.","non-dropping-particle":"","parse-names":false,"suffix":""},{"dropping-particle":"","family":"Gundersen","given":"Gregory W.","non-dropping-particle":"","parse-names":false,"suffix":""},{"dropping-particle":"","family":"Ma'ayan","given":"Avi","non-dropping-particle":"","parse-names":false,"suffix":""}],"container-title":"Nucleic acids research","id":"ITEM-1","issue":"W1","issued":{"date-parts":[["2016","7","8"]]},"page":"W90-W97","title":"Enrichr: a comprehensive gene set enrichment analysis web server 2016 update","type":"article-journal","volume":"44"},"uris":["http://www.mendeley.com/documents/?uuid=06d29746-46c0-37f2-90e7-4a154374d0a0"]}],"mendeley":{"formattedCitation":"&lt;sup&gt;25&lt;/sup&gt;","plainTextFormattedCitation":"25","previouslyFormattedCitation":"&lt;sup&gt;25&lt;/sup&gt;"},"properties":{"noteIndex":0},"schema":"https://github.com/citation-style-language/schema/raw/master/csl-citation.json"}</w:instrText>
      </w:r>
      <w:r w:rsidRPr="00A57510">
        <w:rPr>
          <w:lang w:val="en-US"/>
        </w:rPr>
        <w:fldChar w:fldCharType="separate"/>
      </w:r>
      <w:r w:rsidRPr="00270593">
        <w:rPr>
          <w:noProof/>
          <w:vertAlign w:val="superscript"/>
          <w:lang w:val="en-US"/>
        </w:rPr>
        <w:t>25</w:t>
      </w:r>
      <w:r w:rsidRPr="00A57510">
        <w:rPr>
          <w:lang w:val="en-US"/>
        </w:rPr>
        <w:fldChar w:fldCharType="end"/>
      </w:r>
      <w:r w:rsidRPr="00A57510">
        <w:rPr>
          <w:lang w:val="en-US"/>
        </w:rPr>
        <w:t xml:space="preserve"> and BioPlanet</w:t>
      </w:r>
      <w:r w:rsidRPr="00A57510">
        <w:rPr>
          <w:lang w:val="en-US"/>
        </w:rPr>
        <w:fldChar w:fldCharType="begin" w:fldLock="1"/>
      </w:r>
      <w:r>
        <w:rPr>
          <w:lang w:val="en-US"/>
        </w:rPr>
        <w:instrText>ADDIN CSL_CITATION {"citationItems":[{"id":"ITEM-1","itemData":{"DOI":"10.3389/fphar.2019.00445","ISSN":"1663-9812","abstract":"Chemical genomics aims to comprehensively define, and ultimately predict, the effects of small molecule compounds on biological systems. Chemical activity profiling approaches must consider chemical effects on all pathways operative in mammalian cells. To enable a strategic and maximally efficient chemical profiling of pathway space, we have created the NCATS BioPlanet, a comprehensive integrated pathway resource that incorporates the universe of 1,658 human pathways sourced from publicly available, manually curated sources, which have been subjected to thorough redundancy and consistency cross-evaluation. BioPlanet supports interactive browsing, retrieval, and analysis of pathways, exploration of pathway connections, and pathway search by gene targets, category, and availability of corresponding bioactivity assay, as well as visualization of pathways on a 3-dimensional globe, in which the distance between any two pathways is proportional to their degree of gene component overlap. Using this resource, we propose a strategy to identify a minimal set of 362 biological assays that can interrogate the universe of human pathways. The NCATS BioPlanet is a public resource, which will be continually expanded and updated, for systems biology, toxicology, and chemical genomics, available at http://tripod.nih.gov/bioplanet/.","author":[{"dropping-particle":"","family":"Huang","given":"Ruili","non-dropping-particle":"","parse-names":false,"suffix":""},{"dropping-particle":"","family":"Grishagin","given":"Ivan","non-dropping-particle":"","parse-names":false,"suffix":""},{"dropping-particle":"","family":"Wang","given":"Yuhong","non-dropping-particle":"","parse-names":false,"suffix":""},{"dropping-particle":"","family":"Zhao","given":"Tongan","non-dropping-particle":"","parse-names":false,"suffix":""},{"dropping-particle":"","family":"Greene","given":"Jon","non-dropping-particle":"","parse-names":false,"suffix":""},{"dropping-particle":"","family":"Obenauer","given":"John C.","non-dropping-particle":"","parse-names":false,"suffix":""},{"dropping-particle":"","family":"Ngan","given":"Deborah","non-dropping-particle":"","parse-names":false,"suffix":""},{"dropping-particle":"","family":"Nguyen","given":"Dac-Trung","non-dropping-particle":"","parse-names":false,"suffix":""},{"dropping-particle":"","family":"Guha","given":"Rajarshi","non-dropping-particle":"","parse-names":false,"suffix":""},{"dropping-particle":"","family":"Jadhav","given":"Ajit","non-dropping-particle":"","parse-names":false,"suffix":""},{"dropping-particle":"","family":"Southall","given":"Noel","non-dropping-particle":"","parse-names":false,"suffix":""},{"dropping-particle":"","family":"Simeonov","given":"Anton","non-dropping-particle":"","parse-names":false,"suffix":""},{"dropping-particle":"","family":"Austin","given":"Christopher P.","non-dropping-particle":"","parse-names":false,"suffix":""}],"container-title":"Frontiers in Pharmacology","id":"ITEM-1","issue":"APR","issued":{"date-parts":[["2019","4","26"]]},"page":"445","publisher":"Frontiers Media S.A.","title":"The NCATS BioPlanet – An Integrated Platform for Exploring the Universe of Cellular Signaling Pathways for Toxicology, Systems Biology, and Chemical Genomics","type":"article-journal","volume":"10"},"uris":["http://www.mendeley.com/documents/?uuid=95621ab8-5fec-3564-8dab-d57e12eb3027"]}],"mendeley":{"formattedCitation":"&lt;sup&gt;26&lt;/sup&gt;","plainTextFormattedCitation":"26","previouslyFormattedCitation":"&lt;sup&gt;26&lt;/sup&gt;"},"properties":{"noteIndex":0},"schema":"https://github.com/citation-style-language/schema/raw/master/csl-citation.json"}</w:instrText>
      </w:r>
      <w:r w:rsidRPr="00A57510">
        <w:rPr>
          <w:lang w:val="en-US"/>
        </w:rPr>
        <w:fldChar w:fldCharType="separate"/>
      </w:r>
      <w:r w:rsidRPr="00270593">
        <w:rPr>
          <w:noProof/>
          <w:vertAlign w:val="superscript"/>
          <w:lang w:val="en-US"/>
        </w:rPr>
        <w:t>26</w:t>
      </w:r>
      <w:r w:rsidRPr="00A57510">
        <w:rPr>
          <w:lang w:val="en-US"/>
        </w:rPr>
        <w:fldChar w:fldCharType="end"/>
      </w:r>
      <w:r w:rsidRPr="00A57510">
        <w:rPr>
          <w:lang w:val="en-US"/>
        </w:rPr>
        <w:t>. Statistical analysis was performed using Reveal software and SPSS (v25, IBM).</w:t>
      </w:r>
    </w:p>
    <w:p w14:paraId="6F4CF90E" w14:textId="77777777" w:rsidR="00B60E59" w:rsidRPr="00A57510" w:rsidRDefault="00B60E59" w:rsidP="00B60E59">
      <w:pPr>
        <w:spacing w:line="480" w:lineRule="auto"/>
        <w:rPr>
          <w:lang w:val="en-US"/>
        </w:rPr>
      </w:pPr>
      <w:r w:rsidRPr="00A57510">
        <w:rPr>
          <w:lang w:val="en-US"/>
        </w:rPr>
        <w:t>Raw read count matrix and metadata spreadsheet are available in the NCBI Gene Expression Omnibus (</w:t>
      </w:r>
      <w:r w:rsidRPr="001A1C30">
        <w:rPr>
          <w:lang w:val="en-US"/>
        </w:rPr>
        <w:t>GSE153974</w:t>
      </w:r>
      <w:r w:rsidRPr="00A57510">
        <w:rPr>
          <w:lang w:val="en-US"/>
        </w:rPr>
        <w:t xml:space="preserve">). </w:t>
      </w:r>
    </w:p>
    <w:p w14:paraId="76FB86CB" w14:textId="77777777" w:rsidR="00B60E59" w:rsidRPr="00A57510" w:rsidRDefault="00B60E59" w:rsidP="00B60E59">
      <w:pPr>
        <w:spacing w:line="480" w:lineRule="auto"/>
        <w:rPr>
          <w:rFonts w:ascii="Calibri" w:hAnsi="Calibri" w:cs="Calibri"/>
          <w:u w:val="single"/>
          <w:lang w:val="en-US"/>
        </w:rPr>
      </w:pPr>
      <w:r w:rsidRPr="00A57510">
        <w:rPr>
          <w:rFonts w:ascii="Calibri" w:hAnsi="Calibri" w:cs="Calibri"/>
          <w:u w:val="single"/>
          <w:lang w:val="en-US"/>
        </w:rPr>
        <w:t xml:space="preserve">Single-cell transcriptomic analysis </w:t>
      </w:r>
    </w:p>
    <w:p w14:paraId="2A6F0B90" w14:textId="77777777" w:rsidR="00B60E59" w:rsidRDefault="00B60E59" w:rsidP="00B60E59">
      <w:pPr>
        <w:spacing w:line="480" w:lineRule="auto"/>
      </w:pPr>
      <w:r w:rsidRPr="00A57510">
        <w:rPr>
          <w:rFonts w:ascii="Calibri" w:hAnsi="Calibri" w:cs="Calibri"/>
          <w:lang w:val="en-US"/>
        </w:rPr>
        <w:t xml:space="preserve">Fresh ileal tissue biopsies from two Crohn’s disease patients were digested within </w:t>
      </w:r>
      <w:r>
        <w:rPr>
          <w:rFonts w:ascii="Calibri" w:hAnsi="Calibri" w:cs="Calibri"/>
          <w:lang w:val="en-US"/>
        </w:rPr>
        <w:t>1</w:t>
      </w:r>
      <w:r w:rsidRPr="00A57510">
        <w:rPr>
          <w:rFonts w:ascii="Calibri" w:hAnsi="Calibri" w:cs="Calibri"/>
          <w:lang w:val="en-US"/>
        </w:rPr>
        <w:t>0 minutes of biopsy procedure</w:t>
      </w:r>
      <w:r>
        <w:rPr>
          <w:rFonts w:ascii="Calibri" w:hAnsi="Calibri" w:cs="Calibri"/>
          <w:lang w:val="en-US"/>
        </w:rPr>
        <w:t>, cells were disaggregated, slow frozen (10%DMSO) and thawed just before use</w:t>
      </w:r>
      <w:r w:rsidRPr="00A57510">
        <w:rPr>
          <w:rFonts w:ascii="Calibri" w:hAnsi="Calibri" w:cs="Calibri"/>
          <w:lang w:val="en-US"/>
        </w:rPr>
        <w:t xml:space="preserve">. </w:t>
      </w:r>
    </w:p>
    <w:p w14:paraId="011B69DC" w14:textId="77777777" w:rsidR="00B60E59" w:rsidRPr="0043687B" w:rsidRDefault="00B60E59" w:rsidP="00B60E59">
      <w:pPr>
        <w:spacing w:line="480" w:lineRule="auto"/>
        <w:rPr>
          <w:rFonts w:ascii="Calibri" w:hAnsi="Calibri" w:cs="Calibri"/>
        </w:rPr>
      </w:pPr>
      <w:r w:rsidRPr="0043687B">
        <w:rPr>
          <w:rFonts w:ascii="Calibri" w:hAnsi="Calibri" w:cs="Calibri"/>
        </w:rPr>
        <w:t>Co-encapsulation of single cells with genetically encoded beads was performed following the Drop-</w:t>
      </w:r>
      <w:proofErr w:type="spellStart"/>
      <w:r w:rsidRPr="0043687B">
        <w:rPr>
          <w:rFonts w:ascii="Calibri" w:hAnsi="Calibri" w:cs="Calibri"/>
        </w:rPr>
        <w:t>seq</w:t>
      </w:r>
      <w:proofErr w:type="spellEnd"/>
      <w:r w:rsidRPr="0043687B">
        <w:rPr>
          <w:rFonts w:ascii="Calibri" w:hAnsi="Calibri" w:cs="Calibri"/>
        </w:rPr>
        <w:t xml:space="preserve"> pipeline</w:t>
      </w:r>
      <w:r>
        <w:rPr>
          <w:rFonts w:ascii="Calibri" w:hAnsi="Calibri" w:cs="Calibri"/>
        </w:rPr>
        <w:fldChar w:fldCharType="begin" w:fldLock="1"/>
      </w:r>
      <w:r>
        <w:rPr>
          <w:rFonts w:ascii="Calibri" w:hAnsi="Calibri" w:cs="Calibri"/>
        </w:rPr>
        <w:instrText>ADDIN CSL_CITATION {"citationItems":[{"id":"ITEM-1","itemData":{"DOI":"10.1101/800631","abstract":"Single-cell transcriptomics has sensitivity limits that restrict low abundance transcript identification, affects clustering and introduce artefact. Here, we describe Constellation DropSeq (C-DropSeq), a molecular transcriptome filter that delivers two orders of magnitude sensitivity gains by maximising read utility while reducing sequencing depth and costs. The simple and powerful method is broadly compatible with library preparation routines and was demonstrated by identifying and characterizing the activation of rare dendritic cell sub-populations.","author":[{"dropping-particle":"","family":"Vallejo","given":"Andres F.","non-dropping-particle":"","parse-names":false,"suffix":""},{"dropping-particle":"","family":"Davies","given":"James","non-dropping-particle":"","parse-names":false,"suffix":""},{"dropping-particle":"","family":"Grover","given":"Amit","non-dropping-particle":"","parse-names":false,"suffix":""},{"dropping-particle":"","family":"Tsai","given":"Ching-Hsuan","non-dropping-particle":"","parse-names":false,"suffix":""},{"dropping-particle":"","family":"Jepras","given":"Robert","non-dropping-particle":"","parse-names":false,"suffix":""},{"dropping-particle":"","family":"Polak","given":"Marta E.","non-dropping-particle":"","parse-names":false,"suffix":""},{"dropping-particle":"","family":"West","given":"Jonathan","non-dropping-particle":"","parse-names":false,"suffix":""}],"container-title":"bioRxiv","id":"ITEM-1","issued":{"date-parts":[["2019","11","6"]]},"page":"800631","publisher":"Cold Spring Harbor Laboratory","title":"Resolving cellular systems by ultra-sensitive and economical single-cell transcriptome filtering","type":"article-journal"},"uris":["http://www.mendeley.com/documents/?uuid=c13a0611-c28d-3843-b617-ce0d37299765"]},{"id":"ITEM-2","itemData":{"DOI":"10.1016/j.cell.2015.05.002","ISSN":"1097-4172","PMID":"26000488","abstract":"Cells, the basic units of biological structure and function, vary broadly in type and state. Single-cell genomics can characterize cell identity and function, but limitations of ease and scale have prevented its broad application. Here we describe Drop-seq, a strategy for quickly profiling thousands of individual cells by separating them into nanoliter-sized aqueous droplets, associating a different barcode with each cell's RNAs, and sequencing them all together. Drop-seq analyzes mRNA transcripts from thousands of individual cells simultaneously while remembering transcripts' cell of origin. We analyzed transcriptomes from 44,808 mouse retinal cells and identified 39 transcriptionally distinct cell populations, creating a molecular atlas of gene expression for known retinal cell classes and novel candidate cell subtypes. Drop-seq will accelerate biological discovery by enabling routine transcriptional profiling at single-cell resolution. VIDEO ABSTRACT.","author":[{"dropping-particle":"","family":"Macosko","given":"Evan Z","non-dropping-particle":"","parse-names":false,"suffix":""},{"dropping-particle":"","family":"Basu","given":"Anindita","non-dropping-particle":"","parse-names":false,"suffix":""},{"dropping-particle":"","family":"Satija","given":"Rahul","non-dropping-particle":"","parse-names":false,"suffix":""},{"dropping-particle":"","family":"Nemesh","given":"James","non-dropping-particle":"","parse-names":false,"suffix":""},{"dropping-particle":"","family":"Shekhar","given":"Karthik","non-dropping-particle":"","parse-names":false,"suffix":""},{"dropping-particle":"","family":"Goldman","given":"Melissa","non-dropping-particle":"","parse-names":false,"suffix":""},{"dropping-particle":"","family":"Tirosh","given":"Itay","non-dropping-particle":"","parse-names":false,"suffix":""},{"dropping-particle":"","family":"Bialas","given":"Allison R","non-dropping-particle":"","parse-names":false,"suffix":""},{"dropping-particle":"","family":"Kamitaki","given":"Nolan","non-dropping-particle":"","parse-names":false,"suffix":""},{"dropping-particle":"","family":"Martersteck","given":"Emily M","non-dropping-particle":"","parse-names":false,"suffix":""},{"dropping-particle":"","family":"Trombetta","given":"John J","non-dropping-particle":"","parse-names":false,"suffix":""},{"dropping-particle":"","family":"Weitz","given":"David A","non-dropping-particle":"","parse-names":false,"suffix":""},{"dropping-particle":"","family":"Sanes","given":"Joshua R","non-dropping-particle":"","parse-names":false,"suffix":""},{"dropping-particle":"","family":"Shalek","given":"Alex K","non-dropping-particle":"","parse-names":false,"suffix":""},{"dropping-particle":"","family":"Regev","given":"Aviv","non-dropping-particle":"","parse-names":false,"suffix":""},{"dropping-particle":"","family":"McCarroll","given":"Steven A","non-dropping-particle":"","parse-names":false,"suffix":""}],"container-title":"Cell","id":"ITEM-2","issue":"5","issued":{"date-parts":[["2015","5","21"]]},"page":"1202-1214","publisher":"Elsevier","title":"Highly Parallel Genome-wide Expression Profiling of Individual Cells Using Nanoliter Droplets.","type":"article-journal","volume":"161"},"uris":["http://www.mendeley.com/documents/?uuid=c5996faa-c501-35e9-ab5d-339370098ef2"]}],"mendeley":{"formattedCitation":"&lt;sup&gt;27,28&lt;/sup&gt;","plainTextFormattedCitation":"27,28","previouslyFormattedCitation":"&lt;sup&gt;27,28&lt;/sup&gt;"},"properties":{"noteIndex":0},"schema":"https://github.com/citation-style-language/schema/raw/master/csl-citation.json"}</w:instrText>
      </w:r>
      <w:r>
        <w:rPr>
          <w:rFonts w:ascii="Calibri" w:hAnsi="Calibri" w:cs="Calibri"/>
        </w:rPr>
        <w:fldChar w:fldCharType="separate"/>
      </w:r>
      <w:r w:rsidRPr="00102C57">
        <w:rPr>
          <w:rFonts w:ascii="Calibri" w:hAnsi="Calibri" w:cs="Calibri"/>
          <w:noProof/>
          <w:vertAlign w:val="superscript"/>
        </w:rPr>
        <w:t>27,28</w:t>
      </w:r>
      <w:r>
        <w:rPr>
          <w:rFonts w:ascii="Calibri" w:hAnsi="Calibri" w:cs="Calibri"/>
        </w:rPr>
        <w:fldChar w:fldCharType="end"/>
      </w:r>
      <w:r w:rsidRPr="0043687B">
        <w:rPr>
          <w:rFonts w:ascii="Calibri" w:hAnsi="Calibri" w:cs="Calibri"/>
        </w:rPr>
        <w:t xml:space="preserve">. Optimised microfluidics parameters were used, ensuring the generation of </w:t>
      </w:r>
      <w:proofErr w:type="gramStart"/>
      <w:r w:rsidRPr="0043687B">
        <w:rPr>
          <w:rFonts w:ascii="Calibri" w:hAnsi="Calibri" w:cs="Calibri"/>
        </w:rPr>
        <w:t>single-</w:t>
      </w:r>
      <w:r w:rsidRPr="0043687B">
        <w:rPr>
          <w:rFonts w:ascii="Calibri" w:hAnsi="Calibri" w:cs="Calibri"/>
        </w:rPr>
        <w:lastRenderedPageBreak/>
        <w:t>cell</w:t>
      </w:r>
      <w:proofErr w:type="gramEnd"/>
      <w:r w:rsidRPr="0043687B">
        <w:rPr>
          <w:rFonts w:ascii="Calibri" w:hAnsi="Calibri" w:cs="Calibri"/>
        </w:rPr>
        <w:t xml:space="preserve">/single barcoded Bead </w:t>
      </w:r>
      <w:proofErr w:type="spellStart"/>
      <w:r w:rsidRPr="0043687B">
        <w:rPr>
          <w:rFonts w:ascii="Calibri" w:hAnsi="Calibri" w:cs="Calibri"/>
        </w:rPr>
        <w:t>SeqB</w:t>
      </w:r>
      <w:proofErr w:type="spellEnd"/>
      <w:r w:rsidRPr="0043687B">
        <w:rPr>
          <w:rFonts w:ascii="Calibri" w:hAnsi="Calibri" w:cs="Calibri"/>
        </w:rPr>
        <w:t xml:space="preserve"> (</w:t>
      </w:r>
      <w:proofErr w:type="spellStart"/>
      <w:r w:rsidRPr="0043687B">
        <w:rPr>
          <w:rFonts w:ascii="Calibri" w:hAnsi="Calibri" w:cs="Calibri"/>
        </w:rPr>
        <w:t>Chemgenes</w:t>
      </w:r>
      <w:proofErr w:type="spellEnd"/>
      <w:r w:rsidRPr="0043687B">
        <w:rPr>
          <w:rFonts w:ascii="Calibri" w:hAnsi="Calibri" w:cs="Calibri"/>
        </w:rPr>
        <w:t>, USA) encapsulation events</w:t>
      </w:r>
      <w:r>
        <w:rPr>
          <w:rFonts w:ascii="Calibri" w:hAnsi="Calibri" w:cs="Calibri"/>
        </w:rPr>
        <w:t xml:space="preserve">. </w:t>
      </w:r>
      <w:r w:rsidRPr="0043687B">
        <w:rPr>
          <w:rFonts w:ascii="Calibri" w:hAnsi="Calibri" w:cs="Calibri"/>
        </w:rPr>
        <w:t xml:space="preserve">Following encapsulation, ~4500 STAMPS (beads exposed to a single cell) from 1.2 ml of cell suspension were generated. 1000 STAMPS for each biopsy were taken further for library preparation (High Sensitivity DNA Assay, Agilent </w:t>
      </w:r>
      <w:proofErr w:type="spellStart"/>
      <w:r w:rsidRPr="0043687B">
        <w:rPr>
          <w:rFonts w:ascii="Calibri" w:hAnsi="Calibri" w:cs="Calibri"/>
        </w:rPr>
        <w:t>Bioanalyser</w:t>
      </w:r>
      <w:proofErr w:type="spellEnd"/>
      <w:r w:rsidRPr="0043687B">
        <w:rPr>
          <w:rFonts w:ascii="Calibri" w:hAnsi="Calibri" w:cs="Calibri"/>
        </w:rPr>
        <w:t xml:space="preserve">, 12 peaks with the average fragment size 500 bp). Prepared libraries were run on an Illumina </w:t>
      </w:r>
      <w:proofErr w:type="spellStart"/>
      <w:r w:rsidRPr="0043687B">
        <w:rPr>
          <w:rFonts w:ascii="Calibri" w:hAnsi="Calibri" w:cs="Calibri"/>
        </w:rPr>
        <w:t>NextSeq</w:t>
      </w:r>
      <w:proofErr w:type="spellEnd"/>
      <w:r w:rsidRPr="0043687B">
        <w:rPr>
          <w:rFonts w:ascii="Calibri" w:hAnsi="Calibri" w:cs="Calibri"/>
        </w:rPr>
        <w:t xml:space="preserve"> (1 × 10</w:t>
      </w:r>
      <w:r w:rsidRPr="00FB5A99">
        <w:rPr>
          <w:rFonts w:ascii="Calibri" w:hAnsi="Calibri" w:cs="Calibri"/>
          <w:vertAlign w:val="superscript"/>
        </w:rPr>
        <w:t>5</w:t>
      </w:r>
      <w:r w:rsidRPr="0043687B">
        <w:rPr>
          <w:rFonts w:ascii="Calibri" w:hAnsi="Calibri" w:cs="Calibri"/>
        </w:rPr>
        <w:t xml:space="preserve"> reads/cell</w:t>
      </w:r>
      <w:r>
        <w:rPr>
          <w:rFonts w:ascii="Calibri" w:hAnsi="Calibri" w:cs="Calibri"/>
        </w:rPr>
        <w:t>)</w:t>
      </w:r>
      <w:r w:rsidRPr="0043687B">
        <w:rPr>
          <w:rFonts w:ascii="Calibri" w:hAnsi="Calibri" w:cs="Calibri"/>
        </w:rPr>
        <w:t xml:space="preserve">. </w:t>
      </w:r>
    </w:p>
    <w:p w14:paraId="13B8C888" w14:textId="77777777" w:rsidR="00B60E59" w:rsidRPr="0043687B" w:rsidRDefault="00B60E59" w:rsidP="00B60E59">
      <w:pPr>
        <w:spacing w:line="480" w:lineRule="auto"/>
        <w:rPr>
          <w:rFonts w:ascii="Calibri" w:hAnsi="Calibri" w:cs="Calibri"/>
        </w:rPr>
      </w:pPr>
      <w:r w:rsidRPr="0043687B">
        <w:rPr>
          <w:rFonts w:ascii="Calibri" w:hAnsi="Calibri" w:cs="Calibri"/>
        </w:rPr>
        <w:t xml:space="preserve">Alignment, read filtering, barcode and </w:t>
      </w:r>
      <w:r w:rsidRPr="006A6E2E">
        <w:rPr>
          <w:rFonts w:ascii="Calibri" w:hAnsi="Calibri" w:cs="Calibri"/>
        </w:rPr>
        <w:t>Unique Molecular Identifier</w:t>
      </w:r>
      <w:r w:rsidRPr="0043687B">
        <w:rPr>
          <w:rFonts w:ascii="Calibri" w:hAnsi="Calibri" w:cs="Calibri"/>
        </w:rPr>
        <w:t xml:space="preserve"> </w:t>
      </w:r>
      <w:r>
        <w:rPr>
          <w:rFonts w:ascii="Calibri" w:hAnsi="Calibri" w:cs="Calibri"/>
        </w:rPr>
        <w:t>(</w:t>
      </w:r>
      <w:r w:rsidRPr="0043687B">
        <w:rPr>
          <w:rFonts w:ascii="Calibri" w:hAnsi="Calibri" w:cs="Calibri"/>
        </w:rPr>
        <w:t>UMI</w:t>
      </w:r>
      <w:r>
        <w:rPr>
          <w:rFonts w:ascii="Calibri" w:hAnsi="Calibri" w:cs="Calibri"/>
        </w:rPr>
        <w:t>)</w:t>
      </w:r>
      <w:r w:rsidRPr="0043687B">
        <w:rPr>
          <w:rFonts w:ascii="Calibri" w:hAnsi="Calibri" w:cs="Calibri"/>
        </w:rPr>
        <w:t xml:space="preserve"> counting were performed using </w:t>
      </w:r>
      <w:r>
        <w:rPr>
          <w:rFonts w:ascii="Calibri" w:hAnsi="Calibri" w:cs="Calibri"/>
        </w:rPr>
        <w:t>STAR</w:t>
      </w:r>
      <w:r>
        <w:rPr>
          <w:rFonts w:ascii="Calibri" w:hAnsi="Calibri" w:cs="Calibri"/>
        </w:rPr>
        <w:fldChar w:fldCharType="begin" w:fldLock="1"/>
      </w:r>
      <w:r>
        <w:rPr>
          <w:rFonts w:ascii="Calibri" w:hAnsi="Calibri" w:cs="Calibri"/>
        </w:rPr>
        <w:instrText>ADDIN CSL_CITATION {"citationItems":[{"id":"ITEM-1","itemData":{"DOI":"10.1093/bioinformatics/bts635","ISSN":"1460-2059","PMID":"23104886","abstract":"MOTIVATION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 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AVAILABILITY AND IMPLEMENTATION STAR is implemented as a standalone C++ code. STAR is free open source software distributed under GPLv3 license and can be downloaded from http://code.google.com/p/rna-star/.","author":[{"dropping-particle":"","family":"Dobin","given":"Alexander","non-dropping-particle":"","parse-names":false,"suffix":""},{"dropping-particle":"","family":"Davis","given":"Carrie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R.","non-dropping-particle":"","parse-names":false,"suffix":""}],"container-title":"Bioinformatics","id":"ITEM-1","issue":"1","issued":{"date-parts":[["2013","1","1"]]},"page":"15-21","title":"STAR: ultrafast universal RNA-seq aligner","type":"article-journal","volume":"29"},"uris":["http://www.mendeley.com/documents/?uuid=636c06fa-cdf5-3869-bf93-508c4f395e50"]}],"mendeley":{"formattedCitation":"&lt;sup&gt;29&lt;/sup&gt;","plainTextFormattedCitation":"29","previouslyFormattedCitation":"&lt;sup&gt;29&lt;/sup&gt;"},"properties":{"noteIndex":0},"schema":"https://github.com/citation-style-language/schema/raw/master/csl-citation.json"}</w:instrText>
      </w:r>
      <w:r>
        <w:rPr>
          <w:rFonts w:ascii="Calibri" w:hAnsi="Calibri" w:cs="Calibri"/>
        </w:rPr>
        <w:fldChar w:fldCharType="separate"/>
      </w:r>
      <w:r w:rsidRPr="00102C57">
        <w:rPr>
          <w:rFonts w:ascii="Calibri" w:hAnsi="Calibri" w:cs="Calibri"/>
          <w:noProof/>
          <w:vertAlign w:val="superscript"/>
        </w:rPr>
        <w:t>29</w:t>
      </w:r>
      <w:r>
        <w:rPr>
          <w:rFonts w:ascii="Calibri" w:hAnsi="Calibri" w:cs="Calibri"/>
        </w:rPr>
        <w:fldChar w:fldCharType="end"/>
      </w:r>
      <w:r w:rsidRPr="0043687B">
        <w:rPr>
          <w:rFonts w:ascii="Calibri" w:hAnsi="Calibri" w:cs="Calibri"/>
        </w:rPr>
        <w:t xml:space="preserve">. </w:t>
      </w:r>
      <w:r w:rsidRPr="00CD6CAD">
        <w:rPr>
          <w:rFonts w:ascii="Calibri" w:hAnsi="Calibri" w:cs="Calibri"/>
        </w:rPr>
        <w:t xml:space="preserve">For gene filtering, genes detected in less than 10 cells were excluded. </w:t>
      </w:r>
      <w:r w:rsidRPr="0043687B">
        <w:rPr>
          <w:rFonts w:ascii="Calibri" w:hAnsi="Calibri" w:cs="Calibri"/>
        </w:rPr>
        <w:t>Subsequent data analyses were run using the python-based Scanpy</w:t>
      </w:r>
      <w:r>
        <w:rPr>
          <w:rFonts w:ascii="Calibri" w:hAnsi="Calibri" w:cs="Calibri"/>
        </w:rPr>
        <w:fldChar w:fldCharType="begin" w:fldLock="1"/>
      </w:r>
      <w:r>
        <w:rPr>
          <w:rFonts w:ascii="Calibri" w:hAnsi="Calibri" w:cs="Calibri"/>
        </w:rPr>
        <w:instrText>ADDIN CSL_CITATION {"citationItems":[{"id":"ITEM-1","itemData":{"DOI":"10.1186/s13059-017-1382-0","ISSN":"1474760X","PMID":"29409532","abstract":"Scanpy is a scalable toolkit for analyzing single-cell gene expression data. It includes methods for preprocessing, visualization, clustering, pseudotime and trajectory inference, differential expression testing, and simulation of gene regulatory networks. Its Python-based implementation efficiently deals with data sets of more than one million cells ( https://github.com/theislab/Scanpy ). Along with Scanpy, we present AnnData, a generic class for handling annotated data matrices ( https://github.com/theislab/anndata ).","author":[{"dropping-particle":"","family":"Wolf","given":"F. Alexander","non-dropping-particle":"","parse-names":false,"suffix":""},{"dropping-particle":"","family":"Angerer","given":"Philipp","non-dropping-particle":"","parse-names":false,"suffix":""},{"dropping-particle":"","family":"Theis","given":"Fabian J.","non-dropping-particle":"","parse-names":false,"suffix":""}],"container-title":"Genome Biology","id":"ITEM-1","issue":"1","issued":{"date-parts":[["2018","2","6"]]},"publisher":"BioMed Central Ltd.","title":"SCANPY: Large-scale single-cell gene expression data analysis","type":"article-journal","volume":"19"},"uris":["http://www.mendeley.com/documents/?uuid=1969a340-5c32-3cb6-8863-daf0406fb2cf"]}],"mendeley":{"formattedCitation":"&lt;sup&gt;30&lt;/sup&gt;","plainTextFormattedCitation":"30","previouslyFormattedCitation":"&lt;sup&gt;30&lt;/sup&gt;"},"properties":{"noteIndex":0},"schema":"https://github.com/citation-style-language/schema/raw/master/csl-citation.json"}</w:instrText>
      </w:r>
      <w:r>
        <w:rPr>
          <w:rFonts w:ascii="Calibri" w:hAnsi="Calibri" w:cs="Calibri"/>
        </w:rPr>
        <w:fldChar w:fldCharType="separate"/>
      </w:r>
      <w:r w:rsidRPr="00102C57">
        <w:rPr>
          <w:rFonts w:ascii="Calibri" w:hAnsi="Calibri" w:cs="Calibri"/>
          <w:noProof/>
          <w:vertAlign w:val="superscript"/>
        </w:rPr>
        <w:t>30</w:t>
      </w:r>
      <w:r>
        <w:rPr>
          <w:rFonts w:ascii="Calibri" w:hAnsi="Calibri" w:cs="Calibri"/>
        </w:rPr>
        <w:fldChar w:fldCharType="end"/>
      </w:r>
      <w:r w:rsidRPr="0043687B">
        <w:rPr>
          <w:rFonts w:ascii="Calibri" w:hAnsi="Calibri" w:cs="Calibri"/>
        </w:rPr>
        <w:t xml:space="preserve"> with R (3.6.0).</w:t>
      </w:r>
      <w:r>
        <w:rPr>
          <w:rFonts w:ascii="Calibri" w:hAnsi="Calibri" w:cs="Calibri"/>
        </w:rPr>
        <w:t xml:space="preserve"> Background empty barcodes were identified and removed using EmptyDrops</w:t>
      </w:r>
      <w:r>
        <w:rPr>
          <w:rFonts w:ascii="Calibri" w:hAnsi="Calibri" w:cs="Calibri"/>
        </w:rPr>
        <w:fldChar w:fldCharType="begin" w:fldLock="1"/>
      </w:r>
      <w:r>
        <w:rPr>
          <w:rFonts w:ascii="Calibri" w:hAnsi="Calibri" w:cs="Calibri"/>
        </w:rPr>
        <w:instrText>ADDIN CSL_CITATION {"citationItems":[{"id":"ITEM-1","itemData":{"DOI":"10.1186/s13059-019-1662-y","ISSN":"1474760X","abstract":"Droplet-based single-cell RNA sequencing protocols have dramatically increased the throughput of single-cell transcriptomics studies. A key computational challenge when processing these data is to distinguish libraries for real cells from empty droplets. Here, we describe a new statistical method for calling cells from droplet-based data, based on detecting significant deviations from the expression profile of the ambient solution. Using simulations, we demonstrate that EmptyDrops has greater power than existing approaches while controlling the false discovery rate among detected cells. Our method also retains distinct cell types that would have been discarded by existing methods in several real data sets.","author":[{"dropping-particle":"","family":"Lun","given":"Aaron T.L.","non-dropping-particle":"","parse-names":false,"suffix":""},{"dropping-particle":"","family":"Riesenfeld","given":"Samantha","non-dropping-particle":"","parse-names":false,"suffix":""},{"dropping-particle":"","family":"Andrews","given":"Tallulah","non-dropping-particle":"","parse-names":false,"suffix":""},{"dropping-particle":"","family":"Dao","given":"The Phuong","non-dropping-particle":"","parse-names":false,"suffix":""},{"dropping-particle":"","family":"Gomes","given":"Tomas","non-dropping-particle":"","parse-names":false,"suffix":""},{"dropping-particle":"","family":"Marioni","given":"John C.","non-dropping-particle":"","parse-names":false,"suffix":""}],"container-title":"Genome Biology","id":"ITEM-1","issue":"1","issued":{"date-parts":[["2019","3","22"]]},"publisher":"BioMed Central Ltd.","title":"EmptyDrops: Distinguishing cells from empty droplets in droplet-based single-cell RNA sequencing data","type":"article-journal","volume":"20"},"uris":["http://www.mendeley.com/documents/?uuid=6496f8f6-a9ac-34ac-a943-91b48badac52"]}],"mendeley":{"formattedCitation":"&lt;sup&gt;31&lt;/sup&gt;","plainTextFormattedCitation":"31","previouslyFormattedCitation":"&lt;sup&gt;31&lt;/sup&gt;"},"properties":{"noteIndex":0},"schema":"https://github.com/citation-style-language/schema/raw/master/csl-citation.json"}</w:instrText>
      </w:r>
      <w:r>
        <w:rPr>
          <w:rFonts w:ascii="Calibri" w:hAnsi="Calibri" w:cs="Calibri"/>
        </w:rPr>
        <w:fldChar w:fldCharType="separate"/>
      </w:r>
      <w:r w:rsidRPr="00102C57">
        <w:rPr>
          <w:rFonts w:ascii="Calibri" w:hAnsi="Calibri" w:cs="Calibri"/>
          <w:noProof/>
          <w:vertAlign w:val="superscript"/>
        </w:rPr>
        <w:t>31</w:t>
      </w:r>
      <w:r>
        <w:rPr>
          <w:rFonts w:ascii="Calibri" w:hAnsi="Calibri" w:cs="Calibri"/>
        </w:rPr>
        <w:fldChar w:fldCharType="end"/>
      </w:r>
      <w:r>
        <w:rPr>
          <w:rFonts w:ascii="Calibri" w:hAnsi="Calibri" w:cs="Calibri"/>
        </w:rPr>
        <w:t xml:space="preserve">. </w:t>
      </w:r>
      <w:r w:rsidRPr="0043687B">
        <w:rPr>
          <w:rFonts w:ascii="Calibri" w:hAnsi="Calibri" w:cs="Calibri"/>
        </w:rPr>
        <w:t xml:space="preserve"> Cells of low quality with high fraction of counts from mitochondrial genes (20% or more), which indicates stressed or dying cells, were removed. Data was normalised using Scran</w:t>
      </w:r>
      <w:r>
        <w:rPr>
          <w:rFonts w:ascii="Calibri" w:hAnsi="Calibri" w:cs="Calibri"/>
        </w:rPr>
        <w:fldChar w:fldCharType="begin" w:fldLock="1"/>
      </w:r>
      <w:r>
        <w:rPr>
          <w:rFonts w:ascii="Calibri" w:hAnsi="Calibri" w:cs="Calibri"/>
        </w:rPr>
        <w:instrText>ADDIN CSL_CITATION {"citationItems":[{"id":"ITEM-1","itemData":{"DOI":"10.1186/s13059-016-0947-7","ISSN":"1474760X","PMID":"27122128","abstract":"Normalization of single-cell RNA sequencing data is necessary to eliminate cell-specific biases prior to downstream analyses. However, this is not straightforward for noisy single-cell data where many counts are zero. We present a novel approach where expression values are summed across pools of cells, and the summed values are used for normalization. Pool-based size factors are then deconvolved to yield cell-based factors. Our deconvolution approach outperforms existing methods for accurate normalization of cell-specific biases in simulated data. Similar behavior is observed in real data, where deconvolution improves the relevance of results of downstream analyses.","author":[{"dropping-particle":"","family":"Lun","given":"Aaron T.L.","non-dropping-particle":"","parse-names":false,"suffix":""},{"dropping-particle":"","family":"Bach","given":"Karsten","non-dropping-particle":"","parse-names":false,"suffix":""},{"dropping-particle":"","family":"Marioni","given":"John C.","non-dropping-particle":"","parse-names":false,"suffix":""}],"container-title":"Genome Biology","id":"ITEM-1","issue":"1","issued":{"date-parts":[["2016","4","27"]]},"publisher":"BioMed Central Ltd.","title":"Pooling across cells to normalize single-cell RNA sequencing data with many zero counts","type":"article-journal","volume":"17"},"uris":["http://www.mendeley.com/documents/?uuid=be346b28-7a82-3434-9530-959bf9d77b2b"]}],"mendeley":{"formattedCitation":"&lt;sup&gt;32&lt;/sup&gt;","plainTextFormattedCitation":"32","previouslyFormattedCitation":"&lt;sup&gt;32&lt;/sup&gt;"},"properties":{"noteIndex":0},"schema":"https://github.com/citation-style-language/schema/raw/master/csl-citation.json"}</w:instrText>
      </w:r>
      <w:r>
        <w:rPr>
          <w:rFonts w:ascii="Calibri" w:hAnsi="Calibri" w:cs="Calibri"/>
        </w:rPr>
        <w:fldChar w:fldCharType="separate"/>
      </w:r>
      <w:r w:rsidRPr="00102C57">
        <w:rPr>
          <w:rFonts w:ascii="Calibri" w:hAnsi="Calibri" w:cs="Calibri"/>
          <w:noProof/>
          <w:vertAlign w:val="superscript"/>
        </w:rPr>
        <w:t>32</w:t>
      </w:r>
      <w:r>
        <w:rPr>
          <w:rFonts w:ascii="Calibri" w:hAnsi="Calibri" w:cs="Calibri"/>
        </w:rPr>
        <w:fldChar w:fldCharType="end"/>
      </w:r>
      <w:r w:rsidRPr="0043687B">
        <w:rPr>
          <w:rFonts w:ascii="Calibri" w:hAnsi="Calibri" w:cs="Calibri"/>
        </w:rPr>
        <w:t>. A single-cell neighbourhood graph, with data integrated from separate tissue samples, was computed using BBKNN</w:t>
      </w:r>
      <w:r>
        <w:rPr>
          <w:rFonts w:ascii="Calibri" w:hAnsi="Calibri" w:cs="Calibri"/>
        </w:rPr>
        <w:fldChar w:fldCharType="begin" w:fldLock="1"/>
      </w:r>
      <w:r>
        <w:rPr>
          <w:rFonts w:ascii="Calibri" w:hAnsi="Calibri" w:cs="Calibri"/>
        </w:rPr>
        <w:instrText>ADDIN CSL_CITATION {"citationItems":[{"id":"ITEM-1","itemData":{"DOI":"10.1093/bioinformatics/btz625","ISSN":"14602059","PMID":"31400197","abstract":"Motivation: Increasing numbers of large scale single cell RNA-Seq projects are leading to a data explosion, which can only be fully exploited through data integration. A number of methods have been developed to combine diverse datasets by removing technical batch effects, but most are computationally intensive. To overcome the challenge of enormous datasets, we have developed BBKNN, an extremely fast graph-based data integration algorithm. We illustrate the power of BBKNN on large scale mouse atlasing data, and favourably benchmark its run time against a number of competing methods.","author":[{"dropping-particle":"","family":"Polański","given":"Krzysztof","non-dropping-particle":"","parse-names":false,"suffix":""},{"dropping-particle":"","family":"Young","given":"Matthew D.","non-dropping-particle":"","parse-names":false,"suffix":""},{"dropping-particle":"","family":"Miao","given":"Zhichao","non-dropping-particle":"","parse-names":false,"suffix":""},{"dropping-particle":"","family":"Meyer","given":"Kerstin B.","non-dropping-particle":"","parse-names":false,"suffix":""},{"dropping-particle":"","family":"Teichmann","given":"Sarah A.","non-dropping-particle":"","parse-names":false,"suffix":""},{"dropping-particle":"","family":"Park","given":"Jong Eun","non-dropping-particle":"","parse-names":false,"suffix":""},{"dropping-particle":"","family":"Berger","given":"Bonnie","non-dropping-particle":"","parse-names":false,"suffix":""}],"container-title":"Bioinformatics","id":"ITEM-1","issue":"3","issued":{"date-parts":[["2020","2","1"]]},"page":"964-965","publisher":"Oxford University Press","title":"BBKNN: Fast batch alignment of single cell transcriptomes","type":"article-journal","volume":"36"},"uris":["http://www.mendeley.com/documents/?uuid=0bb21fde-c09a-367b-800f-c79961d4475c"]}],"mendeley":{"formattedCitation":"&lt;sup&gt;33&lt;/sup&gt;","plainTextFormattedCitation":"33","previouslyFormattedCitation":"&lt;sup&gt;33&lt;/sup&gt;"},"properties":{"noteIndex":0},"schema":"https://github.com/citation-style-language/schema/raw/master/csl-citation.json"}</w:instrText>
      </w:r>
      <w:r>
        <w:rPr>
          <w:rFonts w:ascii="Calibri" w:hAnsi="Calibri" w:cs="Calibri"/>
        </w:rPr>
        <w:fldChar w:fldCharType="separate"/>
      </w:r>
      <w:r w:rsidRPr="00102C57">
        <w:rPr>
          <w:rFonts w:ascii="Calibri" w:hAnsi="Calibri" w:cs="Calibri"/>
          <w:noProof/>
          <w:vertAlign w:val="superscript"/>
        </w:rPr>
        <w:t>33</w:t>
      </w:r>
      <w:r>
        <w:rPr>
          <w:rFonts w:ascii="Calibri" w:hAnsi="Calibri" w:cs="Calibri"/>
        </w:rPr>
        <w:fldChar w:fldCharType="end"/>
      </w:r>
      <w:r w:rsidRPr="0043687B">
        <w:rPr>
          <w:rFonts w:ascii="Calibri" w:hAnsi="Calibri" w:cs="Calibri"/>
        </w:rPr>
        <w:t xml:space="preserve">. Data </w:t>
      </w:r>
      <w:r>
        <w:rPr>
          <w:rFonts w:ascii="Calibri" w:hAnsi="Calibri" w:cs="Calibri"/>
        </w:rPr>
        <w:t>were</w:t>
      </w:r>
      <w:r w:rsidRPr="0043687B">
        <w:rPr>
          <w:rFonts w:ascii="Calibri" w:hAnsi="Calibri" w:cs="Calibri"/>
        </w:rPr>
        <w:t xml:space="preserve"> visualised using Uniform Manifold Approximation and Projection (UMAP), with the Leiden algorithm used to identify cell clusters</w:t>
      </w:r>
      <w:r>
        <w:rPr>
          <w:rFonts w:ascii="Calibri" w:hAnsi="Calibri" w:cs="Calibri"/>
        </w:rPr>
        <w:fldChar w:fldCharType="begin" w:fldLock="1"/>
      </w:r>
      <w:r>
        <w:rPr>
          <w:rFonts w:ascii="Calibri" w:hAnsi="Calibri" w:cs="Calibri"/>
        </w:rPr>
        <w:instrText>ADDIN CSL_CITATION {"citationItems":[{"id":"ITEM-1","itemData":{"DOI":"10.1038/s41598-019-41695-z","ISSN":"20452322","abstract":"Community detection is often used to understand the structure of large and complex networks. One of the most popular algorithms for uncovering community structure is the so-called Louvain algorithm. We show that this algorithm has a major defect that largely went unnoticed until now: the Louvain algorithm may yield arbitrarily badly connected communities. In the worst case, communities may even be disconnected, especially when running the algorithm iteratively. In our experimental analysis, we observe that up to 25% of the communities are badly connected and up to 16% are disconnected. To address this problem, we introduce the Leiden algorithm. We prove that the Leiden algorithm yields communities that are guaranteed to be connected. In addition, we prove that, when the Leiden algorithm is applied iteratively, it converges to a partition in which all subsets of all communities are locally optimally assigned. Furthermore, by relying on a fast local move approach, the Leiden algorithm runs faster than the Louvain algorithm. We demonstrate the performance of the Leiden algorithm for several benchmark and real-world networks. We find that the Leiden algorithm is faster than the Louvain algorithm and uncovers better partitions, in addition to providing explicit guarantees.","author":[{"dropping-particle":"","family":"Traag","given":"V. A.","non-dropping-particle":"","parse-names":false,"suffix":""},{"dropping-particle":"","family":"Waltman","given":"L.","non-dropping-particle":"","parse-names":false,"suffix":""},{"dropping-particle":"","family":"Eck","given":"N. J.","non-dropping-particle":"van","parse-names":false,"suffix":""}],"container-title":"Scientific Reports","id":"ITEM-1","issue":"1","issued":{"date-parts":[["2019","12","1"]]},"page":"5233","publisher":"Nature Publishing Group","title":"From Louvain to Leiden: guaranteeing well-connected communities","type":"article-journal","volume":"9"},"uris":["http://www.mendeley.com/documents/?uuid=e61265ea-4a1b-3bd5-9e7e-04382bc1e43b"]}],"mendeley":{"formattedCitation":"&lt;sup&gt;34&lt;/sup&gt;","plainTextFormattedCitation":"34","previouslyFormattedCitation":"&lt;sup&gt;34&lt;/sup&gt;"},"properties":{"noteIndex":0},"schema":"https://github.com/citation-style-language/schema/raw/master/csl-citation.json"}</w:instrText>
      </w:r>
      <w:r>
        <w:rPr>
          <w:rFonts w:ascii="Calibri" w:hAnsi="Calibri" w:cs="Calibri"/>
        </w:rPr>
        <w:fldChar w:fldCharType="separate"/>
      </w:r>
      <w:r w:rsidRPr="00102C57">
        <w:rPr>
          <w:rFonts w:ascii="Calibri" w:hAnsi="Calibri" w:cs="Calibri"/>
          <w:noProof/>
          <w:vertAlign w:val="superscript"/>
        </w:rPr>
        <w:t>34</w:t>
      </w:r>
      <w:r>
        <w:rPr>
          <w:rFonts w:ascii="Calibri" w:hAnsi="Calibri" w:cs="Calibri"/>
        </w:rPr>
        <w:fldChar w:fldCharType="end"/>
      </w:r>
      <w:r w:rsidRPr="0043687B">
        <w:rPr>
          <w:rFonts w:ascii="Calibri" w:hAnsi="Calibri" w:cs="Calibri"/>
        </w:rPr>
        <w:t>.</w:t>
      </w:r>
    </w:p>
    <w:p w14:paraId="32F1D84F" w14:textId="59256387" w:rsidR="00B60E59" w:rsidRDefault="00B60E59" w:rsidP="00B60E59">
      <w:pPr>
        <w:spacing w:line="480" w:lineRule="auto"/>
        <w:rPr>
          <w:rFonts w:ascii="Calibri" w:hAnsi="Calibri" w:cs="Calibri"/>
        </w:rPr>
      </w:pPr>
      <w:r w:rsidRPr="0043687B">
        <w:rPr>
          <w:rFonts w:ascii="Calibri" w:hAnsi="Calibri" w:cs="Calibri"/>
        </w:rPr>
        <w:t xml:space="preserve">Cell type annotation was performed using </w:t>
      </w:r>
      <w:proofErr w:type="spellStart"/>
      <w:r w:rsidRPr="0043687B">
        <w:rPr>
          <w:rFonts w:ascii="Calibri" w:hAnsi="Calibri" w:cs="Calibri"/>
        </w:rPr>
        <w:t>SingleR</w:t>
      </w:r>
      <w:proofErr w:type="spellEnd"/>
      <w:r w:rsidRPr="0043687B">
        <w:rPr>
          <w:rFonts w:ascii="Calibri" w:hAnsi="Calibri" w:cs="Calibri"/>
        </w:rPr>
        <w:t xml:space="preserve"> (database: </w:t>
      </w:r>
      <w:proofErr w:type="spellStart"/>
      <w:r w:rsidRPr="0043687B">
        <w:rPr>
          <w:rFonts w:ascii="Calibri" w:hAnsi="Calibri" w:cs="Calibri"/>
        </w:rPr>
        <w:t>BlueprintEncodeData</w:t>
      </w:r>
      <w:proofErr w:type="spellEnd"/>
      <w:r w:rsidRPr="0043687B">
        <w:rPr>
          <w:rFonts w:ascii="Calibri" w:hAnsi="Calibri" w:cs="Calibri"/>
        </w:rPr>
        <w:t xml:space="preserve">) </w:t>
      </w:r>
      <w:r>
        <w:rPr>
          <w:rFonts w:ascii="Calibri" w:hAnsi="Calibri" w:cs="Calibri"/>
        </w:rPr>
        <w:fldChar w:fldCharType="begin" w:fldLock="1"/>
      </w:r>
      <w:r w:rsidR="00816887">
        <w:rPr>
          <w:rFonts w:ascii="Calibri" w:hAnsi="Calibri" w:cs="Calibri"/>
        </w:rPr>
        <w:instrText>ADDIN CSL_CITATION {"citationItems":[{"id":"ITEM-1","itemData":{"DOI":"10.1038/s41590-018-0276-y","ISSN":"15292916","PMID":"30643263","abstract":"Tissue fibrosis is a major cause of mortality that results from the deposition of matrix proteins by an activated mesenchyme. Macrophages accumulate in fibrosis, but the role of specific subgroups in supporting fibrogenesis has not been investigated in vivo. Here, we used single-cell RNA sequencing (scRNA-seq) to characterize the heterogeneity of macrophages in bleomycin-induced lung fibrosis in mice. A novel computational framework for the annotation of scRNA-seq by reference to bulk transcriptomes (SingleR) enabled the subclustering of macrophages and revealed a disease-associated subgroup with a transitional gene expression profile intermediate between monocyte-derived and alveolar macrophages. These CX3CR1 + SiglecF + transitional macrophages localized to the fibrotic niche and had a profibrotic effect in vivo. Human orthologs of genes expressed by the transitional macrophages were upregulated in samples from patients with idiopathic pulmonary fibrosis. Thus, we have identified a pathological subgroup of transitional macrophages that are required for the fibrotic response to injury.","author":[{"dropping-particle":"","family":"Aran","given":"Dvir","non-dropping-particle":"","parse-names":false,"suffix":""},{"dropping-particle":"","family":"Looney","given":"Agnieszka P.","non-dropping-particle":"","parse-names":false,"suffix":""},{"dropping-particle":"","family":"Liu","given":"Leqian","non-dropping-particle":"","parse-names":false,"suffix":""},{"dropping-particle":"","family":"Wu","given":"Esther","non-dropping-particle":"","parse-names":false,"suffix":""},{"dropping-particle":"","family":"Fong","given":"Valerie","non-dropping-particle":"","parse-names":false,"suffix":""},{"dropping-particle":"","family":"Hsu","given":"Austin","non-dropping-particle":"","parse-names":false,"suffix":""},{"dropping-particle":"","family":"Chak","given":"Suzanna","non-dropping-particle":"","parse-names":false,"suffix":""},{"dropping-particle":"","family":"Naikawadi","given":"Ram P.","non-dropping-particle":"","parse-names":false,"suffix":""},{"dropping-particle":"","family":"Wolters","given":"Paul J.","non-dropping-particle":"","parse-names":false,"suffix":""},{"dropping-particle":"","family":"Abate","given":"Adam R.","non-dropping-particle":"","parse-names":false,"suffix":""},{"dropping-particle":"","family":"Butte","given":"Atul J.","non-dropping-particle":"","parse-names":false,"suffix":""},{"dropping-particle":"","family":"Bhattacharya","given":"Mallar","non-dropping-particle":"","parse-names":false,"suffix":""}],"container-title":"Nature Immunology","id":"ITEM-1","issue":"2","issued":{"date-parts":[["2019","2","1"]]},"page":"163-172","publisher":"Nature Publishing Group","title":"Reference-based analysis of lung single-cell sequencing reveals a transitional profibrotic macrophage","type":"article-journal","volume":"20"},"uris":["http://www.mendeley.com/documents/?uuid=5b9b252c-8053-3dfe-a709-ff1cdd9a47af"]}],"mendeley":{"formattedCitation":"&lt;sup&gt;35&lt;/sup&gt;","plainTextFormattedCitation":"35","previouslyFormattedCitation":"&lt;sup&gt;35&lt;/sup&gt;"},"properties":{"noteIndex":0},"schema":"https://github.com/citation-style-language/schema/raw/master/csl-citation.json"}</w:instrText>
      </w:r>
      <w:r>
        <w:rPr>
          <w:rFonts w:ascii="Calibri" w:hAnsi="Calibri" w:cs="Calibri"/>
        </w:rPr>
        <w:fldChar w:fldCharType="separate"/>
      </w:r>
      <w:r w:rsidRPr="008F66FE">
        <w:rPr>
          <w:rFonts w:ascii="Calibri" w:hAnsi="Calibri" w:cs="Calibri"/>
          <w:noProof/>
          <w:vertAlign w:val="superscript"/>
        </w:rPr>
        <w:t>35</w:t>
      </w:r>
      <w:r>
        <w:rPr>
          <w:rFonts w:ascii="Calibri" w:hAnsi="Calibri" w:cs="Calibri"/>
        </w:rPr>
        <w:fldChar w:fldCharType="end"/>
      </w:r>
      <w:r w:rsidRPr="0043687B">
        <w:rPr>
          <w:rFonts w:ascii="Calibri" w:hAnsi="Calibri" w:cs="Calibri"/>
        </w:rPr>
        <w:t>.</w:t>
      </w:r>
      <w:r w:rsidRPr="00340CD7">
        <w:rPr>
          <w:rFonts w:ascii="Calibri" w:hAnsi="Calibri" w:cs="Calibri"/>
        </w:rPr>
        <w:t xml:space="preserve"> </w:t>
      </w:r>
      <w:r>
        <w:rPr>
          <w:rFonts w:ascii="Calibri" w:hAnsi="Calibri" w:cs="Calibri"/>
        </w:rPr>
        <w:t>Markers genes for cell clusters were identified using a T-test within Scanpy</w:t>
      </w:r>
      <w:r>
        <w:rPr>
          <w:rFonts w:ascii="Calibri" w:hAnsi="Calibri" w:cs="Calibri"/>
        </w:rPr>
        <w:fldChar w:fldCharType="begin" w:fldLock="1"/>
      </w:r>
      <w:r>
        <w:rPr>
          <w:rFonts w:ascii="Calibri" w:hAnsi="Calibri" w:cs="Calibri"/>
        </w:rPr>
        <w:instrText>ADDIN CSL_CITATION {"citationItems":[{"id":"ITEM-1","itemData":{"DOI":"10.1186/s13059-017-1382-0","ISSN":"1474760X","PMID":"29409532","abstract":"Scanpy is a scalable toolkit for analyzing single-cell gene expression data. It includes methods for preprocessing, visualization, clustering, pseudotime and trajectory inference, differential expression testing, and simulation of gene regulatory networks. Its Python-based implementation efficiently deals with data sets of more than one million cells ( https://github.com/theislab/Scanpy ). Along with Scanpy, we present AnnData, a generic class for handling annotated data matrices ( https://github.com/theislab/anndata ).","author":[{"dropping-particle":"","family":"Wolf","given":"F. Alexander","non-dropping-particle":"","parse-names":false,"suffix":""},{"dropping-particle":"","family":"Angerer","given":"Philipp","non-dropping-particle":"","parse-names":false,"suffix":""},{"dropping-particle":"","family":"Theis","given":"Fabian J.","non-dropping-particle":"","parse-names":false,"suffix":""}],"container-title":"Genome Biology","id":"ITEM-1","issue":"1","issued":{"date-parts":[["2018","2","6"]]},"publisher":"BioMed Central Ltd.","title":"SCANPY: Large-scale single-cell gene expression data analysis","type":"article-journal","volume":"19"},"uris":["http://www.mendeley.com/documents/?uuid=1969a340-5c32-3cb6-8863-daf0406fb2cf"]}],"mendeley":{"formattedCitation":"&lt;sup&gt;30&lt;/sup&gt;","plainTextFormattedCitation":"30","previouslyFormattedCitation":"&lt;sup&gt;30&lt;/sup&gt;"},"properties":{"noteIndex":0},"schema":"https://github.com/citation-style-language/schema/raw/master/csl-citation.json"}</w:instrText>
      </w:r>
      <w:r>
        <w:rPr>
          <w:rFonts w:ascii="Calibri" w:hAnsi="Calibri" w:cs="Calibri"/>
        </w:rPr>
        <w:fldChar w:fldCharType="separate"/>
      </w:r>
      <w:r w:rsidRPr="00215A52">
        <w:rPr>
          <w:rFonts w:ascii="Calibri" w:hAnsi="Calibri" w:cs="Calibri"/>
          <w:noProof/>
          <w:vertAlign w:val="superscript"/>
        </w:rPr>
        <w:t>30</w:t>
      </w:r>
      <w:r>
        <w:rPr>
          <w:rFonts w:ascii="Calibri" w:hAnsi="Calibri" w:cs="Calibri"/>
        </w:rPr>
        <w:fldChar w:fldCharType="end"/>
      </w:r>
      <w:r>
        <w:rPr>
          <w:rFonts w:ascii="Calibri" w:hAnsi="Calibri" w:cs="Calibri"/>
        </w:rPr>
        <w:t>.</w:t>
      </w:r>
    </w:p>
    <w:p w14:paraId="030417F2" w14:textId="77777777" w:rsidR="00B60E59" w:rsidRPr="00A57510" w:rsidRDefault="00B60E59" w:rsidP="00B60E59">
      <w:pPr>
        <w:spacing w:line="480" w:lineRule="auto"/>
        <w:rPr>
          <w:lang w:val="en-US"/>
        </w:rPr>
      </w:pPr>
      <w:r w:rsidRPr="00A57510">
        <w:rPr>
          <w:lang w:val="en-US"/>
        </w:rPr>
        <w:t xml:space="preserve">Raw </w:t>
      </w:r>
      <w:r>
        <w:rPr>
          <w:lang w:val="en-US"/>
        </w:rPr>
        <w:t>sequencing data</w:t>
      </w:r>
      <w:r w:rsidRPr="00A57510">
        <w:rPr>
          <w:lang w:val="en-US"/>
        </w:rPr>
        <w:t xml:space="preserve"> are available in the NCBI Gene Expression Omnibus (</w:t>
      </w:r>
      <w:r w:rsidRPr="00A55BF9">
        <w:t>GSE153866</w:t>
      </w:r>
      <w:r w:rsidRPr="00A57510">
        <w:rPr>
          <w:lang w:val="en-US"/>
        </w:rPr>
        <w:t xml:space="preserve">). </w:t>
      </w:r>
    </w:p>
    <w:bookmarkEnd w:id="2"/>
    <w:p w14:paraId="4F175473" w14:textId="77777777" w:rsidR="00B60E59" w:rsidRDefault="00B60E59" w:rsidP="00B60E59">
      <w:pPr>
        <w:spacing w:line="480" w:lineRule="auto"/>
        <w:rPr>
          <w:i/>
          <w:iCs/>
          <w:u w:val="single"/>
        </w:rPr>
      </w:pPr>
      <w:r>
        <w:rPr>
          <w:i/>
          <w:iCs/>
          <w:u w:val="single"/>
        </w:rPr>
        <w:t>Clinical data integration</w:t>
      </w:r>
    </w:p>
    <w:p w14:paraId="4D0FA472" w14:textId="77777777" w:rsidR="00B60E59" w:rsidRDefault="00B60E59" w:rsidP="00B60E59">
      <w:pPr>
        <w:spacing w:line="480" w:lineRule="auto"/>
      </w:pPr>
      <w:r>
        <w:t>Clinical outcome data were collected on all treatment naïve patients. Time to first clinical relapse was used as the primary clinical outcome measure. We defined relapse as requirement for repeated steroid course, or exclusive enteral nutrition, or step-up in immunomodulation or biologic therapy, after completion of initial induction. All patients had entered remission following induction therapy. Patients that had not relapsed at most recent follow-up were arbitrarily assigned their time from diagnosis to most recent follow-up for analysis.</w:t>
      </w:r>
    </w:p>
    <w:p w14:paraId="6C248859" w14:textId="77777777" w:rsidR="00B60E59" w:rsidRDefault="00B60E59" w:rsidP="00B60E59">
      <w:pPr>
        <w:spacing w:line="480" w:lineRule="auto"/>
      </w:pPr>
      <w:r>
        <w:lastRenderedPageBreak/>
        <w:t xml:space="preserve">Histological evidence of ileitis was recorded for all patients. Clinical biopsies were taken concurrently and examined by a paediatric histopathologist to determine the presence of inflammation within the ileum at the time of endoscopy. </w:t>
      </w:r>
    </w:p>
    <w:p w14:paraId="508F9D7E" w14:textId="77777777" w:rsidR="00B60E59" w:rsidRDefault="00B60E59" w:rsidP="00B60E59">
      <w:pPr>
        <w:spacing w:line="480" w:lineRule="auto"/>
      </w:pPr>
    </w:p>
    <w:p w14:paraId="3099B8A0" w14:textId="77777777" w:rsidR="00B60E59" w:rsidRDefault="00B60E59" w:rsidP="00B60E59">
      <w:pPr>
        <w:spacing w:line="480" w:lineRule="auto"/>
      </w:pPr>
    </w:p>
    <w:p w14:paraId="144CA167" w14:textId="77777777" w:rsidR="00B60E59" w:rsidRDefault="00B60E59" w:rsidP="00B60E59">
      <w:pPr>
        <w:spacing w:line="480" w:lineRule="auto"/>
      </w:pPr>
    </w:p>
    <w:p w14:paraId="5AD8A6A3" w14:textId="77777777" w:rsidR="00B60E59" w:rsidRDefault="00B60E59" w:rsidP="00B60E59">
      <w:pPr>
        <w:spacing w:line="480" w:lineRule="auto"/>
      </w:pPr>
    </w:p>
    <w:p w14:paraId="447D9A39" w14:textId="77777777" w:rsidR="00B60E59" w:rsidRDefault="00B60E59" w:rsidP="00B60E59">
      <w:pPr>
        <w:spacing w:line="480" w:lineRule="auto"/>
      </w:pPr>
    </w:p>
    <w:p w14:paraId="219262D6" w14:textId="77777777" w:rsidR="00B60E59" w:rsidRDefault="00B60E59" w:rsidP="00B60E59">
      <w:pPr>
        <w:spacing w:line="480" w:lineRule="auto"/>
      </w:pPr>
    </w:p>
    <w:p w14:paraId="07E67553" w14:textId="77777777" w:rsidR="00B60E59" w:rsidRDefault="00B60E59" w:rsidP="00B60E59">
      <w:pPr>
        <w:spacing w:line="480" w:lineRule="auto"/>
      </w:pPr>
    </w:p>
    <w:p w14:paraId="2F2FB2DE" w14:textId="77777777" w:rsidR="00B60E59" w:rsidRDefault="00B60E59" w:rsidP="00B60E59">
      <w:pPr>
        <w:spacing w:line="480" w:lineRule="auto"/>
      </w:pPr>
    </w:p>
    <w:p w14:paraId="53EDAD96" w14:textId="77777777" w:rsidR="00B60E59" w:rsidRDefault="00B60E59" w:rsidP="00B60E59">
      <w:pPr>
        <w:spacing w:line="480" w:lineRule="auto"/>
      </w:pPr>
    </w:p>
    <w:p w14:paraId="60294382" w14:textId="77777777" w:rsidR="00B60E59" w:rsidRDefault="00B60E59" w:rsidP="00B60E59">
      <w:pPr>
        <w:spacing w:line="480" w:lineRule="auto"/>
      </w:pPr>
    </w:p>
    <w:p w14:paraId="2A0FC146" w14:textId="77777777" w:rsidR="00B60E59" w:rsidRDefault="00B60E59" w:rsidP="00B60E59">
      <w:pPr>
        <w:spacing w:line="480" w:lineRule="auto"/>
      </w:pPr>
    </w:p>
    <w:p w14:paraId="39765540" w14:textId="77777777" w:rsidR="00B60E59" w:rsidRDefault="00B60E59" w:rsidP="00B60E59">
      <w:pPr>
        <w:spacing w:line="480" w:lineRule="auto"/>
      </w:pPr>
    </w:p>
    <w:p w14:paraId="0BB14248" w14:textId="77777777" w:rsidR="00B60E59" w:rsidRDefault="00B60E59" w:rsidP="00B60E59">
      <w:pPr>
        <w:spacing w:line="480" w:lineRule="auto"/>
      </w:pPr>
    </w:p>
    <w:p w14:paraId="2A488951" w14:textId="77777777" w:rsidR="00B60E59" w:rsidRDefault="00B60E59" w:rsidP="00B60E59">
      <w:pPr>
        <w:spacing w:line="480" w:lineRule="auto"/>
      </w:pPr>
    </w:p>
    <w:p w14:paraId="3BC8B501" w14:textId="77777777" w:rsidR="00B60E59" w:rsidRDefault="00B60E59" w:rsidP="00B60E59">
      <w:pPr>
        <w:spacing w:line="480" w:lineRule="auto"/>
      </w:pPr>
    </w:p>
    <w:p w14:paraId="1DD4B345" w14:textId="77777777" w:rsidR="00B60E59" w:rsidRDefault="00B60E59" w:rsidP="00B60E59">
      <w:pPr>
        <w:spacing w:line="480" w:lineRule="auto"/>
      </w:pPr>
    </w:p>
    <w:p w14:paraId="03EE119F" w14:textId="77777777" w:rsidR="00B60E59" w:rsidRDefault="00B60E59" w:rsidP="00B60E59">
      <w:pPr>
        <w:spacing w:line="480" w:lineRule="auto"/>
      </w:pPr>
    </w:p>
    <w:p w14:paraId="5F26B309" w14:textId="77777777" w:rsidR="00B60E59" w:rsidRDefault="00B60E59" w:rsidP="00B60E59">
      <w:pPr>
        <w:spacing w:line="480" w:lineRule="auto"/>
      </w:pPr>
    </w:p>
    <w:p w14:paraId="6AAF5BE6" w14:textId="77777777" w:rsidR="00B60E59" w:rsidRDefault="00B60E59" w:rsidP="00B60E59">
      <w:pPr>
        <w:spacing w:line="480" w:lineRule="auto"/>
        <w:rPr>
          <w:b/>
          <w:bCs/>
          <w:sz w:val="24"/>
          <w:szCs w:val="24"/>
          <w:u w:val="single"/>
        </w:rPr>
      </w:pPr>
      <w:r>
        <w:rPr>
          <w:b/>
          <w:bCs/>
          <w:sz w:val="24"/>
          <w:szCs w:val="24"/>
          <w:u w:val="single"/>
        </w:rPr>
        <w:lastRenderedPageBreak/>
        <w:t>R</w:t>
      </w:r>
      <w:r w:rsidRPr="00DD5A2E">
        <w:rPr>
          <w:b/>
          <w:bCs/>
          <w:sz w:val="24"/>
          <w:szCs w:val="24"/>
          <w:u w:val="single"/>
        </w:rPr>
        <w:t xml:space="preserve">esults </w:t>
      </w:r>
    </w:p>
    <w:p w14:paraId="64657B84" w14:textId="77777777" w:rsidR="00B60E59" w:rsidRDefault="00B60E59" w:rsidP="00B60E59">
      <w:pPr>
        <w:spacing w:line="480" w:lineRule="auto"/>
      </w:pPr>
      <w:r>
        <w:t xml:space="preserve">Ninety-one patients with ileal biopsies were recruited to the study. Confirmation of diagnosis by Porto criteria resulted in 70 patients being included: 27 TN Crohn’s disease patients; 17 controls; and 26 ED Crohn’s disease. Twenty-one patients that were diagnosed with IBDU or ulcerative colitis following endoscopy were excluded. A single ED sample failed targeted RNA quality control (parameter two, </w:t>
      </w:r>
      <w:r w:rsidRPr="00EC55A1">
        <w:t>sample</w:t>
      </w:r>
      <w:r>
        <w:t xml:space="preserve"> had </w:t>
      </w:r>
      <w:r w:rsidRPr="00EC55A1">
        <w:t>low variation of counts across probes</w:t>
      </w:r>
      <w:r>
        <w:t xml:space="preserve">) leading to exclusion. Patient characteristics can be seen in table 1. </w:t>
      </w:r>
      <w:bookmarkStart w:id="4" w:name="_Hlk52270935"/>
      <w:r>
        <w:t xml:space="preserve">Ileal biopsies taken from the TN Crohn’s disease patients were from inflamed areas in 74% of cases, for established disease patients only 27% had biopsies were from inflamed areas. </w:t>
      </w:r>
      <w:bookmarkEnd w:id="4"/>
    </w:p>
    <w:p w14:paraId="2440658D" w14:textId="77777777" w:rsidR="00B60E59" w:rsidRPr="00276819" w:rsidRDefault="00B60E59" w:rsidP="00B60E59">
      <w:pPr>
        <w:spacing w:line="480" w:lineRule="auto"/>
        <w:rPr>
          <w:b/>
          <w:bCs/>
          <w:u w:val="single"/>
        </w:rPr>
      </w:pPr>
      <w:r w:rsidRPr="00276819">
        <w:rPr>
          <w:b/>
          <w:bCs/>
          <w:u w:val="single"/>
        </w:rPr>
        <w:t>Targeted RNA sequencing of 2002 autoimmune genes</w:t>
      </w:r>
    </w:p>
    <w:p w14:paraId="55848998" w14:textId="77777777" w:rsidR="00B60E59" w:rsidRPr="00C9342C" w:rsidRDefault="00B60E59" w:rsidP="00B60E59">
      <w:pPr>
        <w:spacing w:line="480" w:lineRule="auto"/>
        <w:rPr>
          <w:bCs/>
          <w:i/>
          <w:iCs/>
          <w:u w:val="single"/>
        </w:rPr>
      </w:pPr>
      <w:r w:rsidRPr="00C9342C">
        <w:rPr>
          <w:bCs/>
          <w:i/>
          <w:iCs/>
          <w:u w:val="single"/>
        </w:rPr>
        <w:t>A thirty-one gene module characterises treatment-naïve Crohn’s disease patients</w:t>
      </w:r>
    </w:p>
    <w:p w14:paraId="589F6EF9" w14:textId="77777777" w:rsidR="00B60E59" w:rsidRPr="00780453" w:rsidRDefault="00B60E59" w:rsidP="00B60E59">
      <w:pPr>
        <w:spacing w:line="480" w:lineRule="auto"/>
      </w:pPr>
      <w:r>
        <w:t xml:space="preserve">Gene modules associated with </w:t>
      </w:r>
      <w:r w:rsidRPr="00780453">
        <w:t>TN patients, controls and ED patients</w:t>
      </w:r>
      <w:r>
        <w:t xml:space="preserve"> were established</w:t>
      </w:r>
      <w:r w:rsidRPr="00780453">
        <w:t xml:space="preserve">. Three gene modules </w:t>
      </w:r>
      <w:r>
        <w:t>were</w:t>
      </w:r>
      <w:r w:rsidRPr="00780453">
        <w:t xml:space="preserve"> identified containing 104, 47 and 31 genes respectively</w:t>
      </w:r>
      <w:r>
        <w:t xml:space="preserve"> (supplementary data 2)</w:t>
      </w:r>
      <w:r w:rsidRPr="00780453">
        <w:t>.</w:t>
      </w:r>
      <w:r>
        <w:t xml:space="preserve"> </w:t>
      </w:r>
      <w:r w:rsidRPr="00780453">
        <w:t>Module 1 co-expression was significantly increased in controls (NES 1.95, p=0.0004) and significantly decreased in TN (NES -1.7, p=0.0015) and ED (NES -2.35, p=0.0012) patients. Whilst module 2 contained 47 co-expressed genes it was not significantly associated with any patient group</w:t>
      </w:r>
      <w:r>
        <w:t xml:space="preserve">. Module 2 was significantly enriched for cell metabolic processes, including </w:t>
      </w:r>
      <w:r w:rsidRPr="00D320E4">
        <w:t>PPAR signalling</w:t>
      </w:r>
      <w:r>
        <w:t xml:space="preserve"> (p=1.22x10</w:t>
      </w:r>
      <w:r>
        <w:rPr>
          <w:vertAlign w:val="superscript"/>
        </w:rPr>
        <w:t>-7</w:t>
      </w:r>
      <w:r>
        <w:t>) and p</w:t>
      </w:r>
      <w:r w:rsidRPr="00D320E4">
        <w:t>rotein digestion and absorption</w:t>
      </w:r>
      <w:r>
        <w:t xml:space="preserve"> (p=</w:t>
      </w:r>
      <w:r w:rsidRPr="00D320E4">
        <w:t xml:space="preserve"> 0.006055</w:t>
      </w:r>
      <w:r>
        <w:t>)</w:t>
      </w:r>
      <w:r w:rsidRPr="00780453">
        <w:t xml:space="preserve">. </w:t>
      </w:r>
      <w:r>
        <w:t>M</w:t>
      </w:r>
      <w:r w:rsidRPr="00780453">
        <w:t>odule 3</w:t>
      </w:r>
      <w:r>
        <w:t>, containing 31 genes, was</w:t>
      </w:r>
      <w:r w:rsidRPr="00780453">
        <w:t xml:space="preserve"> significantly upregulated in TN patients (</w:t>
      </w:r>
      <w:r>
        <w:t xml:space="preserve">normalised expression score, </w:t>
      </w:r>
      <w:r w:rsidRPr="00780453">
        <w:t>NES 3.07, p=0.0006) and downregulated in controls (NES -2.73, p=0.0004)</w:t>
      </w:r>
      <w:r>
        <w:t>, f</w:t>
      </w:r>
      <w:r w:rsidRPr="00780453">
        <w:t xml:space="preserve">igure </w:t>
      </w:r>
      <w:r>
        <w:t>2</w:t>
      </w:r>
      <w:r w:rsidRPr="00780453">
        <w:t>A</w:t>
      </w:r>
      <w:r>
        <w:t>-B and supplementary table 1. Module 3 did not correlate with ED patients</w:t>
      </w:r>
      <w:r w:rsidRPr="00780453">
        <w:t xml:space="preserve">. </w:t>
      </w:r>
    </w:p>
    <w:p w14:paraId="77712FBA" w14:textId="77777777" w:rsidR="00B60E59" w:rsidRPr="00780453" w:rsidRDefault="00B60E59" w:rsidP="00B60E59">
      <w:pPr>
        <w:spacing w:line="480" w:lineRule="auto"/>
        <w:rPr>
          <w:i/>
          <w:iCs/>
          <w:u w:val="single"/>
        </w:rPr>
      </w:pPr>
      <w:r w:rsidRPr="00780453">
        <w:rPr>
          <w:i/>
          <w:iCs/>
          <w:u w:val="single"/>
        </w:rPr>
        <w:t>T</w:t>
      </w:r>
      <w:r>
        <w:rPr>
          <w:i/>
          <w:iCs/>
          <w:u w:val="single"/>
        </w:rPr>
        <w:t>he t</w:t>
      </w:r>
      <w:r w:rsidRPr="00780453">
        <w:rPr>
          <w:i/>
          <w:iCs/>
          <w:u w:val="single"/>
        </w:rPr>
        <w:t xml:space="preserve">reatment-naïve gene co-expression module </w:t>
      </w:r>
      <w:r>
        <w:rPr>
          <w:i/>
          <w:iCs/>
          <w:u w:val="single"/>
        </w:rPr>
        <w:t xml:space="preserve">is </w:t>
      </w:r>
      <w:r w:rsidRPr="00780453">
        <w:rPr>
          <w:i/>
          <w:iCs/>
          <w:u w:val="single"/>
        </w:rPr>
        <w:t>associated with upregulation of Oncostatin-M and NOD</w:t>
      </w:r>
      <w:r>
        <w:rPr>
          <w:i/>
          <w:iCs/>
          <w:u w:val="single"/>
        </w:rPr>
        <w:t>-</w:t>
      </w:r>
      <w:r w:rsidRPr="00780453">
        <w:rPr>
          <w:i/>
          <w:iCs/>
          <w:u w:val="single"/>
        </w:rPr>
        <w:t>signalling pathways</w:t>
      </w:r>
    </w:p>
    <w:p w14:paraId="4C40FAA4" w14:textId="77777777" w:rsidR="00B60E59" w:rsidRDefault="00B60E59" w:rsidP="00B60E59">
      <w:pPr>
        <w:spacing w:line="480" w:lineRule="auto"/>
      </w:pPr>
      <w:r w:rsidRPr="00780453">
        <w:lastRenderedPageBreak/>
        <w:t>Th</w:t>
      </w:r>
      <w:r>
        <w:t xml:space="preserve">irty-three </w:t>
      </w:r>
      <w:r w:rsidRPr="00780453">
        <w:t>pathways</w:t>
      </w:r>
      <w:r>
        <w:t xml:space="preserve"> were</w:t>
      </w:r>
      <w:r w:rsidRPr="00780453">
        <w:t xml:space="preserve"> significantly associated</w:t>
      </w:r>
      <w:r>
        <w:t xml:space="preserve"> with module 3 genes</w:t>
      </w:r>
      <w:r w:rsidRPr="00780453">
        <w:t xml:space="preserve"> following multiple testing correction</w:t>
      </w:r>
      <w:r>
        <w:t xml:space="preserve"> (s</w:t>
      </w:r>
      <w:r w:rsidRPr="00780453">
        <w:t xml:space="preserve">upplementary data </w:t>
      </w:r>
      <w:r>
        <w:t>3)</w:t>
      </w:r>
      <w:r w:rsidRPr="00780453">
        <w:t>. The most implicated</w:t>
      </w:r>
      <w:r>
        <w:t xml:space="preserve"> pathway was the Oncostatin-M (OSM) signalling pathway (</w:t>
      </w:r>
      <w:proofErr w:type="spellStart"/>
      <w:r>
        <w:t>adj</w:t>
      </w:r>
      <w:proofErr w:type="spellEnd"/>
      <w:r>
        <w:t>-p=4.47x10</w:t>
      </w:r>
      <w:r w:rsidRPr="00CA70FF">
        <w:rPr>
          <w:vertAlign w:val="superscript"/>
        </w:rPr>
        <w:t>-22</w:t>
      </w:r>
      <w:r>
        <w:t xml:space="preserve">), upregulation of which was seen in treatment-naïve patients. OSM signalling results in activation of proinflammatory pathways including </w:t>
      </w:r>
      <w:r w:rsidRPr="006F6EC9">
        <w:rPr>
          <w:i/>
          <w:iCs/>
        </w:rPr>
        <w:t>JAK/STAT3</w:t>
      </w:r>
      <w:r w:rsidRPr="006F6EC9">
        <w:t xml:space="preserve">, </w:t>
      </w:r>
      <w:r w:rsidRPr="006F6EC9">
        <w:rPr>
          <w:i/>
          <w:iCs/>
        </w:rPr>
        <w:t>MAPK</w:t>
      </w:r>
      <w:r w:rsidRPr="006F6EC9">
        <w:t xml:space="preserve">, and </w:t>
      </w:r>
      <w:r w:rsidRPr="006F6EC9">
        <w:rPr>
          <w:i/>
          <w:iCs/>
        </w:rPr>
        <w:t>PI3K</w:t>
      </w:r>
      <w:r>
        <w:rPr>
          <w:i/>
          <w:iCs/>
        </w:rPr>
        <w:t xml:space="preserve">. </w:t>
      </w:r>
      <w:bookmarkStart w:id="5" w:name="_Hlk52268294"/>
      <w:r>
        <w:t xml:space="preserve">Interestingly, given the key role of NOD2 in Crohn’s disease pathogenesis, activation of the </w:t>
      </w:r>
      <w:r w:rsidRPr="00CA70FF">
        <w:t>N</w:t>
      </w:r>
      <w:r>
        <w:t>OD</w:t>
      </w:r>
      <w:r w:rsidRPr="00CA70FF">
        <w:t>-signalling</w:t>
      </w:r>
      <w:r>
        <w:t xml:space="preserve"> pathway was also significantly enriched for in module 3 (</w:t>
      </w:r>
      <w:proofErr w:type="spellStart"/>
      <w:r>
        <w:t>adj</w:t>
      </w:r>
      <w:proofErr w:type="spellEnd"/>
      <w:r>
        <w:t>-p=</w:t>
      </w:r>
      <w:r w:rsidRPr="00CA70FF">
        <w:t>0.0008</w:t>
      </w:r>
      <w:r>
        <w:t xml:space="preserve">). </w:t>
      </w:r>
      <w:bookmarkEnd w:id="5"/>
    </w:p>
    <w:p w14:paraId="73DC3A05" w14:textId="77777777" w:rsidR="00B60E59" w:rsidRPr="004711EC" w:rsidRDefault="00B60E59" w:rsidP="00B60E59">
      <w:pPr>
        <w:spacing w:line="480" w:lineRule="auto"/>
        <w:rPr>
          <w:u w:val="single"/>
        </w:rPr>
      </w:pPr>
      <w:r w:rsidRPr="004711EC">
        <w:rPr>
          <w:i/>
          <w:iCs/>
          <w:u w:val="single"/>
        </w:rPr>
        <w:t>CSF3R</w:t>
      </w:r>
      <w:r>
        <w:rPr>
          <w:i/>
          <w:iCs/>
          <w:u w:val="single"/>
        </w:rPr>
        <w:t xml:space="preserve"> appears to</w:t>
      </w:r>
      <w:r w:rsidRPr="004711EC">
        <w:rPr>
          <w:i/>
          <w:iCs/>
          <w:u w:val="single"/>
        </w:rPr>
        <w:t xml:space="preserve"> act as </w:t>
      </w:r>
      <w:r>
        <w:rPr>
          <w:i/>
          <w:iCs/>
          <w:u w:val="single"/>
        </w:rPr>
        <w:t xml:space="preserve">a </w:t>
      </w:r>
      <w:r w:rsidRPr="004711EC">
        <w:rPr>
          <w:i/>
          <w:iCs/>
          <w:u w:val="single"/>
        </w:rPr>
        <w:t xml:space="preserve">regulatory hub within </w:t>
      </w:r>
      <w:r>
        <w:rPr>
          <w:i/>
          <w:iCs/>
          <w:u w:val="single"/>
        </w:rPr>
        <w:t xml:space="preserve">the </w:t>
      </w:r>
      <w:r w:rsidRPr="004711EC">
        <w:rPr>
          <w:i/>
          <w:iCs/>
          <w:u w:val="single"/>
        </w:rPr>
        <w:t>treatment-naïve module</w:t>
      </w:r>
      <w:r w:rsidRPr="004711EC">
        <w:rPr>
          <w:u w:val="single"/>
        </w:rPr>
        <w:t xml:space="preserve"> </w:t>
      </w:r>
    </w:p>
    <w:p w14:paraId="62AAC6DA" w14:textId="77777777" w:rsidR="00B60E59" w:rsidRDefault="00B60E59" w:rsidP="00B60E59">
      <w:pPr>
        <w:spacing w:line="480" w:lineRule="auto"/>
      </w:pPr>
      <w:r>
        <w:t xml:space="preserve">In order to assess regulatory hub genes within the module 3 network we performed an interaction network analysis. This revealed six genes with &gt;3 hub interactions within the module, figure 2C. Of these six genes </w:t>
      </w:r>
      <w:r w:rsidRPr="002019A4">
        <w:rPr>
          <w:i/>
          <w:iCs/>
        </w:rPr>
        <w:t>CSF3R</w:t>
      </w:r>
      <w:r>
        <w:t xml:space="preserve"> was also co-expressed within the network with </w:t>
      </w:r>
      <w:r w:rsidRPr="002019A4">
        <w:rPr>
          <w:i/>
          <w:iCs/>
        </w:rPr>
        <w:t>AQP9</w:t>
      </w:r>
      <w:r>
        <w:t xml:space="preserve">, figure 2C. </w:t>
      </w:r>
      <w:r w:rsidRPr="002019A4">
        <w:rPr>
          <w:i/>
          <w:iCs/>
        </w:rPr>
        <w:t>CSF3R</w:t>
      </w:r>
      <w:r>
        <w:rPr>
          <w:i/>
          <w:iCs/>
        </w:rPr>
        <w:t xml:space="preserve"> </w:t>
      </w:r>
      <w:r>
        <w:t xml:space="preserve">is the receptor for colony stimulating factor 3. The related pathway functions to control expansion, differentiation and role of neutrophils, with highly deleterious variants in </w:t>
      </w:r>
      <w:r w:rsidRPr="002019A4">
        <w:rPr>
          <w:i/>
          <w:iCs/>
        </w:rPr>
        <w:t>CSF3R</w:t>
      </w:r>
      <w:r>
        <w:t xml:space="preserve"> resulting in congenital neutropenia. </w:t>
      </w:r>
    </w:p>
    <w:p w14:paraId="4C9B8EE8" w14:textId="77777777" w:rsidR="00B60E59" w:rsidRDefault="00B60E59" w:rsidP="00B60E59">
      <w:pPr>
        <w:spacing w:line="480" w:lineRule="auto"/>
        <w:rPr>
          <w:i/>
          <w:iCs/>
          <w:u w:val="single"/>
        </w:rPr>
      </w:pPr>
      <w:r w:rsidRPr="006725C7">
        <w:rPr>
          <w:i/>
          <w:iCs/>
          <w:u w:val="single"/>
        </w:rPr>
        <w:t>S100A9</w:t>
      </w:r>
      <w:r>
        <w:rPr>
          <w:i/>
          <w:iCs/>
          <w:u w:val="single"/>
        </w:rPr>
        <w:t xml:space="preserve"> (Calprotectin subunit) and S100A12 </w:t>
      </w:r>
      <w:r w:rsidRPr="006725C7">
        <w:rPr>
          <w:i/>
          <w:iCs/>
          <w:u w:val="single"/>
        </w:rPr>
        <w:t xml:space="preserve">antimicrobial </w:t>
      </w:r>
      <w:r>
        <w:rPr>
          <w:i/>
          <w:iCs/>
          <w:u w:val="single"/>
        </w:rPr>
        <w:t>genes are significantly upregulated in treatment-naïve patients</w:t>
      </w:r>
      <w:r w:rsidRPr="006725C7">
        <w:rPr>
          <w:i/>
          <w:iCs/>
          <w:u w:val="single"/>
        </w:rPr>
        <w:t xml:space="preserve"> </w:t>
      </w:r>
      <w:r w:rsidRPr="006725C7">
        <w:rPr>
          <w:u w:val="single"/>
        </w:rPr>
        <w:t xml:space="preserve"> </w:t>
      </w:r>
    </w:p>
    <w:p w14:paraId="06C641D6" w14:textId="77777777" w:rsidR="00B60E59" w:rsidRDefault="00B60E59" w:rsidP="00B60E59">
      <w:pPr>
        <w:spacing w:line="480" w:lineRule="auto"/>
      </w:pPr>
      <w:r>
        <w:t xml:space="preserve">Differential gene expression was assessed between TN patients, controls and ED patients using DESeq2 (supplementary data 4 and 5). Following multiple testing correction, 342 genes were significantly differentially expressed between TN patients and controls, 259 of which were upregulated in TN </w:t>
      </w:r>
      <w:r w:rsidRPr="005450B6">
        <w:t>patients (</w:t>
      </w:r>
      <w:proofErr w:type="spellStart"/>
      <w:r w:rsidRPr="005450B6">
        <w:t>logFC</w:t>
      </w:r>
      <w:proofErr w:type="spellEnd"/>
      <w:r w:rsidRPr="005450B6">
        <w:t xml:space="preserve"> &gt;1.</w:t>
      </w:r>
      <w:r>
        <w:t>15</w:t>
      </w:r>
      <w:r w:rsidRPr="005450B6">
        <w:t>, FDR &lt;0.05</w:t>
      </w:r>
      <w:r>
        <w:t xml:space="preserve">, figure 3A). The five most significant upregulated DEGs in TN patients were </w:t>
      </w:r>
      <w:r w:rsidRPr="00D05BD5">
        <w:rPr>
          <w:i/>
          <w:iCs/>
        </w:rPr>
        <w:t>S100A12</w:t>
      </w:r>
      <w:r>
        <w:t xml:space="preserve"> (fold change 32.5, </w:t>
      </w:r>
      <w:proofErr w:type="spellStart"/>
      <w:r>
        <w:t>adj</w:t>
      </w:r>
      <w:proofErr w:type="spellEnd"/>
      <w:r>
        <w:t>-p=</w:t>
      </w:r>
      <w:r w:rsidRPr="00D05BD5">
        <w:t xml:space="preserve"> </w:t>
      </w:r>
      <w:r>
        <w:t>2.6x10</w:t>
      </w:r>
      <w:r w:rsidRPr="00D05BD5">
        <w:rPr>
          <w:vertAlign w:val="superscript"/>
        </w:rPr>
        <w:t>-1</w:t>
      </w:r>
      <w:r>
        <w:rPr>
          <w:vertAlign w:val="superscript"/>
        </w:rPr>
        <w:t>5</w:t>
      </w:r>
      <w:r>
        <w:t>)</w:t>
      </w:r>
      <w:r w:rsidRPr="00D05BD5">
        <w:rPr>
          <w:i/>
          <w:iCs/>
        </w:rPr>
        <w:t>, CXCL8</w:t>
      </w:r>
      <w:r>
        <w:t xml:space="preserve"> (IL8)(fold change 20.2, </w:t>
      </w:r>
      <w:proofErr w:type="spellStart"/>
      <w:r>
        <w:t>adj</w:t>
      </w:r>
      <w:proofErr w:type="spellEnd"/>
      <w:r>
        <w:t>-p=</w:t>
      </w:r>
      <w:r w:rsidRPr="00D05BD5">
        <w:t xml:space="preserve"> </w:t>
      </w:r>
      <w:r>
        <w:t>5.5x10</w:t>
      </w:r>
      <w:r w:rsidRPr="00D05BD5">
        <w:rPr>
          <w:vertAlign w:val="superscript"/>
        </w:rPr>
        <w:t>-1</w:t>
      </w:r>
      <w:r>
        <w:rPr>
          <w:vertAlign w:val="superscript"/>
        </w:rPr>
        <w:t>5</w:t>
      </w:r>
      <w:r>
        <w:t xml:space="preserve">), </w:t>
      </w:r>
      <w:r w:rsidRPr="00D05BD5">
        <w:rPr>
          <w:i/>
          <w:iCs/>
        </w:rPr>
        <w:t>S100A9</w:t>
      </w:r>
      <w:r>
        <w:rPr>
          <w:i/>
          <w:iCs/>
        </w:rPr>
        <w:t xml:space="preserve"> </w:t>
      </w:r>
      <w:r>
        <w:t xml:space="preserve">(fold change 12.6, </w:t>
      </w:r>
      <w:proofErr w:type="spellStart"/>
      <w:r>
        <w:t>adj</w:t>
      </w:r>
      <w:proofErr w:type="spellEnd"/>
      <w:r>
        <w:t>-p=</w:t>
      </w:r>
      <w:r w:rsidRPr="00D05BD5">
        <w:t xml:space="preserve"> </w:t>
      </w:r>
      <w:r>
        <w:t>9.1x10</w:t>
      </w:r>
      <w:r w:rsidRPr="00D05BD5">
        <w:rPr>
          <w:vertAlign w:val="superscript"/>
        </w:rPr>
        <w:t>-</w:t>
      </w:r>
      <w:r>
        <w:rPr>
          <w:vertAlign w:val="superscript"/>
        </w:rPr>
        <w:t>14</w:t>
      </w:r>
      <w:r>
        <w:t>)</w:t>
      </w:r>
      <w:r w:rsidRPr="00D05BD5">
        <w:rPr>
          <w:i/>
          <w:iCs/>
        </w:rPr>
        <w:t>, FCGR3A/B</w:t>
      </w:r>
      <w:r>
        <w:rPr>
          <w:i/>
          <w:iCs/>
        </w:rPr>
        <w:t xml:space="preserve"> </w:t>
      </w:r>
      <w:r>
        <w:t xml:space="preserve">(fold change 7.3, </w:t>
      </w:r>
      <w:proofErr w:type="spellStart"/>
      <w:r>
        <w:t>adj</w:t>
      </w:r>
      <w:proofErr w:type="spellEnd"/>
      <w:r>
        <w:t>-p=</w:t>
      </w:r>
      <w:r w:rsidRPr="00D05BD5">
        <w:t xml:space="preserve"> </w:t>
      </w:r>
      <w:r>
        <w:t>5.0x10</w:t>
      </w:r>
      <w:r w:rsidRPr="00D05BD5">
        <w:rPr>
          <w:vertAlign w:val="superscript"/>
        </w:rPr>
        <w:t>-1</w:t>
      </w:r>
      <w:r>
        <w:rPr>
          <w:vertAlign w:val="superscript"/>
        </w:rPr>
        <w:t>3</w:t>
      </w:r>
      <w:r>
        <w:t>)</w:t>
      </w:r>
      <w:r w:rsidRPr="00D05BD5">
        <w:rPr>
          <w:i/>
          <w:iCs/>
        </w:rPr>
        <w:t>,</w:t>
      </w:r>
      <w:r>
        <w:t xml:space="preserve"> and </w:t>
      </w:r>
      <w:r>
        <w:rPr>
          <w:i/>
          <w:iCs/>
        </w:rPr>
        <w:t xml:space="preserve">IL1RN </w:t>
      </w:r>
      <w:r>
        <w:t xml:space="preserve">(fold change 8.1, </w:t>
      </w:r>
      <w:proofErr w:type="spellStart"/>
      <w:r>
        <w:t>adj</w:t>
      </w:r>
      <w:proofErr w:type="spellEnd"/>
      <w:r>
        <w:t>-p=</w:t>
      </w:r>
      <w:r w:rsidRPr="00D05BD5">
        <w:t xml:space="preserve"> </w:t>
      </w:r>
      <w:r>
        <w:t>3.9x10</w:t>
      </w:r>
      <w:r w:rsidRPr="00D05BD5">
        <w:rPr>
          <w:vertAlign w:val="superscript"/>
        </w:rPr>
        <w:t>-1</w:t>
      </w:r>
      <w:r>
        <w:rPr>
          <w:vertAlign w:val="superscript"/>
        </w:rPr>
        <w:t>2</w:t>
      </w:r>
      <w:r>
        <w:t>)</w:t>
      </w:r>
      <w:r>
        <w:rPr>
          <w:i/>
          <w:iCs/>
        </w:rPr>
        <w:t xml:space="preserve">. </w:t>
      </w:r>
      <w:r>
        <w:t xml:space="preserve">The difference between TN and ED patients was less marked, whereby just 12 genes were significantly upregulated in TN patients compared to ED patients (Figure 2D, </w:t>
      </w:r>
      <w:proofErr w:type="spellStart"/>
      <w:r w:rsidRPr="005450B6">
        <w:t>logFC</w:t>
      </w:r>
      <w:proofErr w:type="spellEnd"/>
      <w:r w:rsidRPr="005450B6">
        <w:t xml:space="preserve"> &gt;1.</w:t>
      </w:r>
      <w:r>
        <w:t>15</w:t>
      </w:r>
      <w:r w:rsidRPr="005450B6">
        <w:t>, FDR &lt;0.05</w:t>
      </w:r>
      <w:r>
        <w:t xml:space="preserve">). The five most significantly upregulated genes were </w:t>
      </w:r>
      <w:r w:rsidRPr="0075375F">
        <w:rPr>
          <w:i/>
          <w:iCs/>
        </w:rPr>
        <w:t>CSF3R</w:t>
      </w:r>
      <w:r>
        <w:rPr>
          <w:i/>
          <w:iCs/>
        </w:rPr>
        <w:t xml:space="preserve"> </w:t>
      </w:r>
      <w:r>
        <w:t xml:space="preserve">(fold change 2.5, </w:t>
      </w:r>
      <w:proofErr w:type="spellStart"/>
      <w:r>
        <w:t>adj</w:t>
      </w:r>
      <w:proofErr w:type="spellEnd"/>
      <w:r>
        <w:t>-p=</w:t>
      </w:r>
      <w:r w:rsidRPr="00D05BD5">
        <w:t xml:space="preserve"> </w:t>
      </w:r>
      <w:r>
        <w:t>0.0055)</w:t>
      </w:r>
      <w:r w:rsidRPr="0075375F">
        <w:rPr>
          <w:i/>
          <w:iCs/>
        </w:rPr>
        <w:t>, IL1RN</w:t>
      </w:r>
      <w:r>
        <w:rPr>
          <w:i/>
          <w:iCs/>
        </w:rPr>
        <w:t xml:space="preserve"> </w:t>
      </w:r>
      <w:r>
        <w:t xml:space="preserve">(fold change 3.0, </w:t>
      </w:r>
      <w:proofErr w:type="spellStart"/>
      <w:r>
        <w:t>adj</w:t>
      </w:r>
      <w:proofErr w:type="spellEnd"/>
      <w:r>
        <w:t>-p=</w:t>
      </w:r>
      <w:r w:rsidRPr="00D05BD5">
        <w:t xml:space="preserve"> </w:t>
      </w:r>
      <w:r>
        <w:t>0.0055)</w:t>
      </w:r>
      <w:r w:rsidRPr="0075375F">
        <w:rPr>
          <w:i/>
          <w:iCs/>
        </w:rPr>
        <w:t>, S100A9</w:t>
      </w:r>
      <w:r>
        <w:rPr>
          <w:i/>
          <w:iCs/>
        </w:rPr>
        <w:t xml:space="preserve"> </w:t>
      </w:r>
      <w:r>
        <w:t xml:space="preserve">(fold change </w:t>
      </w:r>
      <w:r>
        <w:lastRenderedPageBreak/>
        <w:t xml:space="preserve">3.6, </w:t>
      </w:r>
      <w:proofErr w:type="spellStart"/>
      <w:r>
        <w:t>adj</w:t>
      </w:r>
      <w:proofErr w:type="spellEnd"/>
      <w:r>
        <w:t>-p=</w:t>
      </w:r>
      <w:r w:rsidRPr="00D05BD5">
        <w:t xml:space="preserve"> </w:t>
      </w:r>
      <w:r>
        <w:t>0.0055)</w:t>
      </w:r>
      <w:r w:rsidRPr="0075375F">
        <w:rPr>
          <w:i/>
          <w:iCs/>
        </w:rPr>
        <w:t>, S100A12</w:t>
      </w:r>
      <w:r>
        <w:rPr>
          <w:i/>
          <w:iCs/>
        </w:rPr>
        <w:t xml:space="preserve"> </w:t>
      </w:r>
      <w:r>
        <w:t xml:space="preserve">(fold change 4.8, </w:t>
      </w:r>
      <w:proofErr w:type="spellStart"/>
      <w:r>
        <w:t>adj</w:t>
      </w:r>
      <w:proofErr w:type="spellEnd"/>
      <w:r>
        <w:t>-p=</w:t>
      </w:r>
      <w:r w:rsidRPr="00D05BD5">
        <w:t xml:space="preserve"> </w:t>
      </w:r>
      <w:r>
        <w:t>0.0055)</w:t>
      </w:r>
      <w:r w:rsidRPr="0075375F">
        <w:rPr>
          <w:i/>
          <w:iCs/>
        </w:rPr>
        <w:t xml:space="preserve"> </w:t>
      </w:r>
      <w:r w:rsidRPr="0075375F">
        <w:t>and</w:t>
      </w:r>
      <w:r w:rsidRPr="0075375F">
        <w:rPr>
          <w:i/>
          <w:iCs/>
        </w:rPr>
        <w:t xml:space="preserve"> AQP9</w:t>
      </w:r>
      <w:r>
        <w:rPr>
          <w:i/>
          <w:iCs/>
        </w:rPr>
        <w:t xml:space="preserve"> </w:t>
      </w:r>
      <w:r>
        <w:t xml:space="preserve">(fold change 3.6, </w:t>
      </w:r>
      <w:proofErr w:type="spellStart"/>
      <w:r>
        <w:t>adj</w:t>
      </w:r>
      <w:proofErr w:type="spellEnd"/>
      <w:r>
        <w:t>-p=</w:t>
      </w:r>
      <w:r w:rsidRPr="00D05BD5">
        <w:t xml:space="preserve"> </w:t>
      </w:r>
      <w:r>
        <w:t>0.03).</w:t>
      </w:r>
    </w:p>
    <w:p w14:paraId="7ED86343" w14:textId="77777777" w:rsidR="00B60E59" w:rsidRPr="00C624C1" w:rsidRDefault="00B60E59" w:rsidP="00B60E59">
      <w:pPr>
        <w:spacing w:line="480" w:lineRule="auto"/>
        <w:rPr>
          <w:bCs/>
        </w:rPr>
      </w:pPr>
      <w:r>
        <w:rPr>
          <w:bCs/>
          <w:i/>
          <w:iCs/>
          <w:u w:val="single"/>
        </w:rPr>
        <w:t>T</w:t>
      </w:r>
      <w:r w:rsidRPr="00C624C1">
        <w:rPr>
          <w:bCs/>
          <w:i/>
          <w:iCs/>
          <w:u w:val="single"/>
        </w:rPr>
        <w:t xml:space="preserve">reatment naïve Crohn’s disease is characterised by elevated IL17- and NOD-signalling. </w:t>
      </w:r>
    </w:p>
    <w:p w14:paraId="4E650E34" w14:textId="77777777" w:rsidR="00B60E59" w:rsidRDefault="00B60E59" w:rsidP="00B60E59">
      <w:pPr>
        <w:spacing w:line="480" w:lineRule="auto"/>
      </w:pPr>
      <w:r w:rsidRPr="000562A3">
        <w:t xml:space="preserve">We utilised </w:t>
      </w:r>
      <w:r>
        <w:t>gene enrichment</w:t>
      </w:r>
      <w:r w:rsidRPr="000562A3">
        <w:t xml:space="preserve"> analysis to assess for</w:t>
      </w:r>
      <w:r>
        <w:t xml:space="preserve"> pathways associated with TN patients using genes</w:t>
      </w:r>
      <w:r w:rsidRPr="000562A3">
        <w:t xml:space="preserve"> implicated by </w:t>
      </w:r>
      <w:r w:rsidRPr="00276819">
        <w:rPr>
          <w:i/>
          <w:iCs/>
        </w:rPr>
        <w:t>both</w:t>
      </w:r>
      <w:r>
        <w:t xml:space="preserve"> WGCNA and differential gene expression analysis. The IL17- and NOD-signalling pathways were recurrently implicated across multiple gene enrichment databases (Supplementary table 2). These pathways have previously been implicated in Crohn’s disease pathogenesis, and more so, are a biologically plausible explanation for a chronic inflammatory process within the intestine</w:t>
      </w:r>
      <w:r>
        <w:fldChar w:fldCharType="begin" w:fldLock="1"/>
      </w:r>
      <w:r>
        <w:instrText>ADDIN CSL_CITATION {"citationItems":[{"id":"ITEM-1","itemData":{"DOI":"10.1016/j.immuni.2014.12.010","ISSN":"1097-4180","PMID":"25526305","abstract":"The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have suggested several mechanisms to account for the link between NOD2 variants and susceptibility to Crohn's disease. Further understanding of NOD1 and NOD2 should provide new insight into the pathogenesis of disease and the development of new strategies to treat inflammatory and infectious disorders.","author":[{"dropping-particle":"","family":"Caruso","given":"Roberta","non-dropping-particle":"","parse-names":false,"suffix":""},{"dropping-particle":"","family":"Warner","given":"Neil","non-dropping-particle":"","parse-names":false,"suffix":""},{"dropping-particle":"","family":"Inohara","given":"Naohiro","non-dropping-particle":"","parse-names":false,"suffix":""},{"dropping-particle":"","family":"Núñez","given":"Gabriel","non-dropping-particle":"","parse-names":false,"suffix":""}],"container-title":"Immunity","id":"ITEM-1","issue":"6","issued":{"date-parts":[["2014","12","18"]]},"page":"898-908","publisher":"NIH Public Access","title":"NOD1 and NOD2: signaling, host defense, and inflammatory disease.","type":"article-journal","volume":"41"},"uris":["http://www.mendeley.com/documents/?uuid=53f9bf21-fde8-321b-9d75-05e83b1d1362"]},{"id":"ITEM-2","itemData":{"DOI":"10.1093/ibd/izz316","ISSN":"1078-0998","author":[{"dropping-particle":"","family":"Hou","given":"Guoqing","non-dropping-particle":"","parse-names":false,"suffix":""},{"dropping-particle":"","family":"Bishu","given":"Shrinivas","non-dropping-particle":"","parse-names":false,"suffix":""}],"container-title":"Inflammatory Bowel Diseases","id":"ITEM-2","issue":"5","issued":{"date-parts":[["2020","4","11"]]},"page":"653-661","publisher":"Oxford Academic","title":"Th17 Cells in Inflammatory Bowel Disease: An Update for the Clinician","type":"article-journal","volume":"26"},"uris":["http://www.mendeley.com/documents/?uuid=9b7da1de-aaf6-3c3c-85c1-10387270080a"]}],"mendeley":{"formattedCitation":"&lt;sup&gt;36,37&lt;/sup&gt;","plainTextFormattedCitation":"36,37","previouslyFormattedCitation":"&lt;sup&gt;36,37&lt;/sup&gt;"},"properties":{"noteIndex":0},"schema":"https://github.com/citation-style-language/schema/raw/master/csl-citation.json"}</w:instrText>
      </w:r>
      <w:r>
        <w:fldChar w:fldCharType="separate"/>
      </w:r>
      <w:r w:rsidRPr="00102C57">
        <w:rPr>
          <w:noProof/>
          <w:vertAlign w:val="superscript"/>
        </w:rPr>
        <w:t>36,37</w:t>
      </w:r>
      <w:r>
        <w:fldChar w:fldCharType="end"/>
      </w:r>
      <w:r>
        <w:t xml:space="preserve">.  </w:t>
      </w:r>
    </w:p>
    <w:p w14:paraId="15DECD51" w14:textId="77777777" w:rsidR="00B60E59" w:rsidRPr="00C9342C" w:rsidRDefault="00B60E59" w:rsidP="00B60E59">
      <w:pPr>
        <w:spacing w:line="480" w:lineRule="auto"/>
        <w:rPr>
          <w:b/>
          <w:bCs/>
          <w:u w:val="single"/>
        </w:rPr>
      </w:pPr>
      <w:r>
        <w:rPr>
          <w:b/>
          <w:bCs/>
          <w:u w:val="single"/>
        </w:rPr>
        <w:t>Gene expression d</w:t>
      </w:r>
      <w:r w:rsidRPr="00C9342C">
        <w:rPr>
          <w:b/>
          <w:bCs/>
          <w:u w:val="single"/>
        </w:rPr>
        <w:t xml:space="preserve">ifferences </w:t>
      </w:r>
      <w:r>
        <w:rPr>
          <w:b/>
          <w:bCs/>
          <w:u w:val="single"/>
        </w:rPr>
        <w:t>are not</w:t>
      </w:r>
      <w:r w:rsidRPr="00C9342C">
        <w:rPr>
          <w:b/>
          <w:bCs/>
          <w:u w:val="single"/>
        </w:rPr>
        <w:t xml:space="preserve"> driven solely by inflamed tissue</w:t>
      </w:r>
    </w:p>
    <w:p w14:paraId="1F774989" w14:textId="77777777" w:rsidR="00B60E59" w:rsidRDefault="00B60E59" w:rsidP="00B60E59">
      <w:pPr>
        <w:spacing w:line="480" w:lineRule="auto"/>
        <w:rPr>
          <w:i/>
          <w:iCs/>
          <w:u w:val="single"/>
        </w:rPr>
      </w:pPr>
      <w:r>
        <w:t>To ensure differences between groups were not driven solely by active inflammation we conducted analysis on inflamed vs. non-inflamed tissue. Whilst there were differentially expressed probes between inflamed and non-inflamed biopsies (total DEGs=185), the most differentially expressed genes were different to those observed when comparing TN CD and controls (Supplementary figure 1).</w:t>
      </w:r>
    </w:p>
    <w:p w14:paraId="3E4CCD95" w14:textId="77777777" w:rsidR="00B60E59" w:rsidRPr="008D0FBC" w:rsidRDefault="00B60E59" w:rsidP="00B60E59">
      <w:pPr>
        <w:spacing w:line="480" w:lineRule="auto"/>
        <w:rPr>
          <w:i/>
          <w:iCs/>
          <w:u w:val="single"/>
        </w:rPr>
      </w:pPr>
      <w:r>
        <w:rPr>
          <w:i/>
          <w:iCs/>
          <w:u w:val="single"/>
        </w:rPr>
        <w:t>G</w:t>
      </w:r>
      <w:r w:rsidRPr="008D0FBC">
        <w:rPr>
          <w:i/>
          <w:iCs/>
          <w:u w:val="single"/>
        </w:rPr>
        <w:t xml:space="preserve">ene expression </w:t>
      </w:r>
      <w:r>
        <w:rPr>
          <w:i/>
          <w:iCs/>
          <w:u w:val="single"/>
        </w:rPr>
        <w:t xml:space="preserve">in </w:t>
      </w:r>
      <w:r w:rsidRPr="008D0FBC">
        <w:rPr>
          <w:i/>
          <w:iCs/>
          <w:u w:val="single"/>
        </w:rPr>
        <w:t xml:space="preserve">NOD-signalling </w:t>
      </w:r>
      <w:r>
        <w:rPr>
          <w:i/>
          <w:iCs/>
          <w:u w:val="single"/>
        </w:rPr>
        <w:t xml:space="preserve">pathway </w:t>
      </w:r>
      <w:r w:rsidRPr="008D0FBC">
        <w:rPr>
          <w:i/>
          <w:iCs/>
          <w:u w:val="single"/>
        </w:rPr>
        <w:t>cluste</w:t>
      </w:r>
      <w:r>
        <w:rPr>
          <w:i/>
          <w:iCs/>
          <w:u w:val="single"/>
        </w:rPr>
        <w:t>rs Crohn’s disease</w:t>
      </w:r>
      <w:r w:rsidRPr="008D0FBC">
        <w:rPr>
          <w:i/>
          <w:iCs/>
          <w:u w:val="single"/>
        </w:rPr>
        <w:t xml:space="preserve"> patients </w:t>
      </w:r>
      <w:r>
        <w:rPr>
          <w:i/>
          <w:iCs/>
          <w:u w:val="single"/>
        </w:rPr>
        <w:t>distinctly from</w:t>
      </w:r>
      <w:r w:rsidRPr="008D0FBC">
        <w:rPr>
          <w:i/>
          <w:iCs/>
          <w:u w:val="single"/>
        </w:rPr>
        <w:t xml:space="preserve"> controls</w:t>
      </w:r>
    </w:p>
    <w:p w14:paraId="2377AB8A" w14:textId="77777777" w:rsidR="00B60E59" w:rsidRDefault="00B60E59" w:rsidP="00B60E59">
      <w:pPr>
        <w:spacing w:line="480" w:lineRule="auto"/>
      </w:pPr>
      <w:bookmarkStart w:id="6" w:name="_Hlk52268312"/>
      <w:r w:rsidRPr="00991CD3">
        <w:rPr>
          <w:i/>
          <w:iCs/>
        </w:rPr>
        <w:t>NOD2</w:t>
      </w:r>
      <w:r>
        <w:t xml:space="preserve"> is the most heavily implicated gene in Crohn’s disease pathogenesis, with variation in multiple interacting genes, including </w:t>
      </w:r>
      <w:r w:rsidRPr="00991CD3">
        <w:rPr>
          <w:i/>
          <w:iCs/>
        </w:rPr>
        <w:t>XIAP, RIPK2</w:t>
      </w:r>
      <w:r>
        <w:t xml:space="preserve"> and </w:t>
      </w:r>
      <w:r w:rsidRPr="00991CD3">
        <w:rPr>
          <w:i/>
          <w:iCs/>
        </w:rPr>
        <w:t>ATG16L1</w:t>
      </w:r>
      <w:r>
        <w:rPr>
          <w:i/>
          <w:iCs/>
        </w:rPr>
        <w:t>,</w:t>
      </w:r>
      <w:r>
        <w:t xml:space="preserve"> described as increasing risk of Crohn’s disease</w:t>
      </w:r>
      <w:r>
        <w:fldChar w:fldCharType="begin" w:fldLock="1"/>
      </w:r>
      <w:r>
        <w:instrText>ADDIN CSL_CITATION {"citationItems":[{"id":"ITEM-1","itemData":{"DOI":"10.1038/s41586-020-2025-2","ISSN":"0028-0836","abstract":"Inflammatory bowel disease (IBD) is a complex genetic disease that is instigated and amplified by the confluence of multiple genetic and environmental variables that perturb the immune–microbiome axis. The challenge of dissecting pathological mechanisms underlying IBD has led to the development of transformative approaches in human genetics and functional genomics. Here we describe IBD as a model disease in the context of leveraging human genetics to dissect interactions in cellular and molecular pathways that regulate homeostasis of the mucosal immune system. Finally, we synthesize emerging insights from multiple experimental approaches into pathway paradigms and discuss future prospects for disease-subtype classification and therapeutic intervention. This Review examines inflammatory bowel disease in the context of human genetics studies that help to identify pathways that regulate homeostasis of the mucosal immune system and discusses future prospects for disease-subtype classification and therapeutic intervention.","author":[{"dropping-particle":"","family":"Graham","given":"Daniel B.","non-dropping-particle":"","parse-names":false,"suffix":""},{"dropping-particle":"","family":"Xavier","given":"Ramnik J.","non-dropping-particle":"","parse-names":false,"suffix":""}],"container-title":"Nature","id":"ITEM-1","issue":"7796","issued":{"date-parts":[["2020","2","26"]]},"page":"527-539","publisher":"Nature Publishing Group","title":"Pathway paradigms revealed from the genetics of inflammatory bowel disease","type":"article-journal","volume":"578"},"uris":["http://www.mendeley.com/documents/?uuid=5a45aa9b-5ada-368a-9325-e6290b07eae1"]}],"mendeley":{"formattedCitation":"&lt;sup&gt;2&lt;/sup&gt;","plainTextFormattedCitation":"2","previouslyFormattedCitation":"&lt;sup&gt;2&lt;/sup&gt;"},"properties":{"noteIndex":0},"schema":"https://github.com/citation-style-language/schema/raw/master/csl-citation.json"}</w:instrText>
      </w:r>
      <w:r>
        <w:fldChar w:fldCharType="separate"/>
      </w:r>
      <w:r w:rsidRPr="00991CD3">
        <w:rPr>
          <w:noProof/>
          <w:vertAlign w:val="superscript"/>
        </w:rPr>
        <w:t>2</w:t>
      </w:r>
      <w:r>
        <w:fldChar w:fldCharType="end"/>
      </w:r>
      <w:r>
        <w:t xml:space="preserve">. Transcripts from genes within the NOD-signalling pathway were amongst the most significantly enriched in treatment naïve patients.  </w:t>
      </w:r>
      <w:bookmarkEnd w:id="6"/>
      <w:r>
        <w:t xml:space="preserve">We hypothesised that aberrant NOD-signalling gene expression could be used to classify patients from controls. Utilising a list of 95 genes in the NOD-signalling pathway, curated by the HTG platform, we performed hierarchical clustering of all patients (quantile normalised data, average distance clustering), figure 4. Three broad clusters were formed, with 8 patients remaining outliers. All but three of the controls grouped together in cluster </w:t>
      </w:r>
      <w:r>
        <w:lastRenderedPageBreak/>
        <w:t xml:space="preserve">3, characterised by low </w:t>
      </w:r>
      <w:r w:rsidRPr="00991CD3">
        <w:rPr>
          <w:i/>
          <w:iCs/>
        </w:rPr>
        <w:t>CXCL8</w:t>
      </w:r>
      <w:r>
        <w:rPr>
          <w:i/>
          <w:iCs/>
        </w:rPr>
        <w:t xml:space="preserve"> (IL8), CXCL2 and CASP5</w:t>
      </w:r>
      <w:r>
        <w:t xml:space="preserve"> expression. In contrast clusters 1 and 2 had increased expression of pro-inflammatory </w:t>
      </w:r>
      <w:r w:rsidRPr="00991CD3">
        <w:rPr>
          <w:i/>
          <w:iCs/>
        </w:rPr>
        <w:t>CXCL1</w:t>
      </w:r>
      <w:r>
        <w:t xml:space="preserve"> and </w:t>
      </w:r>
      <w:r w:rsidRPr="00991CD3">
        <w:rPr>
          <w:i/>
          <w:iCs/>
        </w:rPr>
        <w:t>STAT1</w:t>
      </w:r>
      <w:r>
        <w:rPr>
          <w:i/>
          <w:iCs/>
        </w:rPr>
        <w:t>.</w:t>
      </w:r>
      <w:r>
        <w:t xml:space="preserve"> </w:t>
      </w:r>
      <w:r w:rsidRPr="00991CD3">
        <w:rPr>
          <w:i/>
          <w:iCs/>
        </w:rPr>
        <w:t>NOD2</w:t>
      </w:r>
      <w:r>
        <w:rPr>
          <w:i/>
          <w:iCs/>
        </w:rPr>
        <w:t xml:space="preserve"> </w:t>
      </w:r>
      <w:r>
        <w:t xml:space="preserve">expression itself did not appear to differ between groups. </w:t>
      </w:r>
    </w:p>
    <w:p w14:paraId="40FCA1E1" w14:textId="77777777" w:rsidR="00B60E59" w:rsidRPr="00E1780B" w:rsidRDefault="00B60E59" w:rsidP="00B60E59">
      <w:pPr>
        <w:spacing w:line="480" w:lineRule="auto"/>
        <w:rPr>
          <w:b/>
          <w:bCs/>
          <w:u w:val="single"/>
        </w:rPr>
      </w:pPr>
      <w:r w:rsidRPr="00E1780B">
        <w:rPr>
          <w:b/>
          <w:bCs/>
          <w:u w:val="single"/>
        </w:rPr>
        <w:t>Clinical data integration</w:t>
      </w:r>
    </w:p>
    <w:p w14:paraId="36DAF8ED" w14:textId="77777777" w:rsidR="00B60E59" w:rsidRPr="00E1780B" w:rsidRDefault="00B60E59" w:rsidP="00B60E59">
      <w:pPr>
        <w:spacing w:line="480" w:lineRule="auto"/>
        <w:rPr>
          <w:bCs/>
          <w:i/>
          <w:iCs/>
          <w:u w:val="single"/>
        </w:rPr>
      </w:pPr>
      <w:r w:rsidRPr="00E1780B">
        <w:rPr>
          <w:bCs/>
          <w:i/>
          <w:iCs/>
          <w:u w:val="single"/>
        </w:rPr>
        <w:t>Th17-cell differentiation gene module associated with prolonged time to relapse</w:t>
      </w:r>
    </w:p>
    <w:p w14:paraId="098C5AD1" w14:textId="23C65DE9" w:rsidR="00B60E59" w:rsidRPr="005A19F3" w:rsidRDefault="00B60E59" w:rsidP="00B60E59">
      <w:pPr>
        <w:spacing w:line="480" w:lineRule="auto"/>
      </w:pPr>
      <w:r>
        <w:t xml:space="preserve">Using WGCNA, we assessed whether co-expressed gene modules were predictive for patient prognosis. The number of days from diagnosis to relapse were entered as a continuous variable. Six of the 27 treatment naïve Crohn’s </w:t>
      </w:r>
      <w:r w:rsidRPr="00780453">
        <w:t>disease patients had not relapsed at the time of analysis</w:t>
      </w:r>
      <w:r>
        <w:t>. We took the conservative approach of setting their time to relapse as the number of days from diagnoses to most recent follow up</w:t>
      </w:r>
      <w:r w:rsidRPr="00780453">
        <w:t xml:space="preserve">. A co-expression module (‘blue’, supplementary data </w:t>
      </w:r>
      <w:r>
        <w:t>6</w:t>
      </w:r>
      <w:r w:rsidRPr="00780453">
        <w:t>)</w:t>
      </w:r>
      <w:r>
        <w:t xml:space="preserve"> characterised by 55 significantly upregulated genes (p= &lt;0.05), was positively correlated with time to relapse (correlation coefficient 0.36, p=0.07) (</w:t>
      </w:r>
      <w:r w:rsidR="00816887">
        <w:t>Supplementary f</w:t>
      </w:r>
      <w:r w:rsidRPr="004764A1">
        <w:t xml:space="preserve">igure </w:t>
      </w:r>
      <w:r w:rsidR="00816887">
        <w:t>2</w:t>
      </w:r>
      <w:r>
        <w:t>)</w:t>
      </w:r>
      <w:r w:rsidRPr="004764A1">
        <w:t xml:space="preserve">. </w:t>
      </w:r>
      <w:r>
        <w:t>The 55 genes comprising this module were significantly enriched for Th17</w:t>
      </w:r>
      <w:r w:rsidRPr="00D77075">
        <w:t xml:space="preserve"> cell differentiation</w:t>
      </w:r>
      <w:r>
        <w:t xml:space="preserve"> (KEGG, adjusted p value</w:t>
      </w:r>
      <w:r w:rsidRPr="00D77075">
        <w:t xml:space="preserve"> 9.21</w:t>
      </w:r>
      <w:r>
        <w:t>x10</w:t>
      </w:r>
      <w:r w:rsidRPr="00636F4C">
        <w:rPr>
          <w:vertAlign w:val="superscript"/>
        </w:rPr>
        <w:t>-</w:t>
      </w:r>
      <w:r w:rsidRPr="00D77075">
        <w:rPr>
          <w:vertAlign w:val="superscript"/>
        </w:rPr>
        <w:t>11</w:t>
      </w:r>
      <w:r>
        <w:t xml:space="preserve">), indicating patients with longer duration of remission had increased activation of Th17 cell differentiation pathways, supplementary data 7. </w:t>
      </w:r>
    </w:p>
    <w:p w14:paraId="6884B8AC" w14:textId="77777777" w:rsidR="00B60E59" w:rsidRPr="00F114A0" w:rsidRDefault="00B60E59" w:rsidP="00B60E59">
      <w:pPr>
        <w:spacing w:line="480" w:lineRule="auto"/>
      </w:pPr>
      <w:r>
        <w:t xml:space="preserve">In order to determine if any DEGs were associated with early relapse we stratified the 27 treatment naïve CD patients into those that relapsed within 16 weeks (n =14) and those that either relapsed after 16 weeks or did not relapse (n =13). Sixteen weeks was chosen to split the cohort into two equal groups to increase the power to identify DEGs. Expression of the </w:t>
      </w:r>
      <w:r w:rsidRPr="00B40FFA">
        <w:rPr>
          <w:i/>
          <w:iCs/>
        </w:rPr>
        <w:t>PI3</w:t>
      </w:r>
      <w:r>
        <w:rPr>
          <w:i/>
          <w:iCs/>
        </w:rPr>
        <w:t xml:space="preserve"> </w:t>
      </w:r>
      <w:r>
        <w:t>gene, an antimicrobial peptide expressed in response to lipopolysaccharide and IL17-signalling, was significantly upregulated in patients with early relapse (fold change = 2.13, adjusted p=</w:t>
      </w:r>
      <w:r w:rsidRPr="00F114A0">
        <w:t>0.0</w:t>
      </w:r>
      <w:r>
        <w:t>358, supplementary table 3)</w:t>
      </w:r>
      <w:r>
        <w:fldChar w:fldCharType="begin" w:fldLock="1"/>
      </w:r>
      <w:r>
        <w:instrText>ADDIN CSL_CITATION {"citationItems":[{"id":"ITEM-1","itemData":{"DOI":"10.1038/jid.2010.36","ISSN":"0022202X","PMID":"20220767","abstract":"To further elucidate molecular alterations in psoriasis, we performed a gene expression study of 58 paired lesional and uninvolved psoriatic and 64 control skin samples. Comparison of involved psoriatic (PP) and normal (NN) skin identified 1,326 differentially regulated transcripts encoding 918 unique genes (549 up-and 369 downregulated), of which over 600 are to our knowledge previously unreported, including S100A7A, THRSP, and ELOVL3. Strongly upregulated genes included SERPINB4, PI3, DEFB4, and several S100-family members. Strongly downregulated genes included Wnt-inhibitory factor-1 (WIF1), Β-cellulin (BTC), and CCL27. Enriched gene ontology categories included immune response, defense response, and keratinocyte differentiation. Biological processes regulating fatty acid and lipid metabolism were enriched in the down-regulated gene set. Comparison of the psoriatic transcriptome to the transcriptomes of cytokine-stimulated cultured keratinocytes (IL-17, IL-22, IL-1α, IFN-γ, TNF-α, and OSM) showed surprisingly little overlap, with the cytokine-stimulated keratinocyte expression representing only 2.5, 0.7, 1.5, 5.6, 5.0, and 1.9% of the lesional psoriatic dysregulated transcriptome, respectively. This comprehensive analysis of differentially regulated transcripts in psoriasis provides additional insight into the pathogenic mechanisms involved and emphasizes the need for more complex yet tractable experimental models of psoriasis. © 2010 The Society for Investigative Dermatology.","author":[{"dropping-particle":"","family":"Gudjonsson","given":"Johann E.","non-dropping-particle":"","parse-names":false,"suffix":""},{"dropping-particle":"","family":"Ding","given":"Jun","non-dropping-particle":"","parse-names":false,"suffix":""},{"dropping-particle":"","family":"Johnston","given":"Andrew","non-dropping-particle":"","parse-names":false,"suffix":""},{"dropping-particle":"","family":"Tejasvi","given":"Trilokraj","non-dropping-particle":"","parse-names":false,"suffix":""},{"dropping-particle":"","family":"Guzman","given":"Andrew M.","non-dropping-particle":"","parse-names":false,"suffix":""},{"dropping-particle":"","family":"Nair","given":"Rajan P.","non-dropping-particle":"","parse-names":false,"suffix":""},{"dropping-particle":"","family":"Voorhees","given":"John J.","non-dropping-particle":"","parse-names":false,"suffix":""},{"dropping-particle":"","family":"Abecasis","given":"Goncalo R.","non-dropping-particle":"","parse-names":false,"suffix":""},{"dropping-particle":"","family":"Elder","given":"James T.","non-dropping-particle":"","parse-names":false,"suffix":""}],"container-title":"Journal of Investigative Dermatology","id":"ITEM-1","issue":"7","issued":{"date-parts":[["2010","7","1"]]},"page":"1829-1840","publisher":"Elsevier","title":"Assessment of the psoriatic transcriptome in a large sample: Additional regulated genes and comparisons with in vitro models","type":"article-journal","volume":"130"},"uris":["http://www.mendeley.com/documents/?uuid=9e7d9860-666b-34c0-9cfa-faf3d3dc7ded"]}],"mendeley":{"formattedCitation":"&lt;sup&gt;38&lt;/sup&gt;","plainTextFormattedCitation":"38","previouslyFormattedCitation":"&lt;sup&gt;38&lt;/sup&gt;"},"properties":{"noteIndex":0},"schema":"https://github.com/citation-style-language/schema/raw/master/csl-citation.json"}</w:instrText>
      </w:r>
      <w:r>
        <w:fldChar w:fldCharType="separate"/>
      </w:r>
      <w:r w:rsidRPr="00102C57">
        <w:rPr>
          <w:noProof/>
          <w:vertAlign w:val="superscript"/>
        </w:rPr>
        <w:t>38</w:t>
      </w:r>
      <w:r>
        <w:fldChar w:fldCharType="end"/>
      </w:r>
      <w:r>
        <w:t xml:space="preserve">. </w:t>
      </w:r>
    </w:p>
    <w:p w14:paraId="46AD99E4" w14:textId="77777777" w:rsidR="00B60E59" w:rsidRPr="00276819" w:rsidRDefault="00B60E59" w:rsidP="00B60E59">
      <w:pPr>
        <w:spacing w:line="480" w:lineRule="auto"/>
        <w:rPr>
          <w:b/>
          <w:u w:val="single"/>
        </w:rPr>
      </w:pPr>
      <w:r w:rsidRPr="00276819">
        <w:rPr>
          <w:b/>
          <w:u w:val="single"/>
        </w:rPr>
        <w:t>Single-cell sequencing of treatment naïve Crohn’s disease patients</w:t>
      </w:r>
    </w:p>
    <w:p w14:paraId="0CF59FE4" w14:textId="77777777" w:rsidR="00B60E59" w:rsidRPr="00E1780B" w:rsidRDefault="00B60E59" w:rsidP="00B60E59">
      <w:pPr>
        <w:spacing w:line="480" w:lineRule="auto"/>
        <w:rPr>
          <w:bCs/>
          <w:i/>
          <w:iCs/>
          <w:u w:val="single"/>
        </w:rPr>
      </w:pPr>
      <w:r w:rsidRPr="00E1780B">
        <w:rPr>
          <w:bCs/>
          <w:i/>
          <w:iCs/>
          <w:u w:val="single"/>
        </w:rPr>
        <w:lastRenderedPageBreak/>
        <w:t>Specialised gastrointestinal epithelial cells drive differential expression of S100A9, a key molecule in IL17 signalling pathway.</w:t>
      </w:r>
    </w:p>
    <w:p w14:paraId="46039C0F" w14:textId="03D9ECAB" w:rsidR="00B60E59" w:rsidRDefault="00B60E59" w:rsidP="00B60E59">
      <w:pPr>
        <w:spacing w:line="480" w:lineRule="auto"/>
      </w:pPr>
      <w:r>
        <w:t>S</w:t>
      </w:r>
      <w:r w:rsidRPr="00CD6CAD">
        <w:t xml:space="preserve">ingle cell RNA sequencing of ileal biopsies from </w:t>
      </w:r>
      <w:r>
        <w:t xml:space="preserve">two treatment naïve Crohn’s </w:t>
      </w:r>
      <w:r w:rsidRPr="00780453">
        <w:t xml:space="preserve">disease </w:t>
      </w:r>
      <w:r w:rsidRPr="00CD6CAD">
        <w:t xml:space="preserve">patients </w:t>
      </w:r>
      <w:r>
        <w:t>(patient IDs S</w:t>
      </w:r>
      <w:r w:rsidRPr="00620D25">
        <w:t>OPR0472</w:t>
      </w:r>
      <w:r>
        <w:t xml:space="preserve"> and S</w:t>
      </w:r>
      <w:r w:rsidRPr="00620D25">
        <w:t>OPR047</w:t>
      </w:r>
      <w:r>
        <w:t xml:space="preserve">6) </w:t>
      </w:r>
      <w:r w:rsidRPr="00CD6CAD">
        <w:t xml:space="preserve">were </w:t>
      </w:r>
      <w:r w:rsidRPr="00DB1DBA">
        <w:t xml:space="preserve">undertaken </w:t>
      </w:r>
      <w:r>
        <w:t xml:space="preserve">in order </w:t>
      </w:r>
      <w:r w:rsidRPr="00DB1DBA">
        <w:t xml:space="preserve">to identify distinct cell populations driving the enrichment of specific biological pathways. </w:t>
      </w:r>
      <w:r w:rsidRPr="00DB1DBA">
        <w:rPr>
          <w:rFonts w:ascii="Calibri" w:hAnsi="Calibri" w:cs="Calibri"/>
        </w:rPr>
        <w:t>After filtering, a total of 1458 cells (</w:t>
      </w:r>
      <w:r>
        <w:t>S</w:t>
      </w:r>
      <w:r w:rsidRPr="00620D25">
        <w:t>OPR0472</w:t>
      </w:r>
      <w:r>
        <w:t xml:space="preserve"> </w:t>
      </w:r>
      <w:r w:rsidRPr="00DB1DBA">
        <w:rPr>
          <w:rFonts w:ascii="Calibri" w:hAnsi="Calibri" w:cs="Calibri"/>
        </w:rPr>
        <w:t xml:space="preserve">=710 cells, </w:t>
      </w:r>
      <w:r>
        <w:t>S</w:t>
      </w:r>
      <w:r w:rsidRPr="00620D25">
        <w:t>OPR047</w:t>
      </w:r>
      <w:r>
        <w:t>6</w:t>
      </w:r>
      <w:r w:rsidRPr="00DB1DBA">
        <w:rPr>
          <w:rFonts w:ascii="Calibri" w:hAnsi="Calibri" w:cs="Calibri"/>
        </w:rPr>
        <w:t xml:space="preserve">=748 cells) and 4,731 genes were used for analyses. </w:t>
      </w:r>
      <w:proofErr w:type="spellStart"/>
      <w:r w:rsidRPr="00DB1DBA">
        <w:t>ScanPy</w:t>
      </w:r>
      <w:proofErr w:type="spellEnd"/>
      <w:r w:rsidRPr="00DB1DBA">
        <w:t xml:space="preserve"> UMAP dimensionality reduction of the 1458 cells integrated from both patient biopsies (SOPR0472=710, SOPR0476=748 cells) was performed (Figure </w:t>
      </w:r>
      <w:r>
        <w:t>5</w:t>
      </w:r>
      <w:r w:rsidRPr="00DB1DBA">
        <w:t xml:space="preserve">A), followed by annotation of cell populations as CD8+ effector memory T cells (CD8+ </w:t>
      </w:r>
      <w:proofErr w:type="spellStart"/>
      <w:r w:rsidRPr="00DB1DBA">
        <w:t>Tem</w:t>
      </w:r>
      <w:proofErr w:type="spellEnd"/>
      <w:r w:rsidRPr="00DB1DBA">
        <w:t>), memory B-cells, monocytes, epithelial cells and plasma cells, contributed by cells from each sample (Figure</w:t>
      </w:r>
      <w:r>
        <w:t xml:space="preserve"> 5</w:t>
      </w:r>
      <w:r w:rsidRPr="00DB1DBA">
        <w:t xml:space="preserve">A, 4B). </w:t>
      </w:r>
      <w:bookmarkStart w:id="7" w:name="_Hlk54682455"/>
      <w:r w:rsidRPr="00DB1DBA">
        <w:t xml:space="preserve">We identified 9 distinct clusters within the </w:t>
      </w:r>
      <w:proofErr w:type="spellStart"/>
      <w:r w:rsidRPr="00DB1DBA">
        <w:t>SingleR</w:t>
      </w:r>
      <w:proofErr w:type="spellEnd"/>
      <w:r w:rsidRPr="00DB1DBA">
        <w:t xml:space="preserve"> annotated populations (Figure </w:t>
      </w:r>
      <w:r>
        <w:t>5</w:t>
      </w:r>
      <w:r w:rsidRPr="00DB1DBA">
        <w:t xml:space="preserve">C), with each cluster defined by the expression of unique marker genes (Figure </w:t>
      </w:r>
      <w:r>
        <w:t>5</w:t>
      </w:r>
      <w:r w:rsidRPr="00DB1DBA">
        <w:t>D)</w:t>
      </w:r>
      <w:r>
        <w:t>, supplementary data 8</w:t>
      </w:r>
      <w:r w:rsidRPr="00DB1DBA">
        <w:t xml:space="preserve">. </w:t>
      </w:r>
      <w:r w:rsidR="004C3E79">
        <w:t>Cells were assigned to clusters based on their overall transcription profiles</w:t>
      </w:r>
      <w:r w:rsidR="00AE7C99">
        <w:t xml:space="preserve"> and confirmed by further annotation by </w:t>
      </w:r>
      <w:proofErr w:type="spellStart"/>
      <w:r w:rsidR="00AE7C99">
        <w:t>Enrichr</w:t>
      </w:r>
      <w:proofErr w:type="spellEnd"/>
      <w:r w:rsidR="00AE7C99">
        <w:t xml:space="preserve"> </w:t>
      </w:r>
      <w:proofErr w:type="spellStart"/>
      <w:r w:rsidR="00AE7C99">
        <w:t>CellType</w:t>
      </w:r>
      <w:proofErr w:type="spellEnd"/>
      <w:r w:rsidR="00AE7C99">
        <w:t xml:space="preserve"> (supplementary data 9)</w:t>
      </w:r>
      <w:r w:rsidR="004C3E79">
        <w:t xml:space="preserve">. </w:t>
      </w:r>
      <w:bookmarkEnd w:id="7"/>
      <w:r w:rsidRPr="00DB1DBA">
        <w:t xml:space="preserve">Interestingly, the 2 genes that most strongly defined cluster 7 as epithelial cells included both calprotectin subunits, </w:t>
      </w:r>
      <w:r w:rsidRPr="00DB1DBA">
        <w:rPr>
          <w:i/>
        </w:rPr>
        <w:t xml:space="preserve">S100A8 </w:t>
      </w:r>
      <w:r w:rsidRPr="00DB1DBA">
        <w:t xml:space="preserve">and </w:t>
      </w:r>
      <w:r w:rsidRPr="00DB1DBA">
        <w:rPr>
          <w:i/>
        </w:rPr>
        <w:t>S100A9</w:t>
      </w:r>
      <w:r w:rsidRPr="00DB1DBA">
        <w:t xml:space="preserve">. </w:t>
      </w:r>
      <w:r>
        <w:t>Interestingly, the</w:t>
      </w:r>
      <w:r w:rsidRPr="00DB1DBA">
        <w:t xml:space="preserve"> </w:t>
      </w:r>
      <w:r w:rsidRPr="00DB1DBA">
        <w:rPr>
          <w:i/>
        </w:rPr>
        <w:t>S100A9</w:t>
      </w:r>
      <w:r w:rsidRPr="00DB1DBA">
        <w:t xml:space="preserve"> gene was one of the top DEGs between TN patients and controls</w:t>
      </w:r>
      <w:r>
        <w:t xml:space="preserve">. </w:t>
      </w:r>
      <w:r w:rsidRPr="00DB1DBA">
        <w:rPr>
          <w:i/>
        </w:rPr>
        <w:t>S100A8</w:t>
      </w:r>
      <w:r>
        <w:rPr>
          <w:i/>
        </w:rPr>
        <w:t xml:space="preserve"> </w:t>
      </w:r>
      <w:r w:rsidRPr="0028591D">
        <w:rPr>
          <w:iCs/>
        </w:rPr>
        <w:t xml:space="preserve">is </w:t>
      </w:r>
      <w:r>
        <w:rPr>
          <w:iCs/>
        </w:rPr>
        <w:t>the other</w:t>
      </w:r>
      <w:r w:rsidRPr="0028591D">
        <w:rPr>
          <w:iCs/>
        </w:rPr>
        <w:t xml:space="preserve"> calprotectin subunit </w:t>
      </w:r>
      <w:r>
        <w:rPr>
          <w:iCs/>
        </w:rPr>
        <w:t xml:space="preserve">but as this transcript was not probed in the targeted </w:t>
      </w:r>
      <w:proofErr w:type="gramStart"/>
      <w:r>
        <w:rPr>
          <w:iCs/>
        </w:rPr>
        <w:t>panel</w:t>
      </w:r>
      <w:proofErr w:type="gramEnd"/>
      <w:r>
        <w:rPr>
          <w:iCs/>
        </w:rPr>
        <w:t xml:space="preserve"> we could not compare its expression between methodologies</w:t>
      </w:r>
      <w:r w:rsidRPr="00DB1DBA">
        <w:t xml:space="preserve">. Gene ontology analysis of the 50 genes that define cluster 7 (n=50) revealed associations with inflammatory immune response processes, including </w:t>
      </w:r>
      <w:r>
        <w:t>an</w:t>
      </w:r>
      <w:r w:rsidRPr="00DB1DBA">
        <w:t xml:space="preserve"> epithelial defence response to bacterium (</w:t>
      </w:r>
      <w:proofErr w:type="spellStart"/>
      <w:r w:rsidRPr="00DB1DBA">
        <w:t>adj</w:t>
      </w:r>
      <w:proofErr w:type="spellEnd"/>
      <w:r w:rsidRPr="00DB1DBA">
        <w:t>-p=2.2x10</w:t>
      </w:r>
      <w:r w:rsidRPr="00DB1DBA">
        <w:rPr>
          <w:vertAlign w:val="superscript"/>
        </w:rPr>
        <w:t>-5</w:t>
      </w:r>
      <w:r w:rsidRPr="00DB1DBA">
        <w:t xml:space="preserve">). </w:t>
      </w:r>
    </w:p>
    <w:p w14:paraId="1386C810" w14:textId="77777777" w:rsidR="00B60E59" w:rsidRPr="00DB1DBA" w:rsidRDefault="00B60E59" w:rsidP="00B60E59">
      <w:pPr>
        <w:spacing w:line="480" w:lineRule="auto"/>
        <w:rPr>
          <w:i/>
          <w:iCs/>
          <w:u w:val="single"/>
        </w:rPr>
      </w:pPr>
      <w:r w:rsidRPr="00DB1DBA">
        <w:rPr>
          <w:i/>
          <w:iCs/>
          <w:u w:val="single"/>
        </w:rPr>
        <w:t>Specific cell populations drive gene expression seen in treatment naïve patients</w:t>
      </w:r>
    </w:p>
    <w:p w14:paraId="34B5D4C5" w14:textId="652A891E" w:rsidR="00B60E59" w:rsidRPr="00DB1DBA" w:rsidRDefault="00B60E59" w:rsidP="00B60E59">
      <w:pPr>
        <w:spacing w:line="480" w:lineRule="auto"/>
      </w:pPr>
      <w:r>
        <w:t>The nine discrete</w:t>
      </w:r>
      <w:r w:rsidRPr="00DB1DBA">
        <w:t xml:space="preserve"> cell populations were interrogated for the</w:t>
      </w:r>
      <w:r>
        <w:t>ir</w:t>
      </w:r>
      <w:r w:rsidRPr="00DB1DBA">
        <w:t xml:space="preserve"> </w:t>
      </w:r>
      <w:r>
        <w:t xml:space="preserve">relative </w:t>
      </w:r>
      <w:r w:rsidRPr="00DB1DBA">
        <w:t xml:space="preserve">expression of genes </w:t>
      </w:r>
      <w:r>
        <w:t>identified</w:t>
      </w:r>
      <w:r w:rsidRPr="00DB1DBA">
        <w:t xml:space="preserve"> in the gene module 3</w:t>
      </w:r>
      <w:r>
        <w:t xml:space="preserve"> that characterised</w:t>
      </w:r>
      <w:r w:rsidRPr="00DB1DBA">
        <w:t xml:space="preserve"> TN </w:t>
      </w:r>
      <w:r>
        <w:t>CD</w:t>
      </w:r>
      <w:r w:rsidRPr="00DB1DBA">
        <w:t xml:space="preserve"> patients (Figure </w:t>
      </w:r>
      <w:r>
        <w:t>2</w:t>
      </w:r>
      <w:r w:rsidRPr="00DB1DBA">
        <w:t xml:space="preserve">A). </w:t>
      </w:r>
      <w:r>
        <w:t xml:space="preserve">The cell populations </w:t>
      </w:r>
      <w:r w:rsidRPr="00DB1DBA">
        <w:t>showing elevated expression of module</w:t>
      </w:r>
      <w:r>
        <w:t xml:space="preserve"> 3</w:t>
      </w:r>
      <w:r w:rsidRPr="00DB1DBA">
        <w:t xml:space="preserve"> genes included </w:t>
      </w:r>
      <w:r>
        <w:t xml:space="preserve">cells identified as </w:t>
      </w:r>
      <w:r w:rsidRPr="00DB1DBA">
        <w:t>monocytes (cluster 5</w:t>
      </w:r>
      <w:r>
        <w:t xml:space="preserve">- </w:t>
      </w:r>
      <w:r w:rsidRPr="00DB1DBA">
        <w:rPr>
          <w:i/>
        </w:rPr>
        <w:t xml:space="preserve">CCL4, </w:t>
      </w:r>
      <w:r w:rsidRPr="00DB1DBA">
        <w:rPr>
          <w:i/>
        </w:rPr>
        <w:lastRenderedPageBreak/>
        <w:t>CXCL3, IL1RN, IL8</w:t>
      </w:r>
      <w:r w:rsidRPr="00DB1DBA">
        <w:t xml:space="preserve"> and </w:t>
      </w:r>
      <w:r w:rsidRPr="00DB1DBA">
        <w:rPr>
          <w:i/>
        </w:rPr>
        <w:t>PLAUR</w:t>
      </w:r>
      <w:r w:rsidRPr="00DB1DBA">
        <w:t xml:space="preserve">) and </w:t>
      </w:r>
      <w:r>
        <w:t xml:space="preserve">epithelial cells in </w:t>
      </w:r>
      <w:r w:rsidRPr="00DB1DBA">
        <w:t>cluster 7 (</w:t>
      </w:r>
      <w:r w:rsidRPr="00DB1DBA">
        <w:rPr>
          <w:i/>
        </w:rPr>
        <w:t>S100A9</w:t>
      </w:r>
      <w:r w:rsidRPr="00DB1DBA">
        <w:t>), cluster 4 (</w:t>
      </w:r>
      <w:r w:rsidRPr="00DB1DBA">
        <w:rPr>
          <w:i/>
        </w:rPr>
        <w:t>LCN2, MMP1</w:t>
      </w:r>
      <w:r w:rsidRPr="00DB1DBA">
        <w:t xml:space="preserve"> and </w:t>
      </w:r>
      <w:r w:rsidRPr="00DB1DBA">
        <w:rPr>
          <w:i/>
        </w:rPr>
        <w:t>PLAUR</w:t>
      </w:r>
      <w:r w:rsidRPr="00DB1DBA">
        <w:t>) and cluster 2 (</w:t>
      </w:r>
      <w:r w:rsidRPr="00DB1DBA">
        <w:rPr>
          <w:i/>
        </w:rPr>
        <w:t xml:space="preserve">IL8, LCN2, MMP1, PI3 </w:t>
      </w:r>
      <w:r w:rsidRPr="00DB1DBA">
        <w:t>and</w:t>
      </w:r>
      <w:r w:rsidRPr="00DB1DBA">
        <w:rPr>
          <w:i/>
        </w:rPr>
        <w:t xml:space="preserve"> PLAUR</w:t>
      </w:r>
      <w:r w:rsidRPr="00DB1DBA">
        <w:t xml:space="preserve">)(Figure </w:t>
      </w:r>
      <w:r>
        <w:t>5</w:t>
      </w:r>
      <w:r w:rsidRPr="00DB1DBA">
        <w:t xml:space="preserve">E). </w:t>
      </w:r>
    </w:p>
    <w:p w14:paraId="3EB063EE" w14:textId="77777777" w:rsidR="00B60E59" w:rsidRPr="00DB1DBA" w:rsidRDefault="00B60E59" w:rsidP="00B60E59">
      <w:pPr>
        <w:spacing w:line="480" w:lineRule="auto"/>
        <w:rPr>
          <w:i/>
          <w:iCs/>
          <w:u w:val="single"/>
        </w:rPr>
      </w:pPr>
      <w:r w:rsidRPr="00DB1DBA">
        <w:rPr>
          <w:i/>
          <w:iCs/>
          <w:u w:val="single"/>
        </w:rPr>
        <w:t xml:space="preserve">Enrichment of Il17-signalling was observed in monocytes and specialised epithelial cells  </w:t>
      </w:r>
    </w:p>
    <w:p w14:paraId="0FF67D8D" w14:textId="77777777" w:rsidR="00B60E59" w:rsidRDefault="00B60E59" w:rsidP="00B60E59">
      <w:pPr>
        <w:spacing w:line="480" w:lineRule="auto"/>
      </w:pPr>
      <w:r w:rsidRPr="00DB1DBA">
        <w:t xml:space="preserve">We hypothesised that specific cell populations were driving the pathways implicated by targeted bulk RNA sequencing. IL17-signalling genes were enriched </w:t>
      </w:r>
      <w:r>
        <w:t>within</w:t>
      </w:r>
      <w:r w:rsidRPr="00DB1DBA">
        <w:t xml:space="preserve"> the specialised epithelial cell</w:t>
      </w:r>
      <w:r>
        <w:t>s</w:t>
      </w:r>
      <w:r w:rsidRPr="00DB1DBA">
        <w:t xml:space="preserve"> </w:t>
      </w:r>
      <w:r>
        <w:t>(</w:t>
      </w:r>
      <w:r w:rsidRPr="00DB1DBA">
        <w:t>cluster 7</w:t>
      </w:r>
      <w:r>
        <w:t>)</w:t>
      </w:r>
      <w:r w:rsidRPr="00DB1DBA">
        <w:t>, and in monocytes</w:t>
      </w:r>
      <w:r>
        <w:t xml:space="preserve"> (</w:t>
      </w:r>
      <w:r w:rsidRPr="00DB1DBA">
        <w:t xml:space="preserve">cluster </w:t>
      </w:r>
      <w:proofErr w:type="gramStart"/>
      <w:r w:rsidRPr="00DB1DBA">
        <w:t>5 )</w:t>
      </w:r>
      <w:proofErr w:type="gramEnd"/>
      <w:r w:rsidRPr="00DB1DBA">
        <w:t>. Significant enrichment for the IL17 pathway (</w:t>
      </w:r>
      <w:proofErr w:type="spellStart"/>
      <w:r w:rsidRPr="00DB1DBA">
        <w:t>adj</w:t>
      </w:r>
      <w:proofErr w:type="spellEnd"/>
      <w:r w:rsidRPr="00DB1DBA">
        <w:t>-p=0.016) in cluster 7 was largely attributed to elevated expression</w:t>
      </w:r>
      <w:r w:rsidRPr="00AF6BFA">
        <w:t xml:space="preserve"> of </w:t>
      </w:r>
      <w:r w:rsidRPr="00AF6BFA">
        <w:rPr>
          <w:i/>
        </w:rPr>
        <w:t>S100A7, S100A8</w:t>
      </w:r>
      <w:r w:rsidRPr="00AF6BFA">
        <w:t xml:space="preserve"> and </w:t>
      </w:r>
      <w:r w:rsidRPr="00AF6BFA">
        <w:rPr>
          <w:i/>
        </w:rPr>
        <w:t>S100A9</w:t>
      </w:r>
      <w:r w:rsidRPr="00AF6BFA">
        <w:t xml:space="preserve">. </w:t>
      </w:r>
      <w:r>
        <w:t>C</w:t>
      </w:r>
      <w:r w:rsidRPr="00AF6BFA">
        <w:t xml:space="preserve">luster 5 monocytes markers </w:t>
      </w:r>
      <w:r>
        <w:t xml:space="preserve">(n=50) were enriched for genes involved in </w:t>
      </w:r>
      <w:r w:rsidRPr="00AF6BFA">
        <w:t>IL17 signalling pathway (</w:t>
      </w:r>
      <w:proofErr w:type="spellStart"/>
      <w:r w:rsidRPr="00AF6BFA">
        <w:t>adj</w:t>
      </w:r>
      <w:proofErr w:type="spellEnd"/>
      <w:r w:rsidRPr="00AF6BFA">
        <w:t xml:space="preserve">-p=0.0012); due to elevated expression of </w:t>
      </w:r>
      <w:r w:rsidRPr="00AF6BFA">
        <w:rPr>
          <w:i/>
        </w:rPr>
        <w:t>CXCL8</w:t>
      </w:r>
      <w:r w:rsidRPr="00AF6BFA">
        <w:t xml:space="preserve"> (IL8), </w:t>
      </w:r>
      <w:r w:rsidRPr="00AF6BFA">
        <w:rPr>
          <w:i/>
        </w:rPr>
        <w:t xml:space="preserve">CXCL3, IL1B, NFKBIA, HSP90B1, </w:t>
      </w:r>
      <w:r w:rsidRPr="00AF6BFA">
        <w:t xml:space="preserve">as well as </w:t>
      </w:r>
      <w:r>
        <w:t>the broad pathways of</w:t>
      </w:r>
      <w:r w:rsidRPr="00AF6BFA">
        <w:t xml:space="preserve"> </w:t>
      </w:r>
      <w:r>
        <w:t>‘</w:t>
      </w:r>
      <w:r w:rsidRPr="00AF6BFA">
        <w:t>response to cytokine</w:t>
      </w:r>
      <w:r>
        <w:t>s’</w:t>
      </w:r>
      <w:r w:rsidRPr="00AF6BFA">
        <w:t xml:space="preserve"> (</w:t>
      </w:r>
      <w:proofErr w:type="spellStart"/>
      <w:r w:rsidRPr="00AF6BFA">
        <w:t>adj</w:t>
      </w:r>
      <w:proofErr w:type="spellEnd"/>
      <w:r w:rsidRPr="00AF6BFA">
        <w:t>-p=1.1x10</w:t>
      </w:r>
      <w:r w:rsidRPr="00AF6BFA">
        <w:rPr>
          <w:vertAlign w:val="superscript"/>
        </w:rPr>
        <w:t>-9</w:t>
      </w:r>
      <w:r w:rsidRPr="00AF6BFA">
        <w:t xml:space="preserve">) and the </w:t>
      </w:r>
      <w:r>
        <w:t>‘</w:t>
      </w:r>
      <w:r w:rsidRPr="00AF6BFA">
        <w:t>inflammatory response</w:t>
      </w:r>
      <w:r>
        <w:t>’</w:t>
      </w:r>
      <w:r w:rsidRPr="00AF6BFA">
        <w:t xml:space="preserve"> (</w:t>
      </w:r>
      <w:proofErr w:type="spellStart"/>
      <w:r w:rsidRPr="00AF6BFA">
        <w:t>adj</w:t>
      </w:r>
      <w:proofErr w:type="spellEnd"/>
      <w:r w:rsidRPr="00AF6BFA">
        <w:t>-p=2.6x10</w:t>
      </w:r>
      <w:r w:rsidRPr="00AF6BFA">
        <w:rPr>
          <w:vertAlign w:val="superscript"/>
        </w:rPr>
        <w:t>-6</w:t>
      </w:r>
      <w:r w:rsidRPr="00AF6BFA">
        <w:t>).</w:t>
      </w:r>
    </w:p>
    <w:p w14:paraId="7E3B46C3" w14:textId="77777777" w:rsidR="00B60E59" w:rsidRDefault="00B60E59" w:rsidP="00B60E59">
      <w:pPr>
        <w:spacing w:line="480" w:lineRule="auto"/>
      </w:pPr>
    </w:p>
    <w:p w14:paraId="43169E0D" w14:textId="77777777" w:rsidR="00B60E59" w:rsidRDefault="00B60E59" w:rsidP="00B60E59">
      <w:pPr>
        <w:spacing w:line="480" w:lineRule="auto"/>
      </w:pPr>
    </w:p>
    <w:p w14:paraId="55BA3243" w14:textId="77777777" w:rsidR="00B60E59" w:rsidRDefault="00B60E59" w:rsidP="00B60E59">
      <w:pPr>
        <w:spacing w:line="480" w:lineRule="auto"/>
      </w:pPr>
    </w:p>
    <w:p w14:paraId="63271080" w14:textId="77777777" w:rsidR="00B60E59" w:rsidRDefault="00B60E59" w:rsidP="00B60E59">
      <w:pPr>
        <w:spacing w:line="480" w:lineRule="auto"/>
      </w:pPr>
    </w:p>
    <w:p w14:paraId="6CB0E85F" w14:textId="77777777" w:rsidR="00B60E59" w:rsidRDefault="00B60E59" w:rsidP="00B60E59">
      <w:pPr>
        <w:spacing w:line="480" w:lineRule="auto"/>
      </w:pPr>
    </w:p>
    <w:p w14:paraId="59CF779A" w14:textId="77777777" w:rsidR="00B60E59" w:rsidRDefault="00B60E59" w:rsidP="00B60E59">
      <w:pPr>
        <w:spacing w:line="480" w:lineRule="auto"/>
      </w:pPr>
    </w:p>
    <w:p w14:paraId="072C28CA" w14:textId="77777777" w:rsidR="00B60E59" w:rsidRDefault="00B60E59" w:rsidP="00B60E59">
      <w:pPr>
        <w:spacing w:line="480" w:lineRule="auto"/>
      </w:pPr>
    </w:p>
    <w:p w14:paraId="442578B1" w14:textId="77777777" w:rsidR="00B60E59" w:rsidRDefault="00B60E59" w:rsidP="00B60E59">
      <w:pPr>
        <w:spacing w:line="480" w:lineRule="auto"/>
      </w:pPr>
    </w:p>
    <w:p w14:paraId="6C93F7B0" w14:textId="77777777" w:rsidR="00B60E59" w:rsidRDefault="00B60E59" w:rsidP="00B60E59">
      <w:pPr>
        <w:spacing w:line="480" w:lineRule="auto"/>
      </w:pPr>
    </w:p>
    <w:p w14:paraId="03920F88" w14:textId="77777777" w:rsidR="00B60E59" w:rsidRDefault="00B60E59" w:rsidP="00B60E59">
      <w:pPr>
        <w:spacing w:line="480" w:lineRule="auto"/>
      </w:pPr>
    </w:p>
    <w:p w14:paraId="156A79CC" w14:textId="77777777" w:rsidR="00B60E59" w:rsidRDefault="00B60E59" w:rsidP="00B60E59">
      <w:pPr>
        <w:spacing w:line="480" w:lineRule="auto"/>
      </w:pPr>
    </w:p>
    <w:p w14:paraId="30CF5317" w14:textId="77777777" w:rsidR="00B60E59" w:rsidRDefault="00B60E59" w:rsidP="00B60E59">
      <w:pPr>
        <w:spacing w:line="480" w:lineRule="auto"/>
      </w:pPr>
    </w:p>
    <w:p w14:paraId="1CB353E0" w14:textId="77777777" w:rsidR="00B60E59" w:rsidRDefault="00B60E59" w:rsidP="00B60E59">
      <w:pPr>
        <w:spacing w:line="480" w:lineRule="auto"/>
      </w:pPr>
    </w:p>
    <w:p w14:paraId="26A58CE5" w14:textId="77777777" w:rsidR="00B60E59" w:rsidRDefault="00B60E59" w:rsidP="00B60E59">
      <w:pPr>
        <w:spacing w:line="480" w:lineRule="auto"/>
      </w:pPr>
    </w:p>
    <w:p w14:paraId="7F4896D1" w14:textId="77777777" w:rsidR="00B60E59" w:rsidRDefault="00B60E59" w:rsidP="00B60E59">
      <w:pPr>
        <w:spacing w:line="480" w:lineRule="auto"/>
        <w:rPr>
          <w:b/>
          <w:bCs/>
          <w:sz w:val="24"/>
          <w:szCs w:val="24"/>
          <w:u w:val="single"/>
        </w:rPr>
      </w:pPr>
      <w:r w:rsidRPr="00DD5A2E">
        <w:rPr>
          <w:b/>
          <w:bCs/>
          <w:sz w:val="24"/>
          <w:szCs w:val="24"/>
          <w:u w:val="single"/>
        </w:rPr>
        <w:t xml:space="preserve">Discussion </w:t>
      </w:r>
    </w:p>
    <w:p w14:paraId="1ECED048" w14:textId="77777777" w:rsidR="00B60E59" w:rsidRDefault="00B60E59" w:rsidP="00B60E59">
      <w:pPr>
        <w:spacing w:line="480" w:lineRule="auto"/>
      </w:pPr>
      <w:r>
        <w:t>We present data utilising a targeted autoimmune panel for the first time in IBD. These data demonstrate an ileal gene expression signature identified through both WGCNA and differential gene expression analysis, characterised by NOD- and</w:t>
      </w:r>
      <w:r w:rsidRPr="008969CA">
        <w:t xml:space="preserve"> </w:t>
      </w:r>
      <w:r>
        <w:t>IL17-signalling, and specific to treatment-naïve Crohn’s disease patients. Parallel single cell analysis identified specialised epithelial cells driving differential expression of several genes, including the calprotectin subunits (</w:t>
      </w:r>
      <w:r w:rsidRPr="00287EB8">
        <w:rPr>
          <w:i/>
          <w:iCs/>
        </w:rPr>
        <w:t>S100A8</w:t>
      </w:r>
      <w:r>
        <w:t>/</w:t>
      </w:r>
      <w:r w:rsidRPr="00287EB8">
        <w:rPr>
          <w:i/>
          <w:iCs/>
        </w:rPr>
        <w:t>S100A9</w:t>
      </w:r>
      <w:r>
        <w:t xml:space="preserve">). Enrichment of IL17-signalling genes was observed in both this epithelial cell cluster as well as in a distinct subset of monocytes. Finally, we identify a gene module characterised by the Th17 cell differentiation pathway that is observed in patients with increased time to relapse following diagnosis. </w:t>
      </w:r>
    </w:p>
    <w:p w14:paraId="7F191379" w14:textId="77777777" w:rsidR="00B60E59" w:rsidRPr="00215A52" w:rsidRDefault="00B60E59" w:rsidP="00B60E59">
      <w:pPr>
        <w:spacing w:line="480" w:lineRule="auto"/>
        <w:rPr>
          <w:i/>
          <w:iCs/>
        </w:rPr>
      </w:pPr>
      <w:r>
        <w:t xml:space="preserve">Our data confirm and corroborates findings from a number of previous studies, implicating </w:t>
      </w:r>
      <w:r w:rsidRPr="00051111">
        <w:rPr>
          <w:i/>
          <w:iCs/>
        </w:rPr>
        <w:t>OSM</w:t>
      </w:r>
      <w:r>
        <w:t xml:space="preserve">, </w:t>
      </w:r>
      <w:r>
        <w:rPr>
          <w:i/>
          <w:iCs/>
        </w:rPr>
        <w:t>CXCL8</w:t>
      </w:r>
      <w:r>
        <w:t xml:space="preserve"> and </w:t>
      </w:r>
      <w:r w:rsidRPr="00051111">
        <w:rPr>
          <w:i/>
          <w:iCs/>
        </w:rPr>
        <w:t>AQP9</w:t>
      </w:r>
      <w:r>
        <w:t xml:space="preserve"> as upregulated DEGs in IBD patients compared to controls</w:t>
      </w:r>
      <w:r>
        <w:fldChar w:fldCharType="begin" w:fldLock="1"/>
      </w:r>
      <w:r>
        <w:instrText>ADDIN CSL_CITATION {"citationItems":[{"id":"ITEM-1","itemData":{"DOI":"10.1038/nm.4307","ISSN":"1546170X","abstract":"Inflammatory bowel diseases (IBD), including Crohn’s disease (CD) and ulcerative colitis (UC), are complex chronic inflammatory conditions of the gastrointestinal tract that are driven by perturbed cytokine pathways. Anti-tumor necrosis factor-α (TNF) antibodies are mainstay therapies for IBD. However, up to 40% of patients are nonresponsive to anti-TNF agents, which makes the identification of alternative therapeutic targets a priority. Here we show that, relative to healthy controls, inflamed intestinal tissues from patients with IBD express high amounts of the cytokine oncostatin M (OSM) and its receptor (OSMR), which correlate closely with histopathological disease severity. The OSMR is expressed in nonhematopoietic, nonepithelial intestinal stromal cells, which respond to OSM by producing various proinflammatory molecules, including interleukin (IL)-6, the leukocyte adhesion factor ICAM1, and chemokines that attract neutrophils, monocytes, and T cells. In an animal model of anti-TNF-resistant intestinal inflammation, genetic deletion or pharmacological blockade of OSM significantly attenuates colitis. Furthermore, according to an analysis of more than 200 patients with IBD, including two cohorts from phase 3 clinical trials of infliximab and golimumab, high pretreatment expression of OSM is strongly associated with failure of anti-TNF therapy. OSM is thus a potential biomarker and therapeutic target for IBD, and has particular relevance for anti-TNF-resistant patients.","author":[{"dropping-particle":"","family":"West","given":"Nathaniel R.","non-dropping-particle":"","parse-names":false,"suffix":""},{"dropping-particle":"","family":"Hegazy","given":"Ahmed N.","non-dropping-particle":"","parse-names":false,"suffix":""},{"dropping-particle":"","family":"Owens","given":"Benjamin M.J.","non-dropping-particle":"","parse-names":false,"suffix":""},{"dropping-particle":"","family":"Bullers","given":"Samuel J.","non-dropping-particle":"","parse-names":false,"suffix":""},{"dropping-particle":"","family":"Linggi","given":"Bryan","non-dropping-particle":"","parse-names":false,"suffix":""},{"dropping-particle":"","family":"Buonocore","given":"Sofia","non-dropping-particle":"","parse-names":false,"suffix":""},{"dropping-particle":"","family":"Coccia","given":"Margherita","non-dropping-particle":"","parse-names":false,"suffix":""},{"dropping-particle":"","family":"Görtz","given":"Dieter","non-dropping-particle":"","parse-names":false,"suffix":""},{"dropping-particle":"","family":"This","given":"Sébastien","non-dropping-particle":"","parse-names":false,"suffix":""},{"dropping-particle":"","family":"Stockenhuber","given":"Krista","non-dropping-particle":"","parse-names":false,"suffix":""},{"dropping-particle":"","family":"Pott","given":"Johanna","non-dropping-particle":"","parse-names":false,"suffix":""},{"dropping-particle":"","family":"Friedrich","given":"Matthias","non-dropping-particle":"","parse-names":false,"suffix":""},{"dropping-particle":"","family":"Ryzhakov","given":"Grigory","non-dropping-particle":"","parse-names":false,"suffix":""},{"dropping-particle":"","family":"Baribaud","given":"Frédéric","non-dropping-particle":"","parse-names":false,"suffix":""},{"dropping-particle":"","family":"Brodmerkel","given":"Carrie","non-dropping-particle":"","parse-names":false,"suffix":""},{"dropping-particle":"","family":"Cieluch","given":"Constanze","non-dropping-particle":"","parse-names":false,"suffix":""},{"dropping-particle":"","family":"Rahman","given":"Nahid","non-dropping-particle":"","parse-names":false,"suffix":""},{"dropping-particle":"","family":"Müller-Newen","given":"Gerhard","non-dropping-particle":"","parse-names":false,"suffix":""},{"dropping-particle":"","family":"Owens","given":"Raymond J.","non-dropping-particle":"","parse-names":false,"suffix":""},{"dropping-particle":"","family":"Kühl","given":"Anja A.","non-dropping-particle":"","parse-names":false,"suffix":""},{"dropping-particle":"","family":"Maloy","given":"Kevin J.","non-dropping-particle":"","parse-names":false,"suffix":""},{"dropping-particle":"","family":"Plevy","given":"Scott E.","non-dropping-particle":"","parse-names":false,"suffix":""},{"dropping-particle":"","family":"Keshav","given":"Satish","non-dropping-particle":"","parse-names":false,"suffix":""},{"dropping-particle":"","family":"Travis","given":"Simon P.L.","non-dropping-particle":"","parse-names":false,"suffix":""},{"dropping-particle":"","family":"Powrie","given":"Fiona","non-dropping-particle":"","parse-names":false,"suffix":""},{"dropping-particle":"","family":"Bailey","given":"Adam","non-dropping-particle":"","parse-names":false,"suffix":""},{"dropping-particle":"","family":"Barnes","given":"Ellie","non-dropping-particle":"","parse-names":false,"suffix":""},{"dropping-particle":"","family":"Bird-Lieberman","given":"Beth","non-dropping-particle":"","parse-names":false,"suffix":""},{"dropping-particle":"","family":"Brain","given":"Oliver","non-dropping-particle":"","parse-names":false,"suffix":""},{"dropping-particle":"","family":"Braden","given":"Barbara","non-dropping-particle":"","parse-names":false,"suffix":""},{"dropping-particle":"","family":"Collier","given":"Jane","non-dropping-particle":"","parse-names":false,"suffix":""},{"dropping-particle":"","family":"East","given":"James","non-dropping-particle":"","parse-names":false,"suffix":""},{"dropping-particle":"","family":"Howarth","given":"Lucy","non-dropping-particle":"","parse-names":false,"suffix":""},{"dropping-particle":"","family":"Klenerman","given":"Paul","non-dropping-particle":"","parse-names":false,"suffix":""},{"dropping-particle":"","family":"Leedham","given":"Simon","non-dropping-particle":"","parse-names":false,"suffix":""},{"dropping-particle":"","family":"Palmer","given":"Rebecca","non-dropping-particle":"","parse-names":false,"suffix":""},{"dropping-particle":"","family":"Rodrigues","given":"Astor","non-dropping-particle":"","parse-names":false,"suffix":""},{"dropping-particle":"","family":"Simmons","given":"Alison","non-dropping-particle":"","parse-names":false,"suffix":""},{"dropping-particle":"","family":"Sullivan","given":"Peter","non-dropping-particle":"","parse-names":false,"suffix":""},{"dropping-particle":"","family":"Uhlig","given":"Holm","non-dropping-particle":"","parse-names":false,"suffix":""}],"container-title":"Nature Medicine","id":"ITEM-1","issued":{"date-parts":[["2017"]]},"page":"579-589","publisher":"Nature Publishing Group","title":"Oncostatin M drives intestinal inflammation and predicts response to tumor necrosis factor–neutralizing therapy in patients with inflammatory bowel disease","type":"article-journal","volume":"23"},"uris":["http://www.mendeley.com/documents/?uuid=19ed1467-fc09-3719-b5a9-a111facf0421"]},{"id":"ITEM-2","itemData":{"DOI":"10.1172/JCI79657","ISSN":"1558-8238","author":[{"dropping-particle":"","family":"Haberman","given":"Y","non-dropping-particle":"","parse-names":false,"suffix":""},{"dropping-particle":"","family":"Tickle","given":"T L","non-dropping-particle":"","parse-names":false,"suffix":""},{"dropping-particle":"","family":"Dexheimer","given":"P J","non-dropping-particle":"","parse-names":false,"suffix":""},{"dropping-particle":"","family":"Kim","given":"M O","non-dropping-particle":"","parse-names":false,"suffix":""},{"dropping-particle":"","family":"Tang","given":"D","non-dropping-particle":"","parse-names":false,"suffix":""},{"dropping-particle":"","family":"Karns","given":"R","non-dropping-particle":"","parse-names":false,"suffix":""},{"dropping-particle":"","family":"Baldassano","given":"R N","non-dropping-particle":"","parse-names":false,"suffix":""},{"dropping-particle":"","family":"Noe","given":"J D","non-dropping-particle":"","parse-names":false,"suffix":""},{"dropping-particle":"","family":"Rosh","given":"J","non-dropping-particle":"","parse-names":false,"suffix":""},{"dropping-particle":"","family":"Markowitz","given":"J","non-dropping-particle":"","parse-names":false,"suffix":""},{"dropping-particle":"","family":"Heyman","given":"M B","non-dropping-particle":"","parse-names":false,"suffix":""},{"dropping-particle":"","family":"Griffiths","given":"A M","non-dropping-particle":"","parse-names":false,"suffix":""},{"dropping-particle":"V","family":"Crandall","given":"W","non-dropping-particle":"","parse-names":false,"suffix":""},{"dropping-particle":"","family":"Mack","given":"D R","non-dropping-particle":"","parse-names":false,"suffix":""},{"dropping-particle":"","family":"Baker","given":"S S","non-dropping-particle":"","parse-names":false,"suffix":""},{"dropping-particle":"","family":"Huttenhower","given":"C","non-dropping-particle":"","parse-names":false,"suffix":""},{"dropping-particle":"","family":"Keljo","given":"D J","non-dropping-particle":"","parse-names":false,"suffix":""},{"dropping-particle":"","family":"Hyams","given":"J S","non-dropping-particle":"","parse-names":false,"suffix":""},{"dropping-particle":"","family":"Kugathasan","given":"S","non-dropping-particle":"","parse-names":false,"suffix":""},{"dropping-particle":"","family":"Walters","given":"T D","non-dropping-particle":"","parse-names":false,"suffix":""},{"dropping-particle":"","family":"Aronow","given":"B","non-dropping-particle":"","parse-names":false,"suffix":""},{"dropping-particle":"","family":"Xavier","given":"R J","non-dropping-particle":"","parse-names":false,"suffix":""},{"dropping-particle":"","family":"Gevers","given":"D","non-dropping-particle":"","parse-names":false,"suffix":""},{"dropping-particle":"","family":"Denson","given":"L A","non-dropping-particle":"","parse-names":false,"suffix":""}],"container-title":"J Clin Invest","id":"ITEM-2","issue":"3","issued":{"date-parts":[["2015"]]},"page":"1363","title":"Pediatric Crohn disease patients exhibit specific ileal transcriptome and microbiome signature","type":"article-journal","volume":"125"},"uris":["http://www.mendeley.com/documents/?uuid=d2e89b9f-6489-4637-81d0-edf226e2f1bd"]}],"mendeley":{"formattedCitation":"&lt;sup&gt;7,8&lt;/sup&gt;","plainTextFormattedCitation":"7,8","previouslyFormattedCitation":"&lt;sup&gt;7,8&lt;/sup&gt;"},"properties":{"noteIndex":0},"schema":"https://github.com/citation-style-language/schema/raw/master/csl-citation.json"}</w:instrText>
      </w:r>
      <w:r>
        <w:fldChar w:fldCharType="separate"/>
      </w:r>
      <w:r w:rsidRPr="00E35A44">
        <w:rPr>
          <w:noProof/>
          <w:vertAlign w:val="superscript"/>
        </w:rPr>
        <w:t>7,8</w:t>
      </w:r>
      <w:r>
        <w:fldChar w:fldCharType="end"/>
      </w:r>
      <w:r>
        <w:t xml:space="preserve">. We also provide tissue-specific evidence for several upregulated genes that have previously been observed in blood, including </w:t>
      </w:r>
      <w:r w:rsidRPr="00E45B7F">
        <w:rPr>
          <w:i/>
          <w:iCs/>
        </w:rPr>
        <w:t>TREM1</w:t>
      </w:r>
      <w:r>
        <w:rPr>
          <w:i/>
          <w:iCs/>
        </w:rPr>
        <w:fldChar w:fldCharType="begin" w:fldLock="1"/>
      </w:r>
      <w:r>
        <w:rPr>
          <w:i/>
          <w:iCs/>
        </w:rPr>
        <w:instrText>ADDIN CSL_CITATION {"citationItems":[{"id":"ITEM-1","itemData":{"DOI":"10.1016/j.ebiom.2019.01.027","ISSN":"23523964","abstract":"Background: With the changed therapeutic armamentarium for Crohn's disease (CD) and ulcerative colitis (UC), biomarkers predicting treatment response are urgently needed. We studied whole blood and mucosal expression of genes previously reported to predict outcome to anti-TNF therapy, and investigated if the signature was specific for anti-TNF agents. Methods: We prospectively included 54 active IBD patients (24CD, 30UC) initiating anti-TNF therapy, as well as 22 CD patients initiating ustekinumab and 51 patients initiating vedolizumab (25CD, 26UC). Whole blood expression of OSM, TREM1, TNF and TNFR2 was measured prior to start of therapy using qPCR, and mucosal gene expression in inflamed biopsies using RNA-sequencing. Response was defined as endoscopic remission (SES-CD ≤ 2 at week 24 for CD and Mayo endoscopic sub-score ≤ 1 at week 10 for UC). Findings: Baseline whole blood TREM1 was downregulated in future anti-TNF responders, both in UC (FC = 0.53, p = .001) and CD (FC = 0.66, p = .007), as well as in the complete cohort (FC = 0.67, p &lt; .001). Receiver operator characteristic statistics showed an area under the curve (AUC) of 0.78 (p = .001). A similar accuracy could be achieved with mucosal TREM1 (AUC 0.77, p = .003), which outperformed the accuracy of serum TREM1 (AUC 0.58, p = .31). Although differentially expressed in tissue, OSM, TNF and TNFR2 were not differentially expressed in whole blood. The TREM1 predictive signal was anti-TNF specific, as no changes were seen in ustekinumab and vedolizumab treated patients. Interpretation: We identified low TREM-1 as a specific biomarker for anti-TNF induced endoscopic remission. These results can aid in the selection of therapy in biologic-naïve patients.","author":[{"dropping-particle":"","family":"Verstockt","given":"Bram","non-dropping-particle":"","parse-names":false,"suffix":""},{"dropping-particle":"","family":"Verstockt","given":"Sare","non-dropping-particle":"","parse-names":false,"suffix":""},{"dropping-particle":"","family":"Dehairs","given":"Jonas","non-dropping-particle":"","parse-names":false,"suffix":""},{"dropping-particle":"","family":"Ballet","given":"Vera","non-dropping-particle":"","parse-names":false,"suffix":""},{"dropping-particle":"","family":"Blevi","given":"Helene","non-dropping-particle":"","parse-names":false,"suffix":""},{"dropping-particle":"","family":"Wollants","given":"Willem Jan","non-dropping-particle":"","parse-names":false,"suffix":""},{"dropping-particle":"","family":"Breynaert","given":"Christine","non-dropping-particle":"","parse-names":false,"suffix":""},{"dropping-particle":"","family":"Assche","given":"Gert","non-dropping-particle":"Van","parse-names":false,"suffix":""},{"dropping-particle":"","family":"Vermeire","given":"Séverine","non-dropping-particle":"","parse-names":false,"suffix":""},{"dropping-particle":"","family":"Ferrante","given":"Marc","non-dropping-particle":"","parse-names":false,"suffix":""}],"container-title":"EBioMedicine","id":"ITEM-1","issued":{"date-parts":[["2019","2","1"]]},"page":"733-742","publisher":"Elsevier B.V.","title":"Low TREM1 expression in whole blood predicts anti-TNF response in inflammatory bowel disease","type":"article-journal","volume":"40"},"uris":["http://www.mendeley.com/documents/?uuid=671ba9f6-38a7-37be-845a-0b4bad518d11"]}],"mendeley":{"formattedCitation":"&lt;sup&gt;9&lt;/sup&gt;","plainTextFormattedCitation":"9","previouslyFormattedCitation":"&lt;sup&gt;9&lt;/sup&gt;"},"properties":{"noteIndex":0},"schema":"https://github.com/citation-style-language/schema/raw/master/csl-citation.json"}</w:instrText>
      </w:r>
      <w:r>
        <w:rPr>
          <w:i/>
          <w:iCs/>
        </w:rPr>
        <w:fldChar w:fldCharType="separate"/>
      </w:r>
      <w:r w:rsidRPr="00E35A44">
        <w:rPr>
          <w:iCs/>
          <w:noProof/>
          <w:vertAlign w:val="superscript"/>
        </w:rPr>
        <w:t>9</w:t>
      </w:r>
      <w:r>
        <w:rPr>
          <w:i/>
          <w:iCs/>
        </w:rPr>
        <w:fldChar w:fldCharType="end"/>
      </w:r>
      <w:r>
        <w:rPr>
          <w:i/>
          <w:iCs/>
        </w:rPr>
        <w:t>.</w:t>
      </w:r>
      <w:r w:rsidRPr="00635DFB">
        <w:rPr>
          <w:i/>
          <w:iCs/>
          <w:color w:val="FF0000"/>
        </w:rPr>
        <w:t xml:space="preserve"> </w:t>
      </w:r>
      <w:r>
        <w:t xml:space="preserve">We confirm the findings of Haberman </w:t>
      </w:r>
      <w:r w:rsidRPr="00B81797">
        <w:rPr>
          <w:i/>
          <w:iCs/>
        </w:rPr>
        <w:t>et al</w:t>
      </w:r>
      <w:r>
        <w:t xml:space="preserve">, who previously detailing paediatric Crohn’s disease ileal transcriptomic signatures. We identify a large number of overlapping genes from their ‘core ileal Crohn’s disease’ expression module, including upregulation of </w:t>
      </w:r>
      <w:r w:rsidRPr="00C11C02">
        <w:rPr>
          <w:i/>
          <w:iCs/>
        </w:rPr>
        <w:t>CXCL5</w:t>
      </w:r>
      <w:r>
        <w:t xml:space="preserve">, </w:t>
      </w:r>
      <w:r w:rsidRPr="00C11C02">
        <w:rPr>
          <w:i/>
          <w:iCs/>
        </w:rPr>
        <w:t>IL8</w:t>
      </w:r>
      <w:r>
        <w:t xml:space="preserve"> and </w:t>
      </w:r>
      <w:r w:rsidRPr="00C11C02">
        <w:rPr>
          <w:i/>
          <w:iCs/>
        </w:rPr>
        <w:t>S100A9</w:t>
      </w:r>
      <w:r>
        <w:rPr>
          <w:i/>
          <w:iCs/>
        </w:rPr>
        <w:fldChar w:fldCharType="begin" w:fldLock="1"/>
      </w:r>
      <w:r>
        <w:rPr>
          <w:i/>
          <w:iCs/>
        </w:rPr>
        <w:instrText>ADDIN CSL_CITATION {"citationItems":[{"id":"ITEM-1","itemData":{"DOI":"10.1172/JCI79657","ISSN":"1558-8238","author":[{"dropping-particle":"","family":"Haberman","given":"Y","non-dropping-particle":"","parse-names":false,"suffix":""},{"dropping-particle":"","family":"Tickle","given":"T L","non-dropping-particle":"","parse-names":false,"suffix":""},{"dropping-particle":"","family":"Dexheimer","given":"P J","non-dropping-particle":"","parse-names":false,"suffix":""},{"dropping-particle":"","family":"Kim","given":"M O","non-dropping-particle":"","parse-names":false,"suffix":""},{"dropping-particle":"","family":"Tang","given":"D","non-dropping-particle":"","parse-names":false,"suffix":""},{"dropping-particle":"","family":"Karns","given":"R","non-dropping-particle":"","parse-names":false,"suffix":""},{"dropping-particle":"","family":"Baldassano","given":"R N","non-dropping-particle":"","parse-names":false,"suffix":""},{"dropping-particle":"","family":"Noe","given":"J D","non-dropping-particle":"","parse-names":false,"suffix":""},{"dropping-particle":"","family":"Rosh","given":"J","non-dropping-particle":"","parse-names":false,"suffix":""},{"dropping-particle":"","family":"Markowitz","given":"J","non-dropping-particle":"","parse-names":false,"suffix":""},{"dropping-particle":"","family":"Heyman","given":"M B","non-dropping-particle":"","parse-names":false,"suffix":""},{"dropping-particle":"","family":"Griffiths","given":"A M","non-dropping-particle":"","parse-names":false,"suffix":""},{"dropping-particle":"V","family":"Crandall","given":"W","non-dropping-particle":"","parse-names":false,"suffix":""},{"dropping-particle":"","family":"Mack","given":"D R","non-dropping-particle":"","parse-names":false,"suffix":""},{"dropping-particle":"","family":"Baker","given":"S S","non-dropping-particle":"","parse-names":false,"suffix":""},{"dropping-particle":"","family":"Huttenhower","given":"C","non-dropping-particle":"","parse-names":false,"suffix":""},{"dropping-particle":"","family":"Keljo","given":"D J","non-dropping-particle":"","parse-names":false,"suffix":""},{"dropping-particle":"","family":"Hyams","given":"J S","non-dropping-particle":"","parse-names":false,"suffix":""},{"dropping-particle":"","family":"Kugathasan","given":"S","non-dropping-particle":"","parse-names":false,"suffix":""},{"dropping-particle":"","family":"Walters","given":"T D","non-dropping-particle":"","parse-names":false,"suffix":""},{"dropping-particle":"","family":"Aronow","given":"B","non-dropping-particle":"","parse-names":false,"suffix":""},{"dropping-particle":"","family":"Xavier","given":"R J","non-dropping-particle":"","parse-names":false,"suffix":""},{"dropping-particle":"","family":"Gevers","given":"D","non-dropping-particle":"","parse-names":false,"suffix":""},{"dropping-particle":"","family":"Denson","given":"L A","non-dropping-particle":"","parse-names":false,"suffix":""}],"container-title":"J Clin Invest","id":"ITEM-1","issue":"3","issued":{"date-parts":[["2015"]]},"page":"1363","title":"Pediatric Crohn disease patients exhibit specific ileal transcriptome and microbiome signature","type":"article-journal","volume":"125"},"uris":["http://www.mendeley.com/documents/?uuid=d2e89b9f-6489-4637-81d0-edf226e2f1bd"]}],"mendeley":{"formattedCitation":"&lt;sup&gt;8&lt;/sup&gt;","plainTextFormattedCitation":"8","previouslyFormattedCitation":"&lt;sup&gt;8&lt;/sup&gt;"},"properties":{"noteIndex":0},"schema":"https://github.com/citation-style-language/schema/raw/master/csl-citation.json"}</w:instrText>
      </w:r>
      <w:r>
        <w:rPr>
          <w:i/>
          <w:iCs/>
        </w:rPr>
        <w:fldChar w:fldCharType="separate"/>
      </w:r>
      <w:r w:rsidRPr="00C11C02">
        <w:rPr>
          <w:iCs/>
          <w:noProof/>
          <w:vertAlign w:val="superscript"/>
        </w:rPr>
        <w:t>8</w:t>
      </w:r>
      <w:r>
        <w:rPr>
          <w:i/>
          <w:iCs/>
        </w:rPr>
        <w:fldChar w:fldCharType="end"/>
      </w:r>
      <w:r>
        <w:rPr>
          <w:i/>
          <w:iCs/>
        </w:rPr>
        <w:t xml:space="preserve">. </w:t>
      </w:r>
      <w:bookmarkStart w:id="8" w:name="_Hlk52269061"/>
      <w:r w:rsidRPr="007B14B4">
        <w:t>These genes, including IL8, OSM and TREM1 are either pro-inflammatory cytokines, or receptors triggering downstream inflammatory signalling and have been linked to inflammatory processed in autoimmune disease</w:t>
      </w:r>
      <w:r w:rsidRPr="007B14B4">
        <w:fldChar w:fldCharType="begin" w:fldLock="1"/>
      </w:r>
      <w:r w:rsidRPr="007B14B4">
        <w:instrText>ADDIN CSL_CITATION {"citationItems":[{"id":"ITEM-1","itemData":{"DOI":"10.1038/nm.4307","ISSN":"1546170X","abstract":"Inflammatory bowel diseases (IBD), including Crohn’s disease (CD) and ulcerative colitis (UC), are complex chronic inflammatory conditions of the gastrointestinal tract that are driven by perturbed cytokine pathways. Anti-tumor necrosis factor-α (TNF) antibodies are mainstay therapies for IBD. However, up to 40% of patients are nonresponsive to anti-TNF agents, which makes the identification of alternative therapeutic targets a priority. Here we show that, relative to healthy controls, inflamed intestinal tissues from patients with IBD express high amounts of the cytokine oncostatin M (OSM) and its receptor (OSMR), which correlate closely with histopathological disease severity. The OSMR is expressed in nonhematopoietic, nonepithelial intestinal stromal cells, which respond to OSM by producing various proinflammatory molecules, including interleukin (IL)-6, the leukocyte adhesion factor ICAM1, and chemokines that attract neutrophils, monocytes, and T cells. In an animal model of anti-TNF-resistant intestinal inflammation, genetic deletion or pharmacological blockade of OSM significantly attenuates colitis. Furthermore, according to an analysis of more than 200 patients with IBD, including two cohorts from phase 3 clinical trials of infliximab and golimumab, high pretreatment expression of OSM is strongly associated with failure of anti-TNF therapy. OSM is thus a potential biomarker and therapeutic target for IBD, and has particular relevance for anti-TNF-resistant patients.","author":[{"dropping-particle":"","family":"West","given":"Nathaniel R.","non-dropping-particle":"","parse-names":false,"suffix":""},{"dropping-particle":"","family":"Hegazy","given":"Ahmed N.","non-dropping-particle":"","parse-names":false,"suffix":""},{"dropping-particle":"","family":"Owens","given":"Benjamin M.J.","non-dropping-particle":"","parse-names":false,"suffix":""},{"dropping-particle":"","family":"Bullers","given":"Samuel J.","non-dropping-particle":"","parse-names":false,"suffix":""},{"dropping-particle":"","family":"Linggi","given":"Bryan","non-dropping-particle":"","parse-names":false,"suffix":""},{"dropping-particle":"","family":"Buonocore","given":"Sofia","non-dropping-particle":"","parse-names":false,"suffix":""},{"dropping-particle":"","family":"Coccia","given":"Margherita","non-dropping-particle":"","parse-names":false,"suffix":""},{"dropping-particle":"","family":"Görtz","given":"Dieter","non-dropping-particle":"","parse-names":false,"suffix":""},{"dropping-particle":"","family":"This","given":"Sébastien","non-dropping-particle":"","parse-names":false,"suffix":""},{"dropping-particle":"","family":"Stockenhuber","given":"Krista","non-dropping-particle":"","parse-names":false,"suffix":""},{"dropping-particle":"","family":"Pott","given":"Johanna","non-dropping-particle":"","parse-names":false,"suffix":""},{"dropping-particle":"","family":"Friedrich","given":"Matthias","non-dropping-particle":"","parse-names":false,"suffix":""},{"dropping-particle":"","family":"Ryzhakov","given":"Grigory","non-dropping-particle":"","parse-names":false,"suffix":""},{"dropping-particle":"","family":"Baribaud","given":"Frédéric","non-dropping-particle":"","parse-names":false,"suffix":""},{"dropping-particle":"","family":"Brodmerkel","given":"Carrie","non-dropping-particle":"","parse-names":false,"suffix":""},{"dropping-particle":"","family":"Cieluch","given":"Constanze","non-dropping-particle":"","parse-names":false,"suffix":""},{"dropping-particle":"","family":"Rahman","given":"Nahid","non-dropping-particle":"","parse-names":false,"suffix":""},{"dropping-particle":"","family":"Müller-Newen","given":"Gerhard","non-dropping-particle":"","parse-names":false,"suffix":""},{"dropping-particle":"","family":"Owens","given":"Raymond J.","non-dropping-particle":"","parse-names":false,"suffix":""},{"dropping-particle":"","family":"Kühl","given":"Anja A.","non-dropping-particle":"","parse-names":false,"suffix":""},{"dropping-particle":"","family":"Maloy","given":"Kevin J.","non-dropping-particle":"","parse-names":false,"suffix":""},{"dropping-particle":"","family":"Plevy","given":"Scott E.","non-dropping-particle":"","parse-names":false,"suffix":""},{"dropping-particle":"","family":"Keshav","given":"Satish","non-dropping-particle":"","parse-names":false,"suffix":""},{"dropping-particle":"","family":"Travis","given":"Simon P.L.","non-dropping-particle":"","parse-names":false,"suffix":""},{"dropping-particle":"","family":"Powrie","given":"Fiona","non-dropping-particle":"","parse-names":false,"suffix":""},{"dropping-particle":"","family":"Bailey","given":"Adam","non-dropping-particle":"","parse-names":false,"suffix":""},{"dropping-particle":"","family":"Barnes","given":"Ellie","non-dropping-particle":"","parse-names":false,"suffix":""},{"dropping-particle":"","family":"Bird-Lieberman","given":"Beth","non-dropping-particle":"","parse-names":false,"suffix":""},{"dropping-particle":"","family":"Brain","given":"Oliver","non-dropping-particle":"","parse-names":false,"suffix":""},{"dropping-particle":"","family":"Braden","given":"Barbara","non-dropping-particle":"","parse-names":false,"suffix":""},{"dropping-particle":"","family":"Collier","given":"Jane","non-dropping-particle":"","parse-names":false,"suffix":""},{"dropping-particle":"","family":"East","given":"James","non-dropping-particle":"","parse-names":false,"suffix":""},{"dropping-particle":"","family":"Howarth","given":"Lucy","non-dropping-particle":"","parse-names":false,"suffix":""},{"dropping-particle":"","family":"Klenerman","given":"Paul","non-dropping-particle":"","parse-names":false,"suffix":""},{"dropping-particle":"","family":"Leedham","given":"Simon","non-dropping-particle":"","parse-names":false,"suffix":""},{"dropping-particle":"","family":"Palmer","given":"Rebecca","non-dropping-particle":"","parse-names":false,"suffix":""},{"dropping-particle":"","family":"Rodrigues","given":"Astor","non-dropping-particle":"","parse-names":false,"suffix":""},{"dropping-particle":"","family":"Simmons","given":"Alison","non-dropping-particle":"","parse-names":false,"suffix":""},{"dropping-particle":"","family":"Sullivan","given":"Peter","non-dropping-particle":"","parse-names":false,"suffix":""},{"dropping-particle":"","family":"Uhlig","given":"Holm","non-dropping-particle":"","parse-names":false,"suffix":""}],"container-title":"Nature Medicine","id":"ITEM-1","issued":{"date-parts":[["2017"]]},"page":"579-589","publisher":"Nature Publishing Group","title":"Oncostatin M drives intestinal inflammation and predicts response to tumor necrosis factor–neutralizing therapy in patients with inflammatory bowel disease","type":"article-journal","volume":"23"},"uris":["http://www.mendeley.com/documents/?uuid=19ed1467-fc09-3719-b5a9-a111facf0421"]},{"id":"ITEM-2","itemData":{"DOI":"10.1016/j.ebiom.2019.01.027","ISSN":"23523964","abstract":"Background: With the changed therapeutic armamentarium for Crohn's disease (CD) and ulcerative colitis (UC), biomarkers predicting treatment response are urgently needed. We studied whole blood and mucosal expression of genes previously reported to predict outcome to anti-TNF therapy, and investigated if the signature was specific for anti-TNF agents. Methods: We prospectively included 54 active IBD patients (24CD, 30UC) initiating anti-TNF therapy, as well as 22 CD patients initiating ustekinumab and 51 patients initiating vedolizumab (25CD, 26UC). Whole blood expression of OSM, TREM1, TNF and TNFR2 was measured prior to start of therapy using qPCR, and mucosal gene expression in inflamed biopsies using RNA-sequencing. Response was defined as endoscopic remission (SES-CD ≤ 2 at week 24 for CD and Mayo endoscopic sub-score ≤ 1 at week 10 for UC). Findings: Baseline whole blood TREM1 was downregulated in future anti-TNF responders, both in UC (FC = 0.53, p = .001) and CD (FC = 0.66, p = .007), as well as in the complete cohort (FC = 0.67, p &lt; .001). Receiver operator characteristic statistics showed an area under the curve (AUC) of 0.78 (p = .001). A similar accuracy could be achieved with mucosal TREM1 (AUC 0.77, p = .003), which outperformed the accuracy of serum TREM1 (AUC 0.58, p = .31). Although differentially expressed in tissue, OSM, TNF and TNFR2 were not differentially expressed in whole blood. The TREM1 predictive signal was anti-TNF specific, as no changes were seen in ustekinumab and vedolizumab treated patients. Interpretation: We identified low TREM-1 as a specific biomarker for anti-TNF induced endoscopic remission. These results can aid in the selection of therapy in biologic-naïve patients.","author":[{"dropping-particle":"","family":"Verstockt","given":"Bram","non-dropping-particle":"","parse-names":false,"suffix":""},{"dropping-particle":"","family":"Verstockt","given":"Sare","non-dropping-particle":"","parse-names":false,"suffix":""},{"dropping-particle":"","family":"Dehairs","given":"Jonas","non-dropping-particle":"","parse-names":false,"suffix":""},{"dropping-particle":"","family":"Ballet","given":"Vera","non-dropping-particle":"","parse-names":false,"suffix":""},{"dropping-particle":"","family":"Blevi","given":"Helene","non-dropping-particle":"","parse-names":false,"suffix":""},{"dropping-particle":"","family":"Wollants","given":"Willem Jan","non-dropping-particle":"","parse-names":false,"suffix":""},{"dropping-particle":"","family":"Breynaert","given":"Christine","non-dropping-particle":"","parse-names":false,"suffix":""},{"dropping-particle":"","family":"Assche","given":"Gert","non-dropping-particle":"Van","parse-names":false,"suffix":""},{"dropping-particle":"","family":"Vermeire","given":"Séverine","non-dropping-particle":"","parse-names":false,"suffix":""},{"dropping-particle":"","family":"Ferrante","given":"Marc","non-dropping-particle":"","parse-names":false,"suffix":""}],"container-title":"EBioMedicine","id":"ITEM-2","issued":{"date-parts":[["2019","2","1"]]},"page":"733-742","publisher":"Elsevier B.V.","title":"Low TREM1 expression in whole blood predicts anti-TNF response in inflammatory bowel disease","type":"article-journal","volume":"40"},"uris":["http://www.mendeley.com/documents/?uuid=671ba9f6-38a7-37be-845a-0b4bad518d11"]},{"id":"ITEM-3","itemData":{"DOI":"10.1002/eji.200324807","ISSN":"0014-2980","author":[{"dropping-particle":"","family":"Gijsbers","given":"Klara","non-dropping-particle":"","parse-names":false,"suffix":""}],"container-title":"European journal of immunology","id":"ITEM-3","issue":"7","issued":{"date-parts":[["2004"]]},"page":"1992-2000","title":"CXCR1-binding chemokines in inflammatory bowel diseases: down-regulated IL-8/CXCL8 production by leukocytes in Crohn's disease and selective GCP-2/CXCL6 expression in inflamed intestinal tissue.","type":"article-journal","volume":"34"},"uris":["http://www.mendeley.com/documents/?uuid=1aa96f76-fe27-4fb1-b229-6fb13c73559a"]}],"mendeley":{"formattedCitation":"&lt;sup&gt;7,9,39&lt;/sup&gt;","plainTextFormattedCitation":"7,9,39","previouslyFormattedCitation":"&lt;sup&gt;7,9,39&lt;/sup&gt;"},"properties":{"noteIndex":0},"schema":"https://github.com/citation-style-language/schema/raw/master/csl-citation.json"}</w:instrText>
      </w:r>
      <w:r w:rsidRPr="007B14B4">
        <w:fldChar w:fldCharType="separate"/>
      </w:r>
      <w:r w:rsidRPr="007B14B4">
        <w:rPr>
          <w:noProof/>
          <w:vertAlign w:val="superscript"/>
        </w:rPr>
        <w:t>7,9,39</w:t>
      </w:r>
      <w:r w:rsidRPr="007B14B4">
        <w:fldChar w:fldCharType="end"/>
      </w:r>
      <w:r w:rsidRPr="007B14B4">
        <w:t xml:space="preserve">. </w:t>
      </w:r>
      <w:bookmarkEnd w:id="8"/>
      <w:r w:rsidRPr="007B14B4">
        <w:t xml:space="preserve">In addition, we identify the hub gene, CSF3R, a regulator of neutrophil differentiation, which appears to be key in controlling expression of </w:t>
      </w:r>
      <w:proofErr w:type="gramStart"/>
      <w:r w:rsidRPr="007B14B4">
        <w:t>a number of</w:t>
      </w:r>
      <w:proofErr w:type="gramEnd"/>
      <w:r w:rsidRPr="007B14B4">
        <w:t xml:space="preserve"> genes in treatment-naïve Crohn’s disease. This gene has been previously associated with congenital </w:t>
      </w:r>
      <w:proofErr w:type="gramStart"/>
      <w:r w:rsidRPr="007B14B4">
        <w:lastRenderedPageBreak/>
        <w:t>neutropenia</w:t>
      </w:r>
      <w:proofErr w:type="gramEnd"/>
      <w:r w:rsidRPr="007B14B4">
        <w:t xml:space="preserve"> but this is the first time it has been specifically implicated in IBD pathogenesis. This is despite the fact that a number of primary immunodeficiencies are recognised to present with IBD-like phenotypes</w:t>
      </w:r>
      <w:r w:rsidRPr="007B14B4">
        <w:fldChar w:fldCharType="begin" w:fldLock="1"/>
      </w:r>
      <w:r>
        <w:instrText>ADDIN CSL_CITATION {"citationItems":[{"id":"ITEM-1","itemData":{"DOI":"10.1053/j.gastro.2014.07.023","ISSN":"1528-0012","author":[{"dropping-particle":"","family":"Uhlig","given":"H H","non-dropping-particle":"","parse-names":false,"suffix":""},{"dropping-particle":"","family":"Schwerd","given":"T","non-dropping-particle":"","parse-names":false,"suffix":""},{"dropping-particle":"","family":"Koletzko","given":"S","non-dropping-particle":"","parse-names":false,"suffix":""},{"dropping-particle":"","family":"Shah","given":"N","non-dropping-particle":"","parse-names":false,"suffix":""},{"dropping-particle":"","family":"Kammermeier","given":"J","non-dropping-particle":"","parse-names":false,"suffix":""},{"dropping-particle":"","family":"Elkadri","given":"A","non-dropping-particle":"","parse-names":false,"suffix":""},{"dropping-particle":"","family":"Ouahed","given":"J","non-dropping-particle":"","parse-names":false,"suffix":""},{"dropping-particle":"","family":"Wilson","given":"D C","non-dropping-particle":"","parse-names":false,"suffix":""},{"dropping-particle":"","family":"Travis","given":"S P","non-dropping-particle":"","parse-names":false,"suffix":""},{"dropping-particle":"","family":"Turner","given":"D","non-dropping-particle":"","parse-names":false,"suffix":""},{"dropping-particle":"","family":"Klein","given":"C","non-dropping-particle":"","parse-names":false,"suffix":""},{"dropping-particle":"","family":"Snapper","given":"S B","non-dropping-particle":"","parse-names":false,"suffix":""},{"dropping-particle":"","family":"Muise","given":"A M","non-dropping-particle":"","parse-names":false,"suffix":""},{"dropping-particle":"","family":"NEOPICS","given":"COLORS in I B D Study Group","non-dropping-particle":"","parse-names":false,"suffix":""}],"container-title":"Gastroenterology","id":"ITEM-1","issue":"5","issued":{"date-parts":[["2014"]]},"page":"990-1007.e3","title":"The diagnostic approach to monogenic very early onset inflammatory bowel disease","type":"article-journal","volume":"147"},"uris":["http://www.mendeley.com/documents/?uuid=f78eeb3e-9732-49f7-b787-9ec297d22a29"]}],"mendeley":{"formattedCitation":"&lt;sup&gt;40&lt;/sup&gt;","plainTextFormattedCitation":"40","previouslyFormattedCitation":"&lt;sup&gt;40&lt;/sup&gt;"},"properties":{"noteIndex":0},"schema":"https://github.com/citation-style-language/schema/raw/master/csl-citation.json"}</w:instrText>
      </w:r>
      <w:r w:rsidRPr="007B14B4">
        <w:fldChar w:fldCharType="separate"/>
      </w:r>
      <w:r w:rsidRPr="007B14B4">
        <w:rPr>
          <w:noProof/>
          <w:vertAlign w:val="superscript"/>
        </w:rPr>
        <w:t>40</w:t>
      </w:r>
      <w:r w:rsidRPr="007B14B4">
        <w:fldChar w:fldCharType="end"/>
      </w:r>
      <w:r w:rsidRPr="007B14B4">
        <w:t>.</w:t>
      </w:r>
      <w:r w:rsidRPr="00215A52">
        <w:rPr>
          <w:i/>
          <w:iCs/>
        </w:rPr>
        <w:t xml:space="preserve">  </w:t>
      </w:r>
    </w:p>
    <w:p w14:paraId="000D0771" w14:textId="77777777" w:rsidR="00B60E59" w:rsidRPr="007B14B4" w:rsidRDefault="00B60E59" w:rsidP="00B60E59">
      <w:pPr>
        <w:spacing w:line="480" w:lineRule="auto"/>
      </w:pPr>
    </w:p>
    <w:p w14:paraId="0EE31E8B" w14:textId="77777777" w:rsidR="00B60E59" w:rsidRDefault="00B60E59" w:rsidP="00B60E59">
      <w:pPr>
        <w:spacing w:line="480" w:lineRule="auto"/>
      </w:pPr>
      <w:r w:rsidRPr="001A20B5">
        <w:t>Stratification of patients based on differential gene expression provides the opportunity to predict treatment response and patient prognosis. Recently the RISK cohort from North America has been used to develop prediction algorithms, specifically utilising integration of ileal transcriptome profiles into a multifactorial risk score for stricturing disease, identifying an extracellular matrix gene signature associated with stricturing disease</w:t>
      </w:r>
      <w:r w:rsidRPr="001A20B5">
        <w:fldChar w:fldCharType="begin" w:fldLock="1"/>
      </w:r>
      <w:r>
        <w:instrText>ADDIN CSL_CITATION {"citationItems":[{"id":"ITEM-1","itemData":{"DOI":"10.1016/S0140-6736(17)30317-3","ISSN":"01406736","PMID":"28259484","abstract":"BACKGROUND Stricturing and penetrating complications account for substantial morbidity and health-care costs in paediatric and adult onset Crohn's disease. Validated models to predict risk for complications are not available, and the effect of treatment on risk is unknown. METHODS We did a prospective inception cohort study of paediatric patients with newly diagnosed Crohn's disease at 28 sites in the USA and Canada. Genotypes, antimicrobial serologies, ileal gene expression, and ileal, rectal, and faecal microbiota were assessed. A competing-risk model for disease complications was derived and validated in independent groups. Propensity-score matching tested the effect of anti-tumour necrosis factor α (TNFα) therapy exposure within 90 days of diagnosis on complication risk. FINDINGS Between Nov 1, 2008, and June 30, 2012, we enrolled 913 patients, 78 (9%) of whom experienced Crohn's disease complications. The validated competing-risk model included age, race, disease location, and antimicrobial serologies and provided a sensitivity of 66% (95% CI 51-82) and specificity of 63% (55-71), with a negative predictive value of 95% (94-97). Patients who received early anti-TNFα therapy were less likely to have penetrating complications (hazard ratio [HR] 0·30, 95% CI 0·10-0·89; p=0·0296) but not stricturing complication (1·13, 0·51-2·51; 0·76) than were those who did not receive early anti-TNFα therapy. Ruminococcus was implicated in stricturing complications and Veillonella in penetrating complications. Ileal genes controlling extracellular matrix production were upregulated at diagnosis, and this gene signature was associated with stricturing in the risk model (HR 1·70, 95% CI 1·12-2·57; p=0·0120). When this gene signature was included, the model's specificity improved to 71%. INTERPRETATION Our findings support the usefulness of risk stratification of paediatric patients with Crohn's disease at diagnosis, and selection of anti-TNFα therapy. FUNDING Crohn's and Colitis Foundation of America, Cincinnati Children's Hospital Research Foundation Digestive Health Center.","author":[{"dropping-particle":"","family":"Kugathasan","given":"Subra","non-dropping-particle":"","parse-names":false,"suffix":""},{"dropping-particle":"","family":"Denson","given":"Lee A","non-dropping-particle":"","parse-names":false,"suffix":""},{"dropping-particle":"","family":"Walters","given":"Thomas D","non-dropping-particle":"","parse-names":false,"suffix":""},{"dropping-particle":"","family":"Kim","given":"Mi-Ok","non-dropping-particle":"","parse-names":false,"suffix":""},{"dropping-particle":"","family":"Marigorta","given":"Urko M","non-dropping-particle":"","parse-names":false,"suffix":""},{"dropping-particle":"","family":"Schirmer","given":"Melanie","non-dropping-particle":"","parse-names":false,"suffix":""},{"dropping-particle":"","family":"Mondal","given":"Kajari","non-dropping-particle":"","parse-names":false,"suffix":""},{"dropping-particle":"","family":"Liu","given":"Chunyan","non-dropping-particle":"","parse-names":false,"suffix":""},{"dropping-particle":"","family":"Griffiths","given":"Anne","non-dropping-particle":"","parse-names":false,"suffix":""},{"dropping-particle":"","family":"Noe","given":"Joshua D","non-dropping-particle":"","parse-names":false,"suffix":""},{"dropping-particle":"V","family":"Crandall","given":"Wallace","non-dropping-particle":"","parse-names":false,"suffix":""},{"dropping-particle":"","family":"Snapper","given":"Scott","non-dropping-particle":"","parse-names":false,"suffix":""},{"dropping-particle":"","family":"Rabizadeh","given":"Shervin","non-dropping-particle":"","parse-names":false,"suffix":""},{"dropping-particle":"","family":"Rosh","given":"Joel R","non-dropping-particle":"","parse-names":false,"suffix":""},{"dropping-particle":"","family":"Shapiro","given":"Jason M","non-dropping-particle":"","parse-names":false,"suffix":""},{"dropping-particle":"","family":"Guthery","given":"Stephen","non-dropping-particle":"","parse-names":false,"suffix":""},{"dropping-particle":"","family":"Mack","given":"David R","non-dropping-particle":"","parse-names":false,"suffix":""},{"dropping-particle":"","family":"Kellermayer","given":"Richard","non-dropping-particle":"","parse-names":false,"suffix":""},{"dropping-particle":"","family":"Kappelman","given":"Michael D","non-dropping-particle":"","parse-names":false,"suffix":""},{"dropping-particle":"","family":"Steiner","given":"Steven","non-dropping-particle":"","parse-names":false,"suffix":""},{"dropping-particle":"","family":"Moulton","given":"Dedrick E","non-dropping-particle":"","parse-names":false,"suffix":""},{"dropping-particle":"","family":"Keljo","given":"David","non-dropping-particle":"","parse-names":false,"suffix":""},{"dropping-particle":"","family":"Cohen","given":"Stanley","non-dropping-particle":"","parse-names":false,"suffix":""},{"dropping-particle":"","family":"Oliva-Hemker","given":"Maria","non-dropping-particle":"","parse-names":false,"suffix":""},{"dropping-particle":"","family":"Heyman","given":"Melvin B","non-dropping-particle":"","parse-names":false,"suffix":""},{"dropping-particle":"","family":"Otley","given":"Anthony R","non-dropping-particle":"","parse-names":false,"suffix":""},{"dropping-particle":"","family":"Baker","given":"Susan S","non-dropping-particle":"","parse-names":false,"suffix":""},{"dropping-particle":"","family":"Evans","given":"Jonathan S","non-dropping-particle":"","parse-names":false,"suffix":""},{"dropping-particle":"","family":"Kirschner","given":"Barbara S","non-dropping-particle":"","parse-names":false,"suffix":""},{"dropping-particle":"","family":"Patel","given":"Ashish S","non-dropping-particle":"","parse-names":false,"suffix":""},{"dropping-particle":"","family":"Ziring","given":"David","non-dropping-particle":"","parse-names":false,"suffix":""},{"dropping-particle":"","family":"Trapnell","given":"Bruce C","non-dropping-particle":"","parse-names":false,"suffix":""},{"dropping-particle":"","family":"Sylvester","given":"Francisco A","non-dropping-particle":"","parse-names":false,"suffix":""},{"dropping-particle":"","family":"Stephens","given":"Michael C","non-dropping-particle":"","parse-names":false,"suffix":""},{"dropping-particle":"","family":"Baldassano","given":"Robert N","non-dropping-particle":"","parse-names":false,"suffix":""},{"dropping-particle":"","family":"Markowitz","given":"James F","non-dropping-particle":"","parse-names":false,"suffix":""},{"dropping-particle":"","family":"Cho","given":"Judy","non-dropping-particle":"","parse-names":false,"suffix":""},{"dropping-particle":"","family":"Xavier","given":"Ramnik J","non-dropping-particle":"","parse-names":false,"suffix":""},{"dropping-particle":"","family":"Huttenhower","given":"Curtis","non-dropping-particle":"","parse-names":false,"suffix":""},{"dropping-particle":"","family":"Aronow","given":"Bruce J","non-dropping-particle":"","parse-names":false,"suffix":""},{"dropping-particle":"","family":"Gibson","given":"Greg","non-dropping-particle":"","parse-names":false,"suffix":""},{"dropping-particle":"","family":"Hyams","given":"Jeffrey S","non-dropping-particle":"","parse-names":false,"suffix":""},{"dropping-particle":"","family":"Dubinsky","given":"Marla C","non-dropping-particle":"","parse-names":false,"suffix":""}],"container-title":"The Lancet","id":"ITEM-1","issue":"10080","issued":{"date-parts":[["2017","4","29"]]},"page":"1710-1718","title":"Prediction of complicated disease course for children newly diagnosed with Crohn's disease: a multicentre inception cohort study","type":"article-journal","volume":"389"},"uris":["http://www.mendeley.com/documents/?uuid=64fb4080-3b65-30b1-a7cf-15a482b7e92c"]}],"mendeley":{"formattedCitation":"&lt;sup&gt;41&lt;/sup&gt;","plainTextFormattedCitation":"41","previouslyFormattedCitation":"&lt;sup&gt;41&lt;/sup&gt;"},"properties":{"noteIndex":0},"schema":"https://github.com/citation-style-language/schema/raw/master/csl-citation.json"}</w:instrText>
      </w:r>
      <w:r w:rsidRPr="001A20B5">
        <w:fldChar w:fldCharType="separate"/>
      </w:r>
      <w:r w:rsidRPr="00873DB8">
        <w:rPr>
          <w:noProof/>
          <w:vertAlign w:val="superscript"/>
        </w:rPr>
        <w:t>41</w:t>
      </w:r>
      <w:r w:rsidRPr="001A20B5">
        <w:fldChar w:fldCharType="end"/>
      </w:r>
      <w:r w:rsidRPr="001A20B5">
        <w:t xml:space="preserve">. Haberman </w:t>
      </w:r>
      <w:r w:rsidRPr="00B81797">
        <w:rPr>
          <w:i/>
          <w:iCs/>
        </w:rPr>
        <w:t>et al</w:t>
      </w:r>
      <w:r w:rsidRPr="001A20B5">
        <w:t xml:space="preserve"> also </w:t>
      </w:r>
      <w:r>
        <w:t>created</w:t>
      </w:r>
      <w:r w:rsidRPr="001A20B5">
        <w:t xml:space="preserve"> a model, including </w:t>
      </w:r>
      <w:r w:rsidRPr="00B81797">
        <w:rPr>
          <w:i/>
          <w:iCs/>
        </w:rPr>
        <w:t>APOA1</w:t>
      </w:r>
      <w:r w:rsidRPr="001A20B5">
        <w:t xml:space="preserve"> gene expression, able to predict 6-month steroid free remission</w:t>
      </w:r>
      <w:r>
        <w:fldChar w:fldCharType="begin" w:fldLock="1"/>
      </w:r>
      <w:r>
        <w:instrText>ADDIN CSL_CITATION {"citationItems":[{"id":"ITEM-1","itemData":{"DOI":"10.1172/JCI79657","ISSN":"1558-8238","author":[{"dropping-particle":"","family":"Haberman","given":"Y","non-dropping-particle":"","parse-names":false,"suffix":""},{"dropping-particle":"","family":"Tickle","given":"T L","non-dropping-particle":"","parse-names":false,"suffix":""},{"dropping-particle":"","family":"Dexheimer","given":"P J","non-dropping-particle":"","parse-names":false,"suffix":""},{"dropping-particle":"","family":"Kim","given":"M O","non-dropping-particle":"","parse-names":false,"suffix":""},{"dropping-particle":"","family":"Tang","given":"D","non-dropping-particle":"","parse-names":false,"suffix":""},{"dropping-particle":"","family":"Karns","given":"R","non-dropping-particle":"","parse-names":false,"suffix":""},{"dropping-particle":"","family":"Baldassano","given":"R N","non-dropping-particle":"","parse-names":false,"suffix":""},{"dropping-particle":"","family":"Noe","given":"J D","non-dropping-particle":"","parse-names":false,"suffix":""},{"dropping-particle":"","family":"Rosh","given":"J","non-dropping-particle":"","parse-names":false,"suffix":""},{"dropping-particle":"","family":"Markowitz","given":"J","non-dropping-particle":"","parse-names":false,"suffix":""},{"dropping-particle":"","family":"Heyman","given":"M B","non-dropping-particle":"","parse-names":false,"suffix":""},{"dropping-particle":"","family":"Griffiths","given":"A M","non-dropping-particle":"","parse-names":false,"suffix":""},{"dropping-particle":"V","family":"Crandall","given":"W","non-dropping-particle":"","parse-names":false,"suffix":""},{"dropping-particle":"","family":"Mack","given":"D R","non-dropping-particle":"","parse-names":false,"suffix":""},{"dropping-particle":"","family":"Baker","given":"S S","non-dropping-particle":"","parse-names":false,"suffix":""},{"dropping-particle":"","family":"Huttenhower","given":"C","non-dropping-particle":"","parse-names":false,"suffix":""},{"dropping-particle":"","family":"Keljo","given":"D J","non-dropping-particle":"","parse-names":false,"suffix":""},{"dropping-particle":"","family":"Hyams","given":"J S","non-dropping-particle":"","parse-names":false,"suffix":""},{"dropping-particle":"","family":"Kugathasan","given":"S","non-dropping-particle":"","parse-names":false,"suffix":""},{"dropping-particle":"","family":"Walters","given":"T D","non-dropping-particle":"","parse-names":false,"suffix":""},{"dropping-particle":"","family":"Aronow","given":"B","non-dropping-particle":"","parse-names":false,"suffix":""},{"dropping-particle":"","family":"Xavier","given":"R J","non-dropping-particle":"","parse-names":false,"suffix":""},{"dropping-particle":"","family":"Gevers","given":"D","non-dropping-particle":"","parse-names":false,"suffix":""},{"dropping-particle":"","family":"Denson","given":"L A","non-dropping-particle":"","parse-names":false,"suffix":""}],"container-title":"J Clin Invest","id":"ITEM-1","issue":"3","issued":{"date-parts":[["2015"]]},"page":"1363","title":"Pediatric Crohn disease patients exhibit specific ileal transcriptome and microbiome signature","type":"article-journal","volume":"125"},"uris":["http://www.mendeley.com/documents/?uuid=d2e89b9f-6489-4637-81d0-edf226e2f1bd"]}],"mendeley":{"formattedCitation":"&lt;sup&gt;8&lt;/sup&gt;","plainTextFormattedCitation":"8","previouslyFormattedCitation":"&lt;sup&gt;8&lt;/sup&gt;"},"properties":{"noteIndex":0},"schema":"https://github.com/citation-style-language/schema/raw/master/csl-citation.json"}</w:instrText>
      </w:r>
      <w:r>
        <w:fldChar w:fldCharType="separate"/>
      </w:r>
      <w:r w:rsidRPr="00B81797">
        <w:rPr>
          <w:noProof/>
          <w:vertAlign w:val="superscript"/>
        </w:rPr>
        <w:t>8</w:t>
      </w:r>
      <w:r>
        <w:fldChar w:fldCharType="end"/>
      </w:r>
      <w:r w:rsidRPr="001A20B5">
        <w:t>.</w:t>
      </w:r>
      <w:r>
        <w:t xml:space="preserve"> Here we identify a gene module, characterised by Th17 cell differentiation, associated with prolonged time to relapse. Once the results are replicated in external cohorts, transitioning these models into clinical practice will be key for personalising therapy in patients. </w:t>
      </w:r>
    </w:p>
    <w:p w14:paraId="3A177F95" w14:textId="77777777" w:rsidR="00B60E59" w:rsidRDefault="00B60E59" w:rsidP="00B60E59">
      <w:pPr>
        <w:spacing w:line="480" w:lineRule="auto"/>
      </w:pPr>
      <w:r>
        <w:t>Th17 cells and IL17 signalling are of great interest in IBD pathogenesis. Differentiated Th17 cells produce several effector IL17 cytokines, promoting inflammation and mucosal pathogen clearance</w:t>
      </w:r>
      <w:r>
        <w:fldChar w:fldCharType="begin" w:fldLock="1"/>
      </w:r>
      <w:r>
        <w:instrText>ADDIN CSL_CITATION {"citationItems":[{"id":"ITEM-1","itemData":{"DOI":"10.1093/ibd/izz316","ISSN":"1078-0998","author":[{"dropping-particle":"","family":"Hou","given":"Guoqing","non-dropping-particle":"","parse-names":false,"suffix":""},{"dropping-particle":"","family":"Bishu","given":"Shrinivas","non-dropping-particle":"","parse-names":false,"suffix":""}],"container-title":"Inflammatory Bowel Diseases","id":"ITEM-1","issue":"5","issued":{"date-parts":[["2020","4","11"]]},"page":"653-661","publisher":"Oxford Academic","title":"Th17 Cells in Inflammatory Bowel Disease: An Update for the Clinician","type":"article-journal","volume":"26"},"uris":["http://www.mendeley.com/documents/?uuid=9b7da1de-aaf6-3c3c-85c1-10387270080a"]}],"mendeley":{"formattedCitation":"&lt;sup&gt;37&lt;/sup&gt;","plainTextFormattedCitation":"37","previouslyFormattedCitation":"&lt;sup&gt;37&lt;/sup&gt;"},"properties":{"noteIndex":0},"schema":"https://github.com/citation-style-language/schema/raw/master/csl-citation.json"}</w:instrText>
      </w:r>
      <w:r>
        <w:fldChar w:fldCharType="separate"/>
      </w:r>
      <w:r w:rsidRPr="00102C57">
        <w:rPr>
          <w:noProof/>
          <w:vertAlign w:val="superscript"/>
        </w:rPr>
        <w:t>37</w:t>
      </w:r>
      <w:r>
        <w:fldChar w:fldCharType="end"/>
      </w:r>
      <w:r>
        <w:t>. We implicate ileal activation of IL17 signalling within TN Crohn’s disease patients, compared to both controls and ED patients. Several previous studies have not identified increased serum IL17 in Crohn’s disease patients, however increased IL17 levels have been detected in affected tissues</w:t>
      </w:r>
      <w:r>
        <w:fldChar w:fldCharType="begin" w:fldLock="1"/>
      </w:r>
      <w:r>
        <w:instrText>ADDIN CSL_CITATION {"citationItems":[{"id":"ITEM-1","itemData":{"DOI":"10.1136/gut.52.1.65","ISSN":"00175749","PMID":"12477762","abstract":"Background and aim: Interleukin (IL) 17 is a cytokine which exerts strong proinflammatory activities. In this study we evaluated changes in IL-17 expression in the inflamed mucosa and in the serum of patients with inflammatory bowel disease (IBD). Methods: Tissue samples were obtained endoscopically or surgically from patients with ulcerative colitis (UC) (n=20), Crohn's disease (CD) (n=20), infectious colitis (n=5), ischaemic colitis (n=8), and normal colorectal tissues (n=15). IL-17 expression was evaluated by a standard immunohistochemical procedure. Serum IL-17 levels were determined by ELISA. IL-17 mRNA expression was analysed by reverse transcriptase-polymerase chain reaction. Results: IL-17 expression was not detected in samples from normal colonic mucosa, infectious colitis, or ischaemic colitis. In the inflamed mucosa of active UC and CD patients, IL-17 expression was clearly detectable in CD3+ T cells or CD68+ monocytes/macrophages. The average number of IL-17+ cells was significantly increased in active UC and CD patients compared with inactive patients. IL-17 mRNA expression was not detected in normal mucosa but was detectable in the mucosa from active UC and CD patients. IL-17 was not detected in the sera from normal individuals, infectious colitis, or ischaemic colitis patients but IL-17 levels were significantly elevated in IBD patients. Conclusions: IL-17 expression in the mucosa and serum was increased in IBD patients. It is likely that IL-17 expression in IBD may be associated with altered immune and inflammatory responses in the intestinal mucosa.","author":[{"dropping-particle":"","family":"Fujino","given":"S.","non-dropping-particle":"","parse-names":false,"suffix":""},{"dropping-particle":"","family":"Andoh","given":"A.","non-dropping-particle":"","parse-names":false,"suffix":""},{"dropping-particle":"","family":"Bamba","given":"S.","non-dropping-particle":"","parse-names":false,"suffix":""},{"dropping-particle":"","family":"Ogawa","given":"A.","non-dropping-particle":"","parse-names":false,"suffix":""},{"dropping-particle":"","family":"Hata","given":"K.","non-dropping-particle":"","parse-names":false,"suffix":""},{"dropping-particle":"","family":"Araki","given":"Y.","non-dropping-particle":"","parse-names":false,"suffix":""},{"dropping-particle":"","family":"Bamba","given":"T.","non-dropping-particle":"","parse-names":false,"suffix":""},{"dropping-particle":"","family":"Fujiyama","given":"Y.","non-dropping-particle":"","parse-names":false,"suffix":""}],"container-title":"Gut","id":"ITEM-1","issue":"1","issued":{"date-parts":[["2003","1","1"]]},"page":"65-70","publisher":"BMJ Publishing Group","title":"Increased expression of interleukin 17 in inflammatory bowel disease","type":"article-journal","volume":"52"},"uris":["http://www.mendeley.com/documents/?uuid=8f39a190-2d6a-3e05-b84c-4ddabc1c3b6d"]},{"id":"ITEM-2","itemData":{"DOI":"10.1155/2014/690853","PMID":"25140070","author":[{"dropping-particle":"","family":"Sahin","given":"Abdurrahman","non-dropping-particle":"","parse-names":false,"suffix":""},{"dropping-particle":"","family":"Calhan","given":"Turan","non-dropping-particle":"","parse-names":false,"suffix":""},{"dropping-particle":"","family":"Cengiz","given":"Mustafa","non-dropping-particle":"","parse-names":false,"suffix":""},{"dropping-particle":"","family":"Kahraman","given":"Resul","non-dropping-particle":"","parse-names":false,"suffix":""},{"dropping-particle":"","family":"Aydin","given":"Kubra","non-dropping-particle":"","parse-names":false,"suffix":""},{"dropping-particle":"","family":"Ozdil","given":"Kamil","non-dropping-particle":"","parse-names":false,"suffix":""},{"dropping-particle":"","family":"Korachi","given":"May","non-dropping-particle":"","parse-names":false,"suffix":""},{"dropping-particle":"","family":"Sokmen","given":"H. Mehmet","non-dropping-particle":"","parse-names":false,"suffix":""}],"container-title":"Disease Markers","id":"ITEM-2","issued":{"date-parts":[["2014"]]},"publisher":"Hindawi Limited","title":"Serum Interleukin 17 Levels in Patients with Crohn's Disease: Real Life Data","type":"article-journal","volume":"2014"},"uris":["http://www.mendeley.com/documents/?uuid=39949396-2e56-3a53-a873-1e05a96d2677"]}],"mendeley":{"formattedCitation":"&lt;sup&gt;42,43&lt;/sup&gt;","plainTextFormattedCitation":"42,43","previouslyFormattedCitation":"&lt;sup&gt;42,43&lt;/sup&gt;"},"properties":{"noteIndex":0},"schema":"https://github.com/citation-style-language/schema/raw/master/csl-citation.json"}</w:instrText>
      </w:r>
      <w:r>
        <w:fldChar w:fldCharType="separate"/>
      </w:r>
      <w:r w:rsidRPr="00873DB8">
        <w:rPr>
          <w:noProof/>
          <w:vertAlign w:val="superscript"/>
        </w:rPr>
        <w:t>42,43</w:t>
      </w:r>
      <w:r>
        <w:fldChar w:fldCharType="end"/>
      </w:r>
      <w:r>
        <w:t xml:space="preserve">. We replicate these findings in paediatric patients and for the first time identify a specialised epithelial cell cluster and a monocyte cell cluster appearing to drive the IL17-signalling. </w:t>
      </w:r>
      <w:bookmarkStart w:id="9" w:name="_Hlk52267707"/>
      <w:r>
        <w:t>We hypothesise that the epithelium appears to be a target tissue for IL17-signalling, resulting in heightened proinflammatory and anti-microbial response within this specific population of cells, characterised by secretion of calprotectin (</w:t>
      </w:r>
      <w:r w:rsidRPr="00A10F1F">
        <w:rPr>
          <w:i/>
          <w:iCs/>
        </w:rPr>
        <w:t>S100A8/S100A9</w:t>
      </w:r>
      <w:r>
        <w:t>). This pro-inflammatory effect of IL17-signalling on epithelial cells has been observed in colonic epithelial cell cultures, with upregulation of CXCL8 and CXCL1 promoting neutrophil chemotaxis</w:t>
      </w:r>
      <w:r>
        <w:fldChar w:fldCharType="begin" w:fldLock="1"/>
      </w:r>
      <w:r>
        <w:instrText>ADDIN CSL_CITATION {"citationItems":[{"id":"ITEM-1","itemData":{"DOI":"10.4049/jimmunol.181.9.6536","author":[{"dropping-particle":"","family":"Youssef","given":"Straus","non-dropping-particle":"","parse-names":false,"suffix":""},{"dropping-particle":"","family":"Steinman","given":"Lawrence","non-dropping-particle":"","parse-names":false,"suffix":""},{"dropping-particle":"","family":"Defea","given":"Kathryn","non-dropping-particle":"","parse-names":false,"suffix":""},{"dropping-particle":"","family":"Jimmy","given":"Daniel S","non-dropping-particle":"","parse-names":false,"suffix":""},{"dropping-particle":"","family":"Lee","given":"W","non-dropping-particle":"","parse-names":false,"suffix":""},{"dropping-particle":"","family":"Wang","given":"Ping","non-dropping-particle":"","parse-names":false,"suffix":""},{"dropping-particle":"","family":"Kattah","given":"Michael G","non-dropping-particle":"","parse-names":false,"suffix":""}],"container-title":"J Immunol References","id":"ITEM-1","issued":{"date-parts":[["2008"]]},"page":"6536-6545","title":"IL-17 in Colonic Epithelial Cells Differential Regulation of Chemokines by","type":"article-journal","volume":"181"},"uris":["http://www.mendeley.com/documents/?uuid=1e3ad079-622c-37e6-baf2-76a5d7cc4af3"]}],"mendeley":{"formattedCitation":"&lt;sup&gt;44&lt;/sup&gt;","plainTextFormattedCitation":"44","previouslyFormattedCitation":"&lt;sup&gt;44&lt;/sup&gt;"},"properties":{"noteIndex":0},"schema":"https://github.com/citation-style-language/schema/raw/master/csl-citation.json"}</w:instrText>
      </w:r>
      <w:r>
        <w:fldChar w:fldCharType="separate"/>
      </w:r>
      <w:r w:rsidRPr="00873DB8">
        <w:rPr>
          <w:noProof/>
          <w:vertAlign w:val="superscript"/>
        </w:rPr>
        <w:t>44</w:t>
      </w:r>
      <w:r>
        <w:fldChar w:fldCharType="end"/>
      </w:r>
      <w:r>
        <w:t xml:space="preserve">. Our data identify distinct cell clusters driving </w:t>
      </w:r>
      <w:r>
        <w:lastRenderedPageBreak/>
        <w:t xml:space="preserve">these processes, whilst targeting RNA sequencing replicates similar expression profiles within the ileum of treatment naïve patients.  </w:t>
      </w:r>
      <w:bookmarkEnd w:id="9"/>
    </w:p>
    <w:p w14:paraId="32864A65" w14:textId="77777777" w:rsidR="00B60E59" w:rsidRDefault="00B60E59" w:rsidP="00B60E59">
      <w:pPr>
        <w:spacing w:line="480" w:lineRule="auto"/>
      </w:pPr>
      <w:r>
        <w:t xml:space="preserve">Previously, Martin </w:t>
      </w:r>
      <w:r w:rsidRPr="0028591D">
        <w:rPr>
          <w:i/>
          <w:iCs/>
        </w:rPr>
        <w:t>et al</w:t>
      </w:r>
      <w:r>
        <w:t xml:space="preserve"> identified an expression module in ileal Crohn’s disease, characterising IgG plasma cells, mononuclear phagocytes, activated T cells and stromal cells</w:t>
      </w:r>
      <w:r>
        <w:fldChar w:fldCharType="begin" w:fldLock="1"/>
      </w:r>
      <w:r>
        <w:instrText>ADDIN CSL_CITATION {"citationItems":[{"id":"ITEM-1","itemData":{"DOI":"10.1016/j.cell.2019.08.008","ISSN":"10974172","abstract":"Clinical benefits of cytokine blockade in ileal Crohn's disease (iCD) are limited to a subset of patients. Here, we applied single-cell technologies to iCD lesions to address whether cellular heterogeneity contributes to treatment resistance. We found that a subset of patients expressed a unique cellular module in inflamed tissues that consisted of IgG plasma cells, inflammatory mononuclear phagocytes, activated T cells, and stromal cells, which we named the GIMATS module. Analysis of ligand-receptor interaction pairs identified a distinct network connectivity that likely drives the GIMATS module. Strikingly, the GIMATS module was also present in a subset of patients in four independent iCD cohorts (n = 441), and its presence at diagnosis correlated with failure to achieve durable corticosteroid-free remission upon anti-TNF therapy. These results emphasize the limitations of current diagnostic assays and the potential for single-cell mapping tools to identify novel biomarkers of treatment response and tailored therapeutic opportunities.","author":[{"dropping-particle":"","family":"Martin","given":"Jerome C.","non-dropping-particle":"","parse-names":false,"suffix":""},{"dropping-particle":"","family":"Chang","given":"Christie","non-dropping-particle":"","parse-names":false,"suffix":""},{"dropping-particle":"","family":"Boschetti","given":"Gilles","non-dropping-particle":"","parse-names":false,"suffix":""},{"dropping-particle":"","family":"Ungaro","given":"Ryan","non-dropping-particle":"","parse-names":false,"suffix":""},{"dropping-particle":"","family":"Giri","given":"Mamta","non-dropping-particle":"","parse-names":false,"suffix":""},{"dropping-particle":"","family":"Grout","given":"John A.","non-dropping-particle":"","parse-names":false,"suffix":""},{"dropping-particle":"","family":"Gettler","given":"Kyle","non-dropping-particle":"","parse-names":false,"suffix":""},{"dropping-particle":"","family":"Chuang","given":"Ling shiang","non-dropping-particle":"","parse-names":false,"suffix":""},{"dropping-particle":"","family":"Nayar","given":"Shikha","non-dropping-particle":"","parse-names":false,"suffix":""},{"dropping-particle":"","family":"Greenstein","given":"Alexander J.","non-dropping-particle":"","parse-names":false,"suffix":""},{"dropping-particle":"","family":"Dubinsky","given":"Marla","non-dropping-particle":"","parse-names":false,"suffix":""},{"dropping-particle":"","family":"Walker","given":"Laura","non-dropping-particle":"","parse-names":false,"suffix":""},{"dropping-particle":"","family":"Leader","given":"Andrew","non-dropping-particle":"","parse-names":false,"suffix":""},{"dropping-particle":"","family":"Fine","given":"Jay S.","non-dropping-particle":"","parse-names":false,"suffix":""},{"dropping-particle":"","family":"Whitehurst","given":"Charles E.","non-dropping-particle":"","parse-names":false,"suffix":""},{"dropping-particle":"","family":"Mbow","given":"M. Lamine","non-dropping-particle":"","parse-names":false,"suffix":""},{"dropping-particle":"","family":"Kugathasan","given":"Subra","non-dropping-particle":"","parse-names":false,"suffix":""},{"dropping-particle":"","family":"Denson","given":"Lee A.","non-dropping-particle":"","parse-names":false,"suffix":""},{"dropping-particle":"","family":"Hyams","given":"Jeffrey S.","non-dropping-particle":"","parse-names":false,"suffix":""},{"dropping-particle":"","family":"Friedman","given":"Joshua R.","non-dropping-particle":"","parse-names":false,"suffix":""},{"dropping-particle":"","family":"Desai","given":"Prerak T.","non-dropping-particle":"","parse-names":false,"suffix":""},{"dropping-particle":"","family":"Ko","given":"Huaibin M.","non-dropping-particle":"","parse-names":false,"suffix":""},{"dropping-particle":"","family":"Laface","given":"Ilaria","non-dropping-particle":"","parse-names":false,"suffix":""},{"dropping-particle":"","family":"Akturk","given":"Guray","non-dropping-particle":"","parse-names":false,"suffix":""},{"dropping-particle":"","family":"Schadt","given":"Eric E.","non-dropping-particle":"","parse-names":false,"suffix":""},{"dropping-particle":"","family":"Salmon","given":"Helene","non-dropping-particle":"","parse-names":false,"suffix":""},{"dropping-particle":"","family":"Gnjatic","given":"Sacha","non-dropping-particle":"","parse-names":false,"suffix":""},{"dropping-particle":"","family":"Rahman","given":"Adeeb H.","non-dropping-particle":"","parse-names":false,"suffix":""},{"dropping-particle":"","family":"Merad","given":"Miriam","non-dropping-particle":"","parse-names":false,"suffix":""},{"dropping-particle":"","family":"Cho","given":"Judy H.","non-dropping-particle":"","parse-names":false,"suffix":""},{"dropping-particle":"","family":"Kenigsberg","given":"Ephraim","non-dropping-particle":"","parse-names":false,"suffix":""}],"container-title":"Cell","id":"ITEM-1","issue":"6","issued":{"date-parts":[["2019","9","5"]]},"page":"1493-1508.e20","publisher":"Cell Press","title":"Single-Cell Analysis of Crohn's Disease Lesions Identifies a Pathogenic Cellular Module Associated with Resistance to Anti-TNF Therapy","type":"article-journal","volume":"178"},"uris":["http://www.mendeley.com/documents/?uuid=b22dbd6f-34b9-3ac5-8b46-1a9d979f7668"]}],"mendeley":{"formattedCitation":"&lt;sup&gt;15&lt;/sup&gt;","plainTextFormattedCitation":"15","previouslyFormattedCitation":"&lt;sup&gt;15&lt;/sup&gt;"},"properties":{"noteIndex":0},"schema":"https://github.com/citation-style-language/schema/raw/master/csl-citation.json"}</w:instrText>
      </w:r>
      <w:r>
        <w:fldChar w:fldCharType="separate"/>
      </w:r>
      <w:r w:rsidRPr="00102C57">
        <w:rPr>
          <w:noProof/>
          <w:vertAlign w:val="superscript"/>
        </w:rPr>
        <w:t>15</w:t>
      </w:r>
      <w:r>
        <w:fldChar w:fldCharType="end"/>
      </w:r>
      <w:r>
        <w:t>. Through single cell sequencing of ileal tissue derived from two TN patients we were able to identify a novel group of epithelial cells driving differential expression of the calprotectin complex (</w:t>
      </w:r>
      <w:r w:rsidRPr="00EB41C8">
        <w:rPr>
          <w:i/>
          <w:iCs/>
        </w:rPr>
        <w:t>S100A8/</w:t>
      </w:r>
      <w:r>
        <w:rPr>
          <w:i/>
          <w:iCs/>
        </w:rPr>
        <w:t>S100</w:t>
      </w:r>
      <w:r w:rsidRPr="00EB41C8">
        <w:rPr>
          <w:i/>
          <w:iCs/>
        </w:rPr>
        <w:t>A9</w:t>
      </w:r>
      <w:r>
        <w:t>), which was echoed in the targeted sequencing of all patients. Typically, it has been thought that most calprotectin is derived from colonic neutrophils, with small bowel inflammation less reflected in faecal sampling</w:t>
      </w:r>
      <w:r>
        <w:fldChar w:fldCharType="begin" w:fldLock="1"/>
      </w:r>
      <w:r>
        <w:instrText>ADDIN CSL_CITATION {"citationItems":[{"id":"ITEM-1","itemData":{"DOI":"10.5114/aoms.2014.43672","ISSN":"18969151","abstract":"Introduction: There are data suggesting that the diagnostic usefulness of faecal calprotectin (FC) may vary depending on the Crohn's disease (CD) location. The aim of the study was to compare the diagnostic usefulness of FC in CD patients with different disease locations. Material and methods: We prospectively enrolled 120 CD patients in the study. Disease activity was assessed by using Crohn's Disease Activity Index (CDAI), biochemical markers, and endoscopic and radiographic methods. Faecal calprotectin concentration was assessed in single stool samples by using the ELISA method. Results: Among all patients, 54 (45%) had ileocolonic CD location, 44 (36.5%) had isolated small bowel location, and 22 (18.5%) had colonic CD location. FC correlated significantly with C-reactive protein concentration and endoscopic and radiographic activity among patients with isolated small bowel CD (p = 0.03, r = 0.32; p &lt; 0.0001, r = 0.78; p = 0.03, r = 0.35; respectively) and with C-reactive protein and endoscopic activity in isolated colonic CD ( p = 0.0009, r = 0.7; p = 0.0002, r = 0.78; respectively). CDAI and inflammatory biochemical markers did not correlate with endoscopic and radiographic assessment in small bowel CD. In patients with ileocolonic CD, FC correlated significantly with endoscopy (p = 0.006, r = 0.5), radiographic assessment (p = 0.04, r = 0.3), CDAI (p = 0.0006, r = 0.5) and the majority of biochemical markers. Conclusions: Faecal calprotectin is a useful diagnostic marker in all CD patients. Although its usefulness in small bowel CD seems to be the lowest, it should be utilized particularly in this disease location because of the lack of other reliable, non-invasive diagnostic methods.","author":[{"dropping-particle":"","family":"Stawczyk-Eder","given":"Kamila","non-dropping-particle":"","parse-names":false,"suffix":""},{"dropping-particle":"","family":"Eder","given":"Piotr","non-dropping-particle":"","parse-names":false,"suffix":""},{"dropping-particle":"","family":"Lykowska-Szuber","given":"Liliana","non-dropping-particle":"","parse-names":false,"suffix":""},{"dropping-particle":"","family":"Krela-Kazmierczak","given":"Iwona","non-dropping-particle":"","parse-names":false,"suffix":""},{"dropping-particle":"","family":"Klimczak","given":"Katarzyna","non-dropping-particle":"","parse-names":false,"suffix":""},{"dropping-particle":"","family":"Szymczak","given":"Aleksandra","non-dropping-particle":"","parse-names":false,"suffix":""},{"dropping-particle":"","family":"Szachta","given":"Patrycja","non-dropping-particle":"","parse-names":false,"suffix":""},{"dropping-particle":"","family":"Katulska","given":"Katarzyna","non-dropping-particle":"","parse-names":false,"suffix":""},{"dropping-particle":"","family":"Linke","given":"Krzysztof","non-dropping-particle":"","parse-names":false,"suffix":""}],"container-title":"Archives of Medical Science","id":"ITEM-1","issue":"2","issued":{"date-parts":[["2015"]]},"page":"353-361","publisher":"Termedia Publishing House Ltd.","title":"Is faecal calprotectin equally useful in all Crohn's disease locations? A prospective, comparative study","type":"article-journal","volume":"11"},"uris":["http://www.mendeley.com/documents/?uuid=8bada872-a009-37f7-b3e9-a94be889b970"]}],"mendeley":{"formattedCitation":"&lt;sup&gt;45&lt;/sup&gt;","plainTextFormattedCitation":"45","previouslyFormattedCitation":"&lt;sup&gt;45&lt;/sup&gt;"},"properties":{"noteIndex":0},"schema":"https://github.com/citation-style-language/schema/raw/master/csl-citation.json"}</w:instrText>
      </w:r>
      <w:r>
        <w:fldChar w:fldCharType="separate"/>
      </w:r>
      <w:r w:rsidRPr="00873DB8">
        <w:rPr>
          <w:noProof/>
          <w:vertAlign w:val="superscript"/>
        </w:rPr>
        <w:t>45</w:t>
      </w:r>
      <w:r>
        <w:fldChar w:fldCharType="end"/>
      </w:r>
      <w:r>
        <w:t xml:space="preserve">. Our data indicate that specialised ileal epithelial cells highly express </w:t>
      </w:r>
      <w:r w:rsidRPr="00EB41C8">
        <w:rPr>
          <w:i/>
          <w:iCs/>
        </w:rPr>
        <w:t>S100A8/S100A9</w:t>
      </w:r>
      <w:r>
        <w:t xml:space="preserve"> in Crohn’s disease patients, driving the differential gene expression between patients and controls.</w:t>
      </w:r>
      <w:r w:rsidRPr="00843F24">
        <w:t xml:space="preserve"> It </w:t>
      </w:r>
      <w:r>
        <w:t>appears that</w:t>
      </w:r>
      <w:r w:rsidRPr="00843F24">
        <w:t xml:space="preserve"> the</w:t>
      </w:r>
      <w:r>
        <w:t>se</w:t>
      </w:r>
      <w:r w:rsidRPr="00843F24">
        <w:t xml:space="preserve"> ileal epithelial cells show an increased expression of these proteins under inflammatory conditions</w:t>
      </w:r>
      <w:r>
        <w:t>. Interestingly, previous transcriptomic analysis of only intestinal epithelial cells of paediatric Crohn’s disease patients did not identify any differentially expressed genes correlated to active inflammation</w:t>
      </w:r>
      <w:r>
        <w:fldChar w:fldCharType="begin" w:fldLock="1"/>
      </w:r>
      <w:r>
        <w:instrText>ADDIN CSL_CITATION {"citationItems":[{"id":"ITEM-1","itemData":{"DOI":"10.1053/j.gastro.2017.10.007","ISSN":"15280012","abstract":"Background &amp; Aims: We analyzed DNA methylation patterns and transcriptomes of primary intestinal epithelial cells (IEC) of children newly diagnosed with inflammatory bowel diseases (IBD) to learn more about pathogenesis. Methods: We obtained mucosal biopsies (N = 236) collected from terminal ileum and ascending and sigmoid colons of children (median age 13 years) newly diagnosed with IBD (43 with Crohn's disease [CD], 23 with ulcerative colitis [UC]), and 30 children without IBD (controls). Patients were recruited and managed at a hospital in the United Kingdom from 2013 through 2016. We also obtained biopsies collected at later stages from a subset of patients. IECs were purified and analyzed for genome-wide DNA methylation patterns and gene expression profiles. Adjacent microbiota were isolated from biopsies and analyzed by 16S gene sequencing. We generated intestinal organoid cultures from a subset of samples and genome-wide DNA methylation analysis was performed. Results: We found gut segment-specific differences in DNA methylation and transcription profiles of IECs from children with IBD vs controls; some were independent of mucosal inflammation. Changes in gut microbiota between IBD and control groups were not as large and were difficult to assess because of large amounts of intra-individual variation. Only IECs from patients with CD had changes in DNA methylation and transcription patterns in terminal ileum epithelium, compared with controls. Colon epithelium from patients with CD and from patients with ulcerative colitis had distinct changes in DNA methylation and transcription patterns, compared with controls. In IECs from patients with IBD, changes in DNA methylation, compared with controls, were stable over time and were partially retained in ex-vivo organoid cultures. Statistical analyses of epithelial cell profiles allowed us to distinguish children with CD or UC from controls; profiles correlated with disease outcome parameters, such as the requirement for treatment with biologic agents. Conclusions: We identified specific changes in DNA methylation and transcriptome patterns in IECs from pediatric patients with IBD compared with controls. These data indicate that IECs undergo changes during IBD development and could be involved in pathogenesis. Further analyses of primary IECs from patients with IBD could improve our understanding of the large variations in disease progression and outcomes.","author":[{"dropping-particle":"","family":"Howell","given":"Kate Joanne","non-dropping-particle":"","parse-names":false,"suffix":""},{"dropping-particle":"","family":"Kraiczy","given":"Judith","non-dropping-particle":"","parse-names":false,"suffix":""},{"dropping-particle":"","family":"Nayak","given":"Komal M.","non-dropping-particle":"","parse-names":false,"suffix":""},{"dropping-particle":"","family":"Gasparetto","given":"Marco","non-dropping-particle":"","parse-names":false,"suffix":""},{"dropping-particle":"","family":"Ross","given":"Alexander","non-dropping-particle":"","parse-names":false,"suffix":""},{"dropping-particle":"","family":"Lee","given":"Claire","non-dropping-particle":"","parse-names":false,"suffix":""},{"dropping-particle":"","family":"Mak","given":"Tim N.","non-dropping-particle":"","parse-names":false,"suffix":""},{"dropping-particle":"","family":"Koo","given":"Bon Kyoung","non-dropping-particle":"","parse-names":false,"suffix":""},{"dropping-particle":"","family":"Kumar","given":"Nitin","non-dropping-particle":"","parse-names":false,"suffix":""},{"dropping-particle":"","family":"Lawley","given":"Trevor","non-dropping-particle":"","parse-names":false,"suffix":""},{"dropping-particle":"","family":"Sinha","given":"Anupam","non-dropping-particle":"","parse-names":false,"suffix":""},{"dropping-particle":"","family":"Rosenstiel","given":"Philip","non-dropping-particle":"","parse-names":false,"suffix":""},{"dropping-particle":"","family":"Heuschkel","given":"Robert","non-dropping-particle":"","parse-names":false,"suffix":""},{"dropping-particle":"","family":"Stegle","given":"Oliver","non-dropping-particle":"","parse-names":false,"suffix":""},{"dropping-particle":"","family":"Zilbauer","given":"Matthias","non-dropping-particle":"","parse-names":false,"suffix":""}],"container-title":"Gastroenterology","id":"ITEM-1","issue":"3","issued":{"date-parts":[["2018","2","1"]]},"page":"585-598","publisher":"W.B. Saunders","title":"DNA Methylation and Transcription Patterns in Intestinal Epithelial Cells From Pediatric Patients With Inflammatory Bowel Diseases Differentiate Disease Subtypes and Associate With Outcome","type":"article-journal","volume":"154"},"uris":["http://www.mendeley.com/documents/?uuid=343ee5ab-3910-37cf-959d-612df2bc9787"]}],"mendeley":{"formattedCitation":"&lt;sup&gt;46&lt;/sup&gt;","plainTextFormattedCitation":"46","previouslyFormattedCitation":"&lt;sup&gt;46&lt;/sup&gt;"},"properties":{"noteIndex":0},"schema":"https://github.com/citation-style-language/schema/raw/master/csl-citation.json"}</w:instrText>
      </w:r>
      <w:r>
        <w:fldChar w:fldCharType="separate"/>
      </w:r>
      <w:r w:rsidRPr="00873DB8">
        <w:rPr>
          <w:noProof/>
          <w:vertAlign w:val="superscript"/>
        </w:rPr>
        <w:t>46</w:t>
      </w:r>
      <w:r>
        <w:fldChar w:fldCharType="end"/>
      </w:r>
      <w:r>
        <w:t xml:space="preserve">. In their article, Howell </w:t>
      </w:r>
      <w:r w:rsidRPr="009520D5">
        <w:rPr>
          <w:i/>
          <w:iCs/>
        </w:rPr>
        <w:t>et al</w:t>
      </w:r>
      <w:r>
        <w:t xml:space="preserve"> describe several genes, including </w:t>
      </w:r>
      <w:r w:rsidRPr="00276819">
        <w:rPr>
          <w:i/>
        </w:rPr>
        <w:t>DEFA5</w:t>
      </w:r>
      <w:r w:rsidRPr="00CF4CA2">
        <w:t xml:space="preserve">, </w:t>
      </w:r>
      <w:r w:rsidRPr="00276819">
        <w:rPr>
          <w:i/>
        </w:rPr>
        <w:t>DEFA6,</w:t>
      </w:r>
      <w:r w:rsidRPr="00CF4CA2">
        <w:t xml:space="preserve"> </w:t>
      </w:r>
      <w:r w:rsidRPr="00276819">
        <w:rPr>
          <w:i/>
        </w:rPr>
        <w:t>LYZ</w:t>
      </w:r>
      <w:r w:rsidRPr="00CF4CA2">
        <w:t xml:space="preserve">, </w:t>
      </w:r>
      <w:r w:rsidRPr="00276819">
        <w:rPr>
          <w:i/>
        </w:rPr>
        <w:t>PLA2G2A</w:t>
      </w:r>
      <w:r w:rsidRPr="00CF4CA2">
        <w:t xml:space="preserve">, </w:t>
      </w:r>
      <w:r w:rsidRPr="00276819">
        <w:rPr>
          <w:i/>
        </w:rPr>
        <w:t>CD40</w:t>
      </w:r>
      <w:r w:rsidRPr="00CF4CA2">
        <w:t xml:space="preserve">, </w:t>
      </w:r>
      <w:r>
        <w:t xml:space="preserve">and </w:t>
      </w:r>
      <w:r w:rsidRPr="00276819">
        <w:rPr>
          <w:i/>
        </w:rPr>
        <w:t>CD44</w:t>
      </w:r>
      <w:r>
        <w:t>, that were differentially expressed between controls and TN Crohn’s disease patients, concluding that there was minimal molecular impact of disease on the epithelial cells</w:t>
      </w:r>
      <w:r>
        <w:fldChar w:fldCharType="begin" w:fldLock="1"/>
      </w:r>
      <w:r>
        <w:instrText>ADDIN CSL_CITATION {"citationItems":[{"id":"ITEM-1","itemData":{"DOI":"10.1053/j.gastro.2017.10.007","ISSN":"15280012","abstract":"Background &amp; Aims: We analyzed DNA methylation patterns and transcriptomes of primary intestinal epithelial cells (IEC) of children newly diagnosed with inflammatory bowel diseases (IBD) to learn more about pathogenesis. Methods: We obtained mucosal biopsies (N = 236) collected from terminal ileum and ascending and sigmoid colons of children (median age 13 years) newly diagnosed with IBD (43 with Crohn's disease [CD], 23 with ulcerative colitis [UC]), and 30 children without IBD (controls). Patients were recruited and managed at a hospital in the United Kingdom from 2013 through 2016. We also obtained biopsies collected at later stages from a subset of patients. IECs were purified and analyzed for genome-wide DNA methylation patterns and gene expression profiles. Adjacent microbiota were isolated from biopsies and analyzed by 16S gene sequencing. We generated intestinal organoid cultures from a subset of samples and genome-wide DNA methylation analysis was performed. Results: We found gut segment-specific differences in DNA methylation and transcription profiles of IECs from children with IBD vs controls; some were independent of mucosal inflammation. Changes in gut microbiota between IBD and control groups were not as large and were difficult to assess because of large amounts of intra-individual variation. Only IECs from patients with CD had changes in DNA methylation and transcription patterns in terminal ileum epithelium, compared with controls. Colon epithelium from patients with CD and from patients with ulcerative colitis had distinct changes in DNA methylation and transcription patterns, compared with controls. In IECs from patients with IBD, changes in DNA methylation, compared with controls, were stable over time and were partially retained in ex-vivo organoid cultures. Statistical analyses of epithelial cell profiles allowed us to distinguish children with CD or UC from controls; profiles correlated with disease outcome parameters, such as the requirement for treatment with biologic agents. Conclusions: We identified specific changes in DNA methylation and transcriptome patterns in IECs from pediatric patients with IBD compared with controls. These data indicate that IECs undergo changes during IBD development and could be involved in pathogenesis. Further analyses of primary IECs from patients with IBD could improve our understanding of the large variations in disease progression and outcomes.","author":[{"dropping-particle":"","family":"Howell","given":"Kate Joanne","non-dropping-particle":"","parse-names":false,"suffix":""},{"dropping-particle":"","family":"Kraiczy","given":"Judith","non-dropping-particle":"","parse-names":false,"suffix":""},{"dropping-particle":"","family":"Nayak","given":"Komal M.","non-dropping-particle":"","parse-names":false,"suffix":""},{"dropping-particle":"","family":"Gasparetto","given":"Marco","non-dropping-particle":"","parse-names":false,"suffix":""},{"dropping-particle":"","family":"Ross","given":"Alexander","non-dropping-particle":"","parse-names":false,"suffix":""},{"dropping-particle":"","family":"Lee","given":"Claire","non-dropping-particle":"","parse-names":false,"suffix":""},{"dropping-particle":"","family":"Mak","given":"Tim N.","non-dropping-particle":"","parse-names":false,"suffix":""},{"dropping-particle":"","family":"Koo","given":"Bon Kyoung","non-dropping-particle":"","parse-names":false,"suffix":""},{"dropping-particle":"","family":"Kumar","given":"Nitin","non-dropping-particle":"","parse-names":false,"suffix":""},{"dropping-particle":"","family":"Lawley","given":"Trevor","non-dropping-particle":"","parse-names":false,"suffix":""},{"dropping-particle":"","family":"Sinha","given":"Anupam","non-dropping-particle":"","parse-names":false,"suffix":""},{"dropping-particle":"","family":"Rosenstiel","given":"Philip","non-dropping-particle":"","parse-names":false,"suffix":""},{"dropping-particle":"","family":"Heuschkel","given":"Robert","non-dropping-particle":"","parse-names":false,"suffix":""},{"dropping-particle":"","family":"Stegle","given":"Oliver","non-dropping-particle":"","parse-names":false,"suffix":""},{"dropping-particle":"","family":"Zilbauer","given":"Matthias","non-dropping-particle":"","parse-names":false,"suffix":""}],"container-title":"Gastroenterology","id":"ITEM-1","issue":"3","issued":{"date-parts":[["2018","2","1"]]},"page":"585-598","publisher":"W.B. Saunders","title":"DNA Methylation and Transcription Patterns in Intestinal Epithelial Cells From Pediatric Patients With Inflammatory Bowel Diseases Differentiate Disease Subtypes and Associate With Outcome","type":"article-journal","volume":"154"},"uris":["http://www.mendeley.com/documents/?uuid=343ee5ab-3910-37cf-959d-612df2bc9787"]}],"mendeley":{"formattedCitation":"&lt;sup&gt;46&lt;/sup&gt;","plainTextFormattedCitation":"46","previouslyFormattedCitation":"&lt;sup&gt;46&lt;/sup&gt;"},"properties":{"noteIndex":0},"schema":"https://github.com/citation-style-language/schema/raw/master/csl-citation.json"}</w:instrText>
      </w:r>
      <w:r>
        <w:fldChar w:fldCharType="separate"/>
      </w:r>
      <w:r w:rsidRPr="00873DB8">
        <w:rPr>
          <w:noProof/>
          <w:vertAlign w:val="superscript"/>
        </w:rPr>
        <w:t>46</w:t>
      </w:r>
      <w:r>
        <w:fldChar w:fldCharType="end"/>
      </w:r>
      <w:r>
        <w:t xml:space="preserve">. Through application of a single-cell resolution analyses, we identify a distinct sub-population of </w:t>
      </w:r>
      <w:r w:rsidRPr="00D02362">
        <w:rPr>
          <w:i/>
        </w:rPr>
        <w:t>S100A8/S100A9</w:t>
      </w:r>
      <w:r>
        <w:t xml:space="preserve"> expressing epithelial cells. Including those markers, alongside staining for the calprotectin complex, within the epithelium, may aid with histological diagnosis of small bowel Crohn’s disease, and in assessment of mucosal inflammation in known patients. </w:t>
      </w:r>
    </w:p>
    <w:p w14:paraId="64E0CF18" w14:textId="77777777" w:rsidR="00B60E59" w:rsidRDefault="00B60E59" w:rsidP="00B60E59">
      <w:pPr>
        <w:spacing w:line="480" w:lineRule="auto"/>
      </w:pPr>
      <w:r>
        <w:t>Within TN patients we also identify the upregulation of NOD-signalling genes, associated with bacterial recognition, response and proinflammatory downstream signalling</w:t>
      </w:r>
      <w:r>
        <w:fldChar w:fldCharType="begin" w:fldLock="1"/>
      </w:r>
      <w:r>
        <w:instrText>ADDIN CSL_CITATION {"citationItems":[{"id":"ITEM-1","itemData":{"DOI":"10.1016/j.immuni.2014.12.010","ISSN":"1097-4180","PMID":"25526305","abstract":"The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have suggested several mechanisms to account for the link between NOD2 variants and susceptibility to Crohn's disease. Further understanding of NOD1 and NOD2 should provide new insight into the pathogenesis of disease and the development of new strategies to treat inflammatory and infectious disorders.","author":[{"dropping-particle":"","family":"Caruso","given":"Roberta","non-dropping-particle":"","parse-names":false,"suffix":""},{"dropping-particle":"","family":"Warner","given":"Neil","non-dropping-particle":"","parse-names":false,"suffix":""},{"dropping-particle":"","family":"Inohara","given":"Naohiro","non-dropping-particle":"","parse-names":false,"suffix":""},{"dropping-particle":"","family":"Núñez","given":"Gabriel","non-dropping-particle":"","parse-names":false,"suffix":""}],"container-title":"Immunity","id":"ITEM-1","issue":"6","issued":{"date-parts":[["2014","12","18"]]},"page":"898-908","publisher":"NIH Public Access","title":"NOD1 and NOD2: signaling, host defense, and inflammatory disease.","type":"article-journal","volume":"41"},"uris":["http://www.mendeley.com/documents/?uuid=53f9bf21-fde8-321b-9d75-05e83b1d1362"]}],"mendeley":{"formattedCitation":"&lt;sup&gt;36&lt;/sup&gt;","plainTextFormattedCitation":"36","previouslyFormattedCitation":"&lt;sup&gt;36&lt;/sup&gt;"},"properties":{"noteIndex":0},"schema":"https://github.com/citation-style-language/schema/raw/master/csl-citation.json"}</w:instrText>
      </w:r>
      <w:r>
        <w:fldChar w:fldCharType="separate"/>
      </w:r>
      <w:r w:rsidRPr="00102C57">
        <w:rPr>
          <w:noProof/>
          <w:vertAlign w:val="superscript"/>
        </w:rPr>
        <w:t>36</w:t>
      </w:r>
      <w:r>
        <w:fldChar w:fldCharType="end"/>
      </w:r>
      <w:r>
        <w:t xml:space="preserve">. Taken together, activation of these pathways infers increased inflammatory response to pathogenic bacteria, or an aberrant response to normal bacteria. Alternatively ineffectual bacteria clearance, related to a </w:t>
      </w:r>
      <w:r>
        <w:lastRenderedPageBreak/>
        <w:t>downstream ‘hypoimmune’ response, has recently been postulated as a cause of IBD</w:t>
      </w:r>
      <w:r>
        <w:fldChar w:fldCharType="begin" w:fldLock="1"/>
      </w:r>
      <w:r>
        <w:instrText>ADDIN CSL_CITATION {"citationItems":[{"id":"ITEM-1","itemData":{"DOI":"10.1097/mpg.0000000000002719","ISSN":"0277-2116","PMID":"32443043","author":[{"dropping-particle":"","family":"Coelho","given":"Tracy","non-dropping-particle":"","parse-names":false,"suffix":""},{"dropping-particle":"","family":"Mossotto","given":"Enrico","non-dropping-particle":"","parse-names":false,"suffix":""},{"dropping-particle":"","family":"Gao","given":"Yifang","non-dropping-particle":"","parse-names":false,"suffix":""},{"dropping-particle":"","family":"Haggarty","given":"Rachel","non-dropping-particle":"","parse-names":false,"suffix":""},{"dropping-particle":"","family":"Ashton","given":"James J.","non-dropping-particle":"","parse-names":false,"suffix":""},{"dropping-particle":"","family":"Batra","given":"Akshay","non-dropping-particle":"","parse-names":false,"suffix":""},{"dropping-particle":"","family":"Stafford","given":"Imogen S.","non-dropping-particle":"","parse-names":false,"suffix":""},{"dropping-particle":"","family":"Beattie","given":"Robert M.","non-dropping-particle":"","parse-names":false,"suffix":""},{"dropping-particle":"","family":"Williams","given":"Anthony P.","non-dropping-particle":"","parse-names":false,"suffix":""},{"dropping-particle":"","family":"Ennis","given":"Sarah","non-dropping-particle":"","parse-names":false,"suffix":""}],"container-title":"Journal of Pediatric Gastroenterology and Nutrition","id":"ITEM-1","issued":{"date-parts":[["2020","4"]]},"page":"1","publisher":"Ovid Technologies (Wolters Kluwer Health)","title":"Immunological Profiling of Paediatric Inflammatory Bowel Disease Using Unsupervised Machine Learning","type":"article-journal"},"uris":["http://www.mendeley.com/documents/?uuid=afe62c6e-59c8-3d27-b1c9-d6e7acb13e65"]}],"mendeley":{"formattedCitation":"&lt;sup&gt;47&lt;/sup&gt;","plainTextFormattedCitation":"47","previouslyFormattedCitation":"&lt;sup&gt;47&lt;/sup&gt;"},"properties":{"noteIndex":0},"schema":"https://github.com/citation-style-language/schema/raw/master/csl-citation.json"}</w:instrText>
      </w:r>
      <w:r>
        <w:fldChar w:fldCharType="separate"/>
      </w:r>
      <w:r w:rsidRPr="00873DB8">
        <w:rPr>
          <w:noProof/>
          <w:vertAlign w:val="superscript"/>
        </w:rPr>
        <w:t>47</w:t>
      </w:r>
      <w:r>
        <w:fldChar w:fldCharType="end"/>
      </w:r>
      <w:r>
        <w:t xml:space="preserve">. Through WGCNA we identified a module of genes, associated with increased time to relapse, characterised by upregulation of the Th17 cell differentiation pathway. Regulation of Th17 differentiation is complex, several key cytokines, including </w:t>
      </w:r>
      <w:r w:rsidRPr="00AC1E60">
        <w:t>IL1β, IL6, IL23</w:t>
      </w:r>
      <w:r>
        <w:t xml:space="preserve"> and </w:t>
      </w:r>
      <w:r w:rsidRPr="00AC1E60">
        <w:t>TGFβ</w:t>
      </w:r>
      <w:r>
        <w:t>, suppressing FOXP3 expression and inducing RORC-dependant Th17 differentiation</w:t>
      </w:r>
      <w:r>
        <w:fldChar w:fldCharType="begin" w:fldLock="1"/>
      </w:r>
      <w:r>
        <w:instrText>ADDIN CSL_CITATION {"citationItems":[{"id":"ITEM-1","itemData":{"DOI":"10.1093/ibd/izz316","ISSN":"1078-0998","author":[{"dropping-particle":"","family":"Hou","given":"Guoqing","non-dropping-particle":"","parse-names":false,"suffix":""},{"dropping-particle":"","family":"Bishu","given":"Shrinivas","non-dropping-particle":"","parse-names":false,"suffix":""}],"container-title":"Inflammatory Bowel Diseases","id":"ITEM-1","issue":"5","issued":{"date-parts":[["2020","4","11"]]},"page":"653-661","publisher":"Oxford Academic","title":"Th17 Cells in Inflammatory Bowel Disease: An Update for the Clinician","type":"article-journal","volume":"26"},"uris":["http://www.mendeley.com/documents/?uuid=9b7da1de-aaf6-3c3c-85c1-10387270080a"]}],"mendeley":{"formattedCitation":"&lt;sup&gt;37&lt;/sup&gt;","plainTextFormattedCitation":"37","previouslyFormattedCitation":"&lt;sup&gt;37&lt;/sup&gt;"},"properties":{"noteIndex":0},"schema":"https://github.com/citation-style-language/schema/raw/master/csl-citation.json"}</w:instrText>
      </w:r>
      <w:r>
        <w:fldChar w:fldCharType="separate"/>
      </w:r>
      <w:r w:rsidRPr="00102C57">
        <w:rPr>
          <w:noProof/>
          <w:vertAlign w:val="superscript"/>
        </w:rPr>
        <w:t>37</w:t>
      </w:r>
      <w:r>
        <w:fldChar w:fldCharType="end"/>
      </w:r>
      <w:r>
        <w:t xml:space="preserve">. We hypothesise that in patients able to mount a robust Th17 response, bacteria are cleared quicker, resulting in immediate reduction of chronic inflammation following induction therapy. Conversely at diagnosis, most Crohn’s disease patients exhibit marked upregulation of IL17- and NOD-signalling as a response to ineffective bacterial clearance, resulting in chronic inflammation. Whether IL17-signalling is driving chronic inflammation in response to invasive bacteria, or as a primary ‘hyperinflammatory’ response is uncertain. However, it appears that downstream IL17-signalling within these cell populations results in production of antimicrobial peptides and proinflammatory cell infiltration as part of the disease process.  </w:t>
      </w:r>
    </w:p>
    <w:p w14:paraId="1F75B3B9" w14:textId="73622A9E" w:rsidR="00B60E59" w:rsidRPr="00215A52" w:rsidRDefault="00B60E59" w:rsidP="00B60E59">
      <w:pPr>
        <w:spacing w:line="480" w:lineRule="auto"/>
        <w:rPr>
          <w:i/>
          <w:iCs/>
        </w:rPr>
      </w:pPr>
      <w:r>
        <w:t xml:space="preserve">This study has several strengths. Treatment-naïve patients have no confounding effects from medications. </w:t>
      </w:r>
      <w:bookmarkStart w:id="10" w:name="_Hlk52431433"/>
      <w:r>
        <w:t>Through a targeted sequencing approach we reduce the number of reads lost to ‘house-keeping’ genes, enabling accurate identification of low expression probes which impact on biological processes, a method previously successfully applied in tumour samples</w:t>
      </w:r>
      <w:r>
        <w:fldChar w:fldCharType="begin" w:fldLock="1"/>
      </w:r>
      <w:r>
        <w:instrText>ADDIN CSL_CITATION {"citationItems":[{"id":"ITEM-1","itemData":{"DOI":"10.1016/j.procbio.2019.10.022","ISSN":"13595113","abstract":"Anti-cancer activity of tolfenamic acid (TA) in preclinical models for pancreatic cancer (PaCa) is well established. Since the dosage for anti-cancer actions of TA is rather high, we recently demonstrated that IC50 values of Copper-TA are 30–80% less than TA in 12 cancer cell lines. This study elucidates the underlying mechanisms of Copper-TA in PaCa cells. Control and Copper-TA (IC50) treated PaCa cells were processed by next-generation sequencing (NGS) to determine differentially expressed genes using HTG EdgeSeq Oncology Biomarker panel. Ingenuity Pathway Analysis (IPA®) was used to identify functional significance of altered genes. The conformational studies for assessing the expression of key regulators and genes were conducted by Western blot and qPCR. IPA® identified several networks, regulators, as well as molecular and cellular functions associated with cancer. The top 5 molecular and cellular functions affected by Cu-TA treatment were cell death and survival, cellular development, cell growth and proliferation, cell cycle and cellular movement. The expression of top upstream regulators was confirmed by Western blot analysis while qPCR results of selected genes demonstrated that Copper-TA is efficacious at lower doses than TA. Results suggest that Copper-TA alters genes/key regulators associated with cancer and potentially serve as an effective anti-cancer agent.","author":[{"dropping-particle":"","family":"Hurtado","given":"Myrna","non-dropping-particle":"","parse-names":false,"suffix":""},{"dropping-particle":"","family":"Prokai","given":"Laszlo","non-dropping-particle":"","parse-names":false,"suffix":""},{"dropping-particle":"","family":"Sankpal","given":"Umesh T.","non-dropping-particle":"","parse-names":false,"suffix":""},{"dropping-particle":"","family":"Levesque","given":"Blair","non-dropping-particle":"","parse-names":false,"suffix":""},{"dropping-particle":"","family":"Maram","given":"Rajasekhar","non-dropping-particle":"","parse-names":false,"suffix":""},{"dropping-particle":"","family":"Chhabra","given":"Jaya","non-dropping-particle":"","parse-names":false,"suffix":""},{"dropping-particle":"","family":"Brown","given":"Deondra T.","non-dropping-particle":"","parse-names":false,"suffix":""},{"dropping-particle":"","family":"Gurung","given":"Raj K.","non-dropping-particle":"","parse-names":false,"suffix":""},{"dropping-particle":"","family":"Holder","given":"Alvin A.","non-dropping-particle":"","parse-names":false,"suffix":""},{"dropping-particle":"","family":"Vishwanatha","given":"Jamboor K.","non-dropping-particle":"","parse-names":false,"suffix":""},{"dropping-particle":"","family":"Basha","given":"Riyaz","non-dropping-particle":"","parse-names":false,"suffix":""}],"container-title":"Process Biochemistry","id":"ITEM-1","issued":{"date-parts":[["2020","2","1"]]},"page":"155-164","publisher":"Elsevier Ltd","title":"Next generation sequencing and functional pathway analysis to understand the mechanism of action of copper-tolfenamic acid against pancreatic cancer cells","type":"article-journal","volume":"89"},"uris":["http://www.mendeley.com/documents/?uuid=a1d8cf9e-f34e-3db5-9118-2a3dd3acbd77"]}],"mendeley":{"formattedCitation":"&lt;sup&gt;13&lt;/sup&gt;","plainTextFormattedCitation":"13","previouslyFormattedCitation":"&lt;sup&gt;13&lt;/sup&gt;"},"properties":{"noteIndex":0},"schema":"https://github.com/citation-style-language/schema/raw/master/csl-citation.json"}</w:instrText>
      </w:r>
      <w:r>
        <w:fldChar w:fldCharType="separate"/>
      </w:r>
      <w:r w:rsidRPr="00B17D05">
        <w:rPr>
          <w:noProof/>
          <w:vertAlign w:val="superscript"/>
        </w:rPr>
        <w:t>13</w:t>
      </w:r>
      <w:r>
        <w:fldChar w:fldCharType="end"/>
      </w:r>
      <w:r>
        <w:t>. Additionally, this methodology provides the ability to work with low biomass samples, reduction of extraction bias and a user-friendly analytical pipeline</w:t>
      </w:r>
      <w:r>
        <w:fldChar w:fldCharType="begin" w:fldLock="1"/>
      </w:r>
      <w:r>
        <w:instrText>ADDIN CSL_CITATION {"citationItems":[{"id":"ITEM-1","itemData":{"id":"ITEM-1","issued":{"date-parts":[["0"]]},"title":"HTG Autoimmune - HTG Autoimmune","type":"webpage"},"uris":["http://www.mendeley.com/documents/?uuid=d8b76348-e97a-4086-850f-8f2cee347222"]}],"mendeley":{"formattedCitation":"&lt;sup&gt;17&lt;/sup&gt;","plainTextFormattedCitation":"17","previouslyFormattedCitation":"&lt;sup&gt;17&lt;/sup&gt;"},"properties":{"noteIndex":0},"schema":"https://github.com/citation-style-language/schema/raw/master/csl-citation.json"}</w:instrText>
      </w:r>
      <w:r>
        <w:fldChar w:fldCharType="separate"/>
      </w:r>
      <w:r w:rsidRPr="00E21816">
        <w:rPr>
          <w:noProof/>
          <w:vertAlign w:val="superscript"/>
        </w:rPr>
        <w:t>17</w:t>
      </w:r>
      <w:r>
        <w:fldChar w:fldCharType="end"/>
      </w:r>
      <w:r>
        <w:t xml:space="preserve">. </w:t>
      </w:r>
      <w:bookmarkEnd w:id="10"/>
      <w:r>
        <w:t>Applying single-cell transcriptomics allowed identification of cell types driving differential gene expression and provided insight into the biology of specific cells in disease</w:t>
      </w:r>
      <w:r w:rsidR="00816887">
        <w:t xml:space="preserve">. We acknowledge the potential limitations of classifying cell types, including the specialised epithelium and monocytes, based on transcription profiles alone. However, we have followed best practice guidelines for the best-established software, </w:t>
      </w:r>
      <w:proofErr w:type="spellStart"/>
      <w:r w:rsidR="00816887">
        <w:t>SingleR</w:t>
      </w:r>
      <w:proofErr w:type="spellEnd"/>
      <w:r w:rsidR="00816887">
        <w:t>, to type these cells</w:t>
      </w:r>
      <w:r w:rsidR="0031502F">
        <w:t xml:space="preserve">, with confirmation from </w:t>
      </w:r>
      <w:proofErr w:type="spellStart"/>
      <w:r w:rsidR="0031502F">
        <w:t>Enrichr</w:t>
      </w:r>
      <w:proofErr w:type="spellEnd"/>
      <w:r w:rsidR="0031502F">
        <w:t xml:space="preserve"> CellType</w:t>
      </w:r>
      <w:r w:rsidR="00816887">
        <w:fldChar w:fldCharType="begin" w:fldLock="1"/>
      </w:r>
      <w:r w:rsidR="0031502F">
        <w:instrText>ADDIN CSL_CITATION {"citationItems":[{"id":"ITEM-1","itemData":{"DOI":"10.1038/s41590-018-0276-y","ISSN":"15292916","PMID":"30643263","abstract":"Tissue fibrosis is a major cause of mortality that results from the deposition of matrix proteins by an activated mesenchyme. Macrophages accumulate in fibrosis, but the role of specific subgroups in supporting fibrogenesis has not been investigated in vivo. Here, we used single-cell RNA sequencing (scRNA-seq) to characterize the heterogeneity of macrophages in bleomycin-induced lung fibrosis in mice. A novel computational framework for the annotation of scRNA-seq by reference to bulk transcriptomes (SingleR) enabled the subclustering of macrophages and revealed a disease-associated subgroup with a transitional gene expression profile intermediate between monocyte-derived and alveolar macrophages. These CX3CR1 + SiglecF + transitional macrophages localized to the fibrotic niche and had a profibrotic effect in vivo. Human orthologs of genes expressed by the transitional macrophages were upregulated in samples from patients with idiopathic pulmonary fibrosis. Thus, we have identified a pathological subgroup of transitional macrophages that are required for the fibrotic response to injury.","author":[{"dropping-particle":"","family":"Aran","given":"Dvir","non-dropping-particle":"","parse-names":false,"suffix":""},{"dropping-particle":"","family":"Looney","given":"Agnieszka P.","non-dropping-particle":"","parse-names":false,"suffix":""},{"dropping-particle":"","family":"Liu","given":"Leqian","non-dropping-particle":"","parse-names":false,"suffix":""},{"dropping-particle":"","family":"Wu","given":"Esther","non-dropping-particle":"","parse-names":false,"suffix":""},{"dropping-particle":"","family":"Fong","given":"Valerie","non-dropping-particle":"","parse-names":false,"suffix":""},{"dropping-particle":"","family":"Hsu","given":"Austin","non-dropping-particle":"","parse-names":false,"suffix":""},{"dropping-particle":"","family":"Chak","given":"Suzanna","non-dropping-particle":"","parse-names":false,"suffix":""},{"dropping-particle":"","family":"Naikawadi","given":"Ram P.","non-dropping-particle":"","parse-names":false,"suffix":""},{"dropping-particle":"","family":"Wolters","given":"Paul J.","non-dropping-particle":"","parse-names":false,"suffix":""},{"dropping-particle":"","family":"Abate","given":"Adam R.","non-dropping-particle":"","parse-names":false,"suffix":""},{"dropping-particle":"","family":"Butte","given":"Atul J.","non-dropping-particle":"","parse-names":false,"suffix":""},{"dropping-particle":"","family":"Bhattacharya","given":"Mallar","non-dropping-particle":"","parse-names":false,"suffix":""}],"container-title":"Nature Immunology","id":"ITEM-1","issue":"2","issued":{"date-parts":[["2019","2","1"]]},"page":"163-172","publisher":"Nature Publishing Group","title":"Reference-based analysis of lung single-cell sequencing reveals a transitional profibrotic macrophage","type":"article-journal","volume":"20"},"uris":["http://www.mendeley.com/documents/?uuid=5b9b252c-8053-3dfe-a709-ff1cdd9a47af"]},{"id":"ITEM-2","itemData":{"DOI":"10.1093/nar/gkw377","ISSN":"13624962","PMID":"27141961","abstract":"Enrichment analysis is a popular method for analyzing gene sets generated by genome-wide experiments. Here we present a significant update to one of the tools in this domain called Enrichr. Enrichr currently contains a large collection of diverse gene set libraries available for analysis and download. In total, Enrichr currently contains 180 184 annotated gene sets from 102 gene set libraries. New features have been added to Enrichr including the ability to submit fuzzy sets, upload BED files, improved application programming interface and visualization of the results as clustergrams. Overall, Enrichr is a comprehensive resource for curated gene sets and a search engine that accumulates biological knowledge for further biological discoveries. Enrichr is freely available at: http://amp.pharm.mssm.edu/Enrichr.","author":[{"dropping-particle":"V.","family":"Kuleshov","given":"Maxim","non-dropping-particle":"","parse-names":false,"suffix":""},{"dropping-particle":"","family":"Jones","given":"Matthew R.","non-dropping-particle":"","parse-names":false,"suffix":""},{"dropping-particle":"","family":"Rouillard","given":"Andrew D.","non-dropping-particle":"","parse-names":false,"suffix":""},{"dropping-particle":"","family":"Fernandez","given":"Nicolas F.","non-dropping-particle":"","parse-names":false,"suffix":""},{"dropping-particle":"","family":"Duan","given":"Qiaonan","non-dropping-particle":"","parse-names":false,"suffix":""},{"dropping-particle":"","family":"Wang","given":"Zichen","non-dropping-particle":"","parse-names":false,"suffix":""},{"dropping-particle":"","family":"Koplev","given":"Simon","non-dropping-particle":"","parse-names":false,"suffix":""},{"dropping-particle":"","family":"Jenkins","given":"Sherry L.","non-dropping-particle":"","parse-names":false,"suffix":""},{"dropping-particle":"","family":"Jagodnik","given":"Kathleen M.","non-dropping-particle":"","parse-names":false,"suffix":""},{"dropping-particle":"","family":"Lachmann","given":"Alexander","non-dropping-particle":"","parse-names":false,"suffix":""},{"dropping-particle":"","family":"McDermott","given":"Michael G.","non-dropping-particle":"","parse-names":false,"suffix":""},{"dropping-particle":"","family":"Monteiro","given":"Caroline D.","non-dropping-particle":"","parse-names":false,"suffix":""},{"dropping-particle":"","family":"Gundersen","given":"Gregory W.","non-dropping-particle":"","parse-names":false,"suffix":""},{"dropping-particle":"","family":"Ma'ayan","given":"Avi","non-dropping-particle":"","parse-names":false,"suffix":""}],"container-title":"Nucleic acids research","id":"ITEM-2","issue":"W1","issued":{"date-parts":[["2016","7","8"]]},"page":"W90-W97","title":"Enrichr: a comprehensive gene set enrichment analysis web server 2016 update","type":"article-journal","volume":"44"},"uris":["http://www.mendeley.com/documents/?uuid=06d29746-46c0-37f2-90e7-4a154374d0a0"]}],"mendeley":{"formattedCitation":"&lt;sup&gt;25,35&lt;/sup&gt;","plainTextFormattedCitation":"25,35","previouslyFormattedCitation":"&lt;sup&gt;35&lt;/sup&gt;"},"properties":{"noteIndex":0},"schema":"https://github.com/citation-style-language/schema/raw/master/csl-citation.json"}</w:instrText>
      </w:r>
      <w:r w:rsidR="00816887">
        <w:fldChar w:fldCharType="separate"/>
      </w:r>
      <w:r w:rsidR="0031502F" w:rsidRPr="0031502F">
        <w:rPr>
          <w:noProof/>
          <w:vertAlign w:val="superscript"/>
        </w:rPr>
        <w:t>25,35</w:t>
      </w:r>
      <w:r w:rsidR="00816887">
        <w:fldChar w:fldCharType="end"/>
      </w:r>
      <w:r>
        <w:t xml:space="preserve">. Nonetheless, analyses of primary patient biopsies are associated with challenges; thus, our study has some limitations. Whilst analysis was limited to Crohn’s disease patients and controls there remains disease heterogeneity between individuals, exacerbated by the </w:t>
      </w:r>
      <w:r>
        <w:lastRenderedPageBreak/>
        <w:t xml:space="preserve">relatively modest numbers in each subgroup. </w:t>
      </w:r>
      <w:bookmarkStart w:id="11" w:name="_Hlk52271393"/>
      <w:r>
        <w:t>Specifically, the effect of patient age on gene expression was unable to be assessed due to low patient numbers, however the majority of patients were aged between 10-16 years where most maturation of the immune system has already occurred</w:t>
      </w:r>
      <w:r>
        <w:fldChar w:fldCharType="begin" w:fldLock="1"/>
      </w:r>
      <w:r>
        <w:instrText>ADDIN CSL_CITATION {"citationItems":[{"id":"ITEM-1","itemData":{"DOI":"10.1098/rspb.2014.3085","ISSN":"14712954","PMID":"26702035","abstract":"This article reviews the development of the immune response through neonatal, infant and adult life, including pregnancy, ending with the decline in old age. A picture emerges of a child born with an immature, innate and adaptive immune system, which matures and acquires memory as he or she grows. It then goes into decline in old age. These changes are considered alongside the risks of different types of infection, autoimmune disease and malignancy.","author":[{"dropping-particle":"","family":"Simon","given":"A. Katharina","non-dropping-particle":"","parse-names":false,"suffix":""},{"dropping-particle":"","family":"Hollander","given":"Georg A.","non-dropping-particle":"","parse-names":false,"suffix":""},{"dropping-particle":"","family":"McMichael","given":"Andrew","non-dropping-particle":"","parse-names":false,"suffix":""}],"container-title":"Proceedings of the Royal Society B: Biological Sciences","id":"ITEM-1","issue":"1821","issued":{"date-parts":[["2015","12","23"]]},"publisher":"Royal Society of London","title":"Evolution of the immune system in humans from infancy to old age","type":"article","volume":"282"},"uris":["http://www.mendeley.com/documents/?uuid=5715c579-fd35-351b-9e17-51f24f042796"]}],"mendeley":{"formattedCitation":"&lt;sup&gt;48&lt;/sup&gt;","plainTextFormattedCitation":"48","previouslyFormattedCitation":"&lt;sup&gt;48&lt;/sup&gt;"},"properties":{"noteIndex":0},"schema":"https://github.com/citation-style-language/schema/raw/master/csl-citation.json"}</w:instrText>
      </w:r>
      <w:r>
        <w:fldChar w:fldCharType="separate"/>
      </w:r>
      <w:r w:rsidRPr="00DE1C1F">
        <w:rPr>
          <w:noProof/>
          <w:vertAlign w:val="superscript"/>
        </w:rPr>
        <w:t>48</w:t>
      </w:r>
      <w:r>
        <w:fldChar w:fldCharType="end"/>
      </w:r>
      <w:r>
        <w:t xml:space="preserve">. </w:t>
      </w:r>
      <w:bookmarkEnd w:id="11"/>
      <w:r>
        <w:t xml:space="preserve">Additionally, at the time of analysis, follow-up duration was insufficient to assess WGCNA and DEGs with long-term disease behaviour and response to therapy. Despite these limitations, applying novel targeted and single cell sequencing methods to Crohn’s disease biopsy material, we uncover specific disease -associated pathways, identified the driver cell populations, and characterised a gene module associated with disease prognosis. </w:t>
      </w:r>
      <w:r w:rsidRPr="007B14B4">
        <w:t xml:space="preserve">Finally, we provide evidence that </w:t>
      </w:r>
      <w:proofErr w:type="spellStart"/>
      <w:r w:rsidRPr="007B14B4">
        <w:t>DropSeq</w:t>
      </w:r>
      <w:proofErr w:type="spellEnd"/>
      <w:r w:rsidRPr="007B14B4">
        <w:t xml:space="preserve"> sequencing in single cells and targeted assessment of expressed transcripts using HTG </w:t>
      </w:r>
      <w:proofErr w:type="spellStart"/>
      <w:r w:rsidRPr="007B14B4">
        <w:t>EdgeSeq</w:t>
      </w:r>
      <w:proofErr w:type="spellEnd"/>
      <w:r w:rsidRPr="007B14B4">
        <w:t xml:space="preserve"> revealed comparable expression profiles. We restricted our comparison to the expression levels of 736 genes common to both technologies. For the sample from two patients that underwent single-cell sequencing, we pooled their cell type specific data to regenerate pseudo-bulk tissue data and compared expression levels for the 736 transcripts to those observed in the bulk tissue targeted </w:t>
      </w:r>
      <w:proofErr w:type="spellStart"/>
      <w:r w:rsidRPr="007B14B4">
        <w:t>RNASeq</w:t>
      </w:r>
      <w:proofErr w:type="spellEnd"/>
      <w:r w:rsidRPr="007B14B4">
        <w:t xml:space="preserve">. Both patients independently showed highly significant (p=&lt;0.0001) correlation of gene expression indicating reproducible results from both technologies (supplementary figure </w:t>
      </w:r>
      <w:r w:rsidR="00816887">
        <w:t>3</w:t>
      </w:r>
      <w:r w:rsidRPr="007B14B4">
        <w:t>). This agrees with recent data from Ran et al, where targeted sequencing was validated against bulk RNA sequencing for &gt;1200 samples</w:t>
      </w:r>
      <w:r w:rsidRPr="007B14B4">
        <w:fldChar w:fldCharType="begin" w:fldLock="1"/>
      </w:r>
      <w:r>
        <w:instrText>ADDIN CSL_CITATION {"citationItems":[{"id":"ITEM-1","itemData":{"DOI":"10.1200/jco.2020.38.15_suppl.3566","ISSN":"0732-183X","abstract":"3566 Background: Clinical biomarker studies are often hindered by the availability of tissue specimens of sufficient quality and quantity. While RNA-Seq is often considered the gold standard for measuring mRNA expression levels in cancer tissue, it typically requires multiple formalin-fixed paraffin-embedded (FFPE) tissue sections to extract a sufficient amount of quality RNA for subsequent gene expression profiling analysis. The HTG EdgeSeq technology is a gene expression profiling platform that combines quantitative nuclease protection assay technology with next-generation sequencing detection. Unlike RNA-Seq, the HTG EdgeSeq technology does not require RNA extraction, and can use small amounts of tissue material, typically several mm 2 , to generate reproducible gene expression profiles. Methods: This study compares the performance of RNA-Seq and HTG's profiling panel, the HTG EdgeSeq Precision Immuno-Oncology Panel (PIP), which is designed to measure expression levels of 1,392 genes focused on tumor/immune interaction. Approximately 1,200 samples from three tumor indications (gastric cancer, colorectal cancer and ovarian cancer) were tested using both technologies. Results: Up to four FFPE slides were used for RNA extraction to support RNA-Seq testing; out of the 1,202 samples processed, 1,099 generated extracted RNA of sufficient quality and quantity (as measured by RNA concentration, RIN score and %DV200) to proceed to sequencing, which resulted in a pass rate of 91.4% for RNA-Seq. The HTG EdgeSeq PIP panel resulted in a pass rate of 97.3% (samples passing QC metrics) when the same 1,200 samples were tested, and required only a single FFPE section owing to the small sample requirement. The t-SNE (a non-linear dimensionality reduction method) analysis of the common 1,358 genes revealed similar clustering of the three cancer indications between the two methods. Correlations across individual genes by sample resulted in the mean Spearman correlation coefficient of 0.73 (95% confidence interval of 0.61 - 0.80). Additionally, gene-wise comparisons across all samples were also evaluated. Conclusions: These data demonstrate that HTG EdgeSeq gene expression panels can be used as a competitive alternative to RNA-Seq, generating equivalent gene expression results, while offering the added benefits of a small sample size requirement, lack of RNA extraction bias, and fully automated data analysis pipeline. ","author":[{"dropping-particle":"","family":"Ran","given":"Di","non-dropping-particle":"","parse-names":false,"suffix":""},{"dropping-particle":"","family":"Moharil","given":"Janhavi","non-dropping-particle":"","parse-names":false,"suffix":""},{"dropping-particle":"","family":"Lu","given":"James","non-dropping-particle":"","parse-names":false,"suffix":""},{"dropping-particle":"","family":"Gustafson","given":"Heather","non-dropping-particle":"","parse-names":false,"suffix":""},{"dropping-particle":"","family":"Culm-Merdek","given":"Kerry","non-dropping-particle":"","parse-names":false,"suffix":""},{"dropping-particle":"","family":"Strand-Tibbitts","given":"Kristen","non-dropping-particle":"","parse-names":false,"suffix":""},{"dropping-particle":"","family":"Benjamin","given":"Laura","non-dropping-particle":"","parse-names":false,"suffix":""},{"dropping-particle":"","family":"Navratil","given":"Marian","non-dropping-particle":"","parse-names":false,"suffix":""}],"container-title":"Journal of Clinical Oncology","id":"ITEM-1","issue":"15_suppl","issued":{"date-parts":[["2020","5","20"]]},"page":"3566-3566","publisher":"American Society of Clinical Oncology (ASCO)","title":"Platform comparison of HTG EdgeSeq and RNA-Seq for gene expression profiling of tumor tissue specimens.","type":"article-journal","volume":"38"},"uris":["http://www.mendeley.com/documents/?uuid=1280be2b-231d-390d-93ad-0742a1f2af6e"]}],"mendeley":{"formattedCitation":"&lt;sup&gt;49&lt;/sup&gt;","plainTextFormattedCitation":"49","previouslyFormattedCitation":"&lt;sup&gt;49&lt;/sup&gt;"},"properties":{"noteIndex":0},"schema":"https://github.com/citation-style-language/schema/raw/master/csl-citation.json"}</w:instrText>
      </w:r>
      <w:r w:rsidRPr="007B14B4">
        <w:fldChar w:fldCharType="separate"/>
      </w:r>
      <w:r w:rsidRPr="007B14B4">
        <w:rPr>
          <w:noProof/>
          <w:vertAlign w:val="superscript"/>
        </w:rPr>
        <w:t>49</w:t>
      </w:r>
      <w:r w:rsidRPr="007B14B4">
        <w:fldChar w:fldCharType="end"/>
      </w:r>
      <w:r w:rsidRPr="007B14B4">
        <w:t>.</w:t>
      </w:r>
    </w:p>
    <w:p w14:paraId="017C782F" w14:textId="77777777" w:rsidR="00B60E59" w:rsidRPr="00E35A44" w:rsidRDefault="00B60E59" w:rsidP="00B60E59">
      <w:pPr>
        <w:spacing w:line="480" w:lineRule="auto"/>
        <w:rPr>
          <w:u w:val="single"/>
        </w:rPr>
      </w:pPr>
      <w:r>
        <w:rPr>
          <w:u w:val="single"/>
        </w:rPr>
        <w:t>C</w:t>
      </w:r>
      <w:r w:rsidRPr="00E35A44">
        <w:rPr>
          <w:u w:val="single"/>
        </w:rPr>
        <w:t>onclusion</w:t>
      </w:r>
    </w:p>
    <w:p w14:paraId="1F1B4A7D" w14:textId="77777777" w:rsidR="00B60E59" w:rsidRDefault="00B60E59" w:rsidP="00B60E59">
      <w:pPr>
        <w:spacing w:line="480" w:lineRule="auto"/>
      </w:pPr>
      <w:r>
        <w:t xml:space="preserve">This study demonstrates the enhanced resolution of targeted RNA sequencing to identify pathways in paediatric Crohn’s disease, particularly the IL17- and NOD-signalling pathways. We identify a Th17 cell differentiation gene module associated with increased time to relapse in treatment naïve patients and utilise single-cell RNA sequencing to determine a distinct epithelial cell population driving differentially expressed genes. Personalising therapy based on underlying molecular diagnosis and stratification is an exciting prospect. Replication of these findings is required, and integration of long-term outcomes may yield improved predictive models. </w:t>
      </w:r>
    </w:p>
    <w:p w14:paraId="750565B7" w14:textId="14913881" w:rsidR="00B60E59" w:rsidRDefault="00B60E59" w:rsidP="00B60E59">
      <w:pPr>
        <w:spacing w:line="480" w:lineRule="auto"/>
      </w:pPr>
    </w:p>
    <w:p w14:paraId="223174B9" w14:textId="5E579819" w:rsidR="00B1645A" w:rsidRDefault="00B1645A" w:rsidP="00B60E59">
      <w:pPr>
        <w:spacing w:line="480" w:lineRule="auto"/>
      </w:pPr>
    </w:p>
    <w:p w14:paraId="6172EE71" w14:textId="11324C74" w:rsidR="00B1645A" w:rsidRDefault="00B1645A" w:rsidP="00B60E59">
      <w:pPr>
        <w:spacing w:line="480" w:lineRule="auto"/>
      </w:pPr>
    </w:p>
    <w:p w14:paraId="51ABCB17" w14:textId="469B2019" w:rsidR="00B1645A" w:rsidRDefault="00B1645A" w:rsidP="00B60E59">
      <w:pPr>
        <w:spacing w:line="480" w:lineRule="auto"/>
      </w:pPr>
    </w:p>
    <w:p w14:paraId="482B4AC1" w14:textId="3FDFA8A1" w:rsidR="00B1645A" w:rsidRDefault="00B1645A" w:rsidP="00B60E59">
      <w:pPr>
        <w:spacing w:line="480" w:lineRule="auto"/>
      </w:pPr>
    </w:p>
    <w:p w14:paraId="0254EC27" w14:textId="77777777" w:rsidR="00B1645A" w:rsidRDefault="00B1645A" w:rsidP="00B60E59">
      <w:pPr>
        <w:spacing w:line="480" w:lineRule="auto"/>
      </w:pPr>
    </w:p>
    <w:p w14:paraId="6B1C0DAF" w14:textId="77777777" w:rsidR="00B60E59" w:rsidRDefault="00B60E59" w:rsidP="00B60E59">
      <w:pPr>
        <w:spacing w:line="480" w:lineRule="auto"/>
        <w:rPr>
          <w:b/>
          <w:bCs/>
          <w:u w:val="single"/>
        </w:rPr>
      </w:pPr>
      <w:r w:rsidRPr="00B17D05">
        <w:rPr>
          <w:b/>
          <w:bCs/>
          <w:u w:val="single"/>
        </w:rPr>
        <w:t>Figures and tables</w:t>
      </w:r>
    </w:p>
    <w:p w14:paraId="2E45DFE5" w14:textId="77777777" w:rsidR="00B60E59" w:rsidRPr="00374D5C" w:rsidRDefault="00B60E59" w:rsidP="00B60E59">
      <w:pPr>
        <w:spacing w:line="480" w:lineRule="auto"/>
        <w:rPr>
          <w:bCs/>
        </w:rPr>
      </w:pPr>
      <w:r>
        <w:rPr>
          <w:b/>
        </w:rPr>
        <w:t xml:space="preserve">Figure 1- Summary of patient recruitment, sample processing and data analysis pipelines. </w:t>
      </w:r>
      <w:r>
        <w:rPr>
          <w:bCs/>
        </w:rPr>
        <w:t xml:space="preserve">Patients were recruited in two groups, established Crohn’s disease (ED) and suspected Crohn’s disease patients, consisting of treatment-naïve patients (TN) and controls. All groups underwent endoscopy with ileal biopsy. All patients had ileal biopsies retrieved and stored in </w:t>
      </w:r>
      <w:proofErr w:type="spellStart"/>
      <w:r>
        <w:rPr>
          <w:bCs/>
        </w:rPr>
        <w:t>RNAlater</w:t>
      </w:r>
      <w:proofErr w:type="spellEnd"/>
      <w:r>
        <w:rPr>
          <w:bCs/>
        </w:rPr>
        <w:t xml:space="preserve"> at -80</w:t>
      </w:r>
      <w:r>
        <w:sym w:font="Symbol" w:char="F0B0"/>
      </w:r>
      <w:r>
        <w:t>C</w:t>
      </w:r>
      <w:r>
        <w:rPr>
          <w:bCs/>
        </w:rPr>
        <w:t xml:space="preserve">. These biopsies underwent bulk RNA extraction and subsequent targeted RNA sequencing. A subgroup of TN patients had fresh ileal biopsies processed for single cell sequencing. Data quality control and processing steps can be seen in the figure. Integration of targeted RNA sequencing and single-cell sequencing was conducted following individual pipeline analyses. </w:t>
      </w:r>
    </w:p>
    <w:p w14:paraId="49AB2EA1" w14:textId="77777777" w:rsidR="00B60E59" w:rsidRPr="0019315F" w:rsidRDefault="00B60E59" w:rsidP="00B60E59">
      <w:pPr>
        <w:spacing w:line="480" w:lineRule="auto"/>
        <w:rPr>
          <w:bCs/>
        </w:rPr>
      </w:pPr>
      <w:bookmarkStart w:id="12" w:name="_Hlk52272645"/>
      <w:r w:rsidRPr="00780453">
        <w:rPr>
          <w:b/>
        </w:rPr>
        <w:t>Figure</w:t>
      </w:r>
      <w:r>
        <w:rPr>
          <w:b/>
        </w:rPr>
        <w:t xml:space="preserve"> 2</w:t>
      </w:r>
      <w:r w:rsidRPr="00780453">
        <w:rPr>
          <w:b/>
        </w:rPr>
        <w:t xml:space="preserve"> </w:t>
      </w:r>
      <w:r>
        <w:rPr>
          <w:b/>
        </w:rPr>
        <w:t>- Weighted gene co-expression analysis reveals a 31-gene module specifically upregulated in treatment-naïve Crohn’s disease patients. A</w:t>
      </w:r>
      <w:r w:rsidRPr="0019315F">
        <w:rPr>
          <w:bCs/>
        </w:rPr>
        <w:t>) Normalised expression score (NES) of modules correlated with patient groups, module three genes have markedly increased expression in treatment-naïve patients only.</w:t>
      </w:r>
      <w:r>
        <w:rPr>
          <w:bCs/>
        </w:rPr>
        <w:t xml:space="preserve"> Circle size reflects the number of genes within that module that correlate with the patient group.</w:t>
      </w:r>
      <w:r>
        <w:rPr>
          <w:b/>
        </w:rPr>
        <w:t xml:space="preserve"> B) </w:t>
      </w:r>
      <w:r>
        <w:rPr>
          <w:bCs/>
        </w:rPr>
        <w:t>Mean expression of module three genes across individual patients in the three patient groups, individual lines represent individual gene expression. Each point on the X axis represents an individual patient.</w:t>
      </w:r>
      <w:r>
        <w:rPr>
          <w:b/>
        </w:rPr>
        <w:t xml:space="preserve"> C) </w:t>
      </w:r>
      <w:r>
        <w:rPr>
          <w:bCs/>
        </w:rPr>
        <w:t xml:space="preserve">Identification of hub co-expression and interacting genes within module three, utilising the </w:t>
      </w:r>
      <w:proofErr w:type="spellStart"/>
      <w:r>
        <w:t>HitPredict</w:t>
      </w:r>
      <w:proofErr w:type="spellEnd"/>
      <w:r>
        <w:t xml:space="preserve"> databas</w:t>
      </w:r>
      <w:r>
        <w:rPr>
          <w:bCs/>
        </w:rPr>
        <w:t xml:space="preserve">e demonstrates 11 hub genes within the 31-gene module. </w:t>
      </w:r>
    </w:p>
    <w:p w14:paraId="4728B98B" w14:textId="77777777" w:rsidR="00B60E59" w:rsidRDefault="00B60E59" w:rsidP="00B60E59">
      <w:pPr>
        <w:spacing w:line="480" w:lineRule="auto"/>
        <w:rPr>
          <w:b/>
        </w:rPr>
      </w:pPr>
      <w:bookmarkStart w:id="13" w:name="_Hlk52268577"/>
      <w:bookmarkEnd w:id="12"/>
      <w:r w:rsidRPr="00780453">
        <w:rPr>
          <w:b/>
        </w:rPr>
        <w:lastRenderedPageBreak/>
        <w:t xml:space="preserve">Figure </w:t>
      </w:r>
      <w:r>
        <w:rPr>
          <w:b/>
        </w:rPr>
        <w:t xml:space="preserve">3- Differentially expressed genes (DEGs) were identified and characterise upregulation of antimicrobial peptides in Crohn’s disease patients. </w:t>
      </w:r>
      <w:bookmarkEnd w:id="13"/>
      <w:r>
        <w:rPr>
          <w:b/>
        </w:rPr>
        <w:t xml:space="preserve">A) </w:t>
      </w:r>
      <w:r w:rsidRPr="00911369">
        <w:rPr>
          <w:bCs/>
        </w:rPr>
        <w:t xml:space="preserve">Volcano plot demonstrating DEGs between treatment-naïve Crohn’s disease </w:t>
      </w:r>
      <w:r>
        <w:rPr>
          <w:bCs/>
        </w:rPr>
        <w:t xml:space="preserve">(TN CD) </w:t>
      </w:r>
      <w:proofErr w:type="gramStart"/>
      <w:r w:rsidRPr="00911369">
        <w:rPr>
          <w:bCs/>
        </w:rPr>
        <w:t>patients</w:t>
      </w:r>
      <w:proofErr w:type="gramEnd"/>
      <w:r w:rsidRPr="00911369">
        <w:rPr>
          <w:bCs/>
        </w:rPr>
        <w:t xml:space="preserve"> vs controls. A total of 342 genes were differentially expressed between groups</w:t>
      </w:r>
      <w:r>
        <w:rPr>
          <w:bCs/>
        </w:rPr>
        <w:t>, blue represents upregulated probes (n=</w:t>
      </w:r>
      <w:r>
        <w:t>259)</w:t>
      </w:r>
      <w:r>
        <w:rPr>
          <w:bCs/>
        </w:rPr>
        <w:t>, red represents down regulated probes (n=83)</w:t>
      </w:r>
      <w:r w:rsidRPr="00911369">
        <w:rPr>
          <w:bCs/>
        </w:rPr>
        <w:t>.</w:t>
      </w:r>
      <w:r>
        <w:rPr>
          <w:b/>
        </w:rPr>
        <w:t xml:space="preserve"> B) </w:t>
      </w:r>
      <w:r w:rsidRPr="00911369">
        <w:rPr>
          <w:bCs/>
        </w:rPr>
        <w:t xml:space="preserve">The top 10 </w:t>
      </w:r>
      <w:r>
        <w:rPr>
          <w:bCs/>
        </w:rPr>
        <w:t xml:space="preserve">upregulated </w:t>
      </w:r>
      <w:r w:rsidRPr="00911369">
        <w:rPr>
          <w:bCs/>
        </w:rPr>
        <w:t>DEGs between TN CD patients and controls.</w:t>
      </w:r>
      <w:r>
        <w:rPr>
          <w:b/>
        </w:rPr>
        <w:t xml:space="preserve"> </w:t>
      </w:r>
      <w:r w:rsidRPr="007B14B4">
        <w:rPr>
          <w:bCs/>
        </w:rPr>
        <w:t xml:space="preserve">Y axis represents </w:t>
      </w:r>
      <w:proofErr w:type="gramStart"/>
      <w:r w:rsidRPr="007B14B4">
        <w:rPr>
          <w:bCs/>
        </w:rPr>
        <w:t>log(</w:t>
      </w:r>
      <w:proofErr w:type="gramEnd"/>
      <w:r w:rsidRPr="007B14B4">
        <w:rPr>
          <w:bCs/>
        </w:rPr>
        <w:t>quantile normalised) change in gene expression</w:t>
      </w:r>
      <w:r>
        <w:rPr>
          <w:bCs/>
        </w:rPr>
        <w:t>. Boxes represent 25-75</w:t>
      </w:r>
      <w:r w:rsidRPr="007B14B4">
        <w:rPr>
          <w:bCs/>
          <w:vertAlign w:val="superscript"/>
        </w:rPr>
        <w:t>th</w:t>
      </w:r>
      <w:r>
        <w:rPr>
          <w:bCs/>
        </w:rPr>
        <w:t xml:space="preserve"> percentile of expression data, whiskers represent minimum and maximum data points, excluding outlier data.</w:t>
      </w:r>
      <w:r>
        <w:rPr>
          <w:b/>
        </w:rPr>
        <w:t xml:space="preserve"> C) </w:t>
      </w:r>
      <w:r w:rsidRPr="00911369">
        <w:rPr>
          <w:bCs/>
        </w:rPr>
        <w:t xml:space="preserve">Volcano plot demonstrating DEGs between </w:t>
      </w:r>
      <w:r>
        <w:rPr>
          <w:bCs/>
        </w:rPr>
        <w:t xml:space="preserve">TN CD </w:t>
      </w:r>
      <w:proofErr w:type="gramStart"/>
      <w:r w:rsidRPr="00911369">
        <w:rPr>
          <w:bCs/>
        </w:rPr>
        <w:t>patients</w:t>
      </w:r>
      <w:proofErr w:type="gramEnd"/>
      <w:r w:rsidRPr="00911369">
        <w:rPr>
          <w:bCs/>
        </w:rPr>
        <w:t xml:space="preserve"> vs </w:t>
      </w:r>
      <w:r>
        <w:rPr>
          <w:bCs/>
        </w:rPr>
        <w:t>established Crohn’s disease patients</w:t>
      </w:r>
      <w:r w:rsidRPr="00911369">
        <w:rPr>
          <w:bCs/>
        </w:rPr>
        <w:t xml:space="preserve">. A total of </w:t>
      </w:r>
      <w:r>
        <w:rPr>
          <w:bCs/>
        </w:rPr>
        <w:t>14</w:t>
      </w:r>
      <w:r w:rsidRPr="00911369">
        <w:rPr>
          <w:bCs/>
        </w:rPr>
        <w:t xml:space="preserve"> genes were differentially expressed between groups</w:t>
      </w:r>
      <w:r>
        <w:rPr>
          <w:bCs/>
        </w:rPr>
        <w:t>, blue represents upregulated probes (n=12), red represents down regulated probes (n=2)</w:t>
      </w:r>
      <w:r w:rsidRPr="00911369">
        <w:rPr>
          <w:bCs/>
        </w:rPr>
        <w:t>.</w:t>
      </w:r>
      <w:r>
        <w:rPr>
          <w:b/>
        </w:rPr>
        <w:t xml:space="preserve"> D)</w:t>
      </w:r>
      <w:r w:rsidRPr="00911369">
        <w:rPr>
          <w:bCs/>
        </w:rPr>
        <w:t xml:space="preserve"> The top 10 </w:t>
      </w:r>
      <w:r>
        <w:rPr>
          <w:bCs/>
        </w:rPr>
        <w:t xml:space="preserve">upregulated </w:t>
      </w:r>
      <w:r w:rsidRPr="00911369">
        <w:rPr>
          <w:bCs/>
        </w:rPr>
        <w:t xml:space="preserve">DEGs between TN CD patients and </w:t>
      </w:r>
      <w:r>
        <w:rPr>
          <w:bCs/>
        </w:rPr>
        <w:t xml:space="preserve">established Crohn’s disease patients, highlighting </w:t>
      </w:r>
      <w:r w:rsidRPr="00865AB9">
        <w:rPr>
          <w:bCs/>
          <w:i/>
          <w:iCs/>
        </w:rPr>
        <w:t>S100A9</w:t>
      </w:r>
      <w:r>
        <w:rPr>
          <w:bCs/>
        </w:rPr>
        <w:t xml:space="preserve">, </w:t>
      </w:r>
      <w:r w:rsidRPr="00865AB9">
        <w:rPr>
          <w:bCs/>
          <w:i/>
          <w:iCs/>
        </w:rPr>
        <w:t>S100A12</w:t>
      </w:r>
      <w:r>
        <w:rPr>
          <w:bCs/>
        </w:rPr>
        <w:t xml:space="preserve"> and </w:t>
      </w:r>
      <w:r w:rsidRPr="00865AB9">
        <w:rPr>
          <w:bCs/>
          <w:i/>
          <w:iCs/>
        </w:rPr>
        <w:t>CXCL8</w:t>
      </w:r>
      <w:r>
        <w:rPr>
          <w:bCs/>
        </w:rPr>
        <w:t xml:space="preserve"> (IL8) as remaining significantly upregulated in TN CD patients. </w:t>
      </w:r>
      <w:r w:rsidRPr="007B14B4">
        <w:rPr>
          <w:bCs/>
        </w:rPr>
        <w:t xml:space="preserve">Y axis represents </w:t>
      </w:r>
      <w:proofErr w:type="gramStart"/>
      <w:r w:rsidRPr="007B14B4">
        <w:rPr>
          <w:bCs/>
        </w:rPr>
        <w:t>log(</w:t>
      </w:r>
      <w:proofErr w:type="gramEnd"/>
      <w:r w:rsidRPr="007B14B4">
        <w:rPr>
          <w:bCs/>
        </w:rPr>
        <w:t>quantile normalised) change in gene expression</w:t>
      </w:r>
      <w:r>
        <w:rPr>
          <w:bCs/>
        </w:rPr>
        <w:t>. Boxes represent 25-75</w:t>
      </w:r>
      <w:r w:rsidRPr="007B14B4">
        <w:rPr>
          <w:bCs/>
          <w:vertAlign w:val="superscript"/>
        </w:rPr>
        <w:t>th</w:t>
      </w:r>
      <w:r>
        <w:rPr>
          <w:bCs/>
        </w:rPr>
        <w:t xml:space="preserve"> percentile of expression data, whiskers represent minimum and maximum data points, excluding outlier data.</w:t>
      </w:r>
    </w:p>
    <w:p w14:paraId="0062E849" w14:textId="77777777" w:rsidR="00B60E59" w:rsidRPr="00865AB9" w:rsidRDefault="00B60E59" w:rsidP="00B60E59">
      <w:pPr>
        <w:spacing w:line="480" w:lineRule="auto"/>
        <w:rPr>
          <w:bCs/>
          <w:u w:val="single"/>
        </w:rPr>
      </w:pPr>
      <w:bookmarkStart w:id="14" w:name="_Hlk52268678"/>
      <w:bookmarkStart w:id="15" w:name="_Hlk52273597"/>
      <w:r w:rsidRPr="00780453">
        <w:rPr>
          <w:b/>
        </w:rPr>
        <w:t>Figure</w:t>
      </w:r>
      <w:r>
        <w:rPr>
          <w:b/>
        </w:rPr>
        <w:t xml:space="preserve"> 4- Hierarchical clustering of all patients using 95 genes in the NOD-signalling pathway revealed grouping of Crohn’s disease patients from controls</w:t>
      </w:r>
      <w:r w:rsidRPr="00865AB9">
        <w:rPr>
          <w:bCs/>
        </w:rPr>
        <w:t xml:space="preserve"> </w:t>
      </w:r>
      <w:r>
        <w:rPr>
          <w:b/>
        </w:rPr>
        <w:t>(</w:t>
      </w:r>
      <w:r w:rsidRPr="00DC0B97">
        <w:rPr>
          <w:b/>
        </w:rPr>
        <w:t>quantile normalised data, average distance clustering</w:t>
      </w:r>
      <w:r>
        <w:rPr>
          <w:b/>
        </w:rPr>
        <w:t xml:space="preserve">). </w:t>
      </w:r>
      <w:bookmarkEnd w:id="14"/>
      <w:r w:rsidRPr="00865AB9">
        <w:rPr>
          <w:bCs/>
        </w:rPr>
        <w:t>Clustering demonstrat</w:t>
      </w:r>
      <w:r>
        <w:rPr>
          <w:bCs/>
        </w:rPr>
        <w:t>ed</w:t>
      </w:r>
      <w:r w:rsidRPr="00865AB9">
        <w:rPr>
          <w:bCs/>
        </w:rPr>
        <w:t xml:space="preserve"> </w:t>
      </w:r>
      <w:r>
        <w:rPr>
          <w:bCs/>
        </w:rPr>
        <w:t>grouping of</w:t>
      </w:r>
      <w:r w:rsidRPr="00865AB9">
        <w:rPr>
          <w:bCs/>
        </w:rPr>
        <w:t xml:space="preserve"> controls together</w:t>
      </w:r>
      <w:r>
        <w:rPr>
          <w:bCs/>
        </w:rPr>
        <w:t xml:space="preserve"> (other than 3 individuals), </w:t>
      </w:r>
      <w:r w:rsidRPr="00865AB9">
        <w:rPr>
          <w:bCs/>
        </w:rPr>
        <w:t xml:space="preserve">characterised by </w:t>
      </w:r>
      <w:r>
        <w:rPr>
          <w:bCs/>
        </w:rPr>
        <w:t xml:space="preserve">reduced expression of </w:t>
      </w:r>
      <w:r w:rsidRPr="00865AB9">
        <w:rPr>
          <w:bCs/>
          <w:i/>
          <w:iCs/>
        </w:rPr>
        <w:t>CXCL8</w:t>
      </w:r>
      <w:r>
        <w:rPr>
          <w:bCs/>
        </w:rPr>
        <w:t xml:space="preserve"> (IL8), </w:t>
      </w:r>
      <w:r w:rsidRPr="00865AB9">
        <w:rPr>
          <w:bCs/>
          <w:i/>
          <w:iCs/>
        </w:rPr>
        <w:t>CASP5</w:t>
      </w:r>
      <w:r>
        <w:rPr>
          <w:bCs/>
        </w:rPr>
        <w:t xml:space="preserve"> and </w:t>
      </w:r>
      <w:r w:rsidRPr="00865AB9">
        <w:rPr>
          <w:bCs/>
          <w:i/>
          <w:iCs/>
        </w:rPr>
        <w:t>CXCL2</w:t>
      </w:r>
      <w:r>
        <w:rPr>
          <w:bCs/>
          <w:i/>
          <w:iCs/>
        </w:rPr>
        <w:t xml:space="preserve"> </w:t>
      </w:r>
      <w:r>
        <w:rPr>
          <w:bCs/>
        </w:rPr>
        <w:t>(cluster 3)</w:t>
      </w:r>
      <w:r w:rsidRPr="00865AB9">
        <w:rPr>
          <w:bCs/>
        </w:rPr>
        <w:t xml:space="preserve">. </w:t>
      </w:r>
      <w:r>
        <w:rPr>
          <w:bCs/>
        </w:rPr>
        <w:t xml:space="preserve">Clusters 1 and 2, mainly consisting of Crohn’s disease patients, were characterised by increased </w:t>
      </w:r>
      <w:r w:rsidRPr="00865AB9">
        <w:rPr>
          <w:bCs/>
          <w:i/>
          <w:iCs/>
        </w:rPr>
        <w:t>CXCL8</w:t>
      </w:r>
      <w:r>
        <w:rPr>
          <w:bCs/>
        </w:rPr>
        <w:t xml:space="preserve"> (IL8) and </w:t>
      </w:r>
      <w:r w:rsidRPr="00865AB9">
        <w:rPr>
          <w:bCs/>
          <w:i/>
          <w:iCs/>
        </w:rPr>
        <w:t>STAT1</w:t>
      </w:r>
      <w:r>
        <w:rPr>
          <w:bCs/>
        </w:rPr>
        <w:t xml:space="preserve"> expression, with cluster 2 also having increased </w:t>
      </w:r>
      <w:r w:rsidRPr="00865AB9">
        <w:rPr>
          <w:bCs/>
          <w:i/>
          <w:iCs/>
        </w:rPr>
        <w:t>CXCL1</w:t>
      </w:r>
      <w:r>
        <w:rPr>
          <w:bCs/>
        </w:rPr>
        <w:t xml:space="preserve"> expression. </w:t>
      </w:r>
    </w:p>
    <w:bookmarkEnd w:id="15"/>
    <w:p w14:paraId="6D75E360" w14:textId="77777777" w:rsidR="00B60E59" w:rsidRDefault="00B60E59" w:rsidP="00B60E59">
      <w:pPr>
        <w:spacing w:line="480" w:lineRule="auto"/>
        <w:jc w:val="both"/>
      </w:pPr>
      <w:r w:rsidRPr="00780453">
        <w:rPr>
          <w:b/>
        </w:rPr>
        <w:t xml:space="preserve">Figure </w:t>
      </w:r>
      <w:r>
        <w:rPr>
          <w:b/>
        </w:rPr>
        <w:t>5-</w:t>
      </w:r>
      <w:r w:rsidRPr="00780453">
        <w:rPr>
          <w:b/>
        </w:rPr>
        <w:t xml:space="preserve"> Single</w:t>
      </w:r>
      <w:r>
        <w:rPr>
          <w:b/>
        </w:rPr>
        <w:t xml:space="preserve"> cell transcriptomics identifies monocyte and epithelial cells populations which contribute to the IL17 signature in IBD. A) </w:t>
      </w:r>
      <w:r>
        <w:t>UMAP plot of 1458 cells originating from two independent, digested IBD ilea samples (IBD2=710 cells, IBD3=748 cells), integrated into one neighbourhood graph using BBKNN (</w:t>
      </w:r>
      <w:proofErr w:type="spellStart"/>
      <w:r>
        <w:t>ScanPy</w:t>
      </w:r>
      <w:proofErr w:type="spellEnd"/>
      <w:r>
        <w:t xml:space="preserve">, </w:t>
      </w:r>
      <w:proofErr w:type="spellStart"/>
      <w:r>
        <w:t>n_pcs</w:t>
      </w:r>
      <w:proofErr w:type="spellEnd"/>
      <w:r>
        <w:t> = 50,  1999 highly variable genes (</w:t>
      </w:r>
      <w:proofErr w:type="spellStart"/>
      <w:r>
        <w:rPr>
          <w:rFonts w:ascii="Calibri" w:hAnsi="Calibri" w:cs="Calibri"/>
        </w:rPr>
        <w:t>min_mean</w:t>
      </w:r>
      <w:proofErr w:type="spellEnd"/>
      <w:r>
        <w:rPr>
          <w:rFonts w:ascii="Calibri" w:hAnsi="Calibri" w:cs="Calibri"/>
        </w:rPr>
        <w:t xml:space="preserve">=0, </w:t>
      </w:r>
      <w:proofErr w:type="spellStart"/>
      <w:r>
        <w:rPr>
          <w:rFonts w:ascii="Calibri" w:hAnsi="Calibri" w:cs="Calibri"/>
        </w:rPr>
        <w:t>max_mean</w:t>
      </w:r>
      <w:proofErr w:type="spellEnd"/>
      <w:r>
        <w:rPr>
          <w:rFonts w:ascii="Calibri" w:hAnsi="Calibri" w:cs="Calibri"/>
        </w:rPr>
        <w:t xml:space="preserve">=4, </w:t>
      </w:r>
      <w:proofErr w:type="spellStart"/>
      <w:r>
        <w:rPr>
          <w:rFonts w:ascii="Calibri" w:hAnsi="Calibri" w:cs="Calibri"/>
        </w:rPr>
        <w:t>min_disp</w:t>
      </w:r>
      <w:proofErr w:type="spellEnd"/>
      <w:r>
        <w:rPr>
          <w:rFonts w:ascii="Calibri" w:hAnsi="Calibri" w:cs="Calibri"/>
        </w:rPr>
        <w:t>=0.1</w:t>
      </w:r>
      <w:r>
        <w:t xml:space="preserve">)). </w:t>
      </w:r>
      <w:r>
        <w:rPr>
          <w:b/>
        </w:rPr>
        <w:t xml:space="preserve">B) </w:t>
      </w:r>
      <w:proofErr w:type="spellStart"/>
      <w:r>
        <w:t>SingleR</w:t>
      </w:r>
      <w:proofErr w:type="spellEnd"/>
      <w:r>
        <w:t xml:space="preserve"> database annotation (</w:t>
      </w:r>
      <w:r>
        <w:rPr>
          <w:rFonts w:ascii="Calibri" w:hAnsi="Calibri" w:cs="Calibri"/>
        </w:rPr>
        <w:t xml:space="preserve">database: </w:t>
      </w:r>
      <w:proofErr w:type="spellStart"/>
      <w:r>
        <w:rPr>
          <w:rFonts w:ascii="Calibri" w:hAnsi="Calibri" w:cs="Calibri"/>
        </w:rPr>
        <w:t>BlueprintEncodeData</w:t>
      </w:r>
      <w:proofErr w:type="spellEnd"/>
      <w:r>
        <w:rPr>
          <w:rFonts w:ascii="Calibri" w:hAnsi="Calibri" w:cs="Calibri"/>
        </w:rPr>
        <w:t>)</w:t>
      </w:r>
      <w:r>
        <w:t xml:space="preserve"> assigned cells into </w:t>
      </w:r>
      <w:r>
        <w:lastRenderedPageBreak/>
        <w:t xml:space="preserve">populations of CD8+ </w:t>
      </w:r>
      <w:proofErr w:type="spellStart"/>
      <w:r>
        <w:t>Tem</w:t>
      </w:r>
      <w:proofErr w:type="spellEnd"/>
      <w:r>
        <w:t xml:space="preserve">, memory B-cells, monocytes, epithelial cells and plasma cells. </w:t>
      </w:r>
      <w:r>
        <w:rPr>
          <w:b/>
        </w:rPr>
        <w:t xml:space="preserve">C) </w:t>
      </w:r>
      <w:r>
        <w:t>Leiden clustering (</w:t>
      </w:r>
      <w:r>
        <w:rPr>
          <w:i/>
          <w:iCs/>
        </w:rPr>
        <w:t>r</w:t>
      </w:r>
      <w:r>
        <w:t xml:space="preserve"> = 0.5), identified nine clusters (0-8) amongst the cell populations. </w:t>
      </w:r>
      <w:r>
        <w:rPr>
          <w:b/>
        </w:rPr>
        <w:t xml:space="preserve">D) </w:t>
      </w:r>
      <w:r>
        <w:t xml:space="preserve">Hierarchical clustering matrix plots with top 5 marker genes (scaled UMI counts) for each Leiden cluster are displayed. </w:t>
      </w:r>
      <w:r>
        <w:rPr>
          <w:b/>
        </w:rPr>
        <w:t xml:space="preserve">E) </w:t>
      </w:r>
      <w:proofErr w:type="spellStart"/>
      <w:r>
        <w:t>Barplots</w:t>
      </w:r>
      <w:proofErr w:type="spellEnd"/>
      <w:r>
        <w:t xml:space="preserve"> displaying frequency and amplitude expression of indicated gene transcripts, that characterise treatment naïve patients in IBD. Bars are colour coded for cells as in panel </w:t>
      </w:r>
      <w:r>
        <w:rPr>
          <w:b/>
        </w:rPr>
        <w:t>C)</w:t>
      </w:r>
      <w:r>
        <w:t xml:space="preserve">, identified using Leiden clustering. Each bar shows the </w:t>
      </w:r>
      <w:proofErr w:type="spellStart"/>
      <w:r>
        <w:t>Scran</w:t>
      </w:r>
      <w:proofErr w:type="spellEnd"/>
      <w:r>
        <w:t xml:space="preserve"> normalised expression level of indicated transcript, </w:t>
      </w:r>
      <w:proofErr w:type="gramStart"/>
      <w:r>
        <w:t>in a given</w:t>
      </w:r>
      <w:proofErr w:type="gramEnd"/>
      <w:r>
        <w:t xml:space="preserve"> cell.</w:t>
      </w:r>
    </w:p>
    <w:p w14:paraId="5B45981F" w14:textId="77777777" w:rsidR="00B60E59" w:rsidRPr="007B14B4" w:rsidRDefault="00B60E59" w:rsidP="00B60E59">
      <w:pPr>
        <w:spacing w:line="480" w:lineRule="auto"/>
      </w:pPr>
      <w:bookmarkStart w:id="16" w:name="_Hlk52268780"/>
      <w:r w:rsidRPr="00495030">
        <w:rPr>
          <w:b/>
          <w:bCs/>
        </w:rPr>
        <w:t>Table 1</w:t>
      </w:r>
      <w:r>
        <w:rPr>
          <w:b/>
          <w:bCs/>
        </w:rPr>
        <w:t xml:space="preserve">- Patient demographics, clinical characteristics and treatments. </w:t>
      </w:r>
      <w:r>
        <w:t>The two patients included in the single-cell analysis are detailed alone and are also included in treatment naïve patient column.</w:t>
      </w:r>
    </w:p>
    <w:bookmarkEnd w:id="16"/>
    <w:p w14:paraId="17E9CF4E" w14:textId="77777777" w:rsidR="00B60E59" w:rsidRDefault="00B60E59" w:rsidP="00B60E59">
      <w:pPr>
        <w:spacing w:line="480" w:lineRule="auto"/>
        <w:rPr>
          <w:b/>
          <w:bCs/>
          <w:u w:val="single"/>
        </w:rPr>
      </w:pPr>
      <w:r w:rsidRPr="0025212F">
        <w:rPr>
          <w:b/>
          <w:bCs/>
          <w:u w:val="single"/>
        </w:rPr>
        <w:t>Supplementary data</w:t>
      </w:r>
    </w:p>
    <w:p w14:paraId="7FC2A857" w14:textId="77777777" w:rsidR="00B60E59" w:rsidRDefault="00B60E59" w:rsidP="00B60E59">
      <w:pPr>
        <w:spacing w:line="480" w:lineRule="auto"/>
        <w:rPr>
          <w:b/>
          <w:bCs/>
        </w:rPr>
      </w:pPr>
      <w:r>
        <w:rPr>
          <w:b/>
          <w:bCs/>
        </w:rPr>
        <w:t>Supplementary t</w:t>
      </w:r>
      <w:r w:rsidRPr="004A0F38">
        <w:rPr>
          <w:b/>
          <w:bCs/>
        </w:rPr>
        <w:t xml:space="preserve">able </w:t>
      </w:r>
      <w:r>
        <w:rPr>
          <w:b/>
          <w:bCs/>
        </w:rPr>
        <w:t xml:space="preserve">1- </w:t>
      </w:r>
      <w:r w:rsidRPr="0025212F">
        <w:t>Pathway enrichment statistics</w:t>
      </w:r>
    </w:p>
    <w:p w14:paraId="69C11CF8" w14:textId="77777777" w:rsidR="00B60E59" w:rsidRPr="004A0F38" w:rsidRDefault="00B60E59" w:rsidP="00B60E59">
      <w:pPr>
        <w:spacing w:line="480" w:lineRule="auto"/>
        <w:rPr>
          <w:b/>
          <w:bCs/>
        </w:rPr>
      </w:pPr>
      <w:r>
        <w:rPr>
          <w:b/>
          <w:bCs/>
        </w:rPr>
        <w:t>Supplementary t</w:t>
      </w:r>
      <w:r w:rsidRPr="004A0F38">
        <w:rPr>
          <w:b/>
          <w:bCs/>
        </w:rPr>
        <w:t>able 2</w:t>
      </w:r>
      <w:r>
        <w:rPr>
          <w:b/>
          <w:bCs/>
        </w:rPr>
        <w:t xml:space="preserve">- </w:t>
      </w:r>
      <w:r w:rsidRPr="0025212F">
        <w:t>Weighted gene co-expression network analysis and association with patient groups.</w:t>
      </w:r>
      <w:r>
        <w:rPr>
          <w:b/>
          <w:bCs/>
        </w:rPr>
        <w:t xml:space="preserve"> </w:t>
      </w:r>
    </w:p>
    <w:p w14:paraId="3081509A" w14:textId="77777777" w:rsidR="00B60E59" w:rsidRDefault="00B60E59" w:rsidP="00B60E59">
      <w:pPr>
        <w:spacing w:line="480" w:lineRule="auto"/>
        <w:rPr>
          <w:b/>
          <w:bCs/>
        </w:rPr>
      </w:pPr>
      <w:r>
        <w:rPr>
          <w:b/>
          <w:bCs/>
        </w:rPr>
        <w:t>Supplementary t</w:t>
      </w:r>
      <w:r w:rsidRPr="004A0F38">
        <w:rPr>
          <w:b/>
          <w:bCs/>
        </w:rPr>
        <w:t xml:space="preserve">able </w:t>
      </w:r>
      <w:r>
        <w:rPr>
          <w:b/>
          <w:bCs/>
        </w:rPr>
        <w:t xml:space="preserve">3- </w:t>
      </w:r>
      <w:r w:rsidRPr="0025212F">
        <w:t>Early relapse differentially expressed genes</w:t>
      </w:r>
    </w:p>
    <w:p w14:paraId="6BFDFD1C" w14:textId="5488FA94" w:rsidR="00B60E59" w:rsidRDefault="00B60E59" w:rsidP="00B60E59">
      <w:pPr>
        <w:spacing w:line="480" w:lineRule="auto"/>
      </w:pPr>
      <w:r>
        <w:rPr>
          <w:b/>
          <w:bCs/>
        </w:rPr>
        <w:t xml:space="preserve">Supplementary figure 1- </w:t>
      </w:r>
      <w:r w:rsidRPr="0025212F">
        <w:t>Comparison of inflamed vs non-inflamed tissue in treatment naïve and established Crohn’s disease patients.</w:t>
      </w:r>
      <w:r>
        <w:rPr>
          <w:b/>
          <w:bCs/>
        </w:rPr>
        <w:t xml:space="preserve"> </w:t>
      </w:r>
      <w:r w:rsidRPr="0025212F">
        <w:t>Hierarchical clustering does not demonstrate clustering of inflamed tissue. Top differentially expressed genes between inflamed vs non-inflamed</w:t>
      </w:r>
      <w:r>
        <w:t xml:space="preserve"> are different to those seen between treatment-naive Crohn’s disease and established Crohn’s disease. </w:t>
      </w:r>
    </w:p>
    <w:p w14:paraId="30E62832" w14:textId="6B5FF7B3" w:rsidR="00816887" w:rsidRDefault="00816887" w:rsidP="00816887">
      <w:pPr>
        <w:spacing w:line="480" w:lineRule="auto"/>
        <w:rPr>
          <w:bCs/>
        </w:rPr>
      </w:pPr>
      <w:r>
        <w:rPr>
          <w:b/>
        </w:rPr>
        <w:t>Supplementary f</w:t>
      </w:r>
      <w:r w:rsidRPr="00780453">
        <w:rPr>
          <w:b/>
        </w:rPr>
        <w:t xml:space="preserve">igure </w:t>
      </w:r>
      <w:r>
        <w:rPr>
          <w:b/>
        </w:rPr>
        <w:t xml:space="preserve">2- Weight gene co-expression network analysis determines a ‘blue’ gene module, containing 55 significantly upregulated genes, associated with increased time to relapse. A) </w:t>
      </w:r>
      <w:r w:rsidRPr="008C0AE5">
        <w:rPr>
          <w:bCs/>
        </w:rPr>
        <w:t>Cluster dendrogram indicating genes contained within each coloured module.</w:t>
      </w:r>
      <w:r>
        <w:rPr>
          <w:bCs/>
        </w:rPr>
        <w:t xml:space="preserve"> The distance from gene to gene indicates the similarity in expression </w:t>
      </w:r>
      <w:proofErr w:type="gramStart"/>
      <w:r>
        <w:rPr>
          <w:bCs/>
        </w:rPr>
        <w:t>profile, and</w:t>
      </w:r>
      <w:proofErr w:type="gramEnd"/>
      <w:r>
        <w:rPr>
          <w:bCs/>
        </w:rPr>
        <w:t xml:space="preserve"> determines the module in which that gene lies. Upregulated genes within this cluster (n=55) were associated with </w:t>
      </w:r>
      <w:r w:rsidRPr="008C0AE5">
        <w:rPr>
          <w:bCs/>
        </w:rPr>
        <w:t xml:space="preserve">a Th17 cell differentiation signature </w:t>
      </w:r>
      <w:r>
        <w:rPr>
          <w:bCs/>
        </w:rPr>
        <w:t>(</w:t>
      </w:r>
      <w:r>
        <w:t>KEGG, adjusted p value</w:t>
      </w:r>
      <w:r w:rsidRPr="00D77075">
        <w:t xml:space="preserve"> 9.21</w:t>
      </w:r>
      <w:r>
        <w:t>x10</w:t>
      </w:r>
      <w:r w:rsidRPr="00636F4C">
        <w:rPr>
          <w:vertAlign w:val="superscript"/>
        </w:rPr>
        <w:t>-</w:t>
      </w:r>
      <w:r w:rsidRPr="00D77075">
        <w:rPr>
          <w:vertAlign w:val="superscript"/>
        </w:rPr>
        <w:t>11</w:t>
      </w:r>
      <w:r>
        <w:rPr>
          <w:bCs/>
        </w:rPr>
        <w:t xml:space="preserve">). Correlation of each module expression </w:t>
      </w:r>
      <w:r>
        <w:rPr>
          <w:bCs/>
        </w:rPr>
        <w:lastRenderedPageBreak/>
        <w:t xml:space="preserve">in patients, with time to relapse, revealed patients with increased expression of the ‘blue’ module also had increased time to relapse (correlation co-efficient 0.36, p=0.07). </w:t>
      </w:r>
      <w:r w:rsidRPr="008C0AE5">
        <w:rPr>
          <w:b/>
        </w:rPr>
        <w:t>B</w:t>
      </w:r>
      <w:r>
        <w:rPr>
          <w:bCs/>
        </w:rPr>
        <w:t xml:space="preserve">) Clustering of treatment naïve Crohn’s disease patients by similarity of gene expression across all sequenced probes revealed a small cluster with increased time to relapse (brighter red = increased time to relapse). </w:t>
      </w:r>
    </w:p>
    <w:p w14:paraId="2601DFE7" w14:textId="77777777" w:rsidR="00816887" w:rsidRDefault="00816887" w:rsidP="00B60E59">
      <w:pPr>
        <w:spacing w:line="480" w:lineRule="auto"/>
      </w:pPr>
    </w:p>
    <w:p w14:paraId="09E3FADC" w14:textId="395EAFD4" w:rsidR="00B60E59" w:rsidRDefault="00B60E59" w:rsidP="00B60E59">
      <w:pPr>
        <w:spacing w:line="480" w:lineRule="auto"/>
        <w:rPr>
          <w:b/>
          <w:bCs/>
        </w:rPr>
      </w:pPr>
      <w:r w:rsidRPr="007B14B4">
        <w:rPr>
          <w:b/>
          <w:bCs/>
        </w:rPr>
        <w:t xml:space="preserve">Supplementary figure </w:t>
      </w:r>
      <w:r w:rsidR="00816887">
        <w:rPr>
          <w:b/>
          <w:bCs/>
        </w:rPr>
        <w:t>3</w:t>
      </w:r>
      <w:r>
        <w:t>- Genes sequenced by targeted and single cell sequencing technologies, and those common to both. Correlation of gene expression between targeted (quantile normalised) and single cell for both patients undergoing both types of sequencing.</w:t>
      </w:r>
    </w:p>
    <w:p w14:paraId="0A1B7BC1" w14:textId="77777777" w:rsidR="00B60E59" w:rsidRPr="008A7596" w:rsidRDefault="00B60E59" w:rsidP="00B60E59">
      <w:pPr>
        <w:spacing w:line="480" w:lineRule="auto"/>
      </w:pPr>
      <w:r>
        <w:rPr>
          <w:b/>
          <w:bCs/>
        </w:rPr>
        <w:t xml:space="preserve">Supplementary methods- </w:t>
      </w:r>
      <w:r>
        <w:t xml:space="preserve">Expanded methods description </w:t>
      </w:r>
    </w:p>
    <w:p w14:paraId="5B674692" w14:textId="77777777" w:rsidR="00B60E59" w:rsidRPr="00930011" w:rsidRDefault="00B60E59" w:rsidP="00B60E59">
      <w:pPr>
        <w:spacing w:line="480" w:lineRule="auto"/>
      </w:pPr>
      <w:r>
        <w:rPr>
          <w:b/>
          <w:bCs/>
        </w:rPr>
        <w:t xml:space="preserve">Supplementary data 1- </w:t>
      </w:r>
      <w:r>
        <w:t>RNA extraction quality metrics</w:t>
      </w:r>
    </w:p>
    <w:p w14:paraId="240B365E" w14:textId="77777777" w:rsidR="00B60E59" w:rsidRDefault="00B60E59" w:rsidP="00B60E59">
      <w:pPr>
        <w:spacing w:line="480" w:lineRule="auto"/>
        <w:rPr>
          <w:b/>
          <w:bCs/>
        </w:rPr>
      </w:pPr>
      <w:r>
        <w:rPr>
          <w:b/>
          <w:bCs/>
        </w:rPr>
        <w:t xml:space="preserve">Supplementary data 2- </w:t>
      </w:r>
      <w:r w:rsidRPr="0025212F">
        <w:t>Genes in WGCNA modules</w:t>
      </w:r>
    </w:p>
    <w:p w14:paraId="5D317A21" w14:textId="77777777" w:rsidR="00B60E59" w:rsidRDefault="00B60E59" w:rsidP="00B60E59">
      <w:pPr>
        <w:spacing w:line="480" w:lineRule="auto"/>
        <w:rPr>
          <w:b/>
          <w:bCs/>
        </w:rPr>
      </w:pPr>
      <w:r>
        <w:rPr>
          <w:b/>
          <w:bCs/>
        </w:rPr>
        <w:t xml:space="preserve">Supplementary data 3- </w:t>
      </w:r>
      <w:r w:rsidRPr="0025212F">
        <w:t>Module 3 pathway statistics</w:t>
      </w:r>
    </w:p>
    <w:p w14:paraId="4E2736DA" w14:textId="77777777" w:rsidR="00B60E59" w:rsidRDefault="00B60E59" w:rsidP="00B60E59">
      <w:pPr>
        <w:spacing w:line="480" w:lineRule="auto"/>
        <w:rPr>
          <w:b/>
          <w:bCs/>
        </w:rPr>
      </w:pPr>
      <w:r>
        <w:rPr>
          <w:b/>
          <w:bCs/>
        </w:rPr>
        <w:t xml:space="preserve">Supplementary data 4- </w:t>
      </w:r>
      <w:r w:rsidRPr="0025212F">
        <w:t>Differentially expressed genes, control vs other</w:t>
      </w:r>
    </w:p>
    <w:p w14:paraId="5170347E" w14:textId="77777777" w:rsidR="00B60E59" w:rsidRDefault="00B60E59" w:rsidP="00B60E59">
      <w:pPr>
        <w:spacing w:line="480" w:lineRule="auto"/>
        <w:rPr>
          <w:b/>
          <w:bCs/>
        </w:rPr>
      </w:pPr>
      <w:r>
        <w:rPr>
          <w:b/>
          <w:bCs/>
        </w:rPr>
        <w:t xml:space="preserve">Supplementary data 5- </w:t>
      </w:r>
      <w:r w:rsidRPr="0025212F">
        <w:t>Differentially expressed genes, established disease vs other</w:t>
      </w:r>
    </w:p>
    <w:p w14:paraId="589AA3CF" w14:textId="77777777" w:rsidR="00B60E59" w:rsidRDefault="00B60E59" w:rsidP="00B60E59">
      <w:pPr>
        <w:spacing w:line="480" w:lineRule="auto"/>
        <w:rPr>
          <w:b/>
          <w:bCs/>
        </w:rPr>
      </w:pPr>
      <w:r>
        <w:rPr>
          <w:b/>
          <w:bCs/>
        </w:rPr>
        <w:t xml:space="preserve">Supplementary data 6- </w:t>
      </w:r>
      <w:r w:rsidRPr="0025212F">
        <w:t>Weighted gene co-expression network analysis and association with time to relapse.</w:t>
      </w:r>
      <w:r>
        <w:rPr>
          <w:b/>
          <w:bCs/>
        </w:rPr>
        <w:t xml:space="preserve"> </w:t>
      </w:r>
    </w:p>
    <w:p w14:paraId="3F8B1477" w14:textId="77777777" w:rsidR="00B60E59" w:rsidRDefault="00B60E59" w:rsidP="00B60E59">
      <w:pPr>
        <w:spacing w:line="480" w:lineRule="auto"/>
      </w:pPr>
      <w:r>
        <w:rPr>
          <w:b/>
          <w:bCs/>
        </w:rPr>
        <w:t xml:space="preserve">Supplementary data 7- </w:t>
      </w:r>
      <w:r w:rsidRPr="0025212F">
        <w:t>Blue module gene pathway enrichment</w:t>
      </w:r>
    </w:p>
    <w:p w14:paraId="559CF205" w14:textId="77777777" w:rsidR="00B60E59" w:rsidRPr="007B14B4" w:rsidRDefault="00B60E59" w:rsidP="00B60E59">
      <w:pPr>
        <w:spacing w:line="480" w:lineRule="auto"/>
      </w:pPr>
      <w:r>
        <w:rPr>
          <w:b/>
          <w:bCs/>
        </w:rPr>
        <w:t xml:space="preserve">Supplementary data 8- </w:t>
      </w:r>
      <w:r>
        <w:rPr>
          <w:bCs/>
        </w:rPr>
        <w:t xml:space="preserve">Single </w:t>
      </w:r>
      <w:r>
        <w:t>cell cluster marker genes</w:t>
      </w:r>
    </w:p>
    <w:p w14:paraId="00FD8D07" w14:textId="77777777" w:rsidR="00B60E59" w:rsidRPr="003C37EF" w:rsidRDefault="00B60E59" w:rsidP="00B60E59">
      <w:pPr>
        <w:spacing w:line="480" w:lineRule="auto"/>
        <w:rPr>
          <w:b/>
          <w:bCs/>
          <w:u w:val="single"/>
        </w:rPr>
      </w:pPr>
      <w:r w:rsidRPr="003C37EF">
        <w:rPr>
          <w:b/>
          <w:bCs/>
          <w:u w:val="single"/>
        </w:rPr>
        <w:t>Acknowledgements:</w:t>
      </w:r>
    </w:p>
    <w:p w14:paraId="1A17E58A" w14:textId="77777777" w:rsidR="00B60E59" w:rsidRDefault="00B60E59" w:rsidP="00B60E59">
      <w:pPr>
        <w:spacing w:line="480" w:lineRule="auto"/>
      </w:pPr>
      <w:r w:rsidRPr="003C37EF">
        <w:t>We are grateful to the subjects who participated in this study. We acknowledge the use of the IRIDIS High Performance Computing Facility</w:t>
      </w:r>
      <w:r>
        <w:t>,</w:t>
      </w:r>
      <w:r w:rsidRPr="003C37EF">
        <w:t xml:space="preserve"> together with support services at the University of Southampton. </w:t>
      </w:r>
    </w:p>
    <w:p w14:paraId="21CDA81E" w14:textId="56A74239" w:rsidR="00B60E59" w:rsidRDefault="00B60E59" w:rsidP="00B60E59">
      <w:pPr>
        <w:spacing w:line="480" w:lineRule="auto"/>
      </w:pPr>
      <w:r w:rsidRPr="00FE41F6">
        <w:lastRenderedPageBreak/>
        <w:t>This study was supported by the Institute for Life Sciences, University of Southampton, the National Institute for Health Research (NIHR) Southampton Biomedical Centre</w:t>
      </w:r>
      <w:r>
        <w:t xml:space="preserve"> and</w:t>
      </w:r>
      <w:r w:rsidRPr="000E1374">
        <w:t xml:space="preserve"> the National Institute for Health Research (NIHR) Data Science Team within Southampton Biomedical Centre.</w:t>
      </w:r>
      <w:r w:rsidRPr="00FE41F6">
        <w:t xml:space="preserve"> The views expressed are those of the author(s) and not necessarily those of the NIHR or the Department of Health and Social Care</w:t>
      </w:r>
      <w:r>
        <w:t>.</w:t>
      </w:r>
      <w:r w:rsidRPr="000E1374">
        <w:t xml:space="preserve"> </w:t>
      </w:r>
    </w:p>
    <w:p w14:paraId="69B742BA" w14:textId="77777777" w:rsidR="00B60E59" w:rsidRPr="00C8651C" w:rsidRDefault="00B60E59" w:rsidP="00B60E59">
      <w:pPr>
        <w:spacing w:line="480" w:lineRule="auto"/>
        <w:rPr>
          <w:lang w:val="en-US"/>
        </w:rPr>
      </w:pPr>
      <w:r>
        <w:rPr>
          <w:lang w:val="en-US"/>
        </w:rPr>
        <w:t xml:space="preserve">We would like to thank </w:t>
      </w:r>
      <w:r w:rsidRPr="00434791">
        <w:rPr>
          <w:lang w:val="en-US"/>
        </w:rPr>
        <w:t>Wessex Investigational Sciences Hub</w:t>
      </w:r>
      <w:r>
        <w:rPr>
          <w:lang w:val="en-US"/>
        </w:rPr>
        <w:t xml:space="preserve"> (WISH) laboratory</w:t>
      </w:r>
      <w:r w:rsidRPr="00434791">
        <w:rPr>
          <w:lang w:val="en-US"/>
        </w:rPr>
        <w:t xml:space="preserve">, </w:t>
      </w:r>
      <w:r>
        <w:rPr>
          <w:lang w:val="en-US"/>
        </w:rPr>
        <w:t xml:space="preserve">for providing access to WISH genomic platforms, HTG </w:t>
      </w:r>
      <w:proofErr w:type="spellStart"/>
      <w:r>
        <w:rPr>
          <w:lang w:val="en-US"/>
        </w:rPr>
        <w:t>EdgeSeq</w:t>
      </w:r>
      <w:proofErr w:type="spellEnd"/>
      <w:r>
        <w:rPr>
          <w:lang w:val="en-US"/>
        </w:rPr>
        <w:t xml:space="preserve"> and NextSeq500.</w:t>
      </w:r>
    </w:p>
    <w:p w14:paraId="3687C821" w14:textId="77777777" w:rsidR="00B60E59" w:rsidRDefault="00B60E59" w:rsidP="00B60E59">
      <w:pPr>
        <w:spacing w:line="480" w:lineRule="auto"/>
      </w:pPr>
      <w:r>
        <w:t>The Drop-</w:t>
      </w:r>
      <w:proofErr w:type="spellStart"/>
      <w:r>
        <w:t>Seq</w:t>
      </w:r>
      <w:proofErr w:type="spellEnd"/>
      <w:r>
        <w:t xml:space="preserve"> device and imaging rig utilised in this project were made by Martin </w:t>
      </w:r>
      <w:proofErr w:type="spellStart"/>
      <w:r>
        <w:t>Fischlechner</w:t>
      </w:r>
      <w:proofErr w:type="spellEnd"/>
      <w:r>
        <w:t xml:space="preserve"> and Jonathon West. </w:t>
      </w:r>
    </w:p>
    <w:p w14:paraId="12156106" w14:textId="77777777" w:rsidR="00B60E59" w:rsidRPr="003C37EF" w:rsidRDefault="00B60E59" w:rsidP="00B60E59">
      <w:pPr>
        <w:spacing w:line="480" w:lineRule="auto"/>
        <w:rPr>
          <w:b/>
          <w:bCs/>
          <w:u w:val="single"/>
        </w:rPr>
      </w:pPr>
      <w:r w:rsidRPr="003C37EF">
        <w:rPr>
          <w:b/>
          <w:bCs/>
          <w:u w:val="single"/>
        </w:rPr>
        <w:t>Funding</w:t>
      </w:r>
    </w:p>
    <w:p w14:paraId="5937DE26" w14:textId="77777777" w:rsidR="00B60E59" w:rsidRPr="003C37EF" w:rsidRDefault="00B60E59" w:rsidP="00B60E59">
      <w:pPr>
        <w:spacing w:line="480" w:lineRule="auto"/>
      </w:pPr>
      <w:r>
        <w:t xml:space="preserve">JJA is funded by an action medical research training fellowship and an ESPEN personal fellowship. </w:t>
      </w:r>
      <w:r>
        <w:rPr>
          <w:lang w:val="en-US"/>
        </w:rPr>
        <w:t xml:space="preserve">KB is funded by </w:t>
      </w:r>
      <w:r w:rsidRPr="00434791">
        <w:rPr>
          <w:lang w:val="en-US"/>
        </w:rPr>
        <w:t>Wessex Investigational Sciences Hub</w:t>
      </w:r>
      <w:r>
        <w:rPr>
          <w:lang w:val="en-US"/>
        </w:rPr>
        <w:t>, Faculty of Medicine, Cancer Sciences.</w:t>
      </w:r>
      <w:r w:rsidRPr="00C8651C">
        <w:rPr>
          <w:lang w:val="en-US"/>
        </w:rPr>
        <w:t xml:space="preserve"> </w:t>
      </w:r>
      <w:r w:rsidRPr="003C37EF">
        <w:t>MEP is funded by a Sir Hen</w:t>
      </w:r>
      <w:r>
        <w:t>r</w:t>
      </w:r>
      <w:r w:rsidRPr="003C37EF">
        <w:t xml:space="preserve">y Dale Fellowship from </w:t>
      </w:r>
      <w:proofErr w:type="spellStart"/>
      <w:r w:rsidRPr="003C37EF">
        <w:t>Wellcome</w:t>
      </w:r>
      <w:proofErr w:type="spellEnd"/>
      <w:r w:rsidRPr="003C37EF">
        <w:t xml:space="preserve"> Trust, 109377/Z/15/Z. Drop-</w:t>
      </w:r>
      <w:proofErr w:type="spellStart"/>
      <w:r w:rsidRPr="003C37EF">
        <w:t>Seq</w:t>
      </w:r>
      <w:proofErr w:type="spellEnd"/>
      <w:r w:rsidRPr="003C37EF">
        <w:t xml:space="preserve"> experiments were funded by MRC grant MC_PC_15078.</w:t>
      </w:r>
    </w:p>
    <w:p w14:paraId="4F522FC5" w14:textId="77777777" w:rsidR="00B60E59" w:rsidRDefault="00B60E59" w:rsidP="00B60E59">
      <w:pPr>
        <w:spacing w:line="480" w:lineRule="auto"/>
        <w:rPr>
          <w:b/>
          <w:bCs/>
          <w:u w:val="single"/>
        </w:rPr>
      </w:pPr>
    </w:p>
    <w:p w14:paraId="1EFF7BD9" w14:textId="77777777" w:rsidR="00B60E59" w:rsidRDefault="00B60E59" w:rsidP="00B60E59">
      <w:pPr>
        <w:spacing w:line="480" w:lineRule="auto"/>
        <w:rPr>
          <w:b/>
          <w:bCs/>
          <w:u w:val="single"/>
        </w:rPr>
      </w:pPr>
    </w:p>
    <w:p w14:paraId="4A3F0128" w14:textId="77777777" w:rsidR="00B60E59" w:rsidRDefault="00B60E59" w:rsidP="00B60E59">
      <w:pPr>
        <w:spacing w:line="480" w:lineRule="auto"/>
        <w:rPr>
          <w:b/>
          <w:bCs/>
          <w:u w:val="single"/>
        </w:rPr>
      </w:pPr>
    </w:p>
    <w:p w14:paraId="6E1C46C0" w14:textId="77777777" w:rsidR="00B60E59" w:rsidRDefault="00B60E59" w:rsidP="00B60E59">
      <w:pPr>
        <w:spacing w:line="480" w:lineRule="auto"/>
        <w:rPr>
          <w:b/>
          <w:bCs/>
          <w:u w:val="single"/>
        </w:rPr>
      </w:pPr>
    </w:p>
    <w:p w14:paraId="4DD3312E" w14:textId="69A47459" w:rsidR="00B60E59" w:rsidRDefault="00B60E59" w:rsidP="00B60E59">
      <w:pPr>
        <w:spacing w:line="480" w:lineRule="auto"/>
        <w:rPr>
          <w:b/>
          <w:bCs/>
          <w:u w:val="single"/>
        </w:rPr>
      </w:pPr>
    </w:p>
    <w:p w14:paraId="65106CE5" w14:textId="422E82FB" w:rsidR="00B1645A" w:rsidRDefault="00B1645A" w:rsidP="00B60E59">
      <w:pPr>
        <w:spacing w:line="480" w:lineRule="auto"/>
        <w:rPr>
          <w:b/>
          <w:bCs/>
          <w:u w:val="single"/>
        </w:rPr>
      </w:pPr>
    </w:p>
    <w:p w14:paraId="0D639F58" w14:textId="41E4A35F" w:rsidR="00B1645A" w:rsidRDefault="00B1645A" w:rsidP="00B60E59">
      <w:pPr>
        <w:spacing w:line="480" w:lineRule="auto"/>
        <w:rPr>
          <w:b/>
          <w:bCs/>
          <w:u w:val="single"/>
        </w:rPr>
      </w:pPr>
    </w:p>
    <w:p w14:paraId="7B5C5A63" w14:textId="210470DE" w:rsidR="00B1645A" w:rsidRDefault="00B1645A" w:rsidP="00B60E59">
      <w:pPr>
        <w:spacing w:line="480" w:lineRule="auto"/>
        <w:rPr>
          <w:b/>
          <w:bCs/>
          <w:u w:val="single"/>
        </w:rPr>
      </w:pPr>
    </w:p>
    <w:p w14:paraId="426AB383" w14:textId="127591A4" w:rsidR="00B1645A" w:rsidRDefault="00B1645A" w:rsidP="00B60E59">
      <w:pPr>
        <w:spacing w:line="480" w:lineRule="auto"/>
        <w:rPr>
          <w:b/>
          <w:bCs/>
          <w:u w:val="single"/>
        </w:rPr>
      </w:pPr>
    </w:p>
    <w:p w14:paraId="43610D61" w14:textId="7D4B230B" w:rsidR="00B1645A" w:rsidRDefault="00B1645A" w:rsidP="00B60E59">
      <w:pPr>
        <w:spacing w:line="480" w:lineRule="auto"/>
        <w:rPr>
          <w:b/>
          <w:bCs/>
          <w:u w:val="single"/>
        </w:rPr>
      </w:pPr>
    </w:p>
    <w:p w14:paraId="468C50E9" w14:textId="1008D47D" w:rsidR="00B1645A" w:rsidRDefault="00B1645A" w:rsidP="00B60E59">
      <w:pPr>
        <w:spacing w:line="480" w:lineRule="auto"/>
        <w:rPr>
          <w:b/>
          <w:bCs/>
          <w:u w:val="single"/>
        </w:rPr>
      </w:pPr>
    </w:p>
    <w:p w14:paraId="3DCC6AB8" w14:textId="6626EE3B" w:rsidR="00B1645A" w:rsidRDefault="00B1645A" w:rsidP="00B60E59">
      <w:pPr>
        <w:spacing w:line="480" w:lineRule="auto"/>
        <w:rPr>
          <w:b/>
          <w:bCs/>
          <w:u w:val="single"/>
        </w:rPr>
      </w:pPr>
    </w:p>
    <w:p w14:paraId="7E8E4205" w14:textId="3287ABEF" w:rsidR="00B1645A" w:rsidRDefault="00B1645A" w:rsidP="00B60E59">
      <w:pPr>
        <w:spacing w:line="480" w:lineRule="auto"/>
        <w:rPr>
          <w:b/>
          <w:bCs/>
          <w:u w:val="single"/>
        </w:rPr>
      </w:pPr>
    </w:p>
    <w:p w14:paraId="19DBBBE1" w14:textId="77777777" w:rsidR="00B1645A" w:rsidRDefault="00B1645A" w:rsidP="00B60E59">
      <w:pPr>
        <w:spacing w:line="480" w:lineRule="auto"/>
        <w:rPr>
          <w:b/>
          <w:bCs/>
          <w:u w:val="single"/>
        </w:rPr>
      </w:pPr>
    </w:p>
    <w:p w14:paraId="3A128E40" w14:textId="77777777" w:rsidR="00B60E59" w:rsidRPr="00A3726C" w:rsidRDefault="00B60E59" w:rsidP="00B60E59">
      <w:pPr>
        <w:spacing w:line="480" w:lineRule="auto"/>
        <w:rPr>
          <w:b/>
          <w:bCs/>
          <w:u w:val="single"/>
        </w:rPr>
      </w:pPr>
      <w:r w:rsidRPr="00A3726C">
        <w:rPr>
          <w:b/>
          <w:bCs/>
          <w:u w:val="single"/>
        </w:rPr>
        <w:t>References</w:t>
      </w:r>
    </w:p>
    <w:p w14:paraId="168F1FC7" w14:textId="5AC504FF" w:rsidR="0031502F" w:rsidRPr="0031502F" w:rsidRDefault="00B60E59" w:rsidP="0031502F">
      <w:pPr>
        <w:widowControl w:val="0"/>
        <w:autoSpaceDE w:val="0"/>
        <w:autoSpaceDN w:val="0"/>
        <w:adjustRightInd w:val="0"/>
        <w:spacing w:line="480" w:lineRule="auto"/>
        <w:ind w:left="640" w:hanging="640"/>
        <w:rPr>
          <w:rFonts w:ascii="Calibri" w:hAnsi="Calibri" w:cs="Calibri"/>
          <w:noProof/>
          <w:szCs w:val="24"/>
        </w:rPr>
      </w:pPr>
      <w:r w:rsidRPr="00A3726C">
        <w:rPr>
          <w:b/>
          <w:bCs/>
          <w:u w:val="single"/>
        </w:rPr>
        <w:fldChar w:fldCharType="begin" w:fldLock="1"/>
      </w:r>
      <w:r w:rsidRPr="00A3726C">
        <w:rPr>
          <w:b/>
          <w:bCs/>
          <w:u w:val="single"/>
        </w:rPr>
        <w:instrText xml:space="preserve">ADDIN Mendeley Bibliography CSL_BIBLIOGRAPHY </w:instrText>
      </w:r>
      <w:r w:rsidRPr="00A3726C">
        <w:rPr>
          <w:b/>
          <w:bCs/>
          <w:u w:val="single"/>
        </w:rPr>
        <w:fldChar w:fldCharType="separate"/>
      </w:r>
      <w:r w:rsidR="0031502F" w:rsidRPr="0031502F">
        <w:rPr>
          <w:rFonts w:ascii="Calibri" w:hAnsi="Calibri" w:cs="Calibri"/>
          <w:noProof/>
          <w:szCs w:val="24"/>
        </w:rPr>
        <w:t>1.</w:t>
      </w:r>
      <w:r w:rsidR="0031502F" w:rsidRPr="0031502F">
        <w:rPr>
          <w:rFonts w:ascii="Calibri" w:hAnsi="Calibri" w:cs="Calibri"/>
          <w:noProof/>
          <w:szCs w:val="24"/>
        </w:rPr>
        <w:tab/>
        <w:t xml:space="preserve">Khor B., Gardet A., Xavier RJ., s GA., J. XR. Genetics and pathogenesis of inflammatory bowel disease. </w:t>
      </w:r>
      <w:r w:rsidR="0031502F" w:rsidRPr="0031502F">
        <w:rPr>
          <w:rFonts w:ascii="Calibri" w:hAnsi="Calibri" w:cs="Calibri"/>
          <w:i/>
          <w:iCs/>
          <w:noProof/>
          <w:szCs w:val="24"/>
        </w:rPr>
        <w:t>Nature</w:t>
      </w:r>
      <w:r w:rsidR="0031502F" w:rsidRPr="0031502F">
        <w:rPr>
          <w:rFonts w:ascii="Calibri" w:hAnsi="Calibri" w:cs="Calibri"/>
          <w:noProof/>
          <w:szCs w:val="24"/>
        </w:rPr>
        <w:t xml:space="preserve"> 2011;</w:t>
      </w:r>
      <w:r w:rsidR="0031502F" w:rsidRPr="0031502F">
        <w:rPr>
          <w:rFonts w:ascii="Calibri" w:hAnsi="Calibri" w:cs="Calibri"/>
          <w:b/>
          <w:bCs/>
          <w:noProof/>
          <w:szCs w:val="24"/>
        </w:rPr>
        <w:t>474</w:t>
      </w:r>
      <w:r w:rsidR="0031502F" w:rsidRPr="0031502F">
        <w:rPr>
          <w:rFonts w:ascii="Calibri" w:hAnsi="Calibri" w:cs="Calibri"/>
          <w:noProof/>
          <w:szCs w:val="24"/>
        </w:rPr>
        <w:t>(7351):307–17. Doi: 10.1038/nature10209.</w:t>
      </w:r>
    </w:p>
    <w:p w14:paraId="0BC2E3AC"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w:t>
      </w:r>
      <w:r w:rsidRPr="0031502F">
        <w:rPr>
          <w:rFonts w:ascii="Calibri" w:hAnsi="Calibri" w:cs="Calibri"/>
          <w:noProof/>
          <w:szCs w:val="24"/>
        </w:rPr>
        <w:tab/>
        <w:t xml:space="preserve">Graham DB., Xavier RJ. Pathway paradigms revealed from the genetics of inflammatory bowel disease. </w:t>
      </w:r>
      <w:r w:rsidRPr="0031502F">
        <w:rPr>
          <w:rFonts w:ascii="Calibri" w:hAnsi="Calibri" w:cs="Calibri"/>
          <w:i/>
          <w:iCs/>
          <w:noProof/>
          <w:szCs w:val="24"/>
        </w:rPr>
        <w:t>Nature</w:t>
      </w:r>
      <w:r w:rsidRPr="0031502F">
        <w:rPr>
          <w:rFonts w:ascii="Calibri" w:hAnsi="Calibri" w:cs="Calibri"/>
          <w:noProof/>
          <w:szCs w:val="24"/>
        </w:rPr>
        <w:t xml:space="preserve"> 2020;</w:t>
      </w:r>
      <w:r w:rsidRPr="0031502F">
        <w:rPr>
          <w:rFonts w:ascii="Calibri" w:hAnsi="Calibri" w:cs="Calibri"/>
          <w:b/>
          <w:bCs/>
          <w:noProof/>
          <w:szCs w:val="24"/>
        </w:rPr>
        <w:t>578</w:t>
      </w:r>
      <w:r w:rsidRPr="0031502F">
        <w:rPr>
          <w:rFonts w:ascii="Calibri" w:hAnsi="Calibri" w:cs="Calibri"/>
          <w:noProof/>
          <w:szCs w:val="24"/>
        </w:rPr>
        <w:t>(7796):527–39. Doi: 10.1038/s41586-020-2025-2.</w:t>
      </w:r>
    </w:p>
    <w:p w14:paraId="4EA4F0CF"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w:t>
      </w:r>
      <w:r w:rsidRPr="0031502F">
        <w:rPr>
          <w:rFonts w:ascii="Calibri" w:hAnsi="Calibri" w:cs="Calibri"/>
          <w:noProof/>
          <w:szCs w:val="24"/>
        </w:rPr>
        <w:tab/>
        <w:t xml:space="preserve">Kotlarz D., Beier R., Murugan D., Diestelhorst J., Jensen O., Boztug K., et al. Loss of Interleukin-10 Signaling and Infantile Inflammatory Bowel Disease: Implications for Diagnosis and Therapy. </w:t>
      </w:r>
      <w:r w:rsidRPr="0031502F">
        <w:rPr>
          <w:rFonts w:ascii="Calibri" w:hAnsi="Calibri" w:cs="Calibri"/>
          <w:i/>
          <w:iCs/>
          <w:noProof/>
          <w:szCs w:val="24"/>
        </w:rPr>
        <w:t>Gastroenterology</w:t>
      </w:r>
      <w:r w:rsidRPr="0031502F">
        <w:rPr>
          <w:rFonts w:ascii="Calibri" w:hAnsi="Calibri" w:cs="Calibri"/>
          <w:noProof/>
          <w:szCs w:val="24"/>
        </w:rPr>
        <w:t xml:space="preserve"> 2012;</w:t>
      </w:r>
      <w:r w:rsidRPr="0031502F">
        <w:rPr>
          <w:rFonts w:ascii="Calibri" w:hAnsi="Calibri" w:cs="Calibri"/>
          <w:b/>
          <w:bCs/>
          <w:noProof/>
          <w:szCs w:val="24"/>
        </w:rPr>
        <w:t>143</w:t>
      </w:r>
      <w:r w:rsidRPr="0031502F">
        <w:rPr>
          <w:rFonts w:ascii="Calibri" w:hAnsi="Calibri" w:cs="Calibri"/>
          <w:noProof/>
          <w:szCs w:val="24"/>
        </w:rPr>
        <w:t>(2):347–55. Doi: 10.1053/j.gastro.2012.04.045.</w:t>
      </w:r>
    </w:p>
    <w:p w14:paraId="28B71F4D"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w:t>
      </w:r>
      <w:r w:rsidRPr="0031502F">
        <w:rPr>
          <w:rFonts w:ascii="Calibri" w:hAnsi="Calibri" w:cs="Calibri"/>
          <w:noProof/>
          <w:szCs w:val="24"/>
        </w:rPr>
        <w:tab/>
        <w:t xml:space="preserve">Ashton JJ., Mossotto E., Stafford IS., Haggarty R., Coelho TAF., Batra A., et al. Genetic Sequencing of Pediatric Patients Identifies Mutations in Monogenic Inflammatory Bowel Disease Genes that Translate to Distinct Clinical Phenotypes. </w:t>
      </w:r>
      <w:r w:rsidRPr="0031502F">
        <w:rPr>
          <w:rFonts w:ascii="Calibri" w:hAnsi="Calibri" w:cs="Calibri"/>
          <w:i/>
          <w:iCs/>
          <w:noProof/>
          <w:szCs w:val="24"/>
        </w:rPr>
        <w:t>Clin Transl Gastroenterol</w:t>
      </w:r>
      <w:r w:rsidRPr="0031502F">
        <w:rPr>
          <w:rFonts w:ascii="Calibri" w:hAnsi="Calibri" w:cs="Calibri"/>
          <w:noProof/>
          <w:szCs w:val="24"/>
        </w:rPr>
        <w:t xml:space="preserve"> 2020;</w:t>
      </w:r>
      <w:r w:rsidRPr="0031502F">
        <w:rPr>
          <w:rFonts w:ascii="Calibri" w:hAnsi="Calibri" w:cs="Calibri"/>
          <w:b/>
          <w:bCs/>
          <w:noProof/>
          <w:szCs w:val="24"/>
        </w:rPr>
        <w:t>11</w:t>
      </w:r>
      <w:r w:rsidRPr="0031502F">
        <w:rPr>
          <w:rFonts w:ascii="Calibri" w:hAnsi="Calibri" w:cs="Calibri"/>
          <w:noProof/>
          <w:szCs w:val="24"/>
        </w:rPr>
        <w:t>(2):e00129. Doi: 10.14309/ctg.0000000000000129.</w:t>
      </w:r>
    </w:p>
    <w:p w14:paraId="1438883E"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5.</w:t>
      </w:r>
      <w:r w:rsidRPr="0031502F">
        <w:rPr>
          <w:rFonts w:ascii="Calibri" w:hAnsi="Calibri" w:cs="Calibri"/>
          <w:noProof/>
          <w:szCs w:val="24"/>
        </w:rPr>
        <w:tab/>
        <w:t xml:space="preserve">Denson LA., Jurickova I., Karns R., Shaw KA., Cutler DJ., Okou DT., et al. Clinical and Genomic Correlates of Neutrophil Reactive Oxygen Species Production in Pediatric Patients With Crohn’s Disease. </w:t>
      </w:r>
      <w:r w:rsidRPr="0031502F">
        <w:rPr>
          <w:rFonts w:ascii="Calibri" w:hAnsi="Calibri" w:cs="Calibri"/>
          <w:i/>
          <w:iCs/>
          <w:noProof/>
          <w:szCs w:val="24"/>
        </w:rPr>
        <w:t>Gastroenterology</w:t>
      </w:r>
      <w:r w:rsidRPr="0031502F">
        <w:rPr>
          <w:rFonts w:ascii="Calibri" w:hAnsi="Calibri" w:cs="Calibri"/>
          <w:noProof/>
          <w:szCs w:val="24"/>
        </w:rPr>
        <w:t xml:space="preserve"> 2018;</w:t>
      </w:r>
      <w:r w:rsidRPr="0031502F">
        <w:rPr>
          <w:rFonts w:ascii="Calibri" w:hAnsi="Calibri" w:cs="Calibri"/>
          <w:b/>
          <w:bCs/>
          <w:noProof/>
          <w:szCs w:val="24"/>
        </w:rPr>
        <w:t>154</w:t>
      </w:r>
      <w:r w:rsidRPr="0031502F">
        <w:rPr>
          <w:rFonts w:ascii="Calibri" w:hAnsi="Calibri" w:cs="Calibri"/>
          <w:noProof/>
          <w:szCs w:val="24"/>
        </w:rPr>
        <w:t>(8):2097–110. Doi: 10.1053/j.gastro.2018.02.016.</w:t>
      </w:r>
    </w:p>
    <w:p w14:paraId="57CF8000"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6.</w:t>
      </w:r>
      <w:r w:rsidRPr="0031502F">
        <w:rPr>
          <w:rFonts w:ascii="Calibri" w:hAnsi="Calibri" w:cs="Calibri"/>
          <w:noProof/>
          <w:szCs w:val="24"/>
        </w:rPr>
        <w:tab/>
        <w:t xml:space="preserve">Ashton JJ., Mossotto E., Ennis S., Beattie RM. Personalising medicine in inflammatory bowel </w:t>
      </w:r>
      <w:r w:rsidRPr="0031502F">
        <w:rPr>
          <w:rFonts w:ascii="Calibri" w:hAnsi="Calibri" w:cs="Calibri"/>
          <w:noProof/>
          <w:szCs w:val="24"/>
        </w:rPr>
        <w:lastRenderedPageBreak/>
        <w:t xml:space="preserve">disease—current and future perspectives. </w:t>
      </w:r>
      <w:r w:rsidRPr="0031502F">
        <w:rPr>
          <w:rFonts w:ascii="Calibri" w:hAnsi="Calibri" w:cs="Calibri"/>
          <w:i/>
          <w:iCs/>
          <w:noProof/>
          <w:szCs w:val="24"/>
        </w:rPr>
        <w:t>Transl Pediatr</w:t>
      </w:r>
      <w:r w:rsidRPr="0031502F">
        <w:rPr>
          <w:rFonts w:ascii="Calibri" w:hAnsi="Calibri" w:cs="Calibri"/>
          <w:noProof/>
          <w:szCs w:val="24"/>
        </w:rPr>
        <w:t xml:space="preserve"> 2019;</w:t>
      </w:r>
      <w:r w:rsidRPr="0031502F">
        <w:rPr>
          <w:rFonts w:ascii="Calibri" w:hAnsi="Calibri" w:cs="Calibri"/>
          <w:b/>
          <w:bCs/>
          <w:noProof/>
          <w:szCs w:val="24"/>
        </w:rPr>
        <w:t>8</w:t>
      </w:r>
      <w:r w:rsidRPr="0031502F">
        <w:rPr>
          <w:rFonts w:ascii="Calibri" w:hAnsi="Calibri" w:cs="Calibri"/>
          <w:noProof/>
          <w:szCs w:val="24"/>
        </w:rPr>
        <w:t>(1):56. Doi: 10.21037/TP.2018.12.03.</w:t>
      </w:r>
    </w:p>
    <w:p w14:paraId="4E6E52CC"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7.</w:t>
      </w:r>
      <w:r w:rsidRPr="0031502F">
        <w:rPr>
          <w:rFonts w:ascii="Calibri" w:hAnsi="Calibri" w:cs="Calibri"/>
          <w:noProof/>
          <w:szCs w:val="24"/>
        </w:rPr>
        <w:tab/>
        <w:t xml:space="preserve">West NR., Hegazy AN., Owens BMJ., Bullers SJ., Linggi B., Buonocore S., et al. Oncostatin M drives intestinal inflammation and predicts response to tumor necrosis factor–neutralizing therapy in patients with inflammatory bowel disease. </w:t>
      </w:r>
      <w:r w:rsidRPr="0031502F">
        <w:rPr>
          <w:rFonts w:ascii="Calibri" w:hAnsi="Calibri" w:cs="Calibri"/>
          <w:i/>
          <w:iCs/>
          <w:noProof/>
          <w:szCs w:val="24"/>
        </w:rPr>
        <w:t>Nat Med</w:t>
      </w:r>
      <w:r w:rsidRPr="0031502F">
        <w:rPr>
          <w:rFonts w:ascii="Calibri" w:hAnsi="Calibri" w:cs="Calibri"/>
          <w:noProof/>
          <w:szCs w:val="24"/>
        </w:rPr>
        <w:t xml:space="preserve"> 2017;</w:t>
      </w:r>
      <w:r w:rsidRPr="0031502F">
        <w:rPr>
          <w:rFonts w:ascii="Calibri" w:hAnsi="Calibri" w:cs="Calibri"/>
          <w:b/>
          <w:bCs/>
          <w:noProof/>
          <w:szCs w:val="24"/>
        </w:rPr>
        <w:t>23</w:t>
      </w:r>
      <w:r w:rsidRPr="0031502F">
        <w:rPr>
          <w:rFonts w:ascii="Calibri" w:hAnsi="Calibri" w:cs="Calibri"/>
          <w:noProof/>
          <w:szCs w:val="24"/>
        </w:rPr>
        <w:t>:579–89. Doi: 10.1038/nm.4307.</w:t>
      </w:r>
    </w:p>
    <w:p w14:paraId="796B2AEE"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8.</w:t>
      </w:r>
      <w:r w:rsidRPr="0031502F">
        <w:rPr>
          <w:rFonts w:ascii="Calibri" w:hAnsi="Calibri" w:cs="Calibri"/>
          <w:noProof/>
          <w:szCs w:val="24"/>
        </w:rPr>
        <w:tab/>
        <w:t xml:space="preserve">Haberman Y., Tickle TL., Dexheimer PJ., Kim MO., Tang D., Karns R., et al. Pediatric Crohn disease patients exhibit specific ileal transcriptome and microbiome signature. </w:t>
      </w:r>
      <w:r w:rsidRPr="0031502F">
        <w:rPr>
          <w:rFonts w:ascii="Calibri" w:hAnsi="Calibri" w:cs="Calibri"/>
          <w:i/>
          <w:iCs/>
          <w:noProof/>
          <w:szCs w:val="24"/>
        </w:rPr>
        <w:t>J Clin Invest</w:t>
      </w:r>
      <w:r w:rsidRPr="0031502F">
        <w:rPr>
          <w:rFonts w:ascii="Calibri" w:hAnsi="Calibri" w:cs="Calibri"/>
          <w:noProof/>
          <w:szCs w:val="24"/>
        </w:rPr>
        <w:t xml:space="preserve"> 2015;</w:t>
      </w:r>
      <w:r w:rsidRPr="0031502F">
        <w:rPr>
          <w:rFonts w:ascii="Calibri" w:hAnsi="Calibri" w:cs="Calibri"/>
          <w:b/>
          <w:bCs/>
          <w:noProof/>
          <w:szCs w:val="24"/>
        </w:rPr>
        <w:t>125</w:t>
      </w:r>
      <w:r w:rsidRPr="0031502F">
        <w:rPr>
          <w:rFonts w:ascii="Calibri" w:hAnsi="Calibri" w:cs="Calibri"/>
          <w:noProof/>
          <w:szCs w:val="24"/>
        </w:rPr>
        <w:t>(3):1363. Doi: 10.1172/JCI79657.</w:t>
      </w:r>
    </w:p>
    <w:p w14:paraId="1F5AEFF6"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9.</w:t>
      </w:r>
      <w:r w:rsidRPr="0031502F">
        <w:rPr>
          <w:rFonts w:ascii="Calibri" w:hAnsi="Calibri" w:cs="Calibri"/>
          <w:noProof/>
          <w:szCs w:val="24"/>
        </w:rPr>
        <w:tab/>
        <w:t xml:space="preserve">Verstockt B., Verstockt S., Dehairs J., Ballet V., Blevi H., Wollants WJ., et al. Low TREM1 expression in whole blood predicts anti-TNF response in inflammatory bowel disease. </w:t>
      </w:r>
      <w:r w:rsidRPr="0031502F">
        <w:rPr>
          <w:rFonts w:ascii="Calibri" w:hAnsi="Calibri" w:cs="Calibri"/>
          <w:i/>
          <w:iCs/>
          <w:noProof/>
          <w:szCs w:val="24"/>
        </w:rPr>
        <w:t>EBioMedicine</w:t>
      </w:r>
      <w:r w:rsidRPr="0031502F">
        <w:rPr>
          <w:rFonts w:ascii="Calibri" w:hAnsi="Calibri" w:cs="Calibri"/>
          <w:noProof/>
          <w:szCs w:val="24"/>
        </w:rPr>
        <w:t xml:space="preserve"> 2019;</w:t>
      </w:r>
      <w:r w:rsidRPr="0031502F">
        <w:rPr>
          <w:rFonts w:ascii="Calibri" w:hAnsi="Calibri" w:cs="Calibri"/>
          <w:b/>
          <w:bCs/>
          <w:noProof/>
          <w:szCs w:val="24"/>
        </w:rPr>
        <w:t>40</w:t>
      </w:r>
      <w:r w:rsidRPr="0031502F">
        <w:rPr>
          <w:rFonts w:ascii="Calibri" w:hAnsi="Calibri" w:cs="Calibri"/>
          <w:noProof/>
          <w:szCs w:val="24"/>
        </w:rPr>
        <w:t>:733–42. Doi: 10.1016/j.ebiom.2019.01.027.</w:t>
      </w:r>
    </w:p>
    <w:p w14:paraId="7EB481D0"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10.</w:t>
      </w:r>
      <w:r w:rsidRPr="0031502F">
        <w:rPr>
          <w:rFonts w:ascii="Calibri" w:hAnsi="Calibri" w:cs="Calibri"/>
          <w:noProof/>
          <w:szCs w:val="24"/>
        </w:rPr>
        <w:tab/>
        <w:t xml:space="preserve">Palmer NP., Silvester JA., Lee JJ., Beam AL., Fried I., Valtchinov VI., et al. Concordance between gene expression in peripheral whole blood and colonic tissue in children with inflammatory bowel disease. </w:t>
      </w:r>
      <w:r w:rsidRPr="0031502F">
        <w:rPr>
          <w:rFonts w:ascii="Calibri" w:hAnsi="Calibri" w:cs="Calibri"/>
          <w:i/>
          <w:iCs/>
          <w:noProof/>
          <w:szCs w:val="24"/>
        </w:rPr>
        <w:t>PLoS One</w:t>
      </w:r>
      <w:r w:rsidRPr="0031502F">
        <w:rPr>
          <w:rFonts w:ascii="Calibri" w:hAnsi="Calibri" w:cs="Calibri"/>
          <w:noProof/>
          <w:szCs w:val="24"/>
        </w:rPr>
        <w:t xml:space="preserve"> 2019;</w:t>
      </w:r>
      <w:r w:rsidRPr="0031502F">
        <w:rPr>
          <w:rFonts w:ascii="Calibri" w:hAnsi="Calibri" w:cs="Calibri"/>
          <w:b/>
          <w:bCs/>
          <w:noProof/>
          <w:szCs w:val="24"/>
        </w:rPr>
        <w:t>14</w:t>
      </w:r>
      <w:r w:rsidRPr="0031502F">
        <w:rPr>
          <w:rFonts w:ascii="Calibri" w:hAnsi="Calibri" w:cs="Calibri"/>
          <w:noProof/>
          <w:szCs w:val="24"/>
        </w:rPr>
        <w:t>(10):e0222952. Doi: 10.1371/journal.pone.0222952.</w:t>
      </w:r>
    </w:p>
    <w:p w14:paraId="6DE4F368"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11.</w:t>
      </w:r>
      <w:r w:rsidRPr="0031502F">
        <w:rPr>
          <w:rFonts w:ascii="Calibri" w:hAnsi="Calibri" w:cs="Calibri"/>
          <w:noProof/>
          <w:szCs w:val="24"/>
        </w:rPr>
        <w:tab/>
        <w:t xml:space="preserve">Martin DP., Miya J., Reeser JW., Roychowdhury S. Targeted RNA sequencing assay to characterize gene expression and genomic alterations. </w:t>
      </w:r>
      <w:r w:rsidRPr="0031502F">
        <w:rPr>
          <w:rFonts w:ascii="Calibri" w:hAnsi="Calibri" w:cs="Calibri"/>
          <w:i/>
          <w:iCs/>
          <w:noProof/>
          <w:szCs w:val="24"/>
        </w:rPr>
        <w:t>J Vis Exp</w:t>
      </w:r>
      <w:r w:rsidRPr="0031502F">
        <w:rPr>
          <w:rFonts w:ascii="Calibri" w:hAnsi="Calibri" w:cs="Calibri"/>
          <w:noProof/>
          <w:szCs w:val="24"/>
        </w:rPr>
        <w:t xml:space="preserve"> 2016;</w:t>
      </w:r>
      <w:r w:rsidRPr="0031502F">
        <w:rPr>
          <w:rFonts w:ascii="Calibri" w:hAnsi="Calibri" w:cs="Calibri"/>
          <w:b/>
          <w:bCs/>
          <w:noProof/>
          <w:szCs w:val="24"/>
        </w:rPr>
        <w:t>2016</w:t>
      </w:r>
      <w:r w:rsidRPr="0031502F">
        <w:rPr>
          <w:rFonts w:ascii="Calibri" w:hAnsi="Calibri" w:cs="Calibri"/>
          <w:noProof/>
          <w:szCs w:val="24"/>
        </w:rPr>
        <w:t>(114). Doi: 10.3791/54090.</w:t>
      </w:r>
    </w:p>
    <w:p w14:paraId="035ADDE3"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12.</w:t>
      </w:r>
      <w:r w:rsidRPr="0031502F">
        <w:rPr>
          <w:rFonts w:ascii="Calibri" w:hAnsi="Calibri" w:cs="Calibri"/>
          <w:noProof/>
          <w:szCs w:val="24"/>
        </w:rPr>
        <w:tab/>
        <w:t xml:space="preserve">Martin-Broto J., Cruz J., Penel N., Le Cesne A., Hindi N., Luna P., et al. Pazopanib for treatment of typical solitary fibrous tumours: a multicentre, single-arm, phase 2 trial. </w:t>
      </w:r>
      <w:r w:rsidRPr="0031502F">
        <w:rPr>
          <w:rFonts w:ascii="Calibri" w:hAnsi="Calibri" w:cs="Calibri"/>
          <w:i/>
          <w:iCs/>
          <w:noProof/>
          <w:szCs w:val="24"/>
        </w:rPr>
        <w:t>Lancet Oncol</w:t>
      </w:r>
      <w:r w:rsidRPr="0031502F">
        <w:rPr>
          <w:rFonts w:ascii="Calibri" w:hAnsi="Calibri" w:cs="Calibri"/>
          <w:noProof/>
          <w:szCs w:val="24"/>
        </w:rPr>
        <w:t xml:space="preserve"> 2020;</w:t>
      </w:r>
      <w:r w:rsidRPr="0031502F">
        <w:rPr>
          <w:rFonts w:ascii="Calibri" w:hAnsi="Calibri" w:cs="Calibri"/>
          <w:b/>
          <w:bCs/>
          <w:noProof/>
          <w:szCs w:val="24"/>
        </w:rPr>
        <w:t>21</w:t>
      </w:r>
      <w:r w:rsidRPr="0031502F">
        <w:rPr>
          <w:rFonts w:ascii="Calibri" w:hAnsi="Calibri" w:cs="Calibri"/>
          <w:noProof/>
          <w:szCs w:val="24"/>
        </w:rPr>
        <w:t>(3):456–66. Doi: 10.1016/s1470-2045(19)30826-5.</w:t>
      </w:r>
    </w:p>
    <w:p w14:paraId="4FFEFFBE"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13.</w:t>
      </w:r>
      <w:r w:rsidRPr="0031502F">
        <w:rPr>
          <w:rFonts w:ascii="Calibri" w:hAnsi="Calibri" w:cs="Calibri"/>
          <w:noProof/>
          <w:szCs w:val="24"/>
        </w:rPr>
        <w:tab/>
        <w:t xml:space="preserve">Hurtado M., Prokai L., Sankpal UT., Levesque B., Maram R., Chhabra J., et al. Next generation sequencing and functional pathway analysis to understand the mechanism of action of </w:t>
      </w:r>
      <w:r w:rsidRPr="0031502F">
        <w:rPr>
          <w:rFonts w:ascii="Calibri" w:hAnsi="Calibri" w:cs="Calibri"/>
          <w:noProof/>
          <w:szCs w:val="24"/>
        </w:rPr>
        <w:lastRenderedPageBreak/>
        <w:t xml:space="preserve">copper-tolfenamic acid against pancreatic cancer cells. </w:t>
      </w:r>
      <w:r w:rsidRPr="0031502F">
        <w:rPr>
          <w:rFonts w:ascii="Calibri" w:hAnsi="Calibri" w:cs="Calibri"/>
          <w:i/>
          <w:iCs/>
          <w:noProof/>
          <w:szCs w:val="24"/>
        </w:rPr>
        <w:t>Process Biochem</w:t>
      </w:r>
      <w:r w:rsidRPr="0031502F">
        <w:rPr>
          <w:rFonts w:ascii="Calibri" w:hAnsi="Calibri" w:cs="Calibri"/>
          <w:noProof/>
          <w:szCs w:val="24"/>
        </w:rPr>
        <w:t xml:space="preserve"> 2020;</w:t>
      </w:r>
      <w:r w:rsidRPr="0031502F">
        <w:rPr>
          <w:rFonts w:ascii="Calibri" w:hAnsi="Calibri" w:cs="Calibri"/>
          <w:b/>
          <w:bCs/>
          <w:noProof/>
          <w:szCs w:val="24"/>
        </w:rPr>
        <w:t>89</w:t>
      </w:r>
      <w:r w:rsidRPr="0031502F">
        <w:rPr>
          <w:rFonts w:ascii="Calibri" w:hAnsi="Calibri" w:cs="Calibri"/>
          <w:noProof/>
          <w:szCs w:val="24"/>
        </w:rPr>
        <w:t>:155–64. Doi: 10.1016/j.procbio.2019.10.022.</w:t>
      </w:r>
    </w:p>
    <w:p w14:paraId="04A5F14C"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14.</w:t>
      </w:r>
      <w:r w:rsidRPr="0031502F">
        <w:rPr>
          <w:rFonts w:ascii="Calibri" w:hAnsi="Calibri" w:cs="Calibri"/>
          <w:noProof/>
          <w:szCs w:val="24"/>
        </w:rPr>
        <w:tab/>
        <w:t xml:space="preserve">Macosko EZ., Basu A., Satija R., Nemesh J., Shekhar K., Goldman M., et al. Highly parallel genome-wide expression profiling of individual cells using nanoliter droplets. </w:t>
      </w:r>
      <w:r w:rsidRPr="0031502F">
        <w:rPr>
          <w:rFonts w:ascii="Calibri" w:hAnsi="Calibri" w:cs="Calibri"/>
          <w:i/>
          <w:iCs/>
          <w:noProof/>
          <w:szCs w:val="24"/>
        </w:rPr>
        <w:t>Cell</w:t>
      </w:r>
      <w:r w:rsidRPr="0031502F">
        <w:rPr>
          <w:rFonts w:ascii="Calibri" w:hAnsi="Calibri" w:cs="Calibri"/>
          <w:noProof/>
          <w:szCs w:val="24"/>
        </w:rPr>
        <w:t xml:space="preserve"> 2015;</w:t>
      </w:r>
      <w:r w:rsidRPr="0031502F">
        <w:rPr>
          <w:rFonts w:ascii="Calibri" w:hAnsi="Calibri" w:cs="Calibri"/>
          <w:b/>
          <w:bCs/>
          <w:noProof/>
          <w:szCs w:val="24"/>
        </w:rPr>
        <w:t>161</w:t>
      </w:r>
      <w:r w:rsidRPr="0031502F">
        <w:rPr>
          <w:rFonts w:ascii="Calibri" w:hAnsi="Calibri" w:cs="Calibri"/>
          <w:noProof/>
          <w:szCs w:val="24"/>
        </w:rPr>
        <w:t>(5):1202–14. Doi: 10.1016/j.cell.2015.05.002.</w:t>
      </w:r>
    </w:p>
    <w:p w14:paraId="6D2698D8"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15.</w:t>
      </w:r>
      <w:r w:rsidRPr="0031502F">
        <w:rPr>
          <w:rFonts w:ascii="Calibri" w:hAnsi="Calibri" w:cs="Calibri"/>
          <w:noProof/>
          <w:szCs w:val="24"/>
        </w:rPr>
        <w:tab/>
        <w:t xml:space="preserve">Martin JC., Chang C., Boschetti G., Ungaro R., Giri M., Grout JA., et al. Single-Cell Analysis of Crohn’s Disease Lesions Identifies a Pathogenic Cellular Module Associated with Resistance to Anti-TNF Therapy. </w:t>
      </w:r>
      <w:r w:rsidRPr="0031502F">
        <w:rPr>
          <w:rFonts w:ascii="Calibri" w:hAnsi="Calibri" w:cs="Calibri"/>
          <w:i/>
          <w:iCs/>
          <w:noProof/>
          <w:szCs w:val="24"/>
        </w:rPr>
        <w:t>Cell</w:t>
      </w:r>
      <w:r w:rsidRPr="0031502F">
        <w:rPr>
          <w:rFonts w:ascii="Calibri" w:hAnsi="Calibri" w:cs="Calibri"/>
          <w:noProof/>
          <w:szCs w:val="24"/>
        </w:rPr>
        <w:t xml:space="preserve"> 2019;</w:t>
      </w:r>
      <w:r w:rsidRPr="0031502F">
        <w:rPr>
          <w:rFonts w:ascii="Calibri" w:hAnsi="Calibri" w:cs="Calibri"/>
          <w:b/>
          <w:bCs/>
          <w:noProof/>
          <w:szCs w:val="24"/>
        </w:rPr>
        <w:t>178</w:t>
      </w:r>
      <w:r w:rsidRPr="0031502F">
        <w:rPr>
          <w:rFonts w:ascii="Calibri" w:hAnsi="Calibri" w:cs="Calibri"/>
          <w:noProof/>
          <w:szCs w:val="24"/>
        </w:rPr>
        <w:t>(6):1493-1508.e20. Doi: 10.1016/j.cell.2019.08.008.</w:t>
      </w:r>
    </w:p>
    <w:p w14:paraId="7CC2850F"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16.</w:t>
      </w:r>
      <w:r w:rsidRPr="0031502F">
        <w:rPr>
          <w:rFonts w:ascii="Calibri" w:hAnsi="Calibri" w:cs="Calibri"/>
          <w:noProof/>
          <w:szCs w:val="24"/>
        </w:rPr>
        <w:tab/>
        <w:t xml:space="preserve">Levine A., Koletzko S., Turner D., Escher JC., Cucchiara S., de Ridder L., et al. ESPGHAN revised porto criteria for the diagnosis of inflammatory bowel disease in children and adolescents. </w:t>
      </w:r>
      <w:r w:rsidRPr="0031502F">
        <w:rPr>
          <w:rFonts w:ascii="Calibri" w:hAnsi="Calibri" w:cs="Calibri"/>
          <w:i/>
          <w:iCs/>
          <w:noProof/>
          <w:szCs w:val="24"/>
        </w:rPr>
        <w:t>J Pediatr Gastroenterol Nutr</w:t>
      </w:r>
      <w:r w:rsidRPr="0031502F">
        <w:rPr>
          <w:rFonts w:ascii="Calibri" w:hAnsi="Calibri" w:cs="Calibri"/>
          <w:noProof/>
          <w:szCs w:val="24"/>
        </w:rPr>
        <w:t xml:space="preserve"> 2014;</w:t>
      </w:r>
      <w:r w:rsidRPr="0031502F">
        <w:rPr>
          <w:rFonts w:ascii="Calibri" w:hAnsi="Calibri" w:cs="Calibri"/>
          <w:b/>
          <w:bCs/>
          <w:noProof/>
          <w:szCs w:val="24"/>
        </w:rPr>
        <w:t>58</w:t>
      </w:r>
      <w:r w:rsidRPr="0031502F">
        <w:rPr>
          <w:rFonts w:ascii="Calibri" w:hAnsi="Calibri" w:cs="Calibri"/>
          <w:noProof/>
          <w:szCs w:val="24"/>
        </w:rPr>
        <w:t>(6). Doi: 10.1097/MPG.0000000000000239.</w:t>
      </w:r>
    </w:p>
    <w:p w14:paraId="4D77948C"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17.</w:t>
      </w:r>
      <w:r w:rsidRPr="0031502F">
        <w:rPr>
          <w:rFonts w:ascii="Calibri" w:hAnsi="Calibri" w:cs="Calibri"/>
          <w:noProof/>
          <w:szCs w:val="24"/>
        </w:rPr>
        <w:tab/>
        <w:t>HTG Autoimmune - HTG Autoimmune.</w:t>
      </w:r>
    </w:p>
    <w:p w14:paraId="7F8AA1B0"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18.</w:t>
      </w:r>
      <w:r w:rsidRPr="0031502F">
        <w:rPr>
          <w:rFonts w:ascii="Calibri" w:hAnsi="Calibri" w:cs="Calibri"/>
          <w:noProof/>
          <w:szCs w:val="24"/>
        </w:rPr>
        <w:tab/>
        <w:t>Godoy PM., Barczak AJ., Dehoff P., Das S., Erle DJ., Correspondence LCL. Comparison of Reproducibility, Accuracy, Sensitivity, and Specificity of miRNA Quantification Platforms n.d. Doi: 10.1016/j.celrep.2019.11.078.</w:t>
      </w:r>
    </w:p>
    <w:p w14:paraId="0469CD2F"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19.</w:t>
      </w:r>
      <w:r w:rsidRPr="0031502F">
        <w:rPr>
          <w:rFonts w:ascii="Calibri" w:hAnsi="Calibri" w:cs="Calibri"/>
          <w:noProof/>
          <w:szCs w:val="24"/>
        </w:rPr>
        <w:tab/>
        <w:t xml:space="preserve">Dillies M-A., Rau A., Aubert J., Hennequet-Antier C., Jeanmougin M., Servant N., et al. A comprehensive evaluation of normalization methods for Illumina high-throughput RNA sequencing data analysis. </w:t>
      </w:r>
      <w:r w:rsidRPr="0031502F">
        <w:rPr>
          <w:rFonts w:ascii="Calibri" w:hAnsi="Calibri" w:cs="Calibri"/>
          <w:i/>
          <w:iCs/>
          <w:noProof/>
          <w:szCs w:val="24"/>
        </w:rPr>
        <w:t>Brief Bioinform</w:t>
      </w:r>
      <w:r w:rsidRPr="0031502F">
        <w:rPr>
          <w:rFonts w:ascii="Calibri" w:hAnsi="Calibri" w:cs="Calibri"/>
          <w:noProof/>
          <w:szCs w:val="24"/>
        </w:rPr>
        <w:t xml:space="preserve"> 2013;</w:t>
      </w:r>
      <w:r w:rsidRPr="0031502F">
        <w:rPr>
          <w:rFonts w:ascii="Calibri" w:hAnsi="Calibri" w:cs="Calibri"/>
          <w:b/>
          <w:bCs/>
          <w:noProof/>
          <w:szCs w:val="24"/>
        </w:rPr>
        <w:t>14</w:t>
      </w:r>
      <w:r w:rsidRPr="0031502F">
        <w:rPr>
          <w:rFonts w:ascii="Calibri" w:hAnsi="Calibri" w:cs="Calibri"/>
          <w:noProof/>
          <w:szCs w:val="24"/>
        </w:rPr>
        <w:t>(6):671–83. Doi: 10.1093/bib/bbs046.</w:t>
      </w:r>
    </w:p>
    <w:p w14:paraId="69F13B72"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20.</w:t>
      </w:r>
      <w:r w:rsidRPr="0031502F">
        <w:rPr>
          <w:rFonts w:ascii="Calibri" w:hAnsi="Calibri" w:cs="Calibri"/>
          <w:noProof/>
          <w:szCs w:val="24"/>
        </w:rPr>
        <w:tab/>
        <w:t xml:space="preserve">Anders S., Huber W. Differential expression analysis for sequence count data. </w:t>
      </w:r>
      <w:r w:rsidRPr="0031502F">
        <w:rPr>
          <w:rFonts w:ascii="Calibri" w:hAnsi="Calibri" w:cs="Calibri"/>
          <w:i/>
          <w:iCs/>
          <w:noProof/>
          <w:szCs w:val="24"/>
        </w:rPr>
        <w:t>Genome Biol</w:t>
      </w:r>
      <w:r w:rsidRPr="0031502F">
        <w:rPr>
          <w:rFonts w:ascii="Calibri" w:hAnsi="Calibri" w:cs="Calibri"/>
          <w:noProof/>
          <w:szCs w:val="24"/>
        </w:rPr>
        <w:t xml:space="preserve"> 2010;</w:t>
      </w:r>
      <w:r w:rsidRPr="0031502F">
        <w:rPr>
          <w:rFonts w:ascii="Calibri" w:hAnsi="Calibri" w:cs="Calibri"/>
          <w:b/>
          <w:bCs/>
          <w:noProof/>
          <w:szCs w:val="24"/>
        </w:rPr>
        <w:t>11</w:t>
      </w:r>
      <w:r w:rsidRPr="0031502F">
        <w:rPr>
          <w:rFonts w:ascii="Calibri" w:hAnsi="Calibri" w:cs="Calibri"/>
          <w:noProof/>
          <w:szCs w:val="24"/>
        </w:rPr>
        <w:t>(10):R106. Doi: 10.1186/gb-2010-11-10-r106.</w:t>
      </w:r>
    </w:p>
    <w:p w14:paraId="6682672B"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21.</w:t>
      </w:r>
      <w:r w:rsidRPr="0031502F">
        <w:rPr>
          <w:rFonts w:ascii="Calibri" w:hAnsi="Calibri" w:cs="Calibri"/>
          <w:noProof/>
          <w:szCs w:val="24"/>
        </w:rPr>
        <w:tab/>
        <w:t xml:space="preserve">Russo PST., Ferreira GR., Cardozo LE., Bürger MC., Arias-Carrasco R., Maruyama SR., et al. CEMiTool: A Bioconductor package for performing comprehensive modular co-expression analyses. </w:t>
      </w:r>
      <w:r w:rsidRPr="0031502F">
        <w:rPr>
          <w:rFonts w:ascii="Calibri" w:hAnsi="Calibri" w:cs="Calibri"/>
          <w:i/>
          <w:iCs/>
          <w:noProof/>
          <w:szCs w:val="24"/>
        </w:rPr>
        <w:t>BMC Bioinformatics</w:t>
      </w:r>
      <w:r w:rsidRPr="0031502F">
        <w:rPr>
          <w:rFonts w:ascii="Calibri" w:hAnsi="Calibri" w:cs="Calibri"/>
          <w:noProof/>
          <w:szCs w:val="24"/>
        </w:rPr>
        <w:t xml:space="preserve"> 2018;</w:t>
      </w:r>
      <w:r w:rsidRPr="0031502F">
        <w:rPr>
          <w:rFonts w:ascii="Calibri" w:hAnsi="Calibri" w:cs="Calibri"/>
          <w:b/>
          <w:bCs/>
          <w:noProof/>
          <w:szCs w:val="24"/>
        </w:rPr>
        <w:t>19</w:t>
      </w:r>
      <w:r w:rsidRPr="0031502F">
        <w:rPr>
          <w:rFonts w:ascii="Calibri" w:hAnsi="Calibri" w:cs="Calibri"/>
          <w:noProof/>
          <w:szCs w:val="24"/>
        </w:rPr>
        <w:t>(1):56. Doi: 10.1186/s12859-018-2053-1.</w:t>
      </w:r>
    </w:p>
    <w:p w14:paraId="33BCC5E5"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lastRenderedPageBreak/>
        <w:t>22.</w:t>
      </w:r>
      <w:r w:rsidRPr="0031502F">
        <w:rPr>
          <w:rFonts w:ascii="Calibri" w:hAnsi="Calibri" w:cs="Calibri"/>
          <w:noProof/>
          <w:szCs w:val="24"/>
        </w:rPr>
        <w:tab/>
        <w:t xml:space="preserve">Lopez Y., Nakai K., Patil A. HitPredict Version 4: Comprehensive Reliability Scoring of Physical Protein-Protein Interactions From More Than 100 Species - PubMed. </w:t>
      </w:r>
      <w:r w:rsidRPr="0031502F">
        <w:rPr>
          <w:rFonts w:ascii="Calibri" w:hAnsi="Calibri" w:cs="Calibri"/>
          <w:i/>
          <w:iCs/>
          <w:noProof/>
          <w:szCs w:val="24"/>
        </w:rPr>
        <w:t>Database</w:t>
      </w:r>
      <w:r w:rsidRPr="0031502F">
        <w:rPr>
          <w:rFonts w:ascii="Calibri" w:hAnsi="Calibri" w:cs="Calibri"/>
          <w:noProof/>
          <w:szCs w:val="24"/>
        </w:rPr>
        <w:t xml:space="preserve"> 2015.</w:t>
      </w:r>
    </w:p>
    <w:p w14:paraId="6C00C3E5"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23.</w:t>
      </w:r>
      <w:r w:rsidRPr="0031502F">
        <w:rPr>
          <w:rFonts w:ascii="Calibri" w:hAnsi="Calibri" w:cs="Calibri"/>
          <w:noProof/>
          <w:szCs w:val="24"/>
        </w:rPr>
        <w:tab/>
        <w:t xml:space="preserve">Langfelder P., Horvath S. WGCNA: An R package for weighted correlation network analysis. </w:t>
      </w:r>
      <w:r w:rsidRPr="0031502F">
        <w:rPr>
          <w:rFonts w:ascii="Calibri" w:hAnsi="Calibri" w:cs="Calibri"/>
          <w:i/>
          <w:iCs/>
          <w:noProof/>
          <w:szCs w:val="24"/>
        </w:rPr>
        <w:t>BMC Bioinformatics</w:t>
      </w:r>
      <w:r w:rsidRPr="0031502F">
        <w:rPr>
          <w:rFonts w:ascii="Calibri" w:hAnsi="Calibri" w:cs="Calibri"/>
          <w:noProof/>
          <w:szCs w:val="24"/>
        </w:rPr>
        <w:t xml:space="preserve"> 2008;</w:t>
      </w:r>
      <w:r w:rsidRPr="0031502F">
        <w:rPr>
          <w:rFonts w:ascii="Calibri" w:hAnsi="Calibri" w:cs="Calibri"/>
          <w:b/>
          <w:bCs/>
          <w:noProof/>
          <w:szCs w:val="24"/>
        </w:rPr>
        <w:t>9</w:t>
      </w:r>
      <w:r w:rsidRPr="0031502F">
        <w:rPr>
          <w:rFonts w:ascii="Calibri" w:hAnsi="Calibri" w:cs="Calibri"/>
          <w:noProof/>
          <w:szCs w:val="24"/>
        </w:rPr>
        <w:t>(1):559. Doi: 10.1186/1471-2105-9-559.</w:t>
      </w:r>
    </w:p>
    <w:p w14:paraId="746822FF"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24.</w:t>
      </w:r>
      <w:r w:rsidRPr="0031502F">
        <w:rPr>
          <w:rFonts w:ascii="Calibri" w:hAnsi="Calibri" w:cs="Calibri"/>
          <w:noProof/>
          <w:szCs w:val="24"/>
        </w:rPr>
        <w:tab/>
        <w:t xml:space="preserve">Chen J., Bardes EE., Aronow BJ., Jegga AG. ToppGene Suite for gene list enrichment analysis and candidate gene prioritization. </w:t>
      </w:r>
      <w:r w:rsidRPr="0031502F">
        <w:rPr>
          <w:rFonts w:ascii="Calibri" w:hAnsi="Calibri" w:cs="Calibri"/>
          <w:i/>
          <w:iCs/>
          <w:noProof/>
          <w:szCs w:val="24"/>
        </w:rPr>
        <w:t>Nucleic Acids Res</w:t>
      </w:r>
      <w:r w:rsidRPr="0031502F">
        <w:rPr>
          <w:rFonts w:ascii="Calibri" w:hAnsi="Calibri" w:cs="Calibri"/>
          <w:noProof/>
          <w:szCs w:val="24"/>
        </w:rPr>
        <w:t xml:space="preserve"> 2009;</w:t>
      </w:r>
      <w:r w:rsidRPr="0031502F">
        <w:rPr>
          <w:rFonts w:ascii="Calibri" w:hAnsi="Calibri" w:cs="Calibri"/>
          <w:b/>
          <w:bCs/>
          <w:noProof/>
          <w:szCs w:val="24"/>
        </w:rPr>
        <w:t>37</w:t>
      </w:r>
      <w:r w:rsidRPr="0031502F">
        <w:rPr>
          <w:rFonts w:ascii="Calibri" w:hAnsi="Calibri" w:cs="Calibri"/>
          <w:noProof/>
          <w:szCs w:val="24"/>
        </w:rPr>
        <w:t>(Web Server issue):W305-11. Doi: 10.1093/nar/gkp427.</w:t>
      </w:r>
    </w:p>
    <w:p w14:paraId="5A1385C0"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25.</w:t>
      </w:r>
      <w:r w:rsidRPr="0031502F">
        <w:rPr>
          <w:rFonts w:ascii="Calibri" w:hAnsi="Calibri" w:cs="Calibri"/>
          <w:noProof/>
          <w:szCs w:val="24"/>
        </w:rPr>
        <w:tab/>
        <w:t xml:space="preserve">Kuleshov M V., Jones MR., Rouillard AD., Fernandez NF., Duan Q., Wang Z., et al. Enrichr: a comprehensive gene set enrichment analysis web server 2016 update. </w:t>
      </w:r>
      <w:r w:rsidRPr="0031502F">
        <w:rPr>
          <w:rFonts w:ascii="Calibri" w:hAnsi="Calibri" w:cs="Calibri"/>
          <w:i/>
          <w:iCs/>
          <w:noProof/>
          <w:szCs w:val="24"/>
        </w:rPr>
        <w:t>Nucleic Acids Res</w:t>
      </w:r>
      <w:r w:rsidRPr="0031502F">
        <w:rPr>
          <w:rFonts w:ascii="Calibri" w:hAnsi="Calibri" w:cs="Calibri"/>
          <w:noProof/>
          <w:szCs w:val="24"/>
        </w:rPr>
        <w:t xml:space="preserve"> 2016;</w:t>
      </w:r>
      <w:r w:rsidRPr="0031502F">
        <w:rPr>
          <w:rFonts w:ascii="Calibri" w:hAnsi="Calibri" w:cs="Calibri"/>
          <w:b/>
          <w:bCs/>
          <w:noProof/>
          <w:szCs w:val="24"/>
        </w:rPr>
        <w:t>44</w:t>
      </w:r>
      <w:r w:rsidRPr="0031502F">
        <w:rPr>
          <w:rFonts w:ascii="Calibri" w:hAnsi="Calibri" w:cs="Calibri"/>
          <w:noProof/>
          <w:szCs w:val="24"/>
        </w:rPr>
        <w:t>(W1):W90–7. Doi: 10.1093/nar/gkw377.</w:t>
      </w:r>
    </w:p>
    <w:p w14:paraId="39FEECFE"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26.</w:t>
      </w:r>
      <w:r w:rsidRPr="0031502F">
        <w:rPr>
          <w:rFonts w:ascii="Calibri" w:hAnsi="Calibri" w:cs="Calibri"/>
          <w:noProof/>
          <w:szCs w:val="24"/>
        </w:rPr>
        <w:tab/>
        <w:t xml:space="preserve">Huang R., Grishagin I., Wang Y., Zhao T., Greene J., Obenauer JC., et al. The NCATS BioPlanet – An Integrated Platform for Exploring the Universe of Cellular Signaling Pathways for Toxicology, Systems Biology, and Chemical Genomics. </w:t>
      </w:r>
      <w:r w:rsidRPr="0031502F">
        <w:rPr>
          <w:rFonts w:ascii="Calibri" w:hAnsi="Calibri" w:cs="Calibri"/>
          <w:i/>
          <w:iCs/>
          <w:noProof/>
          <w:szCs w:val="24"/>
        </w:rPr>
        <w:t>Front Pharmacol</w:t>
      </w:r>
      <w:r w:rsidRPr="0031502F">
        <w:rPr>
          <w:rFonts w:ascii="Calibri" w:hAnsi="Calibri" w:cs="Calibri"/>
          <w:noProof/>
          <w:szCs w:val="24"/>
        </w:rPr>
        <w:t xml:space="preserve"> 2019;</w:t>
      </w:r>
      <w:r w:rsidRPr="0031502F">
        <w:rPr>
          <w:rFonts w:ascii="Calibri" w:hAnsi="Calibri" w:cs="Calibri"/>
          <w:b/>
          <w:bCs/>
          <w:noProof/>
          <w:szCs w:val="24"/>
        </w:rPr>
        <w:t>10</w:t>
      </w:r>
      <w:r w:rsidRPr="0031502F">
        <w:rPr>
          <w:rFonts w:ascii="Calibri" w:hAnsi="Calibri" w:cs="Calibri"/>
          <w:noProof/>
          <w:szCs w:val="24"/>
        </w:rPr>
        <w:t>(APR):445. Doi: 10.3389/fphar.2019.00445.</w:t>
      </w:r>
    </w:p>
    <w:p w14:paraId="03D6A8BD"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27.</w:t>
      </w:r>
      <w:r w:rsidRPr="0031502F">
        <w:rPr>
          <w:rFonts w:ascii="Calibri" w:hAnsi="Calibri" w:cs="Calibri"/>
          <w:noProof/>
          <w:szCs w:val="24"/>
        </w:rPr>
        <w:tab/>
        <w:t xml:space="preserve">Vallejo AF., Davies J., Grover A., Tsai C-H., Jepras R., Polak ME., et al. Resolving cellular systems by ultra-sensitive and economical single-cell transcriptome filtering. </w:t>
      </w:r>
      <w:r w:rsidRPr="0031502F">
        <w:rPr>
          <w:rFonts w:ascii="Calibri" w:hAnsi="Calibri" w:cs="Calibri"/>
          <w:i/>
          <w:iCs/>
          <w:noProof/>
          <w:szCs w:val="24"/>
        </w:rPr>
        <w:t>BioRxiv</w:t>
      </w:r>
      <w:r w:rsidRPr="0031502F">
        <w:rPr>
          <w:rFonts w:ascii="Calibri" w:hAnsi="Calibri" w:cs="Calibri"/>
          <w:noProof/>
          <w:szCs w:val="24"/>
        </w:rPr>
        <w:t xml:space="preserve"> 2019:800631. Doi: 10.1101/800631.</w:t>
      </w:r>
    </w:p>
    <w:p w14:paraId="5D1413AE"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28.</w:t>
      </w:r>
      <w:r w:rsidRPr="0031502F">
        <w:rPr>
          <w:rFonts w:ascii="Calibri" w:hAnsi="Calibri" w:cs="Calibri"/>
          <w:noProof/>
          <w:szCs w:val="24"/>
        </w:rPr>
        <w:tab/>
        <w:t xml:space="preserve">Macosko EZ., Basu A., Satija R., Nemesh J., Shekhar K., Goldman M., et al. Highly Parallel Genome-wide Expression Profiling of Individual Cells Using Nanoliter Droplets. </w:t>
      </w:r>
      <w:r w:rsidRPr="0031502F">
        <w:rPr>
          <w:rFonts w:ascii="Calibri" w:hAnsi="Calibri" w:cs="Calibri"/>
          <w:i/>
          <w:iCs/>
          <w:noProof/>
          <w:szCs w:val="24"/>
        </w:rPr>
        <w:t>Cell</w:t>
      </w:r>
      <w:r w:rsidRPr="0031502F">
        <w:rPr>
          <w:rFonts w:ascii="Calibri" w:hAnsi="Calibri" w:cs="Calibri"/>
          <w:noProof/>
          <w:szCs w:val="24"/>
        </w:rPr>
        <w:t xml:space="preserve"> 2015;</w:t>
      </w:r>
      <w:r w:rsidRPr="0031502F">
        <w:rPr>
          <w:rFonts w:ascii="Calibri" w:hAnsi="Calibri" w:cs="Calibri"/>
          <w:b/>
          <w:bCs/>
          <w:noProof/>
          <w:szCs w:val="24"/>
        </w:rPr>
        <w:t>161</w:t>
      </w:r>
      <w:r w:rsidRPr="0031502F">
        <w:rPr>
          <w:rFonts w:ascii="Calibri" w:hAnsi="Calibri" w:cs="Calibri"/>
          <w:noProof/>
          <w:szCs w:val="24"/>
        </w:rPr>
        <w:t>(5):1202–14. Doi: 10.1016/j.cell.2015.05.002.</w:t>
      </w:r>
    </w:p>
    <w:p w14:paraId="6643DCD1"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29.</w:t>
      </w:r>
      <w:r w:rsidRPr="0031502F">
        <w:rPr>
          <w:rFonts w:ascii="Calibri" w:hAnsi="Calibri" w:cs="Calibri"/>
          <w:noProof/>
          <w:szCs w:val="24"/>
        </w:rPr>
        <w:tab/>
        <w:t xml:space="preserve">Dobin A., Davis CA., Schlesinger F., Drenkow J., Zaleski C., Jha S., et al. STAR: ultrafast universal RNA-seq aligner. </w:t>
      </w:r>
      <w:r w:rsidRPr="0031502F">
        <w:rPr>
          <w:rFonts w:ascii="Calibri" w:hAnsi="Calibri" w:cs="Calibri"/>
          <w:i/>
          <w:iCs/>
          <w:noProof/>
          <w:szCs w:val="24"/>
        </w:rPr>
        <w:t>Bioinformatics</w:t>
      </w:r>
      <w:r w:rsidRPr="0031502F">
        <w:rPr>
          <w:rFonts w:ascii="Calibri" w:hAnsi="Calibri" w:cs="Calibri"/>
          <w:noProof/>
          <w:szCs w:val="24"/>
        </w:rPr>
        <w:t xml:space="preserve"> 2013;</w:t>
      </w:r>
      <w:r w:rsidRPr="0031502F">
        <w:rPr>
          <w:rFonts w:ascii="Calibri" w:hAnsi="Calibri" w:cs="Calibri"/>
          <w:b/>
          <w:bCs/>
          <w:noProof/>
          <w:szCs w:val="24"/>
        </w:rPr>
        <w:t>29</w:t>
      </w:r>
      <w:r w:rsidRPr="0031502F">
        <w:rPr>
          <w:rFonts w:ascii="Calibri" w:hAnsi="Calibri" w:cs="Calibri"/>
          <w:noProof/>
          <w:szCs w:val="24"/>
        </w:rPr>
        <w:t>(1):15–21. Doi: 10.1093/bioinformatics/bts635.</w:t>
      </w:r>
    </w:p>
    <w:p w14:paraId="547B1943"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30.</w:t>
      </w:r>
      <w:r w:rsidRPr="0031502F">
        <w:rPr>
          <w:rFonts w:ascii="Calibri" w:hAnsi="Calibri" w:cs="Calibri"/>
          <w:noProof/>
          <w:szCs w:val="24"/>
        </w:rPr>
        <w:tab/>
        <w:t xml:space="preserve">Wolf FA., Angerer P., Theis FJ. SCANPY: Large-scale single-cell gene expression data analysis. </w:t>
      </w:r>
      <w:r w:rsidRPr="0031502F">
        <w:rPr>
          <w:rFonts w:ascii="Calibri" w:hAnsi="Calibri" w:cs="Calibri"/>
          <w:i/>
          <w:iCs/>
          <w:noProof/>
          <w:szCs w:val="24"/>
        </w:rPr>
        <w:lastRenderedPageBreak/>
        <w:t>Genome Biol</w:t>
      </w:r>
      <w:r w:rsidRPr="0031502F">
        <w:rPr>
          <w:rFonts w:ascii="Calibri" w:hAnsi="Calibri" w:cs="Calibri"/>
          <w:noProof/>
          <w:szCs w:val="24"/>
        </w:rPr>
        <w:t xml:space="preserve"> 2018;</w:t>
      </w:r>
      <w:r w:rsidRPr="0031502F">
        <w:rPr>
          <w:rFonts w:ascii="Calibri" w:hAnsi="Calibri" w:cs="Calibri"/>
          <w:b/>
          <w:bCs/>
          <w:noProof/>
          <w:szCs w:val="24"/>
        </w:rPr>
        <w:t>19</w:t>
      </w:r>
      <w:r w:rsidRPr="0031502F">
        <w:rPr>
          <w:rFonts w:ascii="Calibri" w:hAnsi="Calibri" w:cs="Calibri"/>
          <w:noProof/>
          <w:szCs w:val="24"/>
        </w:rPr>
        <w:t>(1). Doi: 10.1186/s13059-017-1382-0.</w:t>
      </w:r>
    </w:p>
    <w:p w14:paraId="1185094B"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31.</w:t>
      </w:r>
      <w:r w:rsidRPr="0031502F">
        <w:rPr>
          <w:rFonts w:ascii="Calibri" w:hAnsi="Calibri" w:cs="Calibri"/>
          <w:noProof/>
          <w:szCs w:val="24"/>
        </w:rPr>
        <w:tab/>
        <w:t xml:space="preserve">Lun ATL., Riesenfeld S., Andrews T., Dao TP., Gomes T., Marioni JC. EmptyDrops: Distinguishing cells from empty droplets in droplet-based single-cell RNA sequencing data. </w:t>
      </w:r>
      <w:r w:rsidRPr="0031502F">
        <w:rPr>
          <w:rFonts w:ascii="Calibri" w:hAnsi="Calibri" w:cs="Calibri"/>
          <w:i/>
          <w:iCs/>
          <w:noProof/>
          <w:szCs w:val="24"/>
        </w:rPr>
        <w:t>Genome Biol</w:t>
      </w:r>
      <w:r w:rsidRPr="0031502F">
        <w:rPr>
          <w:rFonts w:ascii="Calibri" w:hAnsi="Calibri" w:cs="Calibri"/>
          <w:noProof/>
          <w:szCs w:val="24"/>
        </w:rPr>
        <w:t xml:space="preserve"> 2019;</w:t>
      </w:r>
      <w:r w:rsidRPr="0031502F">
        <w:rPr>
          <w:rFonts w:ascii="Calibri" w:hAnsi="Calibri" w:cs="Calibri"/>
          <w:b/>
          <w:bCs/>
          <w:noProof/>
          <w:szCs w:val="24"/>
        </w:rPr>
        <w:t>20</w:t>
      </w:r>
      <w:r w:rsidRPr="0031502F">
        <w:rPr>
          <w:rFonts w:ascii="Calibri" w:hAnsi="Calibri" w:cs="Calibri"/>
          <w:noProof/>
          <w:szCs w:val="24"/>
        </w:rPr>
        <w:t>(1). Doi: 10.1186/s13059-019-1662-y.</w:t>
      </w:r>
    </w:p>
    <w:p w14:paraId="37C22F94"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32.</w:t>
      </w:r>
      <w:r w:rsidRPr="0031502F">
        <w:rPr>
          <w:rFonts w:ascii="Calibri" w:hAnsi="Calibri" w:cs="Calibri"/>
          <w:noProof/>
          <w:szCs w:val="24"/>
        </w:rPr>
        <w:tab/>
        <w:t xml:space="preserve">Lun ATL., Bach K., Marioni JC. Pooling across cells to normalize single-cell RNA sequencing data with many zero counts. </w:t>
      </w:r>
      <w:r w:rsidRPr="0031502F">
        <w:rPr>
          <w:rFonts w:ascii="Calibri" w:hAnsi="Calibri" w:cs="Calibri"/>
          <w:i/>
          <w:iCs/>
          <w:noProof/>
          <w:szCs w:val="24"/>
        </w:rPr>
        <w:t>Genome Biol</w:t>
      </w:r>
      <w:r w:rsidRPr="0031502F">
        <w:rPr>
          <w:rFonts w:ascii="Calibri" w:hAnsi="Calibri" w:cs="Calibri"/>
          <w:noProof/>
          <w:szCs w:val="24"/>
        </w:rPr>
        <w:t xml:space="preserve"> 2016;</w:t>
      </w:r>
      <w:r w:rsidRPr="0031502F">
        <w:rPr>
          <w:rFonts w:ascii="Calibri" w:hAnsi="Calibri" w:cs="Calibri"/>
          <w:b/>
          <w:bCs/>
          <w:noProof/>
          <w:szCs w:val="24"/>
        </w:rPr>
        <w:t>17</w:t>
      </w:r>
      <w:r w:rsidRPr="0031502F">
        <w:rPr>
          <w:rFonts w:ascii="Calibri" w:hAnsi="Calibri" w:cs="Calibri"/>
          <w:noProof/>
          <w:szCs w:val="24"/>
        </w:rPr>
        <w:t>(1). Doi: 10.1186/s13059-016-0947-7.</w:t>
      </w:r>
    </w:p>
    <w:p w14:paraId="2FA8167C"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33.</w:t>
      </w:r>
      <w:r w:rsidRPr="0031502F">
        <w:rPr>
          <w:rFonts w:ascii="Calibri" w:hAnsi="Calibri" w:cs="Calibri"/>
          <w:noProof/>
          <w:szCs w:val="24"/>
        </w:rPr>
        <w:tab/>
        <w:t xml:space="preserve">Polański K., Young MD., Miao Z., Meyer KB., Teichmann SA., Park JE., et al. BBKNN: Fast batch alignment of single cell transcriptomes. </w:t>
      </w:r>
      <w:r w:rsidRPr="0031502F">
        <w:rPr>
          <w:rFonts w:ascii="Calibri" w:hAnsi="Calibri" w:cs="Calibri"/>
          <w:i/>
          <w:iCs/>
          <w:noProof/>
          <w:szCs w:val="24"/>
        </w:rPr>
        <w:t>Bioinformatics</w:t>
      </w:r>
      <w:r w:rsidRPr="0031502F">
        <w:rPr>
          <w:rFonts w:ascii="Calibri" w:hAnsi="Calibri" w:cs="Calibri"/>
          <w:noProof/>
          <w:szCs w:val="24"/>
        </w:rPr>
        <w:t xml:space="preserve"> 2020;</w:t>
      </w:r>
      <w:r w:rsidRPr="0031502F">
        <w:rPr>
          <w:rFonts w:ascii="Calibri" w:hAnsi="Calibri" w:cs="Calibri"/>
          <w:b/>
          <w:bCs/>
          <w:noProof/>
          <w:szCs w:val="24"/>
        </w:rPr>
        <w:t>36</w:t>
      </w:r>
      <w:r w:rsidRPr="0031502F">
        <w:rPr>
          <w:rFonts w:ascii="Calibri" w:hAnsi="Calibri" w:cs="Calibri"/>
          <w:noProof/>
          <w:szCs w:val="24"/>
        </w:rPr>
        <w:t>(3):964–5. Doi: 10.1093/bioinformatics/btz625.</w:t>
      </w:r>
    </w:p>
    <w:p w14:paraId="5E736518"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34.</w:t>
      </w:r>
      <w:r w:rsidRPr="0031502F">
        <w:rPr>
          <w:rFonts w:ascii="Calibri" w:hAnsi="Calibri" w:cs="Calibri"/>
          <w:noProof/>
          <w:szCs w:val="24"/>
        </w:rPr>
        <w:tab/>
        <w:t xml:space="preserve">Traag VA., Waltman L., van Eck NJ. From Louvain to Leiden: guaranteeing well-connected communities. </w:t>
      </w:r>
      <w:r w:rsidRPr="0031502F">
        <w:rPr>
          <w:rFonts w:ascii="Calibri" w:hAnsi="Calibri" w:cs="Calibri"/>
          <w:i/>
          <w:iCs/>
          <w:noProof/>
          <w:szCs w:val="24"/>
        </w:rPr>
        <w:t>Sci Rep</w:t>
      </w:r>
      <w:r w:rsidRPr="0031502F">
        <w:rPr>
          <w:rFonts w:ascii="Calibri" w:hAnsi="Calibri" w:cs="Calibri"/>
          <w:noProof/>
          <w:szCs w:val="24"/>
        </w:rPr>
        <w:t xml:space="preserve"> 2019;</w:t>
      </w:r>
      <w:r w:rsidRPr="0031502F">
        <w:rPr>
          <w:rFonts w:ascii="Calibri" w:hAnsi="Calibri" w:cs="Calibri"/>
          <w:b/>
          <w:bCs/>
          <w:noProof/>
          <w:szCs w:val="24"/>
        </w:rPr>
        <w:t>9</w:t>
      </w:r>
      <w:r w:rsidRPr="0031502F">
        <w:rPr>
          <w:rFonts w:ascii="Calibri" w:hAnsi="Calibri" w:cs="Calibri"/>
          <w:noProof/>
          <w:szCs w:val="24"/>
        </w:rPr>
        <w:t>(1):5233. Doi: 10.1038/s41598-019-41695-z.</w:t>
      </w:r>
    </w:p>
    <w:p w14:paraId="0BFA1F97"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35.</w:t>
      </w:r>
      <w:r w:rsidRPr="0031502F">
        <w:rPr>
          <w:rFonts w:ascii="Calibri" w:hAnsi="Calibri" w:cs="Calibri"/>
          <w:noProof/>
          <w:szCs w:val="24"/>
        </w:rPr>
        <w:tab/>
        <w:t xml:space="preserve">Aran D., Looney AP., Liu L., Wu E., Fong V., Hsu A., et al. Reference-based analysis of lung single-cell sequencing reveals a transitional profibrotic macrophage. </w:t>
      </w:r>
      <w:r w:rsidRPr="0031502F">
        <w:rPr>
          <w:rFonts w:ascii="Calibri" w:hAnsi="Calibri" w:cs="Calibri"/>
          <w:i/>
          <w:iCs/>
          <w:noProof/>
          <w:szCs w:val="24"/>
        </w:rPr>
        <w:t>Nat Immunol</w:t>
      </w:r>
      <w:r w:rsidRPr="0031502F">
        <w:rPr>
          <w:rFonts w:ascii="Calibri" w:hAnsi="Calibri" w:cs="Calibri"/>
          <w:noProof/>
          <w:szCs w:val="24"/>
        </w:rPr>
        <w:t xml:space="preserve"> 2019;</w:t>
      </w:r>
      <w:r w:rsidRPr="0031502F">
        <w:rPr>
          <w:rFonts w:ascii="Calibri" w:hAnsi="Calibri" w:cs="Calibri"/>
          <w:b/>
          <w:bCs/>
          <w:noProof/>
          <w:szCs w:val="24"/>
        </w:rPr>
        <w:t>20</w:t>
      </w:r>
      <w:r w:rsidRPr="0031502F">
        <w:rPr>
          <w:rFonts w:ascii="Calibri" w:hAnsi="Calibri" w:cs="Calibri"/>
          <w:noProof/>
          <w:szCs w:val="24"/>
        </w:rPr>
        <w:t>(2):163–72. Doi: 10.1038/s41590-018-0276-y.</w:t>
      </w:r>
    </w:p>
    <w:p w14:paraId="159A9D7A"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36.</w:t>
      </w:r>
      <w:r w:rsidRPr="0031502F">
        <w:rPr>
          <w:rFonts w:ascii="Calibri" w:hAnsi="Calibri" w:cs="Calibri"/>
          <w:noProof/>
          <w:szCs w:val="24"/>
        </w:rPr>
        <w:tab/>
        <w:t xml:space="preserve">Caruso R., Warner N., Inohara N., Núñez G. NOD1 and NOD2: signaling, host defense, and inflammatory disease. </w:t>
      </w:r>
      <w:r w:rsidRPr="0031502F">
        <w:rPr>
          <w:rFonts w:ascii="Calibri" w:hAnsi="Calibri" w:cs="Calibri"/>
          <w:i/>
          <w:iCs/>
          <w:noProof/>
          <w:szCs w:val="24"/>
        </w:rPr>
        <w:t>Immunity</w:t>
      </w:r>
      <w:r w:rsidRPr="0031502F">
        <w:rPr>
          <w:rFonts w:ascii="Calibri" w:hAnsi="Calibri" w:cs="Calibri"/>
          <w:noProof/>
          <w:szCs w:val="24"/>
        </w:rPr>
        <w:t xml:space="preserve"> 2014;</w:t>
      </w:r>
      <w:r w:rsidRPr="0031502F">
        <w:rPr>
          <w:rFonts w:ascii="Calibri" w:hAnsi="Calibri" w:cs="Calibri"/>
          <w:b/>
          <w:bCs/>
          <w:noProof/>
          <w:szCs w:val="24"/>
        </w:rPr>
        <w:t>41</w:t>
      </w:r>
      <w:r w:rsidRPr="0031502F">
        <w:rPr>
          <w:rFonts w:ascii="Calibri" w:hAnsi="Calibri" w:cs="Calibri"/>
          <w:noProof/>
          <w:szCs w:val="24"/>
        </w:rPr>
        <w:t>(6):898–908. Doi: 10.1016/j.immuni.2014.12.010.</w:t>
      </w:r>
    </w:p>
    <w:p w14:paraId="67981EF2"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37.</w:t>
      </w:r>
      <w:r w:rsidRPr="0031502F">
        <w:rPr>
          <w:rFonts w:ascii="Calibri" w:hAnsi="Calibri" w:cs="Calibri"/>
          <w:noProof/>
          <w:szCs w:val="24"/>
        </w:rPr>
        <w:tab/>
        <w:t xml:space="preserve">Hou G., Bishu S. Th17 Cells in Inflammatory Bowel Disease: An Update for the Clinician. </w:t>
      </w:r>
      <w:r w:rsidRPr="0031502F">
        <w:rPr>
          <w:rFonts w:ascii="Calibri" w:hAnsi="Calibri" w:cs="Calibri"/>
          <w:i/>
          <w:iCs/>
          <w:noProof/>
          <w:szCs w:val="24"/>
        </w:rPr>
        <w:t>Inflamm Bowel Dis</w:t>
      </w:r>
      <w:r w:rsidRPr="0031502F">
        <w:rPr>
          <w:rFonts w:ascii="Calibri" w:hAnsi="Calibri" w:cs="Calibri"/>
          <w:noProof/>
          <w:szCs w:val="24"/>
        </w:rPr>
        <w:t xml:space="preserve"> 2020;</w:t>
      </w:r>
      <w:r w:rsidRPr="0031502F">
        <w:rPr>
          <w:rFonts w:ascii="Calibri" w:hAnsi="Calibri" w:cs="Calibri"/>
          <w:b/>
          <w:bCs/>
          <w:noProof/>
          <w:szCs w:val="24"/>
        </w:rPr>
        <w:t>26</w:t>
      </w:r>
      <w:r w:rsidRPr="0031502F">
        <w:rPr>
          <w:rFonts w:ascii="Calibri" w:hAnsi="Calibri" w:cs="Calibri"/>
          <w:noProof/>
          <w:szCs w:val="24"/>
        </w:rPr>
        <w:t>(5):653–61. Doi: 10.1093/ibd/izz316.</w:t>
      </w:r>
    </w:p>
    <w:p w14:paraId="51E80AA5"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38.</w:t>
      </w:r>
      <w:r w:rsidRPr="0031502F">
        <w:rPr>
          <w:rFonts w:ascii="Calibri" w:hAnsi="Calibri" w:cs="Calibri"/>
          <w:noProof/>
          <w:szCs w:val="24"/>
        </w:rPr>
        <w:tab/>
        <w:t xml:space="preserve">Gudjonsson JE., Ding J., Johnston A., Tejasvi T., Guzman AM., Nair RP., et al. Assessment of the psoriatic transcriptome in a large sample: Additional regulated genes and comparisons with in vitro models. </w:t>
      </w:r>
      <w:r w:rsidRPr="0031502F">
        <w:rPr>
          <w:rFonts w:ascii="Calibri" w:hAnsi="Calibri" w:cs="Calibri"/>
          <w:i/>
          <w:iCs/>
          <w:noProof/>
          <w:szCs w:val="24"/>
        </w:rPr>
        <w:t>J Invest Dermatol</w:t>
      </w:r>
      <w:r w:rsidRPr="0031502F">
        <w:rPr>
          <w:rFonts w:ascii="Calibri" w:hAnsi="Calibri" w:cs="Calibri"/>
          <w:noProof/>
          <w:szCs w:val="24"/>
        </w:rPr>
        <w:t xml:space="preserve"> 2010;</w:t>
      </w:r>
      <w:r w:rsidRPr="0031502F">
        <w:rPr>
          <w:rFonts w:ascii="Calibri" w:hAnsi="Calibri" w:cs="Calibri"/>
          <w:b/>
          <w:bCs/>
          <w:noProof/>
          <w:szCs w:val="24"/>
        </w:rPr>
        <w:t>130</w:t>
      </w:r>
      <w:r w:rsidRPr="0031502F">
        <w:rPr>
          <w:rFonts w:ascii="Calibri" w:hAnsi="Calibri" w:cs="Calibri"/>
          <w:noProof/>
          <w:szCs w:val="24"/>
        </w:rPr>
        <w:t>(7):1829–40. Doi: 10.1038/jid.2010.36.</w:t>
      </w:r>
    </w:p>
    <w:p w14:paraId="4DED48E3"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39.</w:t>
      </w:r>
      <w:r w:rsidRPr="0031502F">
        <w:rPr>
          <w:rFonts w:ascii="Calibri" w:hAnsi="Calibri" w:cs="Calibri"/>
          <w:noProof/>
          <w:szCs w:val="24"/>
        </w:rPr>
        <w:tab/>
        <w:t xml:space="preserve">Gijsbers K. CXCR1-binding chemokines in inflammatory bowel diseases: down-regulated IL-8/CXCL8 production by leukocytes in Crohn’s disease and selective GCP-2/CXCL6 expression </w:t>
      </w:r>
      <w:r w:rsidRPr="0031502F">
        <w:rPr>
          <w:rFonts w:ascii="Calibri" w:hAnsi="Calibri" w:cs="Calibri"/>
          <w:noProof/>
          <w:szCs w:val="24"/>
        </w:rPr>
        <w:lastRenderedPageBreak/>
        <w:t xml:space="preserve">in inflamed intestinal tissue. </w:t>
      </w:r>
      <w:r w:rsidRPr="0031502F">
        <w:rPr>
          <w:rFonts w:ascii="Calibri" w:hAnsi="Calibri" w:cs="Calibri"/>
          <w:i/>
          <w:iCs/>
          <w:noProof/>
          <w:szCs w:val="24"/>
        </w:rPr>
        <w:t>Eur J Immunol</w:t>
      </w:r>
      <w:r w:rsidRPr="0031502F">
        <w:rPr>
          <w:rFonts w:ascii="Calibri" w:hAnsi="Calibri" w:cs="Calibri"/>
          <w:noProof/>
          <w:szCs w:val="24"/>
        </w:rPr>
        <w:t xml:space="preserve"> 2004;</w:t>
      </w:r>
      <w:r w:rsidRPr="0031502F">
        <w:rPr>
          <w:rFonts w:ascii="Calibri" w:hAnsi="Calibri" w:cs="Calibri"/>
          <w:b/>
          <w:bCs/>
          <w:noProof/>
          <w:szCs w:val="24"/>
        </w:rPr>
        <w:t>34</w:t>
      </w:r>
      <w:r w:rsidRPr="0031502F">
        <w:rPr>
          <w:rFonts w:ascii="Calibri" w:hAnsi="Calibri" w:cs="Calibri"/>
          <w:noProof/>
          <w:szCs w:val="24"/>
        </w:rPr>
        <w:t>(7):1992–2000. Doi: 10.1002/eji.200324807.</w:t>
      </w:r>
    </w:p>
    <w:p w14:paraId="23120A5A"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40.</w:t>
      </w:r>
      <w:r w:rsidRPr="0031502F">
        <w:rPr>
          <w:rFonts w:ascii="Calibri" w:hAnsi="Calibri" w:cs="Calibri"/>
          <w:noProof/>
          <w:szCs w:val="24"/>
        </w:rPr>
        <w:tab/>
        <w:t xml:space="preserve">Uhlig HH., Schwerd T., Koletzko S., Shah N., Kammermeier J., Elkadri A., et al. The diagnostic approach to monogenic very early onset inflammatory bowel disease. </w:t>
      </w:r>
      <w:r w:rsidRPr="0031502F">
        <w:rPr>
          <w:rFonts w:ascii="Calibri" w:hAnsi="Calibri" w:cs="Calibri"/>
          <w:i/>
          <w:iCs/>
          <w:noProof/>
          <w:szCs w:val="24"/>
        </w:rPr>
        <w:t>Gastroenterology</w:t>
      </w:r>
      <w:r w:rsidRPr="0031502F">
        <w:rPr>
          <w:rFonts w:ascii="Calibri" w:hAnsi="Calibri" w:cs="Calibri"/>
          <w:noProof/>
          <w:szCs w:val="24"/>
        </w:rPr>
        <w:t xml:space="preserve"> 2014;</w:t>
      </w:r>
      <w:r w:rsidRPr="0031502F">
        <w:rPr>
          <w:rFonts w:ascii="Calibri" w:hAnsi="Calibri" w:cs="Calibri"/>
          <w:b/>
          <w:bCs/>
          <w:noProof/>
          <w:szCs w:val="24"/>
        </w:rPr>
        <w:t>147</w:t>
      </w:r>
      <w:r w:rsidRPr="0031502F">
        <w:rPr>
          <w:rFonts w:ascii="Calibri" w:hAnsi="Calibri" w:cs="Calibri"/>
          <w:noProof/>
          <w:szCs w:val="24"/>
        </w:rPr>
        <w:t>(5):990-1007.e3. Doi: 10.1053/j.gastro.2014.07.023.</w:t>
      </w:r>
    </w:p>
    <w:p w14:paraId="0623E907"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41.</w:t>
      </w:r>
      <w:r w:rsidRPr="0031502F">
        <w:rPr>
          <w:rFonts w:ascii="Calibri" w:hAnsi="Calibri" w:cs="Calibri"/>
          <w:noProof/>
          <w:szCs w:val="24"/>
        </w:rPr>
        <w:tab/>
        <w:t xml:space="preserve">Kugathasan S., Denson LA., Walters TD., Kim M-O., Marigorta UM., Schirmer M., et al. Prediction of complicated disease course for children newly diagnosed with Crohn’s disease: a multicentre inception cohort study. </w:t>
      </w:r>
      <w:r w:rsidRPr="0031502F">
        <w:rPr>
          <w:rFonts w:ascii="Calibri" w:hAnsi="Calibri" w:cs="Calibri"/>
          <w:i/>
          <w:iCs/>
          <w:noProof/>
          <w:szCs w:val="24"/>
        </w:rPr>
        <w:t>Lancet</w:t>
      </w:r>
      <w:r w:rsidRPr="0031502F">
        <w:rPr>
          <w:rFonts w:ascii="Calibri" w:hAnsi="Calibri" w:cs="Calibri"/>
          <w:noProof/>
          <w:szCs w:val="24"/>
        </w:rPr>
        <w:t xml:space="preserve"> 2017;</w:t>
      </w:r>
      <w:r w:rsidRPr="0031502F">
        <w:rPr>
          <w:rFonts w:ascii="Calibri" w:hAnsi="Calibri" w:cs="Calibri"/>
          <w:b/>
          <w:bCs/>
          <w:noProof/>
          <w:szCs w:val="24"/>
        </w:rPr>
        <w:t>389</w:t>
      </w:r>
      <w:r w:rsidRPr="0031502F">
        <w:rPr>
          <w:rFonts w:ascii="Calibri" w:hAnsi="Calibri" w:cs="Calibri"/>
          <w:noProof/>
          <w:szCs w:val="24"/>
        </w:rPr>
        <w:t>(10080):1710–8. Doi: 10.1016/S0140-6736(17)30317-3.</w:t>
      </w:r>
    </w:p>
    <w:p w14:paraId="2AAF6C37"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42.</w:t>
      </w:r>
      <w:r w:rsidRPr="0031502F">
        <w:rPr>
          <w:rFonts w:ascii="Calibri" w:hAnsi="Calibri" w:cs="Calibri"/>
          <w:noProof/>
          <w:szCs w:val="24"/>
        </w:rPr>
        <w:tab/>
        <w:t xml:space="preserve">Fujino S., Andoh A., Bamba S., Ogawa A., Hata K., Araki Y., et al. Increased expression of interleukin 17 in inflammatory bowel disease. </w:t>
      </w:r>
      <w:r w:rsidRPr="0031502F">
        <w:rPr>
          <w:rFonts w:ascii="Calibri" w:hAnsi="Calibri" w:cs="Calibri"/>
          <w:i/>
          <w:iCs/>
          <w:noProof/>
          <w:szCs w:val="24"/>
        </w:rPr>
        <w:t>Gut</w:t>
      </w:r>
      <w:r w:rsidRPr="0031502F">
        <w:rPr>
          <w:rFonts w:ascii="Calibri" w:hAnsi="Calibri" w:cs="Calibri"/>
          <w:noProof/>
          <w:szCs w:val="24"/>
        </w:rPr>
        <w:t xml:space="preserve"> 2003;</w:t>
      </w:r>
      <w:r w:rsidRPr="0031502F">
        <w:rPr>
          <w:rFonts w:ascii="Calibri" w:hAnsi="Calibri" w:cs="Calibri"/>
          <w:b/>
          <w:bCs/>
          <w:noProof/>
          <w:szCs w:val="24"/>
        </w:rPr>
        <w:t>52</w:t>
      </w:r>
      <w:r w:rsidRPr="0031502F">
        <w:rPr>
          <w:rFonts w:ascii="Calibri" w:hAnsi="Calibri" w:cs="Calibri"/>
          <w:noProof/>
          <w:szCs w:val="24"/>
        </w:rPr>
        <w:t>(1):65–70. Doi: 10.1136/gut.52.1.65.</w:t>
      </w:r>
    </w:p>
    <w:p w14:paraId="26D73613"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43.</w:t>
      </w:r>
      <w:r w:rsidRPr="0031502F">
        <w:rPr>
          <w:rFonts w:ascii="Calibri" w:hAnsi="Calibri" w:cs="Calibri"/>
          <w:noProof/>
          <w:szCs w:val="24"/>
        </w:rPr>
        <w:tab/>
        <w:t xml:space="preserve">Sahin A., Calhan T., Cengiz M., Kahraman R., Aydin K., Ozdil K., et al. Serum Interleukin 17 Levels in Patients with Crohn’s Disease: Real Life Data. </w:t>
      </w:r>
      <w:r w:rsidRPr="0031502F">
        <w:rPr>
          <w:rFonts w:ascii="Calibri" w:hAnsi="Calibri" w:cs="Calibri"/>
          <w:i/>
          <w:iCs/>
          <w:noProof/>
          <w:szCs w:val="24"/>
        </w:rPr>
        <w:t>Dis Markers</w:t>
      </w:r>
      <w:r w:rsidRPr="0031502F">
        <w:rPr>
          <w:rFonts w:ascii="Calibri" w:hAnsi="Calibri" w:cs="Calibri"/>
          <w:noProof/>
          <w:szCs w:val="24"/>
        </w:rPr>
        <w:t xml:space="preserve"> 2014;</w:t>
      </w:r>
      <w:r w:rsidRPr="0031502F">
        <w:rPr>
          <w:rFonts w:ascii="Calibri" w:hAnsi="Calibri" w:cs="Calibri"/>
          <w:b/>
          <w:bCs/>
          <w:noProof/>
          <w:szCs w:val="24"/>
        </w:rPr>
        <w:t>2014</w:t>
      </w:r>
      <w:r w:rsidRPr="0031502F">
        <w:rPr>
          <w:rFonts w:ascii="Calibri" w:hAnsi="Calibri" w:cs="Calibri"/>
          <w:noProof/>
          <w:szCs w:val="24"/>
        </w:rPr>
        <w:t>. Doi: 10.1155/2014/690853.</w:t>
      </w:r>
    </w:p>
    <w:p w14:paraId="2942444E"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44.</w:t>
      </w:r>
      <w:r w:rsidRPr="0031502F">
        <w:rPr>
          <w:rFonts w:ascii="Calibri" w:hAnsi="Calibri" w:cs="Calibri"/>
          <w:noProof/>
          <w:szCs w:val="24"/>
        </w:rPr>
        <w:tab/>
        <w:t xml:space="preserve">Youssef S., Steinman L., Defea K., Jimmy DS., Lee W., Wang P., et al. IL-17 in Colonic Epithelial Cells Differential Regulation of Chemokines by. </w:t>
      </w:r>
      <w:r w:rsidRPr="0031502F">
        <w:rPr>
          <w:rFonts w:ascii="Calibri" w:hAnsi="Calibri" w:cs="Calibri"/>
          <w:i/>
          <w:iCs/>
          <w:noProof/>
          <w:szCs w:val="24"/>
        </w:rPr>
        <w:t>J Immunol Ref</w:t>
      </w:r>
      <w:r w:rsidRPr="0031502F">
        <w:rPr>
          <w:rFonts w:ascii="Calibri" w:hAnsi="Calibri" w:cs="Calibri"/>
          <w:noProof/>
          <w:szCs w:val="24"/>
        </w:rPr>
        <w:t xml:space="preserve"> 2008;</w:t>
      </w:r>
      <w:r w:rsidRPr="0031502F">
        <w:rPr>
          <w:rFonts w:ascii="Calibri" w:hAnsi="Calibri" w:cs="Calibri"/>
          <w:b/>
          <w:bCs/>
          <w:noProof/>
          <w:szCs w:val="24"/>
        </w:rPr>
        <w:t>181</w:t>
      </w:r>
      <w:r w:rsidRPr="0031502F">
        <w:rPr>
          <w:rFonts w:ascii="Calibri" w:hAnsi="Calibri" w:cs="Calibri"/>
          <w:noProof/>
          <w:szCs w:val="24"/>
        </w:rPr>
        <w:t>:6536–45. Doi: 10.4049/jimmunol.181.9.6536.</w:t>
      </w:r>
    </w:p>
    <w:p w14:paraId="6E433029"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45.</w:t>
      </w:r>
      <w:r w:rsidRPr="0031502F">
        <w:rPr>
          <w:rFonts w:ascii="Calibri" w:hAnsi="Calibri" w:cs="Calibri"/>
          <w:noProof/>
          <w:szCs w:val="24"/>
        </w:rPr>
        <w:tab/>
        <w:t xml:space="preserve">Stawczyk-Eder K., Eder P., Lykowska-Szuber L., Krela-Kazmierczak I., Klimczak K., Szymczak A., et al. Is faecal calprotectin equally useful in all Crohn’s disease locations? A prospective, comparative study. </w:t>
      </w:r>
      <w:r w:rsidRPr="0031502F">
        <w:rPr>
          <w:rFonts w:ascii="Calibri" w:hAnsi="Calibri" w:cs="Calibri"/>
          <w:i/>
          <w:iCs/>
          <w:noProof/>
          <w:szCs w:val="24"/>
        </w:rPr>
        <w:t>Arch Med Sci</w:t>
      </w:r>
      <w:r w:rsidRPr="0031502F">
        <w:rPr>
          <w:rFonts w:ascii="Calibri" w:hAnsi="Calibri" w:cs="Calibri"/>
          <w:noProof/>
          <w:szCs w:val="24"/>
        </w:rPr>
        <w:t xml:space="preserve"> 2015;</w:t>
      </w:r>
      <w:r w:rsidRPr="0031502F">
        <w:rPr>
          <w:rFonts w:ascii="Calibri" w:hAnsi="Calibri" w:cs="Calibri"/>
          <w:b/>
          <w:bCs/>
          <w:noProof/>
          <w:szCs w:val="24"/>
        </w:rPr>
        <w:t>11</w:t>
      </w:r>
      <w:r w:rsidRPr="0031502F">
        <w:rPr>
          <w:rFonts w:ascii="Calibri" w:hAnsi="Calibri" w:cs="Calibri"/>
          <w:noProof/>
          <w:szCs w:val="24"/>
        </w:rPr>
        <w:t>(2):353–61. Doi: 10.5114/aoms.2014.43672.</w:t>
      </w:r>
    </w:p>
    <w:p w14:paraId="229B8E35"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46.</w:t>
      </w:r>
      <w:r w:rsidRPr="0031502F">
        <w:rPr>
          <w:rFonts w:ascii="Calibri" w:hAnsi="Calibri" w:cs="Calibri"/>
          <w:noProof/>
          <w:szCs w:val="24"/>
        </w:rPr>
        <w:tab/>
        <w:t xml:space="preserve">Howell KJ., Kraiczy J., Nayak KM., Gasparetto M., Ross A., Lee C., et al. DNA Methylation and Transcription Patterns in Intestinal Epithelial Cells From Pediatric Patients With Inflammatory Bowel Diseases Differentiate Disease Subtypes and Associate With Outcome. </w:t>
      </w:r>
      <w:r w:rsidRPr="0031502F">
        <w:rPr>
          <w:rFonts w:ascii="Calibri" w:hAnsi="Calibri" w:cs="Calibri"/>
          <w:i/>
          <w:iCs/>
          <w:noProof/>
          <w:szCs w:val="24"/>
        </w:rPr>
        <w:lastRenderedPageBreak/>
        <w:t>Gastroenterology</w:t>
      </w:r>
      <w:r w:rsidRPr="0031502F">
        <w:rPr>
          <w:rFonts w:ascii="Calibri" w:hAnsi="Calibri" w:cs="Calibri"/>
          <w:noProof/>
          <w:szCs w:val="24"/>
        </w:rPr>
        <w:t xml:space="preserve"> 2018;</w:t>
      </w:r>
      <w:r w:rsidRPr="0031502F">
        <w:rPr>
          <w:rFonts w:ascii="Calibri" w:hAnsi="Calibri" w:cs="Calibri"/>
          <w:b/>
          <w:bCs/>
          <w:noProof/>
          <w:szCs w:val="24"/>
        </w:rPr>
        <w:t>154</w:t>
      </w:r>
      <w:r w:rsidRPr="0031502F">
        <w:rPr>
          <w:rFonts w:ascii="Calibri" w:hAnsi="Calibri" w:cs="Calibri"/>
          <w:noProof/>
          <w:szCs w:val="24"/>
        </w:rPr>
        <w:t>(3):585–98. Doi: 10.1053/j.gastro.2017.10.007.</w:t>
      </w:r>
    </w:p>
    <w:p w14:paraId="44AB3DBA"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47.</w:t>
      </w:r>
      <w:r w:rsidRPr="0031502F">
        <w:rPr>
          <w:rFonts w:ascii="Calibri" w:hAnsi="Calibri" w:cs="Calibri"/>
          <w:noProof/>
          <w:szCs w:val="24"/>
        </w:rPr>
        <w:tab/>
        <w:t xml:space="preserve">Coelho T., Mossotto E., Gao Y., Haggarty R., Ashton JJ., Batra A., et al. Immunological Profiling of Paediatric Inflammatory Bowel Disease Using Unsupervised Machine Learning. </w:t>
      </w:r>
      <w:r w:rsidRPr="0031502F">
        <w:rPr>
          <w:rFonts w:ascii="Calibri" w:hAnsi="Calibri" w:cs="Calibri"/>
          <w:i/>
          <w:iCs/>
          <w:noProof/>
          <w:szCs w:val="24"/>
        </w:rPr>
        <w:t>J Pediatr Gastroenterol Nutr</w:t>
      </w:r>
      <w:r w:rsidRPr="0031502F">
        <w:rPr>
          <w:rFonts w:ascii="Calibri" w:hAnsi="Calibri" w:cs="Calibri"/>
          <w:noProof/>
          <w:szCs w:val="24"/>
        </w:rPr>
        <w:t xml:space="preserve"> 2020:1. Doi: 10.1097/mpg.0000000000002719.</w:t>
      </w:r>
    </w:p>
    <w:p w14:paraId="786BE46E"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szCs w:val="24"/>
        </w:rPr>
      </w:pPr>
      <w:r w:rsidRPr="0031502F">
        <w:rPr>
          <w:rFonts w:ascii="Calibri" w:hAnsi="Calibri" w:cs="Calibri"/>
          <w:noProof/>
          <w:szCs w:val="24"/>
        </w:rPr>
        <w:t>48.</w:t>
      </w:r>
      <w:r w:rsidRPr="0031502F">
        <w:rPr>
          <w:rFonts w:ascii="Calibri" w:hAnsi="Calibri" w:cs="Calibri"/>
          <w:noProof/>
          <w:szCs w:val="24"/>
        </w:rPr>
        <w:tab/>
        <w:t xml:space="preserve">Simon AK., Hollander GA., McMichael A. Evolution of the immune system in humans from infancy to old age. </w:t>
      </w:r>
      <w:r w:rsidRPr="0031502F">
        <w:rPr>
          <w:rFonts w:ascii="Calibri" w:hAnsi="Calibri" w:cs="Calibri"/>
          <w:i/>
          <w:iCs/>
          <w:noProof/>
          <w:szCs w:val="24"/>
        </w:rPr>
        <w:t>Proc R Soc B Biol Sci</w:t>
      </w:r>
      <w:r w:rsidRPr="0031502F">
        <w:rPr>
          <w:rFonts w:ascii="Calibri" w:hAnsi="Calibri" w:cs="Calibri"/>
          <w:noProof/>
          <w:szCs w:val="24"/>
        </w:rPr>
        <w:t xml:space="preserve"> 2015. Doi: 10.1098/rspb.2014.3085.</w:t>
      </w:r>
    </w:p>
    <w:p w14:paraId="5E274453" w14:textId="77777777" w:rsidR="0031502F" w:rsidRPr="0031502F" w:rsidRDefault="0031502F" w:rsidP="0031502F">
      <w:pPr>
        <w:widowControl w:val="0"/>
        <w:autoSpaceDE w:val="0"/>
        <w:autoSpaceDN w:val="0"/>
        <w:adjustRightInd w:val="0"/>
        <w:spacing w:line="480" w:lineRule="auto"/>
        <w:ind w:left="640" w:hanging="640"/>
        <w:rPr>
          <w:rFonts w:ascii="Calibri" w:hAnsi="Calibri" w:cs="Calibri"/>
          <w:noProof/>
        </w:rPr>
      </w:pPr>
      <w:r w:rsidRPr="0031502F">
        <w:rPr>
          <w:rFonts w:ascii="Calibri" w:hAnsi="Calibri" w:cs="Calibri"/>
          <w:noProof/>
          <w:szCs w:val="24"/>
        </w:rPr>
        <w:t>49.</w:t>
      </w:r>
      <w:r w:rsidRPr="0031502F">
        <w:rPr>
          <w:rFonts w:ascii="Calibri" w:hAnsi="Calibri" w:cs="Calibri"/>
          <w:noProof/>
          <w:szCs w:val="24"/>
        </w:rPr>
        <w:tab/>
        <w:t xml:space="preserve">Ran D., Moharil J., Lu J., Gustafson H., Culm-Merdek K., Strand-Tibbitts K., et al. Platform comparison of HTG EdgeSeq and RNA-Seq for gene expression profiling of tumor tissue specimens. </w:t>
      </w:r>
      <w:r w:rsidRPr="0031502F">
        <w:rPr>
          <w:rFonts w:ascii="Calibri" w:hAnsi="Calibri" w:cs="Calibri"/>
          <w:i/>
          <w:iCs/>
          <w:noProof/>
          <w:szCs w:val="24"/>
        </w:rPr>
        <w:t>J Clin Oncol</w:t>
      </w:r>
      <w:r w:rsidRPr="0031502F">
        <w:rPr>
          <w:rFonts w:ascii="Calibri" w:hAnsi="Calibri" w:cs="Calibri"/>
          <w:noProof/>
          <w:szCs w:val="24"/>
        </w:rPr>
        <w:t xml:space="preserve"> 2020;</w:t>
      </w:r>
      <w:r w:rsidRPr="0031502F">
        <w:rPr>
          <w:rFonts w:ascii="Calibri" w:hAnsi="Calibri" w:cs="Calibri"/>
          <w:b/>
          <w:bCs/>
          <w:noProof/>
          <w:szCs w:val="24"/>
        </w:rPr>
        <w:t>38</w:t>
      </w:r>
      <w:r w:rsidRPr="0031502F">
        <w:rPr>
          <w:rFonts w:ascii="Calibri" w:hAnsi="Calibri" w:cs="Calibri"/>
          <w:noProof/>
          <w:szCs w:val="24"/>
        </w:rPr>
        <w:t>(15_suppl):3566–3566. Doi: 10.1200/jco.2020.38.15_suppl.3566.</w:t>
      </w:r>
    </w:p>
    <w:p w14:paraId="0EC0C6E7" w14:textId="77777777" w:rsidR="00B60E59" w:rsidRDefault="00B60E59" w:rsidP="00B60E59">
      <w:pPr>
        <w:widowControl w:val="0"/>
        <w:autoSpaceDE w:val="0"/>
        <w:autoSpaceDN w:val="0"/>
        <w:adjustRightInd w:val="0"/>
        <w:spacing w:line="480" w:lineRule="auto"/>
        <w:ind w:left="640" w:hanging="640"/>
        <w:rPr>
          <w:b/>
          <w:bCs/>
          <w:u w:val="single"/>
        </w:rPr>
      </w:pPr>
      <w:r w:rsidRPr="00A3726C">
        <w:rPr>
          <w:b/>
          <w:bCs/>
          <w:u w:val="single"/>
        </w:rPr>
        <w:fldChar w:fldCharType="end"/>
      </w:r>
    </w:p>
    <w:p w14:paraId="149B477D" w14:textId="77777777" w:rsidR="00B60E59" w:rsidRDefault="00B60E59" w:rsidP="00B60E59">
      <w:pPr>
        <w:widowControl w:val="0"/>
        <w:autoSpaceDE w:val="0"/>
        <w:autoSpaceDN w:val="0"/>
        <w:adjustRightInd w:val="0"/>
        <w:spacing w:line="480" w:lineRule="auto"/>
        <w:ind w:left="640" w:hanging="640"/>
        <w:rPr>
          <w:b/>
          <w:bCs/>
          <w:u w:val="single"/>
        </w:rPr>
      </w:pPr>
    </w:p>
    <w:p w14:paraId="24124966" w14:textId="77777777" w:rsidR="00B60E59" w:rsidRDefault="00B60E59" w:rsidP="00B60E59">
      <w:pPr>
        <w:widowControl w:val="0"/>
        <w:autoSpaceDE w:val="0"/>
        <w:autoSpaceDN w:val="0"/>
        <w:adjustRightInd w:val="0"/>
        <w:spacing w:line="480" w:lineRule="auto"/>
        <w:ind w:left="640" w:hanging="640"/>
        <w:rPr>
          <w:b/>
          <w:bCs/>
          <w:u w:val="single"/>
        </w:rPr>
      </w:pPr>
    </w:p>
    <w:p w14:paraId="6C96905D" w14:textId="77777777" w:rsidR="00B60E59" w:rsidRDefault="00B60E59" w:rsidP="00B60E59">
      <w:pPr>
        <w:widowControl w:val="0"/>
        <w:autoSpaceDE w:val="0"/>
        <w:autoSpaceDN w:val="0"/>
        <w:adjustRightInd w:val="0"/>
        <w:spacing w:line="480" w:lineRule="auto"/>
        <w:ind w:left="640" w:hanging="640"/>
        <w:rPr>
          <w:b/>
          <w:bCs/>
          <w:u w:val="single"/>
        </w:rPr>
      </w:pPr>
    </w:p>
    <w:p w14:paraId="672D3678" w14:textId="77777777" w:rsidR="00B60E59" w:rsidRDefault="00B60E59" w:rsidP="00B60E59">
      <w:pPr>
        <w:widowControl w:val="0"/>
        <w:autoSpaceDE w:val="0"/>
        <w:autoSpaceDN w:val="0"/>
        <w:adjustRightInd w:val="0"/>
        <w:spacing w:line="480" w:lineRule="auto"/>
        <w:ind w:left="640" w:hanging="640"/>
        <w:rPr>
          <w:b/>
          <w:bCs/>
          <w:u w:val="single"/>
        </w:rPr>
      </w:pPr>
    </w:p>
    <w:p w14:paraId="4C8F8F02" w14:textId="77777777" w:rsidR="00B60E59" w:rsidRDefault="00B60E59" w:rsidP="00B60E59">
      <w:pPr>
        <w:widowControl w:val="0"/>
        <w:autoSpaceDE w:val="0"/>
        <w:autoSpaceDN w:val="0"/>
        <w:adjustRightInd w:val="0"/>
        <w:spacing w:line="480" w:lineRule="auto"/>
        <w:ind w:left="640" w:hanging="640"/>
        <w:rPr>
          <w:b/>
          <w:bCs/>
          <w:u w:val="single"/>
        </w:rPr>
      </w:pPr>
    </w:p>
    <w:p w14:paraId="3A6E0B68" w14:textId="77777777" w:rsidR="00B60E59" w:rsidRDefault="00B60E59" w:rsidP="00B60E59">
      <w:pPr>
        <w:widowControl w:val="0"/>
        <w:autoSpaceDE w:val="0"/>
        <w:autoSpaceDN w:val="0"/>
        <w:adjustRightInd w:val="0"/>
        <w:spacing w:line="480" w:lineRule="auto"/>
        <w:ind w:left="640" w:hanging="640"/>
        <w:rPr>
          <w:b/>
          <w:bCs/>
          <w:u w:val="single"/>
        </w:rPr>
      </w:pPr>
    </w:p>
    <w:p w14:paraId="3CF8EABD" w14:textId="77777777" w:rsidR="00B60E59" w:rsidRDefault="00B60E59" w:rsidP="00B60E59">
      <w:pPr>
        <w:widowControl w:val="0"/>
        <w:autoSpaceDE w:val="0"/>
        <w:autoSpaceDN w:val="0"/>
        <w:adjustRightInd w:val="0"/>
        <w:spacing w:line="480" w:lineRule="auto"/>
        <w:ind w:left="640" w:hanging="640"/>
        <w:rPr>
          <w:b/>
          <w:bCs/>
          <w:u w:val="single"/>
        </w:rPr>
        <w:sectPr w:rsidR="00B60E59">
          <w:headerReference w:type="default" r:id="rId10"/>
          <w:pgSz w:w="11906" w:h="16838"/>
          <w:pgMar w:top="1440" w:right="1440" w:bottom="1440" w:left="1440" w:header="708" w:footer="708" w:gutter="0"/>
          <w:cols w:space="708"/>
          <w:docGrid w:linePitch="360"/>
        </w:sectPr>
      </w:pPr>
    </w:p>
    <w:p w14:paraId="5FABEF57" w14:textId="77777777" w:rsidR="00B60E59" w:rsidRPr="007B14B4" w:rsidRDefault="00B60E59" w:rsidP="00B60E59">
      <w:pPr>
        <w:spacing w:line="480" w:lineRule="auto"/>
      </w:pPr>
      <w:r w:rsidRPr="00495030">
        <w:rPr>
          <w:b/>
          <w:bCs/>
        </w:rPr>
        <w:lastRenderedPageBreak/>
        <w:t>Table 1</w:t>
      </w:r>
      <w:r>
        <w:rPr>
          <w:b/>
          <w:bCs/>
        </w:rPr>
        <w:t xml:space="preserve">- Patient demographics, clinical characteristics and treatments. </w:t>
      </w:r>
      <w:r>
        <w:t>The two patients included in the single-cell analysis are detailed alone and are also included in treatment naïve patient column.</w:t>
      </w:r>
    </w:p>
    <w:p w14:paraId="2AB859CB" w14:textId="31A25DE5" w:rsidR="00B60E59" w:rsidRDefault="00B60E59" w:rsidP="00B60E59">
      <w:pPr>
        <w:widowControl w:val="0"/>
        <w:autoSpaceDE w:val="0"/>
        <w:autoSpaceDN w:val="0"/>
        <w:adjustRightInd w:val="0"/>
        <w:spacing w:line="480" w:lineRule="auto"/>
        <w:ind w:left="640" w:hanging="640"/>
        <w:rPr>
          <w:b/>
          <w:bCs/>
          <w:u w:val="single"/>
        </w:rPr>
      </w:pPr>
    </w:p>
    <w:tbl>
      <w:tblPr>
        <w:tblStyle w:val="TableGrid"/>
        <w:tblpPr w:leftFromText="180" w:rightFromText="180" w:vertAnchor="page" w:horzAnchor="margin" w:tblpY="2612"/>
        <w:tblW w:w="13116" w:type="dxa"/>
        <w:tblLook w:val="04A0" w:firstRow="1" w:lastRow="0" w:firstColumn="1" w:lastColumn="0" w:noHBand="0" w:noVBand="1"/>
      </w:tblPr>
      <w:tblGrid>
        <w:gridCol w:w="2263"/>
        <w:gridCol w:w="2109"/>
        <w:gridCol w:w="2186"/>
        <w:gridCol w:w="2186"/>
        <w:gridCol w:w="2186"/>
        <w:gridCol w:w="2186"/>
      </w:tblGrid>
      <w:tr w:rsidR="00B60E59" w14:paraId="129BB067" w14:textId="77777777" w:rsidTr="007B14B4">
        <w:trPr>
          <w:trHeight w:val="503"/>
        </w:trPr>
        <w:tc>
          <w:tcPr>
            <w:tcW w:w="2263" w:type="dxa"/>
          </w:tcPr>
          <w:p w14:paraId="7D597F62" w14:textId="77777777" w:rsidR="00B60E59" w:rsidRPr="00573B11" w:rsidRDefault="00B60E59" w:rsidP="007B14B4">
            <w:pPr>
              <w:jc w:val="center"/>
              <w:rPr>
                <w:b/>
                <w:bCs/>
              </w:rPr>
            </w:pPr>
          </w:p>
        </w:tc>
        <w:tc>
          <w:tcPr>
            <w:tcW w:w="2109" w:type="dxa"/>
          </w:tcPr>
          <w:p w14:paraId="6D78CD1B" w14:textId="77777777" w:rsidR="00B60E59" w:rsidRPr="00573B11" w:rsidRDefault="00B60E59" w:rsidP="007B14B4">
            <w:pPr>
              <w:jc w:val="center"/>
              <w:rPr>
                <w:b/>
                <w:bCs/>
              </w:rPr>
            </w:pPr>
            <w:r w:rsidRPr="00573B11">
              <w:rPr>
                <w:b/>
                <w:bCs/>
              </w:rPr>
              <w:t>Treatment naïve patients</w:t>
            </w:r>
          </w:p>
        </w:tc>
        <w:tc>
          <w:tcPr>
            <w:tcW w:w="2186" w:type="dxa"/>
            <w:vAlign w:val="center"/>
          </w:tcPr>
          <w:p w14:paraId="4E618469" w14:textId="77777777" w:rsidR="00B60E59" w:rsidRPr="00573B11" w:rsidRDefault="00B60E59" w:rsidP="007B14B4">
            <w:pPr>
              <w:jc w:val="center"/>
              <w:rPr>
                <w:b/>
                <w:bCs/>
              </w:rPr>
            </w:pPr>
            <w:r>
              <w:rPr>
                <w:b/>
                <w:bCs/>
              </w:rPr>
              <w:t>Single cell patient SOPR 0472*</w:t>
            </w:r>
          </w:p>
        </w:tc>
        <w:tc>
          <w:tcPr>
            <w:tcW w:w="2186" w:type="dxa"/>
            <w:vAlign w:val="center"/>
          </w:tcPr>
          <w:p w14:paraId="0E2196E0" w14:textId="77777777" w:rsidR="00B60E59" w:rsidRPr="00573B11" w:rsidRDefault="00B60E59" w:rsidP="007B14B4">
            <w:pPr>
              <w:jc w:val="center"/>
              <w:rPr>
                <w:b/>
                <w:bCs/>
              </w:rPr>
            </w:pPr>
            <w:r>
              <w:rPr>
                <w:b/>
                <w:bCs/>
              </w:rPr>
              <w:t>Single cell patient SOPR 0476*</w:t>
            </w:r>
          </w:p>
        </w:tc>
        <w:tc>
          <w:tcPr>
            <w:tcW w:w="2186" w:type="dxa"/>
          </w:tcPr>
          <w:p w14:paraId="39A5C3FA" w14:textId="77777777" w:rsidR="00B60E59" w:rsidRPr="00573B11" w:rsidRDefault="00B60E59" w:rsidP="007B14B4">
            <w:pPr>
              <w:jc w:val="center"/>
              <w:rPr>
                <w:b/>
                <w:bCs/>
              </w:rPr>
            </w:pPr>
            <w:r w:rsidRPr="00573B11">
              <w:rPr>
                <w:b/>
                <w:bCs/>
              </w:rPr>
              <w:t>Established disease patients</w:t>
            </w:r>
          </w:p>
        </w:tc>
        <w:tc>
          <w:tcPr>
            <w:tcW w:w="2186" w:type="dxa"/>
          </w:tcPr>
          <w:p w14:paraId="275C14EE" w14:textId="77777777" w:rsidR="00B60E59" w:rsidRPr="00573B11" w:rsidRDefault="00B60E59" w:rsidP="007B14B4">
            <w:pPr>
              <w:jc w:val="center"/>
              <w:rPr>
                <w:b/>
                <w:bCs/>
              </w:rPr>
            </w:pPr>
            <w:r w:rsidRPr="00573B11">
              <w:rPr>
                <w:b/>
                <w:bCs/>
              </w:rPr>
              <w:t>Controls</w:t>
            </w:r>
          </w:p>
        </w:tc>
      </w:tr>
      <w:tr w:rsidR="00B60E59" w14:paraId="65534D15" w14:textId="77777777" w:rsidTr="007B14B4">
        <w:trPr>
          <w:trHeight w:val="658"/>
        </w:trPr>
        <w:tc>
          <w:tcPr>
            <w:tcW w:w="2263" w:type="dxa"/>
            <w:vAlign w:val="center"/>
          </w:tcPr>
          <w:p w14:paraId="79CB0CE5" w14:textId="77777777" w:rsidR="00B60E59" w:rsidRPr="00573B11" w:rsidRDefault="00B60E59" w:rsidP="007B14B4">
            <w:pPr>
              <w:rPr>
                <w:b/>
                <w:bCs/>
              </w:rPr>
            </w:pPr>
            <w:r w:rsidRPr="00573B11">
              <w:rPr>
                <w:b/>
                <w:bCs/>
              </w:rPr>
              <w:t xml:space="preserve">Number of patients </w:t>
            </w:r>
          </w:p>
        </w:tc>
        <w:tc>
          <w:tcPr>
            <w:tcW w:w="2109" w:type="dxa"/>
            <w:vAlign w:val="center"/>
          </w:tcPr>
          <w:p w14:paraId="7DBAB735" w14:textId="77777777" w:rsidR="00B60E59" w:rsidRDefault="00B60E59" w:rsidP="007B14B4">
            <w:pPr>
              <w:jc w:val="center"/>
            </w:pPr>
            <w:r>
              <w:t xml:space="preserve">27 </w:t>
            </w:r>
          </w:p>
        </w:tc>
        <w:tc>
          <w:tcPr>
            <w:tcW w:w="2186" w:type="dxa"/>
            <w:vAlign w:val="center"/>
          </w:tcPr>
          <w:p w14:paraId="7F135C91" w14:textId="77777777" w:rsidR="00B60E59" w:rsidRDefault="00B60E59" w:rsidP="007B14B4">
            <w:pPr>
              <w:jc w:val="center"/>
            </w:pPr>
            <w:r>
              <w:t>1</w:t>
            </w:r>
          </w:p>
        </w:tc>
        <w:tc>
          <w:tcPr>
            <w:tcW w:w="2186" w:type="dxa"/>
            <w:vAlign w:val="center"/>
          </w:tcPr>
          <w:p w14:paraId="24D331AB" w14:textId="77777777" w:rsidR="00B60E59" w:rsidRDefault="00B60E59" w:rsidP="007B14B4">
            <w:pPr>
              <w:jc w:val="center"/>
            </w:pPr>
            <w:r>
              <w:t>1</w:t>
            </w:r>
          </w:p>
        </w:tc>
        <w:tc>
          <w:tcPr>
            <w:tcW w:w="2186" w:type="dxa"/>
            <w:vAlign w:val="center"/>
          </w:tcPr>
          <w:p w14:paraId="552544DC" w14:textId="77777777" w:rsidR="00B60E59" w:rsidRDefault="00B60E59" w:rsidP="007B14B4">
            <w:pPr>
              <w:jc w:val="center"/>
            </w:pPr>
            <w:r>
              <w:t>26</w:t>
            </w:r>
          </w:p>
        </w:tc>
        <w:tc>
          <w:tcPr>
            <w:tcW w:w="2186" w:type="dxa"/>
            <w:vAlign w:val="center"/>
          </w:tcPr>
          <w:p w14:paraId="11CFA0AA" w14:textId="77777777" w:rsidR="00B60E59" w:rsidRDefault="00B60E59" w:rsidP="007B14B4">
            <w:pPr>
              <w:jc w:val="center"/>
            </w:pPr>
            <w:r>
              <w:t>17</w:t>
            </w:r>
          </w:p>
        </w:tc>
      </w:tr>
      <w:tr w:rsidR="00B60E59" w14:paraId="027BAD7D" w14:textId="77777777" w:rsidTr="007B14B4">
        <w:trPr>
          <w:trHeight w:val="658"/>
        </w:trPr>
        <w:tc>
          <w:tcPr>
            <w:tcW w:w="2263" w:type="dxa"/>
            <w:vAlign w:val="center"/>
          </w:tcPr>
          <w:p w14:paraId="47C108BA" w14:textId="4599FD83" w:rsidR="00B60E59" w:rsidRPr="00573B11" w:rsidRDefault="00B60E59" w:rsidP="007B14B4">
            <w:pPr>
              <w:rPr>
                <w:b/>
                <w:bCs/>
              </w:rPr>
            </w:pPr>
            <w:r>
              <w:rPr>
                <w:b/>
                <w:bCs/>
              </w:rPr>
              <w:t>Number of biopsies included in analysis**</w:t>
            </w:r>
          </w:p>
        </w:tc>
        <w:tc>
          <w:tcPr>
            <w:tcW w:w="2109" w:type="dxa"/>
            <w:vAlign w:val="center"/>
          </w:tcPr>
          <w:p w14:paraId="5378A933" w14:textId="77777777" w:rsidR="00B60E59" w:rsidRDefault="00B60E59" w:rsidP="007B14B4">
            <w:pPr>
              <w:jc w:val="center"/>
            </w:pPr>
            <w:r>
              <w:t>27</w:t>
            </w:r>
          </w:p>
        </w:tc>
        <w:tc>
          <w:tcPr>
            <w:tcW w:w="2186" w:type="dxa"/>
            <w:vAlign w:val="center"/>
          </w:tcPr>
          <w:p w14:paraId="56FFFD5E" w14:textId="77777777" w:rsidR="00B60E59" w:rsidRDefault="00B60E59" w:rsidP="007B14B4">
            <w:pPr>
              <w:jc w:val="center"/>
            </w:pPr>
            <w:r>
              <w:t>1</w:t>
            </w:r>
          </w:p>
        </w:tc>
        <w:tc>
          <w:tcPr>
            <w:tcW w:w="2186" w:type="dxa"/>
            <w:vAlign w:val="center"/>
          </w:tcPr>
          <w:p w14:paraId="35A7D1F2" w14:textId="77777777" w:rsidR="00B60E59" w:rsidRDefault="00B60E59" w:rsidP="007B14B4">
            <w:pPr>
              <w:jc w:val="center"/>
            </w:pPr>
            <w:r>
              <w:t>1</w:t>
            </w:r>
          </w:p>
        </w:tc>
        <w:tc>
          <w:tcPr>
            <w:tcW w:w="2186" w:type="dxa"/>
            <w:vAlign w:val="center"/>
          </w:tcPr>
          <w:p w14:paraId="022DFFBE" w14:textId="77777777" w:rsidR="00B60E59" w:rsidRDefault="00B60E59" w:rsidP="007B14B4">
            <w:pPr>
              <w:jc w:val="center"/>
            </w:pPr>
            <w:r>
              <w:t>25</w:t>
            </w:r>
          </w:p>
        </w:tc>
        <w:tc>
          <w:tcPr>
            <w:tcW w:w="2186" w:type="dxa"/>
            <w:vAlign w:val="center"/>
          </w:tcPr>
          <w:p w14:paraId="39B8D2CC" w14:textId="77777777" w:rsidR="00B60E59" w:rsidRDefault="00B60E59" w:rsidP="007B14B4">
            <w:pPr>
              <w:jc w:val="center"/>
            </w:pPr>
            <w:r>
              <w:t>17</w:t>
            </w:r>
          </w:p>
        </w:tc>
      </w:tr>
      <w:tr w:rsidR="00B60E59" w14:paraId="0DE1C8EF" w14:textId="77777777" w:rsidTr="007B14B4">
        <w:trPr>
          <w:trHeight w:val="658"/>
        </w:trPr>
        <w:tc>
          <w:tcPr>
            <w:tcW w:w="2263" w:type="dxa"/>
            <w:vAlign w:val="center"/>
          </w:tcPr>
          <w:p w14:paraId="5DBB4291" w14:textId="77777777" w:rsidR="00B60E59" w:rsidRPr="00573B11" w:rsidRDefault="00B60E59" w:rsidP="007B14B4">
            <w:pPr>
              <w:rPr>
                <w:b/>
                <w:bCs/>
              </w:rPr>
            </w:pPr>
            <w:r w:rsidRPr="00573B11">
              <w:rPr>
                <w:b/>
                <w:bCs/>
              </w:rPr>
              <w:t>Mean age at diagnosis (range)</w:t>
            </w:r>
          </w:p>
        </w:tc>
        <w:tc>
          <w:tcPr>
            <w:tcW w:w="2109" w:type="dxa"/>
            <w:vAlign w:val="center"/>
          </w:tcPr>
          <w:p w14:paraId="73F58A51" w14:textId="77777777" w:rsidR="00B60E59" w:rsidRDefault="00B60E59" w:rsidP="007B14B4">
            <w:pPr>
              <w:jc w:val="center"/>
            </w:pPr>
            <w:r>
              <w:t>13.46 years (9.26-16.75)</w:t>
            </w:r>
          </w:p>
        </w:tc>
        <w:tc>
          <w:tcPr>
            <w:tcW w:w="2186" w:type="dxa"/>
            <w:vAlign w:val="center"/>
          </w:tcPr>
          <w:p w14:paraId="2DC84DDF" w14:textId="77777777" w:rsidR="00B60E59" w:rsidRDefault="00B60E59" w:rsidP="007B14B4">
            <w:pPr>
              <w:jc w:val="center"/>
            </w:pPr>
            <w:r>
              <w:t>13.44 years</w:t>
            </w:r>
          </w:p>
        </w:tc>
        <w:tc>
          <w:tcPr>
            <w:tcW w:w="2186" w:type="dxa"/>
            <w:vAlign w:val="center"/>
          </w:tcPr>
          <w:p w14:paraId="78603502" w14:textId="77777777" w:rsidR="00B60E59" w:rsidRDefault="00B60E59" w:rsidP="007B14B4">
            <w:pPr>
              <w:jc w:val="center"/>
            </w:pPr>
            <w:r>
              <w:t>14.81 years</w:t>
            </w:r>
          </w:p>
        </w:tc>
        <w:tc>
          <w:tcPr>
            <w:tcW w:w="2186" w:type="dxa"/>
            <w:vAlign w:val="center"/>
          </w:tcPr>
          <w:p w14:paraId="1DDE7521" w14:textId="77777777" w:rsidR="00B60E59" w:rsidRDefault="00B60E59" w:rsidP="007B14B4">
            <w:pPr>
              <w:jc w:val="center"/>
            </w:pPr>
            <w:r>
              <w:t>12.03 years (5.79-15.3)</w:t>
            </w:r>
          </w:p>
        </w:tc>
        <w:tc>
          <w:tcPr>
            <w:tcW w:w="2186" w:type="dxa"/>
            <w:vAlign w:val="center"/>
          </w:tcPr>
          <w:p w14:paraId="7A403FF0" w14:textId="77777777" w:rsidR="00B60E59" w:rsidRDefault="00B60E59" w:rsidP="007B14B4">
            <w:pPr>
              <w:jc w:val="center"/>
            </w:pPr>
            <w:r>
              <w:t>N/A</w:t>
            </w:r>
          </w:p>
        </w:tc>
      </w:tr>
      <w:tr w:rsidR="00B60E59" w14:paraId="29F98F0E" w14:textId="77777777" w:rsidTr="007B14B4">
        <w:trPr>
          <w:trHeight w:val="658"/>
        </w:trPr>
        <w:tc>
          <w:tcPr>
            <w:tcW w:w="2263" w:type="dxa"/>
            <w:vAlign w:val="center"/>
          </w:tcPr>
          <w:p w14:paraId="29E63E49" w14:textId="77777777" w:rsidR="00B60E59" w:rsidRPr="00573B11" w:rsidRDefault="00B60E59" w:rsidP="007B14B4">
            <w:pPr>
              <w:rPr>
                <w:b/>
                <w:bCs/>
              </w:rPr>
            </w:pPr>
            <w:r w:rsidRPr="00573B11">
              <w:rPr>
                <w:b/>
                <w:bCs/>
              </w:rPr>
              <w:t>Mean age at ileal biopsy</w:t>
            </w:r>
            <w:r>
              <w:rPr>
                <w:b/>
                <w:bCs/>
              </w:rPr>
              <w:t xml:space="preserve"> </w:t>
            </w:r>
            <w:r w:rsidRPr="00573B11">
              <w:rPr>
                <w:b/>
                <w:bCs/>
              </w:rPr>
              <w:t>(range)</w:t>
            </w:r>
          </w:p>
        </w:tc>
        <w:tc>
          <w:tcPr>
            <w:tcW w:w="2109" w:type="dxa"/>
            <w:vAlign w:val="center"/>
          </w:tcPr>
          <w:p w14:paraId="00F0389C" w14:textId="77777777" w:rsidR="00B60E59" w:rsidRDefault="00B60E59" w:rsidP="007B14B4">
            <w:pPr>
              <w:jc w:val="center"/>
            </w:pPr>
            <w:r>
              <w:t>13.46 years (9.26-16.75)</w:t>
            </w:r>
          </w:p>
        </w:tc>
        <w:tc>
          <w:tcPr>
            <w:tcW w:w="2186" w:type="dxa"/>
            <w:vAlign w:val="center"/>
          </w:tcPr>
          <w:p w14:paraId="1AB87418" w14:textId="77777777" w:rsidR="00B60E59" w:rsidRDefault="00B60E59" w:rsidP="007B14B4">
            <w:pPr>
              <w:jc w:val="center"/>
            </w:pPr>
            <w:r>
              <w:t>13.44 years</w:t>
            </w:r>
          </w:p>
        </w:tc>
        <w:tc>
          <w:tcPr>
            <w:tcW w:w="2186" w:type="dxa"/>
            <w:vAlign w:val="center"/>
          </w:tcPr>
          <w:p w14:paraId="314A71C5" w14:textId="77777777" w:rsidR="00B60E59" w:rsidRDefault="00B60E59" w:rsidP="007B14B4">
            <w:pPr>
              <w:jc w:val="center"/>
            </w:pPr>
            <w:r>
              <w:t>14.81 years</w:t>
            </w:r>
          </w:p>
        </w:tc>
        <w:tc>
          <w:tcPr>
            <w:tcW w:w="2186" w:type="dxa"/>
            <w:vAlign w:val="center"/>
          </w:tcPr>
          <w:p w14:paraId="0FFB68A0" w14:textId="77777777" w:rsidR="00B60E59" w:rsidRDefault="00B60E59" w:rsidP="007B14B4">
            <w:pPr>
              <w:jc w:val="center"/>
            </w:pPr>
            <w:r>
              <w:t>14.64 years (8.68-17.70)</w:t>
            </w:r>
          </w:p>
        </w:tc>
        <w:tc>
          <w:tcPr>
            <w:tcW w:w="2186" w:type="dxa"/>
            <w:vAlign w:val="center"/>
          </w:tcPr>
          <w:p w14:paraId="3AE979FC" w14:textId="77777777" w:rsidR="00B60E59" w:rsidRDefault="00B60E59" w:rsidP="007B14B4">
            <w:pPr>
              <w:jc w:val="center"/>
            </w:pPr>
            <w:r>
              <w:t>11.56 years (6.01-15.10)</w:t>
            </w:r>
          </w:p>
        </w:tc>
      </w:tr>
      <w:tr w:rsidR="00B60E59" w14:paraId="4D668D87" w14:textId="77777777" w:rsidTr="007B14B4">
        <w:trPr>
          <w:trHeight w:val="658"/>
        </w:trPr>
        <w:tc>
          <w:tcPr>
            <w:tcW w:w="2263" w:type="dxa"/>
            <w:vAlign w:val="center"/>
          </w:tcPr>
          <w:p w14:paraId="65F1C76D" w14:textId="77777777" w:rsidR="00B60E59" w:rsidRPr="00573B11" w:rsidRDefault="00B60E59" w:rsidP="007B14B4">
            <w:pPr>
              <w:rPr>
                <w:b/>
                <w:bCs/>
              </w:rPr>
            </w:pPr>
            <w:r w:rsidRPr="00573B11">
              <w:rPr>
                <w:b/>
                <w:bCs/>
              </w:rPr>
              <w:t>Percentage female (%)</w:t>
            </w:r>
          </w:p>
        </w:tc>
        <w:tc>
          <w:tcPr>
            <w:tcW w:w="2109" w:type="dxa"/>
            <w:vAlign w:val="center"/>
          </w:tcPr>
          <w:p w14:paraId="077C9B69" w14:textId="77777777" w:rsidR="00B60E59" w:rsidRDefault="00B60E59" w:rsidP="007B14B4">
            <w:pPr>
              <w:jc w:val="center"/>
            </w:pPr>
            <w:r>
              <w:t>29.6% (n=8)</w:t>
            </w:r>
          </w:p>
        </w:tc>
        <w:tc>
          <w:tcPr>
            <w:tcW w:w="2186" w:type="dxa"/>
            <w:vAlign w:val="center"/>
          </w:tcPr>
          <w:p w14:paraId="5262B375" w14:textId="77777777" w:rsidR="00B60E59" w:rsidRDefault="00B60E59" w:rsidP="007B14B4">
            <w:pPr>
              <w:jc w:val="center"/>
            </w:pPr>
            <w:r>
              <w:t>0% (patient is male)</w:t>
            </w:r>
          </w:p>
        </w:tc>
        <w:tc>
          <w:tcPr>
            <w:tcW w:w="2186" w:type="dxa"/>
            <w:vAlign w:val="center"/>
          </w:tcPr>
          <w:p w14:paraId="2F8B5EB4" w14:textId="77777777" w:rsidR="00B60E59" w:rsidRDefault="00B60E59" w:rsidP="007B14B4">
            <w:pPr>
              <w:jc w:val="center"/>
            </w:pPr>
            <w:r>
              <w:t>0% (patient is male)</w:t>
            </w:r>
          </w:p>
        </w:tc>
        <w:tc>
          <w:tcPr>
            <w:tcW w:w="2186" w:type="dxa"/>
            <w:vAlign w:val="center"/>
          </w:tcPr>
          <w:p w14:paraId="10BCF902" w14:textId="77777777" w:rsidR="00B60E59" w:rsidRDefault="00B60E59" w:rsidP="007B14B4">
            <w:pPr>
              <w:jc w:val="center"/>
            </w:pPr>
            <w:r>
              <w:t>42.3% (n=11)</w:t>
            </w:r>
          </w:p>
        </w:tc>
        <w:tc>
          <w:tcPr>
            <w:tcW w:w="2186" w:type="dxa"/>
            <w:vAlign w:val="center"/>
          </w:tcPr>
          <w:p w14:paraId="3CA97E7E" w14:textId="77777777" w:rsidR="00B60E59" w:rsidRDefault="00B60E59" w:rsidP="007B14B4">
            <w:pPr>
              <w:jc w:val="center"/>
            </w:pPr>
            <w:r>
              <w:t>35.3% (n=6)</w:t>
            </w:r>
          </w:p>
        </w:tc>
      </w:tr>
      <w:tr w:rsidR="00B60E59" w14:paraId="6794A90E" w14:textId="77777777" w:rsidTr="007B14B4">
        <w:trPr>
          <w:trHeight w:val="611"/>
        </w:trPr>
        <w:tc>
          <w:tcPr>
            <w:tcW w:w="2263" w:type="dxa"/>
            <w:vAlign w:val="center"/>
          </w:tcPr>
          <w:p w14:paraId="72504124" w14:textId="77777777" w:rsidR="00B60E59" w:rsidRPr="00573B11" w:rsidRDefault="00B60E59" w:rsidP="007B14B4">
            <w:pPr>
              <w:rPr>
                <w:b/>
                <w:bCs/>
              </w:rPr>
            </w:pPr>
            <w:r w:rsidRPr="00573B11">
              <w:rPr>
                <w:b/>
                <w:bCs/>
              </w:rPr>
              <w:t>Percentage with ileitis at biopsy (histologically proven)</w:t>
            </w:r>
          </w:p>
        </w:tc>
        <w:tc>
          <w:tcPr>
            <w:tcW w:w="2109" w:type="dxa"/>
            <w:vAlign w:val="center"/>
          </w:tcPr>
          <w:p w14:paraId="0BDFFEC3" w14:textId="77777777" w:rsidR="00B60E59" w:rsidRDefault="00B60E59" w:rsidP="007B14B4">
            <w:pPr>
              <w:jc w:val="center"/>
            </w:pPr>
            <w:r>
              <w:t>74% (n=20)</w:t>
            </w:r>
          </w:p>
        </w:tc>
        <w:tc>
          <w:tcPr>
            <w:tcW w:w="2186" w:type="dxa"/>
            <w:vAlign w:val="center"/>
          </w:tcPr>
          <w:p w14:paraId="2B3D3BE8" w14:textId="77777777" w:rsidR="00B60E59" w:rsidRDefault="00B60E59" w:rsidP="007B14B4">
            <w:pPr>
              <w:jc w:val="center"/>
            </w:pPr>
            <w:r>
              <w:t>100% (n=1)</w:t>
            </w:r>
          </w:p>
        </w:tc>
        <w:tc>
          <w:tcPr>
            <w:tcW w:w="2186" w:type="dxa"/>
            <w:vAlign w:val="center"/>
          </w:tcPr>
          <w:p w14:paraId="67300E8B" w14:textId="77777777" w:rsidR="00B60E59" w:rsidRDefault="00B60E59" w:rsidP="007B14B4">
            <w:pPr>
              <w:jc w:val="center"/>
            </w:pPr>
            <w:r>
              <w:t>100% (n=1)</w:t>
            </w:r>
          </w:p>
        </w:tc>
        <w:tc>
          <w:tcPr>
            <w:tcW w:w="2186" w:type="dxa"/>
            <w:vAlign w:val="center"/>
          </w:tcPr>
          <w:p w14:paraId="39AACD7A" w14:textId="77777777" w:rsidR="00B60E59" w:rsidRDefault="00B60E59" w:rsidP="007B14B4">
            <w:pPr>
              <w:jc w:val="center"/>
            </w:pPr>
            <w:r>
              <w:t>27% (n=7)</w:t>
            </w:r>
          </w:p>
        </w:tc>
        <w:tc>
          <w:tcPr>
            <w:tcW w:w="2186" w:type="dxa"/>
            <w:vAlign w:val="center"/>
          </w:tcPr>
          <w:p w14:paraId="68999922" w14:textId="77777777" w:rsidR="00B60E59" w:rsidRDefault="00B60E59" w:rsidP="007B14B4">
            <w:pPr>
              <w:jc w:val="center"/>
            </w:pPr>
            <w:r>
              <w:t>0%</w:t>
            </w:r>
          </w:p>
        </w:tc>
      </w:tr>
      <w:tr w:rsidR="00B60E59" w14:paraId="164B1EB6" w14:textId="77777777" w:rsidTr="007B14B4">
        <w:trPr>
          <w:trHeight w:val="611"/>
        </w:trPr>
        <w:tc>
          <w:tcPr>
            <w:tcW w:w="2263" w:type="dxa"/>
            <w:vAlign w:val="center"/>
          </w:tcPr>
          <w:p w14:paraId="4D267A04" w14:textId="77777777" w:rsidR="00B60E59" w:rsidRPr="00573B11" w:rsidRDefault="00B60E59" w:rsidP="007B14B4">
            <w:pPr>
              <w:rPr>
                <w:b/>
                <w:bCs/>
              </w:rPr>
            </w:pPr>
            <w:r>
              <w:rPr>
                <w:b/>
                <w:bCs/>
              </w:rPr>
              <w:t>Percentage on anti-TNF therapy</w:t>
            </w:r>
          </w:p>
        </w:tc>
        <w:tc>
          <w:tcPr>
            <w:tcW w:w="2109" w:type="dxa"/>
            <w:vAlign w:val="center"/>
          </w:tcPr>
          <w:p w14:paraId="5823D5ED" w14:textId="77777777" w:rsidR="00B60E59" w:rsidRDefault="00B60E59" w:rsidP="007B14B4">
            <w:pPr>
              <w:jc w:val="center"/>
            </w:pPr>
            <w:r>
              <w:t>0%</w:t>
            </w:r>
          </w:p>
        </w:tc>
        <w:tc>
          <w:tcPr>
            <w:tcW w:w="2186" w:type="dxa"/>
            <w:vAlign w:val="center"/>
          </w:tcPr>
          <w:p w14:paraId="71D2C334" w14:textId="77777777" w:rsidR="00B60E59" w:rsidRDefault="00B60E59" w:rsidP="007B14B4">
            <w:pPr>
              <w:jc w:val="center"/>
            </w:pPr>
            <w:r>
              <w:t>0%</w:t>
            </w:r>
          </w:p>
        </w:tc>
        <w:tc>
          <w:tcPr>
            <w:tcW w:w="2186" w:type="dxa"/>
            <w:vAlign w:val="center"/>
          </w:tcPr>
          <w:p w14:paraId="3D97A77D" w14:textId="77777777" w:rsidR="00B60E59" w:rsidRDefault="00B60E59" w:rsidP="007B14B4">
            <w:pPr>
              <w:jc w:val="center"/>
            </w:pPr>
            <w:r>
              <w:t>0%</w:t>
            </w:r>
          </w:p>
        </w:tc>
        <w:tc>
          <w:tcPr>
            <w:tcW w:w="2186" w:type="dxa"/>
            <w:vAlign w:val="center"/>
          </w:tcPr>
          <w:p w14:paraId="7E013B27" w14:textId="77777777" w:rsidR="00B60E59" w:rsidRDefault="00B60E59" w:rsidP="007B14B4">
            <w:pPr>
              <w:jc w:val="center"/>
            </w:pPr>
            <w:r>
              <w:t>46.2% (n=12)</w:t>
            </w:r>
          </w:p>
        </w:tc>
        <w:tc>
          <w:tcPr>
            <w:tcW w:w="2186" w:type="dxa"/>
            <w:vAlign w:val="center"/>
          </w:tcPr>
          <w:p w14:paraId="104731B8" w14:textId="77777777" w:rsidR="00B60E59" w:rsidRDefault="00B60E59" w:rsidP="007B14B4">
            <w:pPr>
              <w:jc w:val="center"/>
            </w:pPr>
            <w:r>
              <w:t>0%</w:t>
            </w:r>
          </w:p>
        </w:tc>
      </w:tr>
      <w:tr w:rsidR="00B60E59" w14:paraId="355DBD72" w14:textId="77777777" w:rsidTr="007B14B4">
        <w:trPr>
          <w:trHeight w:val="611"/>
        </w:trPr>
        <w:tc>
          <w:tcPr>
            <w:tcW w:w="2263" w:type="dxa"/>
            <w:vAlign w:val="center"/>
          </w:tcPr>
          <w:p w14:paraId="5AE5EECD" w14:textId="77777777" w:rsidR="00B60E59" w:rsidRDefault="00B60E59" w:rsidP="007B14B4">
            <w:pPr>
              <w:rPr>
                <w:b/>
                <w:bCs/>
              </w:rPr>
            </w:pPr>
            <w:r>
              <w:rPr>
                <w:b/>
                <w:bCs/>
              </w:rPr>
              <w:t>Percentage on thiopurine therapy</w:t>
            </w:r>
          </w:p>
        </w:tc>
        <w:tc>
          <w:tcPr>
            <w:tcW w:w="2109" w:type="dxa"/>
            <w:vAlign w:val="center"/>
          </w:tcPr>
          <w:p w14:paraId="420721A3" w14:textId="77777777" w:rsidR="00B60E59" w:rsidRDefault="00B60E59" w:rsidP="007B14B4">
            <w:pPr>
              <w:jc w:val="center"/>
            </w:pPr>
            <w:r>
              <w:t>0%</w:t>
            </w:r>
          </w:p>
        </w:tc>
        <w:tc>
          <w:tcPr>
            <w:tcW w:w="2186" w:type="dxa"/>
            <w:vAlign w:val="center"/>
          </w:tcPr>
          <w:p w14:paraId="26A24B06" w14:textId="77777777" w:rsidR="00B60E59" w:rsidRDefault="00B60E59" w:rsidP="007B14B4">
            <w:pPr>
              <w:jc w:val="center"/>
            </w:pPr>
            <w:r>
              <w:t>0%</w:t>
            </w:r>
          </w:p>
        </w:tc>
        <w:tc>
          <w:tcPr>
            <w:tcW w:w="2186" w:type="dxa"/>
            <w:vAlign w:val="center"/>
          </w:tcPr>
          <w:p w14:paraId="3B24F2BB" w14:textId="77777777" w:rsidR="00B60E59" w:rsidRDefault="00B60E59" w:rsidP="007B14B4">
            <w:pPr>
              <w:jc w:val="center"/>
            </w:pPr>
            <w:r>
              <w:t>0%</w:t>
            </w:r>
          </w:p>
        </w:tc>
        <w:tc>
          <w:tcPr>
            <w:tcW w:w="2186" w:type="dxa"/>
            <w:vAlign w:val="center"/>
          </w:tcPr>
          <w:p w14:paraId="1380C9B3" w14:textId="77777777" w:rsidR="00B60E59" w:rsidRDefault="00B60E59" w:rsidP="007B14B4">
            <w:pPr>
              <w:jc w:val="center"/>
            </w:pPr>
            <w:r>
              <w:t>88.5% (n=23)</w:t>
            </w:r>
          </w:p>
        </w:tc>
        <w:tc>
          <w:tcPr>
            <w:tcW w:w="2186" w:type="dxa"/>
            <w:vAlign w:val="center"/>
          </w:tcPr>
          <w:p w14:paraId="4EC6A2BB" w14:textId="77777777" w:rsidR="00B60E59" w:rsidRDefault="00B60E59" w:rsidP="007B14B4">
            <w:pPr>
              <w:jc w:val="center"/>
            </w:pPr>
            <w:r>
              <w:t>0%</w:t>
            </w:r>
          </w:p>
        </w:tc>
      </w:tr>
      <w:tr w:rsidR="00B60E59" w14:paraId="5C659A63" w14:textId="77777777" w:rsidTr="007B14B4">
        <w:trPr>
          <w:trHeight w:val="611"/>
        </w:trPr>
        <w:tc>
          <w:tcPr>
            <w:tcW w:w="2263" w:type="dxa"/>
            <w:vAlign w:val="center"/>
          </w:tcPr>
          <w:p w14:paraId="68398C43" w14:textId="77777777" w:rsidR="00B60E59" w:rsidRDefault="00B60E59" w:rsidP="007B14B4">
            <w:pPr>
              <w:rPr>
                <w:b/>
                <w:bCs/>
              </w:rPr>
            </w:pPr>
            <w:r>
              <w:rPr>
                <w:b/>
                <w:bCs/>
              </w:rPr>
              <w:t>Percentage on Ustekinumab therapy</w:t>
            </w:r>
          </w:p>
        </w:tc>
        <w:tc>
          <w:tcPr>
            <w:tcW w:w="2109" w:type="dxa"/>
            <w:vAlign w:val="center"/>
          </w:tcPr>
          <w:p w14:paraId="02C6DBFB" w14:textId="77777777" w:rsidR="00B60E59" w:rsidRDefault="00B60E59" w:rsidP="007B14B4">
            <w:pPr>
              <w:jc w:val="center"/>
            </w:pPr>
            <w:r>
              <w:t>0%</w:t>
            </w:r>
          </w:p>
        </w:tc>
        <w:tc>
          <w:tcPr>
            <w:tcW w:w="2186" w:type="dxa"/>
            <w:vAlign w:val="center"/>
          </w:tcPr>
          <w:p w14:paraId="21F1E668" w14:textId="77777777" w:rsidR="00B60E59" w:rsidRDefault="00B60E59" w:rsidP="007B14B4">
            <w:pPr>
              <w:jc w:val="center"/>
            </w:pPr>
            <w:r>
              <w:t>0%</w:t>
            </w:r>
          </w:p>
        </w:tc>
        <w:tc>
          <w:tcPr>
            <w:tcW w:w="2186" w:type="dxa"/>
            <w:vAlign w:val="center"/>
          </w:tcPr>
          <w:p w14:paraId="5820DC6E" w14:textId="77777777" w:rsidR="00B60E59" w:rsidRDefault="00B60E59" w:rsidP="007B14B4">
            <w:pPr>
              <w:jc w:val="center"/>
            </w:pPr>
            <w:r>
              <w:t>0%</w:t>
            </w:r>
          </w:p>
        </w:tc>
        <w:tc>
          <w:tcPr>
            <w:tcW w:w="2186" w:type="dxa"/>
            <w:vAlign w:val="center"/>
          </w:tcPr>
          <w:p w14:paraId="7FB53EB9" w14:textId="77777777" w:rsidR="00B60E59" w:rsidRDefault="00B60E59" w:rsidP="007B14B4">
            <w:pPr>
              <w:jc w:val="center"/>
            </w:pPr>
            <w:r>
              <w:t>7.7% (n=2)</w:t>
            </w:r>
          </w:p>
        </w:tc>
        <w:tc>
          <w:tcPr>
            <w:tcW w:w="2186" w:type="dxa"/>
            <w:vAlign w:val="center"/>
          </w:tcPr>
          <w:p w14:paraId="67344C72" w14:textId="77777777" w:rsidR="00B60E59" w:rsidRDefault="00B60E59" w:rsidP="007B14B4">
            <w:pPr>
              <w:jc w:val="center"/>
            </w:pPr>
            <w:r>
              <w:t>0%</w:t>
            </w:r>
          </w:p>
        </w:tc>
      </w:tr>
    </w:tbl>
    <w:p w14:paraId="55CA8BD1" w14:textId="77777777" w:rsidR="00B60E59" w:rsidRDefault="00B60E59" w:rsidP="00B60E59">
      <w:pPr>
        <w:spacing w:line="480" w:lineRule="auto"/>
        <w:rPr>
          <w:b/>
          <w:bCs/>
        </w:rPr>
      </w:pPr>
    </w:p>
    <w:p w14:paraId="21637CB5" w14:textId="77777777" w:rsidR="00B60E59" w:rsidRDefault="00B60E59" w:rsidP="00B60E59">
      <w:pPr>
        <w:spacing w:line="480" w:lineRule="auto"/>
        <w:rPr>
          <w:b/>
          <w:bCs/>
        </w:rPr>
      </w:pPr>
    </w:p>
    <w:p w14:paraId="1067E205" w14:textId="77777777" w:rsidR="00B60E59" w:rsidRDefault="00B60E59" w:rsidP="00B60E59">
      <w:pPr>
        <w:spacing w:line="480" w:lineRule="auto"/>
        <w:rPr>
          <w:b/>
          <w:bCs/>
        </w:rPr>
      </w:pPr>
    </w:p>
    <w:p w14:paraId="22F82B12" w14:textId="77777777" w:rsidR="00B60E59" w:rsidRDefault="00B60E59" w:rsidP="00B60E59">
      <w:pPr>
        <w:spacing w:line="480" w:lineRule="auto"/>
        <w:rPr>
          <w:b/>
          <w:bCs/>
        </w:rPr>
      </w:pPr>
    </w:p>
    <w:p w14:paraId="7F4D437A" w14:textId="77777777" w:rsidR="00B60E59" w:rsidRDefault="00B60E59" w:rsidP="00B60E59">
      <w:pPr>
        <w:spacing w:line="480" w:lineRule="auto"/>
        <w:rPr>
          <w:b/>
          <w:bCs/>
        </w:rPr>
      </w:pPr>
    </w:p>
    <w:p w14:paraId="14F2AD91" w14:textId="77777777" w:rsidR="00B60E59" w:rsidRDefault="00B60E59" w:rsidP="00B60E59">
      <w:pPr>
        <w:spacing w:line="480" w:lineRule="auto"/>
        <w:rPr>
          <w:b/>
          <w:bCs/>
        </w:rPr>
      </w:pPr>
    </w:p>
    <w:p w14:paraId="45A96C9F" w14:textId="77777777" w:rsidR="00B60E59" w:rsidRDefault="00B60E59" w:rsidP="00B60E59">
      <w:pPr>
        <w:spacing w:line="480" w:lineRule="auto"/>
        <w:rPr>
          <w:b/>
          <w:bCs/>
        </w:rPr>
      </w:pPr>
    </w:p>
    <w:p w14:paraId="417C866C" w14:textId="77777777" w:rsidR="00B60E59" w:rsidRDefault="00B60E59" w:rsidP="00B60E59">
      <w:pPr>
        <w:spacing w:line="480" w:lineRule="auto"/>
        <w:rPr>
          <w:b/>
          <w:bCs/>
        </w:rPr>
      </w:pPr>
    </w:p>
    <w:p w14:paraId="1820C004" w14:textId="77777777" w:rsidR="00B60E59" w:rsidRDefault="00B60E59" w:rsidP="00B60E59">
      <w:pPr>
        <w:spacing w:line="480" w:lineRule="auto"/>
        <w:rPr>
          <w:b/>
          <w:bCs/>
        </w:rPr>
      </w:pPr>
    </w:p>
    <w:p w14:paraId="67B2A2C5" w14:textId="6209C4D4" w:rsidR="00B60E59" w:rsidRPr="00A3726C" w:rsidRDefault="00B60E59" w:rsidP="00B60E59">
      <w:pPr>
        <w:rPr>
          <w:b/>
          <w:bCs/>
          <w:u w:val="single"/>
        </w:rPr>
      </w:pPr>
      <w:r w:rsidRPr="00B60E59">
        <w:t>* The single-cell patients SOPR 0472 and SOPR 0476 both had ileocolonic disease (Paris classification L3) **following quality control</w:t>
      </w:r>
    </w:p>
    <w:p w14:paraId="2A4176B8" w14:textId="77777777" w:rsidR="000B6E90" w:rsidRDefault="000B6E90"/>
    <w:sectPr w:rsidR="000B6E90" w:rsidSect="00B60E5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BB2B" w14:textId="77777777" w:rsidR="00BC6FFF" w:rsidRDefault="00BC6FFF">
      <w:pPr>
        <w:spacing w:after="0" w:line="240" w:lineRule="auto"/>
      </w:pPr>
      <w:r>
        <w:separator/>
      </w:r>
    </w:p>
  </w:endnote>
  <w:endnote w:type="continuationSeparator" w:id="0">
    <w:p w14:paraId="3D5227CE" w14:textId="77777777" w:rsidR="00BC6FFF" w:rsidRDefault="00BC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B5695" w14:textId="77777777" w:rsidR="00BC6FFF" w:rsidRDefault="00BC6FFF">
      <w:pPr>
        <w:spacing w:after="0" w:line="240" w:lineRule="auto"/>
      </w:pPr>
      <w:r>
        <w:separator/>
      </w:r>
    </w:p>
  </w:footnote>
  <w:footnote w:type="continuationSeparator" w:id="0">
    <w:p w14:paraId="78DF986F" w14:textId="77777777" w:rsidR="00BC6FFF" w:rsidRDefault="00BC6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588545"/>
      <w:docPartObj>
        <w:docPartGallery w:val="Page Numbers (Top of Page)"/>
        <w:docPartUnique/>
      </w:docPartObj>
    </w:sdtPr>
    <w:sdtEndPr>
      <w:rPr>
        <w:noProof/>
      </w:rPr>
    </w:sdtEndPr>
    <w:sdtContent>
      <w:p w14:paraId="4B1B56ED" w14:textId="77777777" w:rsidR="00135956" w:rsidRDefault="00B164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E2A97F" w14:textId="77777777" w:rsidR="00135956" w:rsidRDefault="00F53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9AA"/>
    <w:multiLevelType w:val="hybridMultilevel"/>
    <w:tmpl w:val="DC5E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B350B"/>
    <w:multiLevelType w:val="hybridMultilevel"/>
    <w:tmpl w:val="4ADC5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1F0023"/>
    <w:multiLevelType w:val="multilevel"/>
    <w:tmpl w:val="F0E2D8E4"/>
    <w:lvl w:ilvl="0">
      <w:start w:val="1"/>
      <w:numFmt w:val="decimal"/>
      <w:pStyle w:val="Heading1"/>
      <w:lvlText w:val="Chapter %1"/>
      <w:lvlJc w:val="left"/>
      <w:pPr>
        <w:tabs>
          <w:tab w:val="num" w:pos="1985"/>
        </w:tabs>
        <w:ind w:left="567" w:hanging="567"/>
      </w:pPr>
      <w:rPr>
        <w:rFonts w:hint="default"/>
        <w:i w:val="0"/>
        <w:iCs w:val="0"/>
      </w:rPr>
    </w:lvl>
    <w:lvl w:ilvl="1">
      <w:start w:val="1"/>
      <w:numFmt w:val="decimal"/>
      <w:pStyle w:val="Heading2"/>
      <w:lvlText w:val="%1.%2"/>
      <w:lvlJc w:val="left"/>
      <w:pPr>
        <w:tabs>
          <w:tab w:val="num" w:pos="1134"/>
        </w:tabs>
        <w:ind w:left="1134"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 w15:restartNumberingAfterBreak="0">
    <w:nsid w:val="44B76409"/>
    <w:multiLevelType w:val="hybridMultilevel"/>
    <w:tmpl w:val="F67C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4218"/>
    <w:multiLevelType w:val="hybridMultilevel"/>
    <w:tmpl w:val="891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055CB"/>
    <w:multiLevelType w:val="hybridMultilevel"/>
    <w:tmpl w:val="320C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E6A52"/>
    <w:multiLevelType w:val="hybridMultilevel"/>
    <w:tmpl w:val="30DE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87573"/>
    <w:multiLevelType w:val="hybridMultilevel"/>
    <w:tmpl w:val="1C36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478B3"/>
    <w:multiLevelType w:val="hybridMultilevel"/>
    <w:tmpl w:val="62DC2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6B42B05"/>
    <w:multiLevelType w:val="hybridMultilevel"/>
    <w:tmpl w:val="1A90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9"/>
  </w:num>
  <w:num w:numId="7">
    <w:abstractNumId w:val="2"/>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59"/>
    <w:rsid w:val="000B6E90"/>
    <w:rsid w:val="0031502F"/>
    <w:rsid w:val="003A5051"/>
    <w:rsid w:val="004C3E79"/>
    <w:rsid w:val="004E06BB"/>
    <w:rsid w:val="00590649"/>
    <w:rsid w:val="00816887"/>
    <w:rsid w:val="00AE7C99"/>
    <w:rsid w:val="00B1645A"/>
    <w:rsid w:val="00B60E59"/>
    <w:rsid w:val="00BC6FFF"/>
    <w:rsid w:val="00D57072"/>
    <w:rsid w:val="00F53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989B4"/>
  <w15:chartTrackingRefBased/>
  <w15:docId w15:val="{A2BD7D0E-95A8-4F7A-A5F3-2F82DC51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E59"/>
  </w:style>
  <w:style w:type="paragraph" w:styleId="Heading1">
    <w:name w:val="heading 1"/>
    <w:basedOn w:val="Normal"/>
    <w:next w:val="Normal"/>
    <w:link w:val="Heading1Char"/>
    <w:qFormat/>
    <w:rsid w:val="00B60E59"/>
    <w:pPr>
      <w:keepNext/>
      <w:keepLines/>
      <w:numPr>
        <w:numId w:val="7"/>
      </w:numPr>
      <w:spacing w:before="200" w:after="240" w:line="360" w:lineRule="auto"/>
      <w:outlineLvl w:val="0"/>
    </w:pPr>
    <w:rPr>
      <w:rFonts w:ascii="Calibri" w:eastAsia="Times New Roman" w:hAnsi="Calibri" w:cs="Arial"/>
      <w:b/>
      <w:bCs/>
      <w:kern w:val="32"/>
      <w:sz w:val="36"/>
      <w:szCs w:val="32"/>
    </w:rPr>
  </w:style>
  <w:style w:type="paragraph" w:styleId="Heading2">
    <w:name w:val="heading 2"/>
    <w:basedOn w:val="Heading1"/>
    <w:next w:val="Normal"/>
    <w:link w:val="Heading2Char"/>
    <w:qFormat/>
    <w:rsid w:val="00B60E59"/>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B60E59"/>
    <w:pPr>
      <w:numPr>
        <w:ilvl w:val="2"/>
      </w:numPr>
      <w:spacing w:before="360"/>
      <w:outlineLvl w:val="2"/>
    </w:pPr>
    <w:rPr>
      <w:bCs w:val="0"/>
      <w:sz w:val="22"/>
      <w:szCs w:val="26"/>
    </w:rPr>
  </w:style>
  <w:style w:type="paragraph" w:styleId="Heading4">
    <w:name w:val="heading 4"/>
    <w:basedOn w:val="Heading1"/>
    <w:next w:val="Normal"/>
    <w:link w:val="Heading4Char"/>
    <w:qFormat/>
    <w:rsid w:val="00B60E59"/>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B60E59"/>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B60E59"/>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B60E59"/>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B60E59"/>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B60E59"/>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E59"/>
    <w:rPr>
      <w:rFonts w:ascii="Calibri" w:eastAsia="Times New Roman" w:hAnsi="Calibri" w:cs="Arial"/>
      <w:b/>
      <w:bCs/>
      <w:kern w:val="32"/>
      <w:sz w:val="36"/>
      <w:szCs w:val="32"/>
    </w:rPr>
  </w:style>
  <w:style w:type="character" w:customStyle="1" w:styleId="Heading2Char">
    <w:name w:val="Heading 2 Char"/>
    <w:basedOn w:val="DefaultParagraphFont"/>
    <w:link w:val="Heading2"/>
    <w:rsid w:val="00B60E59"/>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rsid w:val="00B60E59"/>
    <w:rPr>
      <w:rFonts w:ascii="Calibri" w:eastAsia="Times New Roman" w:hAnsi="Calibri" w:cs="Arial"/>
      <w:b/>
      <w:kern w:val="32"/>
      <w:szCs w:val="26"/>
    </w:rPr>
  </w:style>
  <w:style w:type="character" w:customStyle="1" w:styleId="Heading4Char">
    <w:name w:val="Heading 4 Char"/>
    <w:basedOn w:val="DefaultParagraphFont"/>
    <w:link w:val="Heading4"/>
    <w:rsid w:val="00B60E59"/>
    <w:rPr>
      <w:rFonts w:ascii="Calibri" w:eastAsiaTheme="majorEastAsia" w:hAnsi="Calibri" w:cstheme="majorBidi"/>
      <w:b/>
      <w:iCs/>
      <w:kern w:val="32"/>
      <w:szCs w:val="24"/>
    </w:rPr>
  </w:style>
  <w:style w:type="character" w:customStyle="1" w:styleId="Heading5Char">
    <w:name w:val="Heading 5 Char"/>
    <w:basedOn w:val="DefaultParagraphFont"/>
    <w:link w:val="Heading5"/>
    <w:rsid w:val="00B60E59"/>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B60E59"/>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B60E59"/>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B60E59"/>
    <w:rPr>
      <w:rFonts w:ascii="Calibri" w:eastAsiaTheme="majorEastAsia" w:hAnsi="Calibri" w:cstheme="majorBidi"/>
      <w:bCs/>
      <w:kern w:val="32"/>
      <w:szCs w:val="32"/>
    </w:rPr>
  </w:style>
  <w:style w:type="character" w:customStyle="1" w:styleId="Heading9Char">
    <w:name w:val="Heading 9 Char"/>
    <w:basedOn w:val="DefaultParagraphFont"/>
    <w:link w:val="Heading9"/>
    <w:rsid w:val="00B60E59"/>
    <w:rPr>
      <w:rFonts w:ascii="Calibri" w:eastAsiaTheme="majorEastAsia" w:hAnsi="Calibri" w:cstheme="majorBidi"/>
      <w:bCs/>
      <w:iCs/>
      <w:color w:val="000000" w:themeColor="text1"/>
      <w:kern w:val="32"/>
      <w:szCs w:val="32"/>
    </w:rPr>
  </w:style>
  <w:style w:type="paragraph" w:styleId="ListParagraph">
    <w:name w:val="List Paragraph"/>
    <w:basedOn w:val="Normal"/>
    <w:uiPriority w:val="34"/>
    <w:qFormat/>
    <w:rsid w:val="00B60E59"/>
    <w:pPr>
      <w:ind w:left="720"/>
      <w:contextualSpacing/>
    </w:pPr>
  </w:style>
  <w:style w:type="paragraph" w:styleId="BalloonText">
    <w:name w:val="Balloon Text"/>
    <w:basedOn w:val="Normal"/>
    <w:link w:val="BalloonTextChar"/>
    <w:uiPriority w:val="99"/>
    <w:semiHidden/>
    <w:unhideWhenUsed/>
    <w:rsid w:val="00B60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59"/>
    <w:rPr>
      <w:rFonts w:ascii="Segoe UI" w:hAnsi="Segoe UI" w:cs="Segoe UI"/>
      <w:sz w:val="18"/>
      <w:szCs w:val="18"/>
    </w:rPr>
  </w:style>
  <w:style w:type="character" w:styleId="Hyperlink">
    <w:name w:val="Hyperlink"/>
    <w:basedOn w:val="DefaultParagraphFont"/>
    <w:uiPriority w:val="99"/>
    <w:unhideWhenUsed/>
    <w:rsid w:val="00B60E59"/>
    <w:rPr>
      <w:color w:val="0000FF"/>
      <w:u w:val="single"/>
    </w:rPr>
  </w:style>
  <w:style w:type="character" w:styleId="CommentReference">
    <w:name w:val="annotation reference"/>
    <w:basedOn w:val="DefaultParagraphFont"/>
    <w:uiPriority w:val="99"/>
    <w:semiHidden/>
    <w:unhideWhenUsed/>
    <w:rsid w:val="00B60E59"/>
    <w:rPr>
      <w:sz w:val="16"/>
      <w:szCs w:val="16"/>
    </w:rPr>
  </w:style>
  <w:style w:type="paragraph" w:styleId="CommentText">
    <w:name w:val="annotation text"/>
    <w:basedOn w:val="Normal"/>
    <w:link w:val="CommentTextChar"/>
    <w:uiPriority w:val="99"/>
    <w:semiHidden/>
    <w:unhideWhenUsed/>
    <w:rsid w:val="00B60E59"/>
    <w:pPr>
      <w:spacing w:line="240" w:lineRule="auto"/>
    </w:pPr>
    <w:rPr>
      <w:sz w:val="20"/>
      <w:szCs w:val="20"/>
    </w:rPr>
  </w:style>
  <w:style w:type="character" w:customStyle="1" w:styleId="CommentTextChar">
    <w:name w:val="Comment Text Char"/>
    <w:basedOn w:val="DefaultParagraphFont"/>
    <w:link w:val="CommentText"/>
    <w:uiPriority w:val="99"/>
    <w:semiHidden/>
    <w:rsid w:val="00B60E59"/>
    <w:rPr>
      <w:sz w:val="20"/>
      <w:szCs w:val="20"/>
    </w:rPr>
  </w:style>
  <w:style w:type="paragraph" w:styleId="CommentSubject">
    <w:name w:val="annotation subject"/>
    <w:basedOn w:val="CommentText"/>
    <w:next w:val="CommentText"/>
    <w:link w:val="CommentSubjectChar"/>
    <w:uiPriority w:val="99"/>
    <w:semiHidden/>
    <w:unhideWhenUsed/>
    <w:rsid w:val="00B60E59"/>
    <w:rPr>
      <w:b/>
      <w:bCs/>
    </w:rPr>
  </w:style>
  <w:style w:type="character" w:customStyle="1" w:styleId="CommentSubjectChar">
    <w:name w:val="Comment Subject Char"/>
    <w:basedOn w:val="CommentTextChar"/>
    <w:link w:val="CommentSubject"/>
    <w:uiPriority w:val="99"/>
    <w:semiHidden/>
    <w:rsid w:val="00B60E59"/>
    <w:rPr>
      <w:b/>
      <w:bCs/>
      <w:sz w:val="20"/>
      <w:szCs w:val="20"/>
    </w:rPr>
  </w:style>
  <w:style w:type="paragraph" w:styleId="Caption">
    <w:name w:val="caption"/>
    <w:basedOn w:val="Normal"/>
    <w:next w:val="Normal"/>
    <w:rsid w:val="00B60E59"/>
    <w:pPr>
      <w:tabs>
        <w:tab w:val="left" w:pos="1418"/>
      </w:tabs>
      <w:spacing w:before="120" w:after="120" w:line="360" w:lineRule="auto"/>
      <w:ind w:left="1134" w:hanging="1134"/>
      <w:contextualSpacing/>
    </w:pPr>
    <w:rPr>
      <w:rFonts w:ascii="Calibri" w:eastAsia="Times New Roman" w:hAnsi="Calibri" w:cs="Times New Roman"/>
      <w:szCs w:val="26"/>
    </w:rPr>
  </w:style>
  <w:style w:type="paragraph" w:styleId="Header">
    <w:name w:val="header"/>
    <w:basedOn w:val="Normal"/>
    <w:link w:val="HeaderChar"/>
    <w:uiPriority w:val="99"/>
    <w:unhideWhenUsed/>
    <w:rsid w:val="00B60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E59"/>
  </w:style>
  <w:style w:type="paragraph" w:styleId="Footer">
    <w:name w:val="footer"/>
    <w:basedOn w:val="Normal"/>
    <w:link w:val="FooterChar"/>
    <w:uiPriority w:val="99"/>
    <w:unhideWhenUsed/>
    <w:rsid w:val="00B60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E59"/>
  </w:style>
  <w:style w:type="table" w:styleId="TableGrid">
    <w:name w:val="Table Grid"/>
    <w:basedOn w:val="TableNormal"/>
    <w:uiPriority w:val="39"/>
    <w:rsid w:val="00B6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0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nis@southamp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opbox.com/sh/h84y1qcc35j6as4/AACxbGTQ263y5M8NrQLuk6O1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A30A-FF69-48D8-94AD-944E1BFA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41106</Words>
  <Characters>234305</Characters>
  <Application>Microsoft Office Word</Application>
  <DocSecurity>4</DocSecurity>
  <Lines>1952</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Carolyn Wallis</cp:lastModifiedBy>
  <cp:revision>2</cp:revision>
  <cp:lastPrinted>2020-11-10T09:12:00Z</cp:lastPrinted>
  <dcterms:created xsi:type="dcterms:W3CDTF">2020-11-10T09:14:00Z</dcterms:created>
  <dcterms:modified xsi:type="dcterms:W3CDTF">2020-11-10T09:14:00Z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http://www.zotero.org/styles/biomed-central</vt:lpwstr>
  </property>
  <property fmtid="{D5CDD505-2E9C-101B-9397-08002B2CF9AE}" pid="7" name="Mendeley Recent Style Name 2_1">
    <vt:lpwstr>BioMed Central</vt:lpwstr>
  </property>
  <property fmtid="{D5CDD505-2E9C-101B-9397-08002B2CF9AE}" pid="8" name="Mendeley Recent Style Id 3_1">
    <vt:lpwstr>http://www.zotero.org/styles/clinical-nutrition</vt:lpwstr>
  </property>
  <property fmtid="{D5CDD505-2E9C-101B-9397-08002B2CF9AE}" pid="9" name="Mendeley Recent Style Name 3_1">
    <vt:lpwstr>Clinical Nutrition</vt:lpwstr>
  </property>
  <property fmtid="{D5CDD505-2E9C-101B-9397-08002B2CF9AE}" pid="10" name="Mendeley Recent Style Id 4_1">
    <vt:lpwstr>http://www.zotero.org/styles/clinical-and-translational-gastroenterology</vt:lpwstr>
  </property>
  <property fmtid="{D5CDD505-2E9C-101B-9397-08002B2CF9AE}" pid="11" name="Mendeley Recent Style Name 4_1">
    <vt:lpwstr>Clinical and Translational Gastroenterology</vt:lpwstr>
  </property>
  <property fmtid="{D5CDD505-2E9C-101B-9397-08002B2CF9AE}" pid="12" name="Mendeley Recent Style Id 5_1">
    <vt:lpwstr>http://www.zotero.org/styles/expert-review-of-gastroenterology-and-hepatology</vt:lpwstr>
  </property>
  <property fmtid="{D5CDD505-2E9C-101B-9397-08002B2CF9AE}" pid="13" name="Mendeley Recent Style Name 5_1">
    <vt:lpwstr>Expert Review of Gastroenterology &amp; Hepatology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http://www.zotero.org/styles/inflammatory-bowel-diseases</vt:lpwstr>
  </property>
  <property fmtid="{D5CDD505-2E9C-101B-9397-08002B2CF9AE}" pid="17" name="Mendeley Recent Style Name 7_1">
    <vt:lpwstr>Inflammatory Bowel Diseases</vt:lpwstr>
  </property>
  <property fmtid="{D5CDD505-2E9C-101B-9397-08002B2CF9AE}" pid="18" name="Mendeley Recent Style Id 8_1">
    <vt:lpwstr>http://www.zotero.org/styles/journal-of-crohns-and-colitis</vt:lpwstr>
  </property>
  <property fmtid="{D5CDD505-2E9C-101B-9397-08002B2CF9AE}" pid="19" name="Mendeley Recent Style Name 8_1">
    <vt:lpwstr>Journal of Crohn's and Colitis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dbbddcf1-2576-3385-99ee-f75c9988e972</vt:lpwstr>
  </property>
  <property fmtid="{D5CDD505-2E9C-101B-9397-08002B2CF9AE}" pid="24" name="Mendeley Citation Style_1">
    <vt:lpwstr>http://www.zotero.org/styles/journal-of-crohns-and-colitis</vt:lpwstr>
  </property>
</Properties>
</file>