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5C1ABE" w14:textId="77777777" w:rsidR="0064223B" w:rsidRPr="00B20404" w:rsidRDefault="0064223B" w:rsidP="00162A96">
      <w:pPr>
        <w:spacing w:line="480" w:lineRule="auto"/>
        <w:rPr>
          <w:rFonts w:ascii="Arial" w:hAnsi="Arial" w:cs="Arial"/>
          <w:b/>
          <w:bCs/>
        </w:rPr>
      </w:pPr>
      <w:r w:rsidRPr="00B20404">
        <w:rPr>
          <w:rFonts w:ascii="Arial" w:hAnsi="Arial" w:cs="Arial"/>
          <w:b/>
          <w:bCs/>
        </w:rPr>
        <w:t xml:space="preserve">Individual participant data meta-analysis of 14 randomized trials evaluating prophylactic heparin in </w:t>
      </w:r>
      <w:r>
        <w:rPr>
          <w:rFonts w:ascii="Arial" w:hAnsi="Arial" w:cs="Arial"/>
          <w:b/>
          <w:bCs/>
        </w:rPr>
        <w:t xml:space="preserve">ambulatory </w:t>
      </w:r>
      <w:r w:rsidRPr="00B20404">
        <w:rPr>
          <w:rFonts w:ascii="Arial" w:hAnsi="Arial" w:cs="Arial"/>
          <w:b/>
          <w:bCs/>
        </w:rPr>
        <w:t xml:space="preserve">cancer patients </w:t>
      </w:r>
    </w:p>
    <w:p w14:paraId="7C7ABE91" w14:textId="77777777" w:rsidR="0064223B" w:rsidRPr="00DD53FA" w:rsidRDefault="0064223B" w:rsidP="00162A96">
      <w:pPr>
        <w:spacing w:line="480" w:lineRule="auto"/>
        <w:rPr>
          <w:rFonts w:ascii="Arial" w:hAnsi="Arial" w:cs="Arial"/>
        </w:rPr>
      </w:pPr>
      <w:bookmarkStart w:id="0" w:name="_Hlk487808730"/>
      <w:r w:rsidRPr="00DD53FA">
        <w:rPr>
          <w:rFonts w:ascii="Arial" w:hAnsi="Arial" w:cs="Arial"/>
        </w:rPr>
        <w:t>Authors:</w:t>
      </w:r>
    </w:p>
    <w:p w14:paraId="385888BA" w14:textId="51B9619E" w:rsidR="0064223B" w:rsidRPr="00DD53FA" w:rsidRDefault="0064223B" w:rsidP="00E14787">
      <w:pPr>
        <w:autoSpaceDE w:val="0"/>
        <w:autoSpaceDN w:val="0"/>
        <w:adjustRightInd w:val="0"/>
        <w:spacing w:after="0" w:line="480" w:lineRule="auto"/>
        <w:rPr>
          <w:rFonts w:ascii="Arial" w:hAnsi="Arial" w:cs="Arial"/>
        </w:rPr>
      </w:pPr>
      <w:r>
        <w:rPr>
          <w:rFonts w:ascii="Arial" w:hAnsi="Arial" w:cs="Arial"/>
        </w:rPr>
        <w:t xml:space="preserve">Prof </w:t>
      </w:r>
      <w:r w:rsidRPr="00DD53FA">
        <w:rPr>
          <w:rFonts w:ascii="Arial" w:hAnsi="Arial" w:cs="Arial"/>
        </w:rPr>
        <w:t>Holger J Schünemann</w:t>
      </w:r>
      <w:r>
        <w:rPr>
          <w:rFonts w:ascii="Arial" w:hAnsi="Arial" w:cs="Arial"/>
        </w:rPr>
        <w:t>, MD,</w:t>
      </w:r>
      <w:r w:rsidRPr="00DD53FA">
        <w:rPr>
          <w:rFonts w:ascii="Arial" w:hAnsi="Arial" w:cs="Arial"/>
        </w:rPr>
        <w:t xml:space="preserve"> Matthew Ventresca</w:t>
      </w:r>
      <w:r>
        <w:rPr>
          <w:rFonts w:ascii="Arial" w:hAnsi="Arial" w:cs="Arial"/>
        </w:rPr>
        <w:t>, MSc,</w:t>
      </w:r>
      <w:r w:rsidRPr="00DD53FA">
        <w:rPr>
          <w:rFonts w:ascii="Arial" w:hAnsi="Arial" w:cs="Arial"/>
        </w:rPr>
        <w:t xml:space="preserve"> </w:t>
      </w:r>
      <w:r>
        <w:rPr>
          <w:rFonts w:ascii="Arial" w:hAnsi="Arial" w:cs="Arial"/>
        </w:rPr>
        <w:t xml:space="preserve">Prof </w:t>
      </w:r>
      <w:r w:rsidRPr="00DD53FA">
        <w:rPr>
          <w:rFonts w:ascii="Arial" w:hAnsi="Arial" w:cs="Arial"/>
        </w:rPr>
        <w:t>Mark Crowther</w:t>
      </w:r>
      <w:r>
        <w:rPr>
          <w:rFonts w:ascii="Arial" w:hAnsi="Arial" w:cs="Arial"/>
        </w:rPr>
        <w:t xml:space="preserve">, MD, </w:t>
      </w:r>
      <w:r w:rsidRPr="00DD53FA">
        <w:rPr>
          <w:rFonts w:ascii="Arial" w:hAnsi="Arial" w:cs="Arial"/>
        </w:rPr>
        <w:t>Matthias Briel</w:t>
      </w:r>
      <w:r>
        <w:rPr>
          <w:rFonts w:ascii="Arial" w:hAnsi="Arial" w:cs="Arial"/>
        </w:rPr>
        <w:t xml:space="preserve">, MD, </w:t>
      </w:r>
      <w:r w:rsidRPr="00DD53FA">
        <w:rPr>
          <w:rFonts w:ascii="Arial" w:hAnsi="Arial" w:cs="Arial"/>
        </w:rPr>
        <w:t>Qi Zhou</w:t>
      </w:r>
      <w:r>
        <w:rPr>
          <w:rFonts w:ascii="Arial" w:hAnsi="Arial" w:cs="Arial"/>
        </w:rPr>
        <w:t>, PhD,</w:t>
      </w:r>
      <w:r w:rsidRPr="00DD53FA">
        <w:rPr>
          <w:rFonts w:ascii="Arial" w:hAnsi="Arial" w:cs="Arial"/>
        </w:rPr>
        <w:t xml:space="preserve"> </w:t>
      </w:r>
      <w:r>
        <w:rPr>
          <w:rFonts w:ascii="Arial" w:hAnsi="Arial" w:cs="Arial"/>
        </w:rPr>
        <w:t xml:space="preserve">Prof </w:t>
      </w:r>
      <w:r w:rsidRPr="00DD53FA">
        <w:rPr>
          <w:rFonts w:ascii="Arial" w:hAnsi="Arial" w:cs="Arial"/>
        </w:rPr>
        <w:t>Simon Noble</w:t>
      </w:r>
      <w:r>
        <w:rPr>
          <w:rFonts w:ascii="Arial" w:hAnsi="Arial" w:cs="Arial"/>
        </w:rPr>
        <w:t>, MD,</w:t>
      </w:r>
      <w:r w:rsidRPr="00DD53FA">
        <w:rPr>
          <w:rFonts w:ascii="Arial" w:hAnsi="Arial" w:cs="Arial"/>
        </w:rPr>
        <w:t xml:space="preserve"> </w:t>
      </w:r>
      <w:r>
        <w:rPr>
          <w:rFonts w:ascii="Arial" w:hAnsi="Arial" w:cs="Arial"/>
        </w:rPr>
        <w:t xml:space="preserve">Prof </w:t>
      </w:r>
      <w:r w:rsidRPr="00DD53FA">
        <w:rPr>
          <w:rFonts w:ascii="Arial" w:hAnsi="Arial" w:cs="Arial"/>
        </w:rPr>
        <w:t>Fergus Macbeth</w:t>
      </w:r>
      <w:r>
        <w:rPr>
          <w:rFonts w:ascii="Arial" w:hAnsi="Arial" w:cs="Arial"/>
        </w:rPr>
        <w:t>, MD,</w:t>
      </w:r>
      <w:r w:rsidRPr="00DD53FA">
        <w:rPr>
          <w:rFonts w:ascii="Arial" w:hAnsi="Arial" w:cs="Arial"/>
        </w:rPr>
        <w:t xml:space="preserve"> </w:t>
      </w:r>
      <w:r>
        <w:rPr>
          <w:rFonts w:ascii="Arial" w:hAnsi="Arial" w:cs="Arial"/>
        </w:rPr>
        <w:t xml:space="preserve">Prof </w:t>
      </w:r>
      <w:r w:rsidRPr="00DD53FA">
        <w:rPr>
          <w:rFonts w:ascii="Arial" w:hAnsi="Arial" w:cs="Arial"/>
        </w:rPr>
        <w:t>Gareth Griffiths</w:t>
      </w:r>
      <w:r>
        <w:rPr>
          <w:rFonts w:ascii="Arial" w:hAnsi="Arial" w:cs="Arial"/>
        </w:rPr>
        <w:t>, MD,</w:t>
      </w:r>
      <w:r w:rsidRPr="00DD53FA">
        <w:rPr>
          <w:rFonts w:ascii="Arial" w:hAnsi="Arial" w:cs="Arial"/>
        </w:rPr>
        <w:t xml:space="preserve"> </w:t>
      </w:r>
      <w:r>
        <w:rPr>
          <w:rFonts w:ascii="Arial" w:hAnsi="Arial" w:cs="Arial"/>
        </w:rPr>
        <w:t xml:space="preserve">Prof </w:t>
      </w:r>
      <w:r w:rsidRPr="00DD53FA">
        <w:rPr>
          <w:rFonts w:ascii="Arial" w:hAnsi="Arial" w:cs="Arial"/>
        </w:rPr>
        <w:t>David Garcia</w:t>
      </w:r>
      <w:r>
        <w:rPr>
          <w:rFonts w:ascii="Arial" w:hAnsi="Arial" w:cs="Arial"/>
        </w:rPr>
        <w:t>, MD,</w:t>
      </w:r>
      <w:r w:rsidRPr="00DD53FA">
        <w:rPr>
          <w:rFonts w:ascii="Arial" w:hAnsi="Arial" w:cs="Arial"/>
        </w:rPr>
        <w:t xml:space="preserve"> </w:t>
      </w:r>
      <w:r>
        <w:rPr>
          <w:rFonts w:ascii="Arial" w:hAnsi="Arial" w:cs="Arial"/>
        </w:rPr>
        <w:t xml:space="preserve">Prof </w:t>
      </w:r>
      <w:r w:rsidRPr="00DD53FA">
        <w:rPr>
          <w:rFonts w:ascii="Arial" w:hAnsi="Arial" w:cs="Arial"/>
        </w:rPr>
        <w:t>Gary</w:t>
      </w:r>
      <w:r>
        <w:rPr>
          <w:rFonts w:ascii="Arial" w:hAnsi="Arial" w:cs="Arial"/>
        </w:rPr>
        <w:t xml:space="preserve"> H</w:t>
      </w:r>
      <w:r w:rsidRPr="00DD53FA">
        <w:rPr>
          <w:rFonts w:ascii="Arial" w:hAnsi="Arial" w:cs="Arial"/>
        </w:rPr>
        <w:t xml:space="preserve"> Lyman</w:t>
      </w:r>
      <w:r>
        <w:rPr>
          <w:rFonts w:ascii="Arial" w:hAnsi="Arial" w:cs="Arial"/>
        </w:rPr>
        <w:t>, MD,</w:t>
      </w:r>
      <w:r w:rsidRPr="00DD53FA">
        <w:rPr>
          <w:rFonts w:ascii="Arial" w:hAnsi="Arial" w:cs="Arial"/>
        </w:rPr>
        <w:t xml:space="preserve"> Marcello DiNisio</w:t>
      </w:r>
      <w:r>
        <w:rPr>
          <w:rFonts w:ascii="Arial" w:hAnsi="Arial" w:cs="Arial"/>
        </w:rPr>
        <w:t>, MD,</w:t>
      </w:r>
      <w:r w:rsidRPr="00DD53FA">
        <w:rPr>
          <w:rFonts w:ascii="Arial" w:hAnsi="Arial" w:cs="Arial"/>
        </w:rPr>
        <w:t xml:space="preserve"> </w:t>
      </w:r>
      <w:r>
        <w:rPr>
          <w:rFonts w:ascii="Arial" w:hAnsi="Arial" w:cs="Arial"/>
        </w:rPr>
        <w:t xml:space="preserve">Prof </w:t>
      </w:r>
      <w:r w:rsidRPr="00DD53FA">
        <w:rPr>
          <w:rFonts w:ascii="Arial" w:hAnsi="Arial" w:cs="Arial"/>
        </w:rPr>
        <w:t>Alfonso Iorio</w:t>
      </w:r>
      <w:r>
        <w:rPr>
          <w:rFonts w:ascii="Arial" w:hAnsi="Arial" w:cs="Arial"/>
        </w:rPr>
        <w:t>, MD,</w:t>
      </w:r>
      <w:r w:rsidRPr="00DD53FA">
        <w:rPr>
          <w:rFonts w:ascii="Arial" w:hAnsi="Arial" w:cs="Arial"/>
        </w:rPr>
        <w:t xml:space="preserve"> Lawr</w:t>
      </w:r>
      <w:r>
        <w:rPr>
          <w:rFonts w:ascii="Arial" w:hAnsi="Arial" w:cs="Arial"/>
        </w:rPr>
        <w:t>e</w:t>
      </w:r>
      <w:r w:rsidRPr="00DD53FA">
        <w:rPr>
          <w:rFonts w:ascii="Arial" w:hAnsi="Arial" w:cs="Arial"/>
        </w:rPr>
        <w:t>nce Mbuagbaw</w:t>
      </w:r>
      <w:r>
        <w:rPr>
          <w:rFonts w:ascii="Arial" w:hAnsi="Arial" w:cs="Arial"/>
        </w:rPr>
        <w:t>, MD,</w:t>
      </w:r>
      <w:r w:rsidRPr="00DD53FA">
        <w:rPr>
          <w:rFonts w:ascii="Arial" w:hAnsi="Arial" w:cs="Arial"/>
        </w:rPr>
        <w:t xml:space="preserve"> Ignacio Neumann</w:t>
      </w:r>
      <w:r>
        <w:rPr>
          <w:rFonts w:ascii="Arial" w:hAnsi="Arial" w:cs="Arial"/>
        </w:rPr>
        <w:t>, MD,</w:t>
      </w:r>
      <w:r w:rsidRPr="00DD53FA">
        <w:rPr>
          <w:rFonts w:ascii="Arial" w:hAnsi="Arial" w:cs="Arial"/>
        </w:rPr>
        <w:t xml:space="preserve"> Nick Van Es</w:t>
      </w:r>
      <w:r>
        <w:rPr>
          <w:rFonts w:ascii="Arial" w:hAnsi="Arial" w:cs="Arial"/>
        </w:rPr>
        <w:t>, MD,</w:t>
      </w:r>
      <w:r w:rsidRPr="00DD53FA">
        <w:rPr>
          <w:rFonts w:ascii="Arial" w:hAnsi="Arial" w:cs="Arial"/>
        </w:rPr>
        <w:t xml:space="preserve"> </w:t>
      </w:r>
      <w:r>
        <w:rPr>
          <w:rFonts w:ascii="Arial" w:hAnsi="Arial" w:cs="Arial"/>
        </w:rPr>
        <w:t xml:space="preserve">Prof </w:t>
      </w:r>
      <w:r w:rsidRPr="00DD53FA">
        <w:rPr>
          <w:rFonts w:ascii="Arial" w:hAnsi="Arial" w:cs="Arial"/>
        </w:rPr>
        <w:t>Gordon Guyatt</w:t>
      </w:r>
      <w:r>
        <w:rPr>
          <w:rFonts w:ascii="Arial" w:hAnsi="Arial" w:cs="Arial"/>
        </w:rPr>
        <w:t>, MD,</w:t>
      </w:r>
      <w:r w:rsidRPr="00DD53FA">
        <w:rPr>
          <w:rFonts w:ascii="Arial" w:hAnsi="Arial" w:cs="Arial"/>
        </w:rPr>
        <w:t xml:space="preserve"> </w:t>
      </w:r>
      <w:r>
        <w:rPr>
          <w:rFonts w:ascii="Arial" w:hAnsi="Arial" w:cs="Arial"/>
        </w:rPr>
        <w:t xml:space="preserve">Prof </w:t>
      </w:r>
      <w:r w:rsidRPr="00DD53FA">
        <w:rPr>
          <w:rFonts w:ascii="Arial" w:hAnsi="Arial" w:cs="Arial"/>
        </w:rPr>
        <w:t xml:space="preserve">Michael </w:t>
      </w:r>
      <w:r>
        <w:rPr>
          <w:rFonts w:ascii="Arial" w:hAnsi="Arial" w:cs="Arial"/>
        </w:rPr>
        <w:t xml:space="preserve">B </w:t>
      </w:r>
      <w:r w:rsidRPr="00DD53FA">
        <w:rPr>
          <w:rFonts w:ascii="Arial" w:hAnsi="Arial" w:cs="Arial"/>
        </w:rPr>
        <w:t>Streiff</w:t>
      </w:r>
      <w:r>
        <w:rPr>
          <w:rFonts w:ascii="Arial" w:hAnsi="Arial" w:cs="Arial"/>
        </w:rPr>
        <w:t>, MD,</w:t>
      </w:r>
      <w:r w:rsidRPr="00DD53FA">
        <w:rPr>
          <w:rFonts w:ascii="Arial" w:hAnsi="Arial" w:cs="Arial"/>
        </w:rPr>
        <w:t xml:space="preserve"> </w:t>
      </w:r>
      <w:r w:rsidRPr="00DD53FA">
        <w:rPr>
          <w:rStyle w:val="name"/>
          <w:rFonts w:ascii="Arial" w:hAnsi="Arial" w:cs="Arial"/>
        </w:rPr>
        <w:t>Maura Marcucci</w:t>
      </w:r>
      <w:r>
        <w:rPr>
          <w:rStyle w:val="name"/>
          <w:rFonts w:ascii="Arial" w:hAnsi="Arial" w:cs="Arial"/>
        </w:rPr>
        <w:t>, MD,</w:t>
      </w:r>
      <w:r w:rsidRPr="00DD53FA">
        <w:rPr>
          <w:rFonts w:ascii="Arial" w:hAnsi="Arial" w:cs="Arial"/>
        </w:rPr>
        <w:t xml:space="preserve"> Tejan Baldeh</w:t>
      </w:r>
      <w:r>
        <w:rPr>
          <w:rFonts w:ascii="Arial" w:hAnsi="Arial" w:cs="Arial"/>
        </w:rPr>
        <w:t>, MPH,</w:t>
      </w:r>
      <w:r w:rsidRPr="00DD53FA">
        <w:rPr>
          <w:rFonts w:ascii="Arial" w:hAnsi="Arial" w:cs="Arial"/>
        </w:rPr>
        <w:t xml:space="preserve"> </w:t>
      </w:r>
      <w:r>
        <w:rPr>
          <w:rFonts w:ascii="Arial" w:hAnsi="Arial" w:cs="Arial"/>
        </w:rPr>
        <w:t xml:space="preserve">Prof </w:t>
      </w:r>
      <w:r w:rsidRPr="00DD53FA">
        <w:rPr>
          <w:rFonts w:ascii="Arial" w:hAnsi="Arial" w:cs="Arial"/>
        </w:rPr>
        <w:t xml:space="preserve">Ivan </w:t>
      </w:r>
      <w:r>
        <w:rPr>
          <w:rFonts w:ascii="Arial" w:hAnsi="Arial" w:cs="Arial"/>
        </w:rPr>
        <w:t xml:space="preserve">D </w:t>
      </w:r>
      <w:r w:rsidRPr="00DD53FA">
        <w:rPr>
          <w:rFonts w:ascii="Arial" w:hAnsi="Arial" w:cs="Arial"/>
        </w:rPr>
        <w:t>Florez</w:t>
      </w:r>
      <w:r>
        <w:rPr>
          <w:rFonts w:ascii="Arial" w:hAnsi="Arial" w:cs="Arial"/>
        </w:rPr>
        <w:t>, MD,</w:t>
      </w:r>
      <w:r w:rsidRPr="00DD53FA">
        <w:rPr>
          <w:rFonts w:ascii="Arial" w:hAnsi="Arial" w:cs="Arial"/>
        </w:rPr>
        <w:t xml:space="preserve"> Ozlem Gurunlu Alma</w:t>
      </w:r>
      <w:r>
        <w:rPr>
          <w:rFonts w:ascii="Arial" w:hAnsi="Arial" w:cs="Arial"/>
        </w:rPr>
        <w:t>, PhD,</w:t>
      </w:r>
      <w:r w:rsidRPr="00DD53FA">
        <w:rPr>
          <w:rFonts w:ascii="Arial" w:hAnsi="Arial" w:cs="Arial"/>
        </w:rPr>
        <w:t xml:space="preserve"> Ziad Solh</w:t>
      </w:r>
      <w:r>
        <w:rPr>
          <w:rFonts w:ascii="Arial" w:hAnsi="Arial" w:cs="Arial"/>
        </w:rPr>
        <w:t>, MD,</w:t>
      </w:r>
      <w:r w:rsidRPr="00DD53FA">
        <w:rPr>
          <w:rFonts w:ascii="Arial" w:hAnsi="Arial" w:cs="Arial"/>
        </w:rPr>
        <w:t xml:space="preserve"> </w:t>
      </w:r>
      <w:r>
        <w:rPr>
          <w:rFonts w:ascii="Arial" w:hAnsi="Arial" w:cs="Arial"/>
        </w:rPr>
        <w:t xml:space="preserve">Prof </w:t>
      </w:r>
      <w:r w:rsidRPr="00307ADC">
        <w:rPr>
          <w:rFonts w:ascii="Arial" w:hAnsi="Arial" w:cs="Arial"/>
        </w:rPr>
        <w:t>Patrick</w:t>
      </w:r>
      <w:r w:rsidRPr="00A0304E">
        <w:rPr>
          <w:rFonts w:ascii="Arial" w:hAnsi="Arial" w:cs="Arial"/>
        </w:rPr>
        <w:t xml:space="preserve"> M Bossuyt</w:t>
      </w:r>
      <w:r>
        <w:rPr>
          <w:rFonts w:ascii="Arial" w:hAnsi="Arial" w:cs="Arial"/>
        </w:rPr>
        <w:t>, PhD</w:t>
      </w:r>
      <w:r w:rsidRPr="00A0304E">
        <w:rPr>
          <w:rFonts w:ascii="Arial" w:hAnsi="Arial" w:cs="Arial"/>
        </w:rPr>
        <w:t>,</w:t>
      </w:r>
      <w:r w:rsidRPr="00F6404B">
        <w:rPr>
          <w:rFonts w:ascii="Arial" w:hAnsi="Arial" w:cs="Arial"/>
        </w:rPr>
        <w:t xml:space="preserve"> </w:t>
      </w:r>
      <w:r>
        <w:rPr>
          <w:rFonts w:ascii="Arial" w:hAnsi="Arial" w:cs="Arial"/>
        </w:rPr>
        <w:t xml:space="preserve">Lara A Kahale, PhD, Prof </w:t>
      </w:r>
      <w:r w:rsidRPr="00DD53FA">
        <w:rPr>
          <w:rFonts w:ascii="Arial" w:hAnsi="Arial" w:cs="Arial"/>
        </w:rPr>
        <w:t>Walter Ageno</w:t>
      </w:r>
      <w:r>
        <w:rPr>
          <w:rFonts w:ascii="Arial" w:hAnsi="Arial" w:cs="Arial"/>
        </w:rPr>
        <w:t>, MD,</w:t>
      </w:r>
      <w:r w:rsidRPr="00DD53FA">
        <w:rPr>
          <w:rFonts w:ascii="Arial" w:hAnsi="Arial" w:cs="Arial"/>
        </w:rPr>
        <w:t xml:space="preserve"> George Bozas</w:t>
      </w:r>
      <w:r>
        <w:rPr>
          <w:rFonts w:ascii="Arial" w:hAnsi="Arial" w:cs="Arial"/>
        </w:rPr>
        <w:t>, MD,</w:t>
      </w:r>
      <w:r w:rsidRPr="00DD53FA">
        <w:rPr>
          <w:rFonts w:ascii="Arial" w:hAnsi="Arial" w:cs="Arial"/>
        </w:rPr>
        <w:t xml:space="preserve"> </w:t>
      </w:r>
      <w:r>
        <w:rPr>
          <w:rFonts w:ascii="Arial" w:hAnsi="Arial" w:cs="Arial"/>
        </w:rPr>
        <w:t xml:space="preserve">Prof </w:t>
      </w:r>
      <w:r w:rsidRPr="00DD53FA">
        <w:rPr>
          <w:rFonts w:ascii="Arial" w:hAnsi="Arial" w:cs="Arial"/>
        </w:rPr>
        <w:t xml:space="preserve">Harry </w:t>
      </w:r>
      <w:r>
        <w:rPr>
          <w:rFonts w:ascii="Arial" w:hAnsi="Arial" w:cs="Arial"/>
        </w:rPr>
        <w:t xml:space="preserve">R </w:t>
      </w:r>
      <w:r w:rsidRPr="00DD53FA">
        <w:rPr>
          <w:rFonts w:ascii="Arial" w:hAnsi="Arial" w:cs="Arial"/>
        </w:rPr>
        <w:t>B</w:t>
      </w:r>
      <w:r>
        <w:rPr>
          <w:rFonts w:ascii="Arial" w:hAnsi="Arial" w:cs="Arial"/>
        </w:rPr>
        <w:t>ü</w:t>
      </w:r>
      <w:r w:rsidRPr="00DD53FA">
        <w:rPr>
          <w:rFonts w:ascii="Arial" w:hAnsi="Arial" w:cs="Arial"/>
        </w:rPr>
        <w:t>ller</w:t>
      </w:r>
      <w:r>
        <w:rPr>
          <w:rFonts w:ascii="Arial" w:hAnsi="Arial" w:cs="Arial"/>
        </w:rPr>
        <w:t>, MD,</w:t>
      </w:r>
      <w:r w:rsidRPr="00DD53FA">
        <w:rPr>
          <w:rFonts w:ascii="Arial" w:hAnsi="Arial" w:cs="Arial"/>
        </w:rPr>
        <w:t xml:space="preserve"> </w:t>
      </w:r>
      <w:r>
        <w:rPr>
          <w:rFonts w:ascii="Arial" w:hAnsi="Arial" w:cs="Arial"/>
        </w:rPr>
        <w:t xml:space="preserve">Prof </w:t>
      </w:r>
      <w:r w:rsidRPr="00DD53FA">
        <w:rPr>
          <w:rFonts w:ascii="Arial" w:hAnsi="Arial" w:cs="Arial"/>
        </w:rPr>
        <w:t>Bernard Lebeau</w:t>
      </w:r>
      <w:r>
        <w:rPr>
          <w:rFonts w:ascii="Arial" w:hAnsi="Arial" w:cs="Arial"/>
        </w:rPr>
        <w:t>, MD,</w:t>
      </w:r>
      <w:r w:rsidRPr="00DD53FA">
        <w:rPr>
          <w:rFonts w:ascii="Arial" w:hAnsi="Arial" w:cs="Arial"/>
        </w:rPr>
        <w:t xml:space="preserve"> Ramon Lecumberri</w:t>
      </w:r>
      <w:r>
        <w:rPr>
          <w:rFonts w:ascii="Arial" w:hAnsi="Arial" w:cs="Arial"/>
        </w:rPr>
        <w:t>, MD,</w:t>
      </w:r>
      <w:r w:rsidRPr="00DD53FA">
        <w:rPr>
          <w:rFonts w:ascii="Arial" w:hAnsi="Arial" w:cs="Arial"/>
        </w:rPr>
        <w:t xml:space="preserve"> </w:t>
      </w:r>
      <w:r>
        <w:rPr>
          <w:rFonts w:ascii="Arial" w:hAnsi="Arial" w:cs="Arial"/>
        </w:rPr>
        <w:t xml:space="preserve">Prof </w:t>
      </w:r>
      <w:r w:rsidRPr="00DD53FA">
        <w:rPr>
          <w:rFonts w:ascii="Arial" w:hAnsi="Arial" w:cs="Arial"/>
        </w:rPr>
        <w:t>Charles Loprinzi</w:t>
      </w:r>
      <w:r>
        <w:rPr>
          <w:rFonts w:ascii="Arial" w:hAnsi="Arial" w:cs="Arial"/>
        </w:rPr>
        <w:t>, MD,</w:t>
      </w:r>
      <w:r w:rsidRPr="00DD53FA">
        <w:rPr>
          <w:rFonts w:ascii="Arial" w:hAnsi="Arial" w:cs="Arial"/>
        </w:rPr>
        <w:t xml:space="preserve"> </w:t>
      </w:r>
      <w:r>
        <w:rPr>
          <w:rFonts w:ascii="Arial" w:hAnsi="Arial" w:cs="Arial"/>
        </w:rPr>
        <w:t xml:space="preserve">Prof </w:t>
      </w:r>
      <w:r w:rsidRPr="00DD53FA">
        <w:rPr>
          <w:rFonts w:ascii="Arial" w:hAnsi="Arial" w:cs="Arial"/>
        </w:rPr>
        <w:t>Robert McBane</w:t>
      </w:r>
      <w:r>
        <w:rPr>
          <w:rFonts w:ascii="Arial" w:hAnsi="Arial" w:cs="Arial"/>
        </w:rPr>
        <w:t>, MD,</w:t>
      </w:r>
      <w:r w:rsidRPr="00DD53FA">
        <w:rPr>
          <w:rFonts w:ascii="Arial" w:hAnsi="Arial" w:cs="Arial"/>
        </w:rPr>
        <w:t xml:space="preserve"> Kostandinos Sideras</w:t>
      </w:r>
      <w:r>
        <w:rPr>
          <w:rFonts w:ascii="Arial" w:hAnsi="Arial" w:cs="Arial"/>
        </w:rPr>
        <w:t>, MD,</w:t>
      </w:r>
      <w:r w:rsidRPr="00DD53FA">
        <w:rPr>
          <w:rFonts w:ascii="Arial" w:hAnsi="Arial" w:cs="Arial"/>
        </w:rPr>
        <w:t xml:space="preserve"> </w:t>
      </w:r>
      <w:r>
        <w:rPr>
          <w:rFonts w:ascii="Arial" w:hAnsi="Arial" w:cs="Arial"/>
        </w:rPr>
        <w:t xml:space="preserve">Prof </w:t>
      </w:r>
      <w:r w:rsidRPr="00DD53FA">
        <w:rPr>
          <w:rFonts w:ascii="Arial" w:hAnsi="Arial" w:cs="Arial"/>
        </w:rPr>
        <w:t>Anthony Maraveyas</w:t>
      </w:r>
      <w:r>
        <w:rPr>
          <w:rFonts w:ascii="Arial" w:hAnsi="Arial" w:cs="Arial"/>
        </w:rPr>
        <w:t>, MD,</w:t>
      </w:r>
      <w:r w:rsidRPr="00DD53FA">
        <w:rPr>
          <w:rFonts w:ascii="Arial" w:hAnsi="Arial" w:cs="Arial"/>
        </w:rPr>
        <w:t xml:space="preserve"> Uwe Pelzer</w:t>
      </w:r>
      <w:r>
        <w:rPr>
          <w:rFonts w:ascii="Arial" w:hAnsi="Arial" w:cs="Arial"/>
        </w:rPr>
        <w:t>, MD,</w:t>
      </w:r>
      <w:r w:rsidRPr="00DD53FA">
        <w:rPr>
          <w:rFonts w:ascii="Arial" w:hAnsi="Arial" w:cs="Arial"/>
        </w:rPr>
        <w:t xml:space="preserve"> </w:t>
      </w:r>
      <w:r>
        <w:rPr>
          <w:rFonts w:ascii="Arial" w:hAnsi="Arial" w:cs="Arial"/>
        </w:rPr>
        <w:t xml:space="preserve">Prof </w:t>
      </w:r>
      <w:r w:rsidRPr="00DD53FA">
        <w:rPr>
          <w:rFonts w:ascii="Arial" w:hAnsi="Arial" w:cs="Arial"/>
        </w:rPr>
        <w:t>James Perry</w:t>
      </w:r>
      <w:r>
        <w:rPr>
          <w:rFonts w:ascii="Arial" w:hAnsi="Arial" w:cs="Arial"/>
        </w:rPr>
        <w:t>, MD,</w:t>
      </w:r>
      <w:r w:rsidRPr="00DD53FA">
        <w:rPr>
          <w:rFonts w:ascii="Arial" w:hAnsi="Arial" w:cs="Arial"/>
        </w:rPr>
        <w:t xml:space="preserve"> </w:t>
      </w:r>
      <w:r>
        <w:rPr>
          <w:rFonts w:ascii="Arial" w:hAnsi="Arial" w:cs="Arial"/>
        </w:rPr>
        <w:t>Clara Klerk, MD, Prof Giancarlo Agnelli, MD,</w:t>
      </w:r>
      <w:r>
        <w:rPr>
          <w:rFonts w:ascii="Arial" w:hAnsi="Arial" w:cs="Arial"/>
          <w:vertAlign w:val="superscript"/>
        </w:rPr>
        <w:t xml:space="preserve"> </w:t>
      </w:r>
      <w:r>
        <w:rPr>
          <w:rFonts w:ascii="Arial" w:hAnsi="Arial" w:cs="Arial"/>
        </w:rPr>
        <w:t xml:space="preserve">Prof </w:t>
      </w:r>
      <w:r w:rsidRPr="00DD53FA">
        <w:rPr>
          <w:rFonts w:ascii="Arial" w:hAnsi="Arial" w:cs="Arial"/>
        </w:rPr>
        <w:t>Elie A Akl</w:t>
      </w:r>
      <w:r>
        <w:rPr>
          <w:rFonts w:ascii="Arial" w:hAnsi="Arial" w:cs="Arial"/>
        </w:rPr>
        <w:t>, MD,</w:t>
      </w:r>
      <w:r w:rsidRPr="00DD53FA">
        <w:rPr>
          <w:rFonts w:ascii="Arial" w:hAnsi="Arial" w:cs="Arial"/>
        </w:rPr>
        <w:t xml:space="preserve"> and the IPDMA heparin use in cancer patients research group</w:t>
      </w:r>
    </w:p>
    <w:p w14:paraId="37822AA0" w14:textId="77777777" w:rsidR="0064223B" w:rsidRPr="00DD53FA" w:rsidRDefault="0064223B" w:rsidP="00F6404B">
      <w:pPr>
        <w:pStyle w:val="ListParagraph"/>
        <w:numPr>
          <w:ilvl w:val="0"/>
          <w:numId w:val="4"/>
        </w:numPr>
        <w:spacing w:line="240" w:lineRule="auto"/>
        <w:ind w:left="714" w:hanging="357"/>
        <w:jc w:val="left"/>
        <w:rPr>
          <w:rFonts w:ascii="Arial" w:hAnsi="Arial" w:cs="Arial"/>
        </w:rPr>
      </w:pPr>
      <w:r>
        <w:rPr>
          <w:rFonts w:ascii="Arial" w:hAnsi="Arial" w:cs="Arial"/>
        </w:rPr>
        <w:t xml:space="preserve">Michael G. DeGroote Cochrane Canada and McGRADE Centres, </w:t>
      </w:r>
      <w:r w:rsidRPr="00DD53FA">
        <w:rPr>
          <w:rFonts w:ascii="Arial" w:hAnsi="Arial" w:cs="Arial"/>
        </w:rPr>
        <w:t>Department of Health Research Methods, Evidence and Impact, Faculty of Health Sciences, McMaster University, Hamilton, Canada</w:t>
      </w:r>
      <w:r>
        <w:rPr>
          <w:rFonts w:ascii="Arial" w:hAnsi="Arial" w:cs="Arial"/>
        </w:rPr>
        <w:t xml:space="preserve"> (Prof </w:t>
      </w:r>
      <w:r w:rsidRPr="00DD53FA">
        <w:rPr>
          <w:rFonts w:ascii="Arial" w:hAnsi="Arial" w:cs="Arial"/>
        </w:rPr>
        <w:t>H</w:t>
      </w:r>
      <w:r>
        <w:rPr>
          <w:rFonts w:ascii="Arial" w:hAnsi="Arial" w:cs="Arial"/>
        </w:rPr>
        <w:t xml:space="preserve"> </w:t>
      </w:r>
      <w:r w:rsidRPr="00DD53FA">
        <w:rPr>
          <w:rFonts w:ascii="Arial" w:hAnsi="Arial" w:cs="Arial"/>
        </w:rPr>
        <w:t>J Schünemann</w:t>
      </w:r>
      <w:r>
        <w:rPr>
          <w:rFonts w:ascii="Arial" w:hAnsi="Arial" w:cs="Arial"/>
        </w:rPr>
        <w:t xml:space="preserve"> MD, M Ventresca MSc, M Briel MD, Q Zhou PhD, Prof A Iorio MD, L Mbuagbaw, MD, I </w:t>
      </w:r>
      <w:r w:rsidRPr="00DD53FA">
        <w:rPr>
          <w:rFonts w:ascii="Arial" w:hAnsi="Arial" w:cs="Arial"/>
        </w:rPr>
        <w:t>Neumann</w:t>
      </w:r>
      <w:r>
        <w:rPr>
          <w:rFonts w:ascii="Arial" w:hAnsi="Arial" w:cs="Arial"/>
        </w:rPr>
        <w:t xml:space="preserve"> MD, N Van Es MD, Prof G Guyatt MD, M Marcucci MD, T Baldeh MPH, Prof I D Florez MD)</w:t>
      </w:r>
    </w:p>
    <w:p w14:paraId="17AA1AE9" w14:textId="77777777" w:rsidR="0064223B" w:rsidRPr="00DD53FA" w:rsidRDefault="0064223B" w:rsidP="00F6404B">
      <w:pPr>
        <w:pStyle w:val="ListParagraph"/>
        <w:numPr>
          <w:ilvl w:val="0"/>
          <w:numId w:val="4"/>
        </w:numPr>
        <w:spacing w:line="240" w:lineRule="auto"/>
        <w:ind w:left="714" w:hanging="357"/>
        <w:jc w:val="left"/>
        <w:rPr>
          <w:rFonts w:ascii="Arial" w:hAnsi="Arial" w:cs="Arial"/>
        </w:rPr>
      </w:pPr>
      <w:r>
        <w:rPr>
          <w:rStyle w:val="addr-line"/>
          <w:rFonts w:ascii="Arial" w:hAnsi="Arial" w:cs="Arial"/>
        </w:rPr>
        <w:t>Department of Medicine</w:t>
      </w:r>
      <w:r w:rsidRPr="00DD53FA">
        <w:rPr>
          <w:rFonts w:ascii="Arial" w:hAnsi="Arial" w:cs="Arial"/>
        </w:rPr>
        <w:t xml:space="preserve">, </w:t>
      </w:r>
      <w:r w:rsidRPr="00DD53FA">
        <w:rPr>
          <w:rStyle w:val="institution"/>
          <w:rFonts w:ascii="Arial" w:hAnsi="Arial" w:cs="Arial"/>
        </w:rPr>
        <w:t>McMaster University</w:t>
      </w:r>
      <w:r w:rsidRPr="00DD53FA">
        <w:rPr>
          <w:rFonts w:ascii="Arial" w:hAnsi="Arial" w:cs="Arial"/>
        </w:rPr>
        <w:t xml:space="preserve">, </w:t>
      </w:r>
      <w:r w:rsidRPr="00DD53FA">
        <w:rPr>
          <w:rStyle w:val="addr-line"/>
          <w:rFonts w:ascii="Arial" w:hAnsi="Arial" w:cs="Arial"/>
        </w:rPr>
        <w:t>Hamilton, Ontario</w:t>
      </w:r>
      <w:r w:rsidRPr="00DD53FA">
        <w:rPr>
          <w:rFonts w:ascii="Arial" w:hAnsi="Arial" w:cs="Arial"/>
        </w:rPr>
        <w:t>, Canada</w:t>
      </w:r>
      <w:r>
        <w:rPr>
          <w:rFonts w:ascii="Arial" w:hAnsi="Arial" w:cs="Arial"/>
        </w:rPr>
        <w:t xml:space="preserve"> (Prof </w:t>
      </w:r>
      <w:r w:rsidRPr="00DD53FA">
        <w:rPr>
          <w:rFonts w:ascii="Arial" w:hAnsi="Arial" w:cs="Arial"/>
        </w:rPr>
        <w:t>H</w:t>
      </w:r>
      <w:r>
        <w:rPr>
          <w:rFonts w:ascii="Arial" w:hAnsi="Arial" w:cs="Arial"/>
        </w:rPr>
        <w:t xml:space="preserve"> </w:t>
      </w:r>
      <w:r w:rsidRPr="00DD53FA">
        <w:rPr>
          <w:rFonts w:ascii="Arial" w:hAnsi="Arial" w:cs="Arial"/>
        </w:rPr>
        <w:t>J Schünemann</w:t>
      </w:r>
      <w:r>
        <w:rPr>
          <w:rFonts w:ascii="Arial" w:hAnsi="Arial" w:cs="Arial"/>
        </w:rPr>
        <w:t xml:space="preserve"> MD, Prof Mark Crowther MD)</w:t>
      </w:r>
    </w:p>
    <w:p w14:paraId="73D72DDD" w14:textId="77777777" w:rsidR="0064223B" w:rsidRPr="00DD53FA" w:rsidRDefault="0064223B" w:rsidP="00F6404B">
      <w:pPr>
        <w:pStyle w:val="ListParagraph"/>
        <w:numPr>
          <w:ilvl w:val="0"/>
          <w:numId w:val="4"/>
        </w:numPr>
        <w:spacing w:line="240" w:lineRule="auto"/>
        <w:ind w:left="714" w:hanging="357"/>
        <w:jc w:val="left"/>
        <w:rPr>
          <w:rFonts w:ascii="Arial" w:eastAsia="Times New Roman" w:hAnsi="Arial" w:cs="Arial"/>
          <w:iCs/>
          <w:lang w:val="en-CA" w:eastAsia="en-CA"/>
        </w:rPr>
      </w:pPr>
      <w:r>
        <w:rPr>
          <w:rFonts w:ascii="Arial" w:eastAsia="Times New Roman" w:hAnsi="Arial" w:cs="Arial"/>
          <w:iCs/>
          <w:lang w:val="en-CA" w:eastAsia="en-CA"/>
        </w:rPr>
        <w:t xml:space="preserve">Department of Clinical Research, </w:t>
      </w:r>
      <w:r w:rsidRPr="00DD53FA">
        <w:rPr>
          <w:rFonts w:ascii="Arial" w:eastAsia="Times New Roman" w:hAnsi="Arial" w:cs="Arial"/>
          <w:iCs/>
          <w:lang w:val="en-CA" w:eastAsia="en-CA"/>
        </w:rPr>
        <w:t xml:space="preserve">Basel Institute for Clinical Epidemiology and Biostatistics, </w:t>
      </w:r>
      <w:r>
        <w:rPr>
          <w:rFonts w:ascii="Arial" w:eastAsia="Times New Roman" w:hAnsi="Arial" w:cs="Arial"/>
          <w:iCs/>
          <w:lang w:val="en-CA" w:eastAsia="en-CA"/>
        </w:rPr>
        <w:t xml:space="preserve">University of Basel and </w:t>
      </w:r>
      <w:r w:rsidRPr="00DD53FA">
        <w:rPr>
          <w:rFonts w:ascii="Arial" w:eastAsia="Times New Roman" w:hAnsi="Arial" w:cs="Arial"/>
          <w:iCs/>
          <w:lang w:val="en-CA" w:eastAsia="en-CA"/>
        </w:rPr>
        <w:t>University Hospital Basel, Basel, Switzerland</w:t>
      </w:r>
      <w:r>
        <w:rPr>
          <w:rFonts w:ascii="Arial" w:eastAsia="Times New Roman" w:hAnsi="Arial" w:cs="Arial"/>
          <w:iCs/>
          <w:lang w:val="en-CA" w:eastAsia="en-CA"/>
        </w:rPr>
        <w:t xml:space="preserve"> (</w:t>
      </w:r>
      <w:r>
        <w:rPr>
          <w:rFonts w:ascii="Arial" w:hAnsi="Arial" w:cs="Arial"/>
        </w:rPr>
        <w:t>M Briel MD)</w:t>
      </w:r>
    </w:p>
    <w:p w14:paraId="21077398" w14:textId="77777777" w:rsidR="0064223B" w:rsidRPr="00DD53FA" w:rsidRDefault="0064223B" w:rsidP="00F6404B">
      <w:pPr>
        <w:pStyle w:val="HTMLAddress"/>
        <w:numPr>
          <w:ilvl w:val="0"/>
          <w:numId w:val="4"/>
        </w:numPr>
        <w:ind w:left="714" w:hanging="357"/>
        <w:rPr>
          <w:rFonts w:ascii="Arial" w:hAnsi="Arial" w:cs="Arial"/>
          <w:i w:val="0"/>
          <w:sz w:val="22"/>
          <w:szCs w:val="22"/>
        </w:rPr>
      </w:pPr>
      <w:r w:rsidRPr="00DD53FA">
        <w:rPr>
          <w:rStyle w:val="institution"/>
          <w:rFonts w:ascii="Arial" w:eastAsiaTheme="majorEastAsia" w:hAnsi="Arial" w:cs="Arial"/>
          <w:i w:val="0"/>
        </w:rPr>
        <w:t>Marie Curie Palliative Care Research Centre, Cardiff University</w:t>
      </w:r>
      <w:r w:rsidRPr="00DD53FA">
        <w:rPr>
          <w:rFonts w:ascii="Arial" w:hAnsi="Arial" w:cs="Arial"/>
          <w:i w:val="0"/>
          <w:sz w:val="22"/>
          <w:szCs w:val="22"/>
        </w:rPr>
        <w:t xml:space="preserve">, </w:t>
      </w:r>
      <w:r w:rsidRPr="00DD53FA">
        <w:rPr>
          <w:rStyle w:val="addr-line"/>
          <w:rFonts w:ascii="Arial" w:eastAsia="SimSun" w:hAnsi="Arial" w:cs="Arial"/>
          <w:i w:val="0"/>
          <w:sz w:val="22"/>
          <w:szCs w:val="22"/>
        </w:rPr>
        <w:t>Wales</w:t>
      </w:r>
      <w:r w:rsidRPr="00DD53FA">
        <w:rPr>
          <w:rFonts w:ascii="Arial" w:hAnsi="Arial" w:cs="Arial"/>
          <w:i w:val="0"/>
          <w:sz w:val="22"/>
          <w:szCs w:val="22"/>
        </w:rPr>
        <w:t>, UK</w:t>
      </w:r>
      <w:r>
        <w:rPr>
          <w:rFonts w:ascii="Arial" w:hAnsi="Arial" w:cs="Arial"/>
          <w:i w:val="0"/>
          <w:sz w:val="22"/>
          <w:szCs w:val="22"/>
        </w:rPr>
        <w:t xml:space="preserve"> (Prof S Noble MD)</w:t>
      </w:r>
    </w:p>
    <w:p w14:paraId="35EA4EE2" w14:textId="77777777" w:rsidR="0064223B" w:rsidRPr="00DD53FA" w:rsidRDefault="0064223B" w:rsidP="00F6404B">
      <w:pPr>
        <w:pStyle w:val="HTMLAddress"/>
        <w:numPr>
          <w:ilvl w:val="0"/>
          <w:numId w:val="4"/>
        </w:numPr>
        <w:ind w:left="714" w:hanging="357"/>
        <w:rPr>
          <w:rFonts w:ascii="Arial" w:hAnsi="Arial" w:cs="Arial"/>
          <w:i w:val="0"/>
          <w:sz w:val="22"/>
          <w:szCs w:val="22"/>
        </w:rPr>
      </w:pPr>
      <w:r>
        <w:rPr>
          <w:rStyle w:val="addr-line"/>
          <w:rFonts w:ascii="Arial" w:eastAsia="SimSun" w:hAnsi="Arial" w:cs="Arial"/>
          <w:i w:val="0"/>
          <w:sz w:val="22"/>
          <w:szCs w:val="22"/>
        </w:rPr>
        <w:t xml:space="preserve">Centre for Trials Research, College of Biomedical &amp; Life Sciences, </w:t>
      </w:r>
      <w:r w:rsidRPr="00DD53FA">
        <w:rPr>
          <w:rStyle w:val="institution"/>
          <w:rFonts w:ascii="Arial" w:eastAsia="SimSun" w:hAnsi="Arial" w:cs="Arial"/>
          <w:i w:val="0"/>
        </w:rPr>
        <w:t>Cardiff University</w:t>
      </w:r>
      <w:r w:rsidRPr="00DD53FA">
        <w:rPr>
          <w:rFonts w:ascii="Arial" w:hAnsi="Arial" w:cs="Arial"/>
          <w:i w:val="0"/>
          <w:sz w:val="22"/>
          <w:szCs w:val="22"/>
        </w:rPr>
        <w:t xml:space="preserve">, </w:t>
      </w:r>
      <w:r w:rsidRPr="00DD53FA">
        <w:rPr>
          <w:rStyle w:val="addr-line"/>
          <w:rFonts w:ascii="Arial" w:eastAsia="SimSun" w:hAnsi="Arial" w:cs="Arial"/>
          <w:i w:val="0"/>
          <w:sz w:val="22"/>
          <w:szCs w:val="22"/>
        </w:rPr>
        <w:t>Wales</w:t>
      </w:r>
      <w:r w:rsidRPr="00DD53FA">
        <w:rPr>
          <w:rFonts w:ascii="Arial" w:hAnsi="Arial" w:cs="Arial"/>
          <w:i w:val="0"/>
          <w:sz w:val="22"/>
          <w:szCs w:val="22"/>
        </w:rPr>
        <w:t>, UK</w:t>
      </w:r>
      <w:r>
        <w:rPr>
          <w:rFonts w:ascii="Arial" w:hAnsi="Arial" w:cs="Arial"/>
          <w:i w:val="0"/>
          <w:sz w:val="22"/>
          <w:szCs w:val="22"/>
        </w:rPr>
        <w:t xml:space="preserve"> (Prof F Macbeth MD, Prof G Griffiths MD)</w:t>
      </w:r>
    </w:p>
    <w:p w14:paraId="78E10492" w14:textId="77777777" w:rsidR="0064223B" w:rsidRPr="00DD53FA" w:rsidRDefault="0064223B" w:rsidP="00F6404B">
      <w:pPr>
        <w:pStyle w:val="HTMLAddress"/>
        <w:numPr>
          <w:ilvl w:val="0"/>
          <w:numId w:val="4"/>
        </w:numPr>
        <w:ind w:left="714" w:hanging="357"/>
        <w:rPr>
          <w:rFonts w:ascii="Arial" w:hAnsi="Arial" w:cs="Arial"/>
          <w:i w:val="0"/>
          <w:sz w:val="22"/>
          <w:szCs w:val="22"/>
        </w:rPr>
      </w:pPr>
      <w:r w:rsidRPr="00DD53FA">
        <w:rPr>
          <w:rStyle w:val="addr-line"/>
          <w:rFonts w:ascii="Arial" w:eastAsia="SimSun" w:hAnsi="Arial" w:cs="Arial"/>
          <w:i w:val="0"/>
          <w:sz w:val="22"/>
          <w:szCs w:val="22"/>
        </w:rPr>
        <w:t>Faculty of Medicine</w:t>
      </w:r>
      <w:r w:rsidRPr="00DD53FA">
        <w:rPr>
          <w:rFonts w:ascii="Arial" w:hAnsi="Arial" w:cs="Arial"/>
          <w:i w:val="0"/>
          <w:sz w:val="22"/>
          <w:szCs w:val="22"/>
        </w:rPr>
        <w:t xml:space="preserve">, </w:t>
      </w:r>
      <w:r w:rsidRPr="00DD53FA">
        <w:rPr>
          <w:rStyle w:val="institution"/>
          <w:rFonts w:ascii="Arial" w:eastAsia="SimSun" w:hAnsi="Arial" w:cs="Arial"/>
          <w:i w:val="0"/>
        </w:rPr>
        <w:t>University of Southampton, Southampton General Hospital</w:t>
      </w:r>
      <w:r w:rsidRPr="00DD53FA">
        <w:rPr>
          <w:rFonts w:ascii="Arial" w:hAnsi="Arial" w:cs="Arial"/>
          <w:i w:val="0"/>
          <w:sz w:val="22"/>
          <w:szCs w:val="22"/>
        </w:rPr>
        <w:t xml:space="preserve">, </w:t>
      </w:r>
      <w:r w:rsidRPr="00DD53FA">
        <w:rPr>
          <w:rStyle w:val="addr-line"/>
          <w:rFonts w:ascii="Arial" w:eastAsia="SimSun" w:hAnsi="Arial" w:cs="Arial"/>
          <w:i w:val="0"/>
          <w:sz w:val="22"/>
          <w:szCs w:val="22"/>
        </w:rPr>
        <w:t>Southampton</w:t>
      </w:r>
      <w:r w:rsidRPr="00DD53FA">
        <w:rPr>
          <w:rFonts w:ascii="Arial" w:hAnsi="Arial" w:cs="Arial"/>
          <w:i w:val="0"/>
          <w:sz w:val="22"/>
          <w:szCs w:val="22"/>
        </w:rPr>
        <w:t>, UK</w:t>
      </w:r>
      <w:r>
        <w:rPr>
          <w:rFonts w:ascii="Arial" w:hAnsi="Arial" w:cs="Arial"/>
          <w:i w:val="0"/>
          <w:sz w:val="22"/>
          <w:szCs w:val="22"/>
        </w:rPr>
        <w:t xml:space="preserve"> (Prof G Griffiths MD)</w:t>
      </w:r>
    </w:p>
    <w:p w14:paraId="6B795863" w14:textId="77777777" w:rsidR="0064223B" w:rsidRPr="00DD53FA" w:rsidRDefault="0064223B" w:rsidP="00F6404B">
      <w:pPr>
        <w:pStyle w:val="HTMLAddress"/>
        <w:numPr>
          <w:ilvl w:val="0"/>
          <w:numId w:val="4"/>
        </w:numPr>
        <w:ind w:left="714" w:hanging="357"/>
        <w:rPr>
          <w:rFonts w:ascii="Arial" w:hAnsi="Arial" w:cs="Arial"/>
          <w:i w:val="0"/>
          <w:sz w:val="22"/>
          <w:szCs w:val="22"/>
        </w:rPr>
      </w:pPr>
      <w:r w:rsidRPr="00DD53FA">
        <w:rPr>
          <w:rStyle w:val="institution"/>
          <w:rFonts w:ascii="Arial" w:eastAsiaTheme="majorEastAsia" w:hAnsi="Arial" w:cs="Arial"/>
          <w:i w:val="0"/>
        </w:rPr>
        <w:t>University of Washington School of Medicine</w:t>
      </w:r>
      <w:r w:rsidRPr="00DD53FA">
        <w:rPr>
          <w:rFonts w:ascii="Arial" w:hAnsi="Arial" w:cs="Arial"/>
          <w:i w:val="0"/>
          <w:sz w:val="22"/>
          <w:szCs w:val="22"/>
        </w:rPr>
        <w:t xml:space="preserve">, </w:t>
      </w:r>
      <w:r w:rsidRPr="00DD53FA">
        <w:rPr>
          <w:rStyle w:val="addr-line"/>
          <w:rFonts w:ascii="Arial" w:eastAsia="SimSun" w:hAnsi="Arial" w:cs="Arial"/>
          <w:i w:val="0"/>
          <w:sz w:val="22"/>
          <w:szCs w:val="22"/>
        </w:rPr>
        <w:t>Seattle, Washington</w:t>
      </w:r>
      <w:r w:rsidRPr="00DD53FA">
        <w:rPr>
          <w:rFonts w:ascii="Arial" w:hAnsi="Arial" w:cs="Arial"/>
          <w:i w:val="0"/>
          <w:sz w:val="22"/>
          <w:szCs w:val="22"/>
        </w:rPr>
        <w:t>, USA</w:t>
      </w:r>
    </w:p>
    <w:p w14:paraId="2940B7D7" w14:textId="77777777" w:rsidR="0064223B" w:rsidRPr="00DD53FA" w:rsidRDefault="0064223B" w:rsidP="00F6404B">
      <w:pPr>
        <w:pStyle w:val="HTMLAddress"/>
        <w:numPr>
          <w:ilvl w:val="0"/>
          <w:numId w:val="4"/>
        </w:numPr>
        <w:ind w:left="714" w:hanging="357"/>
        <w:rPr>
          <w:rFonts w:ascii="Arial" w:hAnsi="Arial" w:cs="Arial"/>
          <w:i w:val="0"/>
          <w:sz w:val="22"/>
          <w:szCs w:val="22"/>
        </w:rPr>
      </w:pPr>
      <w:r w:rsidRPr="00DD53FA">
        <w:rPr>
          <w:rStyle w:val="institution"/>
          <w:rFonts w:ascii="Arial" w:eastAsiaTheme="majorEastAsia" w:hAnsi="Arial" w:cs="Arial"/>
          <w:i w:val="0"/>
        </w:rPr>
        <w:t>Hutchinson Institute for Cancer Outcomes Research, Fred Hutchinson Cancer Research Center</w:t>
      </w:r>
      <w:r w:rsidRPr="00DD53FA">
        <w:rPr>
          <w:rFonts w:ascii="Arial" w:hAnsi="Arial" w:cs="Arial"/>
          <w:i w:val="0"/>
          <w:sz w:val="22"/>
          <w:szCs w:val="22"/>
        </w:rPr>
        <w:t xml:space="preserve">, </w:t>
      </w:r>
      <w:r w:rsidRPr="00DD53FA">
        <w:rPr>
          <w:rStyle w:val="addr-line"/>
          <w:rFonts w:ascii="Arial" w:eastAsia="SimSun" w:hAnsi="Arial" w:cs="Arial"/>
          <w:i w:val="0"/>
          <w:sz w:val="22"/>
          <w:szCs w:val="22"/>
        </w:rPr>
        <w:t>Seattle, Washington</w:t>
      </w:r>
      <w:r w:rsidRPr="00DD53FA">
        <w:rPr>
          <w:rFonts w:ascii="Arial" w:hAnsi="Arial" w:cs="Arial"/>
          <w:i w:val="0"/>
          <w:sz w:val="22"/>
          <w:szCs w:val="22"/>
        </w:rPr>
        <w:t>, USA</w:t>
      </w:r>
      <w:r>
        <w:rPr>
          <w:rFonts w:ascii="Arial" w:hAnsi="Arial" w:cs="Arial"/>
          <w:i w:val="0"/>
          <w:sz w:val="22"/>
          <w:szCs w:val="22"/>
        </w:rPr>
        <w:t xml:space="preserve"> (Prof D Garcia MD, Prof G H Lyman MD)</w:t>
      </w:r>
    </w:p>
    <w:p w14:paraId="32D97FE8" w14:textId="77777777" w:rsidR="0064223B" w:rsidRPr="00DD53FA" w:rsidRDefault="0064223B" w:rsidP="00F6404B">
      <w:pPr>
        <w:pStyle w:val="HTMLAddress"/>
        <w:numPr>
          <w:ilvl w:val="0"/>
          <w:numId w:val="4"/>
        </w:numPr>
        <w:ind w:left="714" w:hanging="357"/>
        <w:rPr>
          <w:rFonts w:ascii="Arial" w:hAnsi="Arial" w:cs="Arial"/>
          <w:i w:val="0"/>
          <w:sz w:val="22"/>
          <w:szCs w:val="22"/>
        </w:rPr>
      </w:pPr>
      <w:r w:rsidRPr="00DD53FA">
        <w:rPr>
          <w:rStyle w:val="addr-line"/>
          <w:rFonts w:ascii="Arial" w:eastAsia="SimSun" w:hAnsi="Arial" w:cs="Arial"/>
          <w:i w:val="0"/>
          <w:sz w:val="22"/>
          <w:szCs w:val="22"/>
        </w:rPr>
        <w:t>Department of Medicine</w:t>
      </w:r>
      <w:r w:rsidRPr="00DD53FA">
        <w:rPr>
          <w:rFonts w:ascii="Arial" w:hAnsi="Arial" w:cs="Arial"/>
          <w:i w:val="0"/>
          <w:sz w:val="22"/>
          <w:szCs w:val="22"/>
        </w:rPr>
        <w:t xml:space="preserve">, </w:t>
      </w:r>
      <w:r w:rsidRPr="00DD53FA">
        <w:rPr>
          <w:rStyle w:val="institution"/>
          <w:rFonts w:ascii="Arial" w:eastAsiaTheme="majorEastAsia" w:hAnsi="Arial" w:cs="Arial"/>
          <w:i w:val="0"/>
        </w:rPr>
        <w:t>University of Washington School of Medicine</w:t>
      </w:r>
      <w:r w:rsidRPr="00DD53FA">
        <w:rPr>
          <w:rFonts w:ascii="Arial" w:hAnsi="Arial" w:cs="Arial"/>
          <w:i w:val="0"/>
          <w:sz w:val="22"/>
          <w:szCs w:val="22"/>
        </w:rPr>
        <w:t xml:space="preserve">, </w:t>
      </w:r>
      <w:r w:rsidRPr="00DD53FA">
        <w:rPr>
          <w:rStyle w:val="addr-line"/>
          <w:rFonts w:ascii="Arial" w:eastAsia="SimSun" w:hAnsi="Arial" w:cs="Arial"/>
          <w:i w:val="0"/>
          <w:sz w:val="22"/>
          <w:szCs w:val="22"/>
        </w:rPr>
        <w:t>Seattle, Washington</w:t>
      </w:r>
      <w:r w:rsidRPr="00DD53FA">
        <w:rPr>
          <w:rFonts w:ascii="Arial" w:hAnsi="Arial" w:cs="Arial"/>
          <w:i w:val="0"/>
          <w:sz w:val="22"/>
          <w:szCs w:val="22"/>
        </w:rPr>
        <w:t>, USA</w:t>
      </w:r>
      <w:r>
        <w:rPr>
          <w:rFonts w:ascii="Arial" w:hAnsi="Arial" w:cs="Arial"/>
          <w:i w:val="0"/>
          <w:sz w:val="22"/>
          <w:szCs w:val="22"/>
        </w:rPr>
        <w:t xml:space="preserve"> (Prof G H Lyman D)</w:t>
      </w:r>
    </w:p>
    <w:p w14:paraId="5D0CC816" w14:textId="77777777" w:rsidR="0064223B" w:rsidRPr="00DD53FA" w:rsidRDefault="0064223B" w:rsidP="00F6404B">
      <w:pPr>
        <w:pStyle w:val="ListParagraph"/>
        <w:numPr>
          <w:ilvl w:val="0"/>
          <w:numId w:val="4"/>
        </w:numPr>
        <w:spacing w:line="240" w:lineRule="auto"/>
        <w:ind w:left="714" w:hanging="357"/>
        <w:jc w:val="left"/>
        <w:rPr>
          <w:rFonts w:ascii="Arial" w:hAnsi="Arial" w:cs="Arial"/>
        </w:rPr>
      </w:pPr>
      <w:r w:rsidRPr="00DD53FA">
        <w:rPr>
          <w:rFonts w:ascii="Arial" w:hAnsi="Arial" w:cs="Arial"/>
        </w:rPr>
        <w:lastRenderedPageBreak/>
        <w:t>Department of Medicine and Ageing Sciences, University G. D’Annunzio, Chieti-Pescara, Italy</w:t>
      </w:r>
      <w:r>
        <w:rPr>
          <w:rFonts w:ascii="Arial" w:hAnsi="Arial" w:cs="Arial"/>
        </w:rPr>
        <w:t xml:space="preserve"> (M DiNisio MD)</w:t>
      </w:r>
    </w:p>
    <w:p w14:paraId="4E64E7E8" w14:textId="77777777" w:rsidR="0064223B" w:rsidRPr="00DD53FA" w:rsidRDefault="0064223B" w:rsidP="00F6404B">
      <w:pPr>
        <w:pStyle w:val="ListParagraph"/>
        <w:numPr>
          <w:ilvl w:val="0"/>
          <w:numId w:val="4"/>
        </w:numPr>
        <w:spacing w:line="240" w:lineRule="auto"/>
        <w:ind w:left="714" w:hanging="357"/>
        <w:jc w:val="left"/>
        <w:rPr>
          <w:rFonts w:ascii="Arial" w:hAnsi="Arial" w:cs="Arial"/>
          <w:b/>
        </w:rPr>
      </w:pPr>
      <w:r w:rsidRPr="00DD53FA">
        <w:rPr>
          <w:rFonts w:ascii="Arial" w:hAnsi="Arial" w:cs="Arial"/>
        </w:rPr>
        <w:t xml:space="preserve">Department of Vascular Medicine, </w:t>
      </w:r>
      <w:r>
        <w:rPr>
          <w:rFonts w:ascii="Arial" w:hAnsi="Arial" w:cs="Arial"/>
        </w:rPr>
        <w:t>Amsterdam University Medical Center, location AMC</w:t>
      </w:r>
      <w:r w:rsidRPr="00DD53FA">
        <w:rPr>
          <w:rFonts w:ascii="Arial" w:hAnsi="Arial" w:cs="Arial"/>
        </w:rPr>
        <w:t>, Amsterdam, The Netherlands</w:t>
      </w:r>
      <w:r>
        <w:rPr>
          <w:rFonts w:ascii="Arial" w:hAnsi="Arial" w:cs="Arial"/>
        </w:rPr>
        <w:t xml:space="preserve"> (M DiNisio MD, N Van Es MD, Prof H R Büller MD)</w:t>
      </w:r>
    </w:p>
    <w:p w14:paraId="1021890C" w14:textId="77777777" w:rsidR="0064223B" w:rsidRPr="00DD53FA" w:rsidRDefault="0064223B" w:rsidP="00F6404B">
      <w:pPr>
        <w:pStyle w:val="ListParagraph"/>
        <w:numPr>
          <w:ilvl w:val="0"/>
          <w:numId w:val="4"/>
        </w:numPr>
        <w:spacing w:line="240" w:lineRule="auto"/>
        <w:ind w:left="714" w:hanging="357"/>
        <w:jc w:val="left"/>
        <w:rPr>
          <w:rFonts w:ascii="Arial" w:hAnsi="Arial" w:cs="Arial"/>
        </w:rPr>
      </w:pPr>
      <w:r w:rsidRPr="00DD53FA">
        <w:rPr>
          <w:rStyle w:val="addr-line"/>
          <w:rFonts w:ascii="Arial" w:hAnsi="Arial" w:cs="Arial"/>
        </w:rPr>
        <w:t>Division of Hematology, Department of Medicine, Hamilton, Ontario</w:t>
      </w:r>
      <w:r w:rsidRPr="00DD53FA">
        <w:rPr>
          <w:rFonts w:ascii="Arial" w:hAnsi="Arial" w:cs="Arial"/>
        </w:rPr>
        <w:t>, Canada</w:t>
      </w:r>
      <w:r>
        <w:rPr>
          <w:rFonts w:ascii="Arial" w:hAnsi="Arial" w:cs="Arial"/>
        </w:rPr>
        <w:t xml:space="preserve"> (Prof A Iorio MD)</w:t>
      </w:r>
    </w:p>
    <w:p w14:paraId="71935C0F" w14:textId="77777777" w:rsidR="0064223B" w:rsidRPr="00DD53FA" w:rsidRDefault="0064223B" w:rsidP="00F6404B">
      <w:pPr>
        <w:pStyle w:val="HTMLAddress"/>
        <w:numPr>
          <w:ilvl w:val="0"/>
          <w:numId w:val="4"/>
        </w:numPr>
        <w:ind w:left="714" w:hanging="357"/>
        <w:rPr>
          <w:rFonts w:ascii="Arial" w:hAnsi="Arial" w:cs="Arial"/>
          <w:i w:val="0"/>
          <w:sz w:val="22"/>
          <w:szCs w:val="22"/>
        </w:rPr>
      </w:pPr>
      <w:r w:rsidRPr="00DD53FA">
        <w:rPr>
          <w:rStyle w:val="addr-line"/>
          <w:rFonts w:ascii="Arial" w:eastAsia="SimSun" w:hAnsi="Arial" w:cs="Arial"/>
          <w:i w:val="0"/>
          <w:sz w:val="22"/>
          <w:szCs w:val="22"/>
        </w:rPr>
        <w:t>Biostatistics Unit</w:t>
      </w:r>
      <w:r w:rsidRPr="00DD53FA">
        <w:rPr>
          <w:rFonts w:ascii="Arial" w:hAnsi="Arial" w:cs="Arial"/>
          <w:i w:val="0"/>
          <w:sz w:val="22"/>
          <w:szCs w:val="22"/>
        </w:rPr>
        <w:t xml:space="preserve">, </w:t>
      </w:r>
      <w:r w:rsidRPr="00DD53FA">
        <w:rPr>
          <w:rStyle w:val="institution"/>
          <w:rFonts w:ascii="Arial" w:eastAsiaTheme="majorEastAsia" w:hAnsi="Arial" w:cs="Arial"/>
          <w:i w:val="0"/>
        </w:rPr>
        <w:t>Father Sean O'Sullivan Research Centre, St Joseph's Healthcare</w:t>
      </w:r>
      <w:r w:rsidRPr="00DD53FA">
        <w:rPr>
          <w:rFonts w:ascii="Arial" w:hAnsi="Arial" w:cs="Arial"/>
          <w:i w:val="0"/>
          <w:sz w:val="22"/>
          <w:szCs w:val="22"/>
        </w:rPr>
        <w:t xml:space="preserve">, </w:t>
      </w:r>
      <w:r w:rsidRPr="00DD53FA">
        <w:rPr>
          <w:rStyle w:val="addr-line"/>
          <w:rFonts w:ascii="Arial" w:eastAsia="SimSun" w:hAnsi="Arial" w:cs="Arial"/>
          <w:i w:val="0"/>
          <w:sz w:val="22"/>
          <w:szCs w:val="22"/>
        </w:rPr>
        <w:t>Hamilton, Ontario</w:t>
      </w:r>
      <w:r w:rsidRPr="00DD53FA">
        <w:rPr>
          <w:rFonts w:ascii="Arial" w:hAnsi="Arial" w:cs="Arial"/>
          <w:i w:val="0"/>
          <w:sz w:val="22"/>
          <w:szCs w:val="22"/>
        </w:rPr>
        <w:t>, Canada</w:t>
      </w:r>
      <w:r>
        <w:rPr>
          <w:rFonts w:ascii="Arial" w:hAnsi="Arial" w:cs="Arial"/>
          <w:i w:val="0"/>
          <w:sz w:val="22"/>
          <w:szCs w:val="22"/>
        </w:rPr>
        <w:t xml:space="preserve"> (L Mbuagbaw MD)</w:t>
      </w:r>
    </w:p>
    <w:p w14:paraId="3D3FAF53" w14:textId="77777777" w:rsidR="0064223B" w:rsidRPr="00DD53FA" w:rsidRDefault="0064223B" w:rsidP="00F6404B">
      <w:pPr>
        <w:pStyle w:val="HTMLAddress"/>
        <w:numPr>
          <w:ilvl w:val="0"/>
          <w:numId w:val="4"/>
        </w:numPr>
        <w:ind w:left="714" w:hanging="357"/>
        <w:rPr>
          <w:rFonts w:ascii="Arial" w:hAnsi="Arial" w:cs="Arial"/>
          <w:i w:val="0"/>
          <w:sz w:val="22"/>
          <w:szCs w:val="22"/>
        </w:rPr>
      </w:pPr>
      <w:r w:rsidRPr="00DD53FA">
        <w:rPr>
          <w:rStyle w:val="addr-line"/>
          <w:rFonts w:ascii="Arial" w:eastAsia="SimSun" w:hAnsi="Arial" w:cs="Arial"/>
          <w:i w:val="0"/>
          <w:sz w:val="22"/>
          <w:szCs w:val="22"/>
        </w:rPr>
        <w:t>Department of Internal Medicine</w:t>
      </w:r>
      <w:r w:rsidRPr="00DD53FA">
        <w:rPr>
          <w:rFonts w:ascii="Arial" w:hAnsi="Arial" w:cs="Arial"/>
          <w:i w:val="0"/>
          <w:sz w:val="22"/>
          <w:szCs w:val="22"/>
        </w:rPr>
        <w:t xml:space="preserve">, </w:t>
      </w:r>
      <w:r w:rsidRPr="00DD53FA">
        <w:rPr>
          <w:rStyle w:val="institution"/>
          <w:rFonts w:ascii="Arial" w:eastAsiaTheme="majorEastAsia" w:hAnsi="Arial" w:cs="Arial"/>
          <w:i w:val="0"/>
        </w:rPr>
        <w:t>School of Medicine, Pontificia Universidad Católica de Chile</w:t>
      </w:r>
      <w:r w:rsidRPr="00DD53FA">
        <w:rPr>
          <w:rFonts w:ascii="Arial" w:hAnsi="Arial" w:cs="Arial"/>
          <w:i w:val="0"/>
          <w:sz w:val="22"/>
          <w:szCs w:val="22"/>
        </w:rPr>
        <w:t xml:space="preserve">, </w:t>
      </w:r>
      <w:r w:rsidRPr="00DD53FA">
        <w:rPr>
          <w:rStyle w:val="addr-line"/>
          <w:rFonts w:ascii="Arial" w:eastAsia="SimSun" w:hAnsi="Arial" w:cs="Arial"/>
          <w:i w:val="0"/>
          <w:sz w:val="22"/>
          <w:szCs w:val="22"/>
        </w:rPr>
        <w:t>Santiago</w:t>
      </w:r>
      <w:r w:rsidRPr="00DD53FA">
        <w:rPr>
          <w:rFonts w:ascii="Arial" w:hAnsi="Arial" w:cs="Arial"/>
          <w:i w:val="0"/>
          <w:sz w:val="22"/>
          <w:szCs w:val="22"/>
        </w:rPr>
        <w:t>, Chile</w:t>
      </w:r>
      <w:r>
        <w:rPr>
          <w:rFonts w:ascii="Arial" w:hAnsi="Arial" w:cs="Arial"/>
          <w:i w:val="0"/>
          <w:sz w:val="22"/>
          <w:szCs w:val="22"/>
        </w:rPr>
        <w:t xml:space="preserve"> (I Neumann MD)</w:t>
      </w:r>
    </w:p>
    <w:p w14:paraId="5E9FE2A3" w14:textId="77777777" w:rsidR="0064223B" w:rsidRPr="00DD53FA" w:rsidRDefault="0064223B" w:rsidP="00F6404B">
      <w:pPr>
        <w:pStyle w:val="HTMLAddress"/>
        <w:numPr>
          <w:ilvl w:val="0"/>
          <w:numId w:val="4"/>
        </w:numPr>
        <w:ind w:left="714" w:hanging="357"/>
        <w:rPr>
          <w:rFonts w:ascii="Arial" w:hAnsi="Arial" w:cs="Arial"/>
          <w:i w:val="0"/>
          <w:sz w:val="22"/>
          <w:szCs w:val="22"/>
        </w:rPr>
      </w:pPr>
      <w:r>
        <w:rPr>
          <w:rStyle w:val="addr-line"/>
          <w:rFonts w:ascii="Arial" w:eastAsia="SimSun" w:hAnsi="Arial" w:cs="Arial"/>
          <w:i w:val="0"/>
          <w:sz w:val="22"/>
          <w:szCs w:val="22"/>
        </w:rPr>
        <w:t xml:space="preserve">Division of Hematology, </w:t>
      </w:r>
      <w:r w:rsidRPr="00DD53FA">
        <w:rPr>
          <w:rStyle w:val="addr-line"/>
          <w:rFonts w:ascii="Arial" w:eastAsia="SimSun" w:hAnsi="Arial" w:cs="Arial"/>
          <w:i w:val="0"/>
          <w:sz w:val="22"/>
          <w:szCs w:val="22"/>
        </w:rPr>
        <w:t xml:space="preserve">Department of </w:t>
      </w:r>
      <w:r>
        <w:rPr>
          <w:rStyle w:val="addr-line"/>
          <w:rFonts w:ascii="Arial" w:eastAsia="SimSun" w:hAnsi="Arial" w:cs="Arial"/>
          <w:i w:val="0"/>
          <w:sz w:val="22"/>
          <w:szCs w:val="22"/>
        </w:rPr>
        <w:t>Medicine</w:t>
      </w:r>
      <w:r w:rsidRPr="00DD53FA">
        <w:rPr>
          <w:rFonts w:ascii="Arial" w:hAnsi="Arial" w:cs="Arial"/>
          <w:i w:val="0"/>
          <w:sz w:val="22"/>
          <w:szCs w:val="22"/>
        </w:rPr>
        <w:t xml:space="preserve">, </w:t>
      </w:r>
      <w:r w:rsidRPr="00DD53FA">
        <w:rPr>
          <w:rStyle w:val="institution"/>
          <w:rFonts w:ascii="Arial" w:eastAsiaTheme="majorEastAsia" w:hAnsi="Arial" w:cs="Arial"/>
          <w:i w:val="0"/>
        </w:rPr>
        <w:t>The Johns Hopkins University School of Medicine</w:t>
      </w:r>
      <w:r w:rsidRPr="00DD53FA">
        <w:rPr>
          <w:rFonts w:ascii="Arial" w:hAnsi="Arial" w:cs="Arial"/>
          <w:i w:val="0"/>
          <w:sz w:val="22"/>
          <w:szCs w:val="22"/>
        </w:rPr>
        <w:t xml:space="preserve">, </w:t>
      </w:r>
      <w:r w:rsidRPr="00DD53FA">
        <w:rPr>
          <w:rStyle w:val="addr-line"/>
          <w:rFonts w:ascii="Arial" w:eastAsia="SimSun" w:hAnsi="Arial" w:cs="Arial"/>
          <w:i w:val="0"/>
          <w:sz w:val="22"/>
          <w:szCs w:val="22"/>
        </w:rPr>
        <w:t>Baltimore, Maryland</w:t>
      </w:r>
      <w:r w:rsidRPr="00DD53FA">
        <w:rPr>
          <w:rFonts w:ascii="Arial" w:hAnsi="Arial" w:cs="Arial"/>
          <w:i w:val="0"/>
          <w:sz w:val="22"/>
          <w:szCs w:val="22"/>
        </w:rPr>
        <w:t>, USA</w:t>
      </w:r>
      <w:r>
        <w:rPr>
          <w:rFonts w:ascii="Arial" w:hAnsi="Arial" w:cs="Arial"/>
          <w:i w:val="0"/>
          <w:sz w:val="22"/>
          <w:szCs w:val="22"/>
        </w:rPr>
        <w:t xml:space="preserve"> (Prof M B Streiff MD)</w:t>
      </w:r>
    </w:p>
    <w:p w14:paraId="36C667CC" w14:textId="77777777" w:rsidR="0064223B" w:rsidRPr="00DD53FA" w:rsidRDefault="0064223B" w:rsidP="00F6404B">
      <w:pPr>
        <w:pStyle w:val="HTMLAddress"/>
        <w:numPr>
          <w:ilvl w:val="0"/>
          <w:numId w:val="4"/>
        </w:numPr>
        <w:ind w:left="714" w:hanging="357"/>
        <w:rPr>
          <w:rFonts w:ascii="Arial" w:hAnsi="Arial" w:cs="Arial"/>
          <w:i w:val="0"/>
          <w:sz w:val="22"/>
          <w:szCs w:val="22"/>
        </w:rPr>
      </w:pPr>
      <w:r w:rsidRPr="00DD53FA">
        <w:rPr>
          <w:rStyle w:val="addr-line"/>
          <w:rFonts w:ascii="Arial" w:eastAsia="SimSun" w:hAnsi="Arial" w:cs="Arial"/>
          <w:i w:val="0"/>
          <w:sz w:val="22"/>
          <w:szCs w:val="22"/>
        </w:rPr>
        <w:t>Department of Paediatrics</w:t>
      </w:r>
      <w:r w:rsidRPr="00DD53FA">
        <w:rPr>
          <w:rFonts w:ascii="Arial" w:hAnsi="Arial" w:cs="Arial"/>
          <w:i w:val="0"/>
          <w:sz w:val="22"/>
          <w:szCs w:val="22"/>
        </w:rPr>
        <w:t xml:space="preserve">, </w:t>
      </w:r>
      <w:r w:rsidRPr="00DD53FA">
        <w:rPr>
          <w:rStyle w:val="institution"/>
          <w:rFonts w:ascii="Arial" w:eastAsiaTheme="majorEastAsia" w:hAnsi="Arial" w:cs="Arial"/>
          <w:i w:val="0"/>
        </w:rPr>
        <w:t>Universidad de Antioquia</w:t>
      </w:r>
      <w:r w:rsidRPr="00DD53FA">
        <w:rPr>
          <w:rFonts w:ascii="Arial" w:hAnsi="Arial" w:cs="Arial"/>
          <w:i w:val="0"/>
          <w:sz w:val="22"/>
          <w:szCs w:val="22"/>
        </w:rPr>
        <w:t xml:space="preserve">, </w:t>
      </w:r>
      <w:r w:rsidRPr="00DD53FA">
        <w:rPr>
          <w:rStyle w:val="addr-line"/>
          <w:rFonts w:ascii="Arial" w:eastAsia="SimSun" w:hAnsi="Arial" w:cs="Arial"/>
          <w:i w:val="0"/>
          <w:sz w:val="22"/>
          <w:szCs w:val="22"/>
        </w:rPr>
        <w:t>Medellin</w:t>
      </w:r>
      <w:r w:rsidRPr="00DD53FA">
        <w:rPr>
          <w:rFonts w:ascii="Arial" w:hAnsi="Arial" w:cs="Arial"/>
          <w:i w:val="0"/>
          <w:sz w:val="22"/>
          <w:szCs w:val="22"/>
        </w:rPr>
        <w:t>, Colombia</w:t>
      </w:r>
      <w:r>
        <w:rPr>
          <w:rFonts w:ascii="Arial" w:hAnsi="Arial" w:cs="Arial"/>
          <w:i w:val="0"/>
          <w:sz w:val="22"/>
          <w:szCs w:val="22"/>
        </w:rPr>
        <w:t xml:space="preserve"> (Prof I D Florez MD)</w:t>
      </w:r>
    </w:p>
    <w:p w14:paraId="7488DC1E" w14:textId="77777777" w:rsidR="0064223B" w:rsidRPr="00DD53FA" w:rsidRDefault="0064223B" w:rsidP="00F6404B">
      <w:pPr>
        <w:pStyle w:val="HTMLAddress"/>
        <w:numPr>
          <w:ilvl w:val="0"/>
          <w:numId w:val="4"/>
        </w:numPr>
        <w:ind w:left="714" w:hanging="357"/>
        <w:rPr>
          <w:rFonts w:ascii="Arial" w:hAnsi="Arial" w:cs="Arial"/>
          <w:i w:val="0"/>
          <w:sz w:val="22"/>
          <w:szCs w:val="22"/>
        </w:rPr>
      </w:pPr>
      <w:r w:rsidRPr="00DD53FA">
        <w:rPr>
          <w:rStyle w:val="addr-line"/>
          <w:rFonts w:ascii="Arial" w:eastAsia="SimSun" w:hAnsi="Arial" w:cs="Arial"/>
          <w:i w:val="0"/>
          <w:sz w:val="22"/>
          <w:szCs w:val="22"/>
        </w:rPr>
        <w:t>Department of Statistics</w:t>
      </w:r>
      <w:r w:rsidRPr="00DD53FA">
        <w:rPr>
          <w:rFonts w:ascii="Arial" w:hAnsi="Arial" w:cs="Arial"/>
          <w:i w:val="0"/>
          <w:sz w:val="22"/>
          <w:szCs w:val="22"/>
        </w:rPr>
        <w:t xml:space="preserve">, </w:t>
      </w:r>
      <w:r w:rsidRPr="00DD53FA">
        <w:rPr>
          <w:rStyle w:val="institution"/>
          <w:rFonts w:ascii="Arial" w:eastAsiaTheme="majorEastAsia" w:hAnsi="Arial" w:cs="Arial"/>
          <w:i w:val="0"/>
        </w:rPr>
        <w:t>Mugla S tk Kocman Unv</w:t>
      </w:r>
      <w:r w:rsidRPr="00DD53FA">
        <w:rPr>
          <w:rFonts w:ascii="Arial" w:hAnsi="Arial" w:cs="Arial"/>
          <w:i w:val="0"/>
          <w:sz w:val="22"/>
          <w:szCs w:val="22"/>
        </w:rPr>
        <w:t xml:space="preserve">, </w:t>
      </w:r>
      <w:r w:rsidRPr="00DD53FA">
        <w:rPr>
          <w:rStyle w:val="addr-line"/>
          <w:rFonts w:ascii="Arial" w:eastAsia="SimSun" w:hAnsi="Arial" w:cs="Arial"/>
          <w:i w:val="0"/>
          <w:sz w:val="22"/>
          <w:szCs w:val="22"/>
        </w:rPr>
        <w:t>Mugla</w:t>
      </w:r>
      <w:r w:rsidRPr="00DD53FA">
        <w:rPr>
          <w:rFonts w:ascii="Arial" w:hAnsi="Arial" w:cs="Arial"/>
          <w:i w:val="0"/>
          <w:sz w:val="22"/>
          <w:szCs w:val="22"/>
        </w:rPr>
        <w:t>, Turkey</w:t>
      </w:r>
      <w:r>
        <w:rPr>
          <w:rFonts w:ascii="Arial" w:hAnsi="Arial" w:cs="Arial"/>
          <w:i w:val="0"/>
          <w:sz w:val="22"/>
          <w:szCs w:val="22"/>
        </w:rPr>
        <w:t xml:space="preserve"> (O G Alma PhD)</w:t>
      </w:r>
    </w:p>
    <w:p w14:paraId="41715107" w14:textId="77777777" w:rsidR="0064223B" w:rsidRPr="000D1CAF" w:rsidRDefault="0064223B" w:rsidP="00BB2D25">
      <w:pPr>
        <w:pStyle w:val="HTMLAddress"/>
        <w:numPr>
          <w:ilvl w:val="0"/>
          <w:numId w:val="4"/>
        </w:numPr>
        <w:ind w:left="714" w:hanging="357"/>
        <w:rPr>
          <w:rFonts w:ascii="Arial" w:hAnsi="Arial" w:cs="Arial"/>
          <w:i w:val="0"/>
          <w:sz w:val="22"/>
          <w:szCs w:val="22"/>
        </w:rPr>
      </w:pPr>
      <w:r w:rsidRPr="000D1CAF">
        <w:rPr>
          <w:rFonts w:ascii="Arial" w:hAnsi="Arial" w:cs="Arial"/>
          <w:i w:val="0"/>
          <w:iCs w:val="0"/>
          <w:color w:val="000000"/>
          <w:sz w:val="22"/>
          <w:szCs w:val="22"/>
        </w:rPr>
        <w:t>Transfusion Medicine Section, Department of Pathology &amp; Laboratory Medicine, Schulich School of Medicine and Dentistry, Western University, London, Ontario, Canada</w:t>
      </w:r>
      <w:r w:rsidRPr="000D1CAF">
        <w:rPr>
          <w:rStyle w:val="addr-line"/>
          <w:rFonts w:ascii="Arial" w:eastAsia="SimSun" w:hAnsi="Arial" w:cs="Arial"/>
          <w:i w:val="0"/>
          <w:sz w:val="22"/>
          <w:szCs w:val="22"/>
        </w:rPr>
        <w:t xml:space="preserve"> </w:t>
      </w:r>
      <w:r>
        <w:rPr>
          <w:rStyle w:val="addr-line"/>
          <w:rFonts w:ascii="Arial" w:eastAsia="SimSun" w:hAnsi="Arial" w:cs="Arial"/>
          <w:i w:val="0"/>
          <w:sz w:val="22"/>
          <w:szCs w:val="22"/>
        </w:rPr>
        <w:t>(Z Solh MD)</w:t>
      </w:r>
    </w:p>
    <w:p w14:paraId="333E4333" w14:textId="77777777" w:rsidR="0064223B" w:rsidRDefault="0064223B" w:rsidP="00BB2D25">
      <w:pPr>
        <w:pStyle w:val="HTMLAddress"/>
        <w:numPr>
          <w:ilvl w:val="0"/>
          <w:numId w:val="4"/>
        </w:numPr>
        <w:ind w:left="714" w:hanging="357"/>
        <w:rPr>
          <w:rFonts w:ascii="Arial" w:hAnsi="Arial" w:cs="Arial"/>
          <w:i w:val="0"/>
          <w:sz w:val="22"/>
          <w:szCs w:val="22"/>
        </w:rPr>
      </w:pPr>
      <w:r>
        <w:rPr>
          <w:rFonts w:ascii="Arial" w:hAnsi="Arial" w:cs="Arial"/>
          <w:i w:val="0"/>
          <w:sz w:val="22"/>
          <w:szCs w:val="22"/>
        </w:rPr>
        <w:t>Department of Clinical Epidemiology, Biostatistics, and Bioinformatics, Amsterdam Public Health Research Institute, Amsterdam University Medical Centers, Amsterdam, The Netherlands (Prof P M Bossuyt PhD)</w:t>
      </w:r>
    </w:p>
    <w:p w14:paraId="76A4C434" w14:textId="77777777" w:rsidR="0064223B" w:rsidRDefault="0064223B" w:rsidP="00E46488">
      <w:pPr>
        <w:pStyle w:val="HTMLAddress"/>
        <w:numPr>
          <w:ilvl w:val="0"/>
          <w:numId w:val="4"/>
        </w:numPr>
        <w:ind w:left="714" w:hanging="357"/>
        <w:rPr>
          <w:rFonts w:ascii="Arial" w:hAnsi="Arial" w:cs="Arial"/>
          <w:i w:val="0"/>
          <w:sz w:val="22"/>
          <w:szCs w:val="22"/>
        </w:rPr>
      </w:pPr>
      <w:r w:rsidRPr="00DD53FA">
        <w:rPr>
          <w:rStyle w:val="addr-line"/>
          <w:rFonts w:ascii="Arial" w:eastAsia="SimSun" w:hAnsi="Arial" w:cs="Arial"/>
          <w:i w:val="0"/>
          <w:sz w:val="22"/>
          <w:szCs w:val="22"/>
        </w:rPr>
        <w:t>Department of Internal Medicine</w:t>
      </w:r>
      <w:r w:rsidRPr="00DD53FA">
        <w:rPr>
          <w:rFonts w:ascii="Arial" w:hAnsi="Arial" w:cs="Arial"/>
          <w:i w:val="0"/>
          <w:sz w:val="22"/>
          <w:szCs w:val="22"/>
        </w:rPr>
        <w:t xml:space="preserve">, </w:t>
      </w:r>
      <w:r w:rsidRPr="00DD53FA">
        <w:rPr>
          <w:rStyle w:val="institution"/>
          <w:rFonts w:ascii="Arial" w:eastAsiaTheme="majorEastAsia" w:hAnsi="Arial" w:cs="Arial"/>
          <w:i w:val="0"/>
        </w:rPr>
        <w:t>American University of Beirut</w:t>
      </w:r>
      <w:r w:rsidRPr="00DD53FA">
        <w:rPr>
          <w:rFonts w:ascii="Arial" w:hAnsi="Arial" w:cs="Arial"/>
          <w:i w:val="0"/>
          <w:sz w:val="22"/>
          <w:szCs w:val="22"/>
        </w:rPr>
        <w:t>, Lebanon</w:t>
      </w:r>
      <w:r>
        <w:rPr>
          <w:rFonts w:ascii="Arial" w:hAnsi="Arial" w:cs="Arial"/>
          <w:i w:val="0"/>
          <w:sz w:val="22"/>
          <w:szCs w:val="22"/>
        </w:rPr>
        <w:t xml:space="preserve"> (L A Kahale PhD, Prof E A Akl MD)</w:t>
      </w:r>
    </w:p>
    <w:p w14:paraId="2A080670" w14:textId="77777777" w:rsidR="0064223B" w:rsidRPr="00DD53FA" w:rsidRDefault="0064223B" w:rsidP="00F6404B">
      <w:pPr>
        <w:pStyle w:val="HTMLAddress"/>
        <w:numPr>
          <w:ilvl w:val="0"/>
          <w:numId w:val="4"/>
        </w:numPr>
        <w:ind w:left="714" w:hanging="357"/>
        <w:rPr>
          <w:rFonts w:ascii="Arial" w:hAnsi="Arial" w:cs="Arial"/>
          <w:i w:val="0"/>
          <w:sz w:val="22"/>
          <w:szCs w:val="22"/>
        </w:rPr>
      </w:pPr>
      <w:r w:rsidRPr="00DD53FA">
        <w:rPr>
          <w:rStyle w:val="addr-line"/>
          <w:rFonts w:ascii="Arial" w:eastAsia="SimSun" w:hAnsi="Arial" w:cs="Arial"/>
          <w:i w:val="0"/>
          <w:sz w:val="22"/>
          <w:szCs w:val="22"/>
        </w:rPr>
        <w:t xml:space="preserve">Department of </w:t>
      </w:r>
      <w:r>
        <w:rPr>
          <w:rStyle w:val="addr-line"/>
          <w:rFonts w:ascii="Arial" w:eastAsia="SimSun" w:hAnsi="Arial" w:cs="Arial"/>
          <w:i w:val="0"/>
          <w:sz w:val="22"/>
          <w:szCs w:val="22"/>
        </w:rPr>
        <w:t>Medicine and Surgery</w:t>
      </w:r>
      <w:r w:rsidRPr="00DD53FA">
        <w:rPr>
          <w:rFonts w:ascii="Arial" w:hAnsi="Arial" w:cs="Arial"/>
          <w:i w:val="0"/>
          <w:sz w:val="22"/>
          <w:szCs w:val="22"/>
        </w:rPr>
        <w:t xml:space="preserve">, </w:t>
      </w:r>
      <w:r w:rsidRPr="00DD53FA">
        <w:rPr>
          <w:rStyle w:val="institution"/>
          <w:rFonts w:ascii="Arial" w:eastAsiaTheme="majorEastAsia" w:hAnsi="Arial" w:cs="Arial"/>
          <w:i w:val="0"/>
        </w:rPr>
        <w:t>University of Insubria</w:t>
      </w:r>
      <w:r w:rsidRPr="00DD53FA">
        <w:rPr>
          <w:rFonts w:ascii="Arial" w:hAnsi="Arial" w:cs="Arial"/>
          <w:i w:val="0"/>
          <w:sz w:val="22"/>
          <w:szCs w:val="22"/>
        </w:rPr>
        <w:t xml:space="preserve">, </w:t>
      </w:r>
      <w:r w:rsidRPr="00DD53FA">
        <w:rPr>
          <w:rStyle w:val="addr-line"/>
          <w:rFonts w:ascii="Arial" w:eastAsia="SimSun" w:hAnsi="Arial" w:cs="Arial"/>
          <w:i w:val="0"/>
          <w:sz w:val="22"/>
          <w:szCs w:val="22"/>
        </w:rPr>
        <w:t>Varese</w:t>
      </w:r>
      <w:r w:rsidRPr="00DD53FA">
        <w:rPr>
          <w:rFonts w:ascii="Arial" w:hAnsi="Arial" w:cs="Arial"/>
          <w:i w:val="0"/>
          <w:sz w:val="22"/>
          <w:szCs w:val="22"/>
        </w:rPr>
        <w:t>, Italy</w:t>
      </w:r>
      <w:r>
        <w:rPr>
          <w:rFonts w:ascii="Arial" w:hAnsi="Arial" w:cs="Arial"/>
          <w:i w:val="0"/>
          <w:sz w:val="22"/>
          <w:szCs w:val="22"/>
        </w:rPr>
        <w:t xml:space="preserve"> (Prof W Ageno MD)</w:t>
      </w:r>
    </w:p>
    <w:p w14:paraId="10EBC0CB" w14:textId="77777777" w:rsidR="0064223B" w:rsidRPr="00DD53FA" w:rsidRDefault="0064223B" w:rsidP="00F6404B">
      <w:pPr>
        <w:pStyle w:val="HTMLAddress"/>
        <w:numPr>
          <w:ilvl w:val="0"/>
          <w:numId w:val="4"/>
        </w:numPr>
        <w:ind w:left="714" w:hanging="357"/>
        <w:rPr>
          <w:rFonts w:ascii="Arial" w:hAnsi="Arial" w:cs="Arial"/>
          <w:i w:val="0"/>
          <w:sz w:val="22"/>
          <w:szCs w:val="22"/>
        </w:rPr>
      </w:pPr>
      <w:r w:rsidRPr="00DD53FA">
        <w:rPr>
          <w:rStyle w:val="addr-line"/>
          <w:rFonts w:ascii="Arial" w:eastAsia="SimSun" w:hAnsi="Arial" w:cs="Arial"/>
          <w:i w:val="0"/>
          <w:sz w:val="22"/>
          <w:szCs w:val="22"/>
        </w:rPr>
        <w:t>Academic Department of Medical Oncology</w:t>
      </w:r>
      <w:r w:rsidRPr="00DD53FA">
        <w:rPr>
          <w:rFonts w:ascii="Arial" w:hAnsi="Arial" w:cs="Arial"/>
          <w:i w:val="0"/>
          <w:sz w:val="22"/>
          <w:szCs w:val="22"/>
        </w:rPr>
        <w:t xml:space="preserve">, </w:t>
      </w:r>
      <w:r w:rsidRPr="00DD53FA">
        <w:rPr>
          <w:rStyle w:val="institution"/>
          <w:rFonts w:ascii="Arial" w:eastAsiaTheme="majorEastAsia" w:hAnsi="Arial" w:cs="Arial"/>
          <w:i w:val="0"/>
        </w:rPr>
        <w:t>Castle Hill Hospital, Cottingham, Hull</w:t>
      </w:r>
      <w:r>
        <w:rPr>
          <w:rStyle w:val="institution"/>
          <w:rFonts w:ascii="Arial" w:eastAsiaTheme="majorEastAsia" w:hAnsi="Arial" w:cs="Arial"/>
          <w:i w:val="0"/>
        </w:rPr>
        <w:t xml:space="preserve"> University Teaching Hospitals NHS Trust,</w:t>
      </w:r>
      <w:r w:rsidRPr="00DD53FA">
        <w:rPr>
          <w:rFonts w:ascii="Arial" w:hAnsi="Arial" w:cs="Arial"/>
          <w:i w:val="0"/>
          <w:sz w:val="22"/>
          <w:szCs w:val="22"/>
        </w:rPr>
        <w:t>UK</w:t>
      </w:r>
      <w:r>
        <w:rPr>
          <w:rFonts w:ascii="Arial" w:hAnsi="Arial" w:cs="Arial"/>
          <w:i w:val="0"/>
          <w:sz w:val="22"/>
          <w:szCs w:val="22"/>
        </w:rPr>
        <w:t xml:space="preserve"> (G Bozas MD)</w:t>
      </w:r>
    </w:p>
    <w:p w14:paraId="3F4FF7E0" w14:textId="77777777" w:rsidR="0064223B" w:rsidRPr="00DD53FA" w:rsidRDefault="0064223B" w:rsidP="00F6404B">
      <w:pPr>
        <w:pStyle w:val="HTMLAddress"/>
        <w:numPr>
          <w:ilvl w:val="0"/>
          <w:numId w:val="4"/>
        </w:numPr>
        <w:ind w:left="714" w:hanging="357"/>
        <w:rPr>
          <w:rFonts w:ascii="Arial" w:hAnsi="Arial" w:cs="Arial"/>
          <w:i w:val="0"/>
          <w:sz w:val="22"/>
          <w:szCs w:val="22"/>
        </w:rPr>
      </w:pPr>
      <w:r w:rsidRPr="00DD53FA">
        <w:rPr>
          <w:rStyle w:val="addr-line"/>
          <w:rFonts w:ascii="Arial" w:eastAsia="SimSun" w:hAnsi="Arial" w:cs="Arial"/>
          <w:i w:val="0"/>
          <w:sz w:val="22"/>
          <w:szCs w:val="22"/>
        </w:rPr>
        <w:t>Service de Pneumologie</w:t>
      </w:r>
      <w:r w:rsidRPr="00DD53FA">
        <w:rPr>
          <w:rFonts w:ascii="Arial" w:hAnsi="Arial" w:cs="Arial"/>
          <w:i w:val="0"/>
          <w:sz w:val="22"/>
          <w:szCs w:val="22"/>
        </w:rPr>
        <w:t xml:space="preserve">, </w:t>
      </w:r>
      <w:r w:rsidRPr="00DD53FA">
        <w:rPr>
          <w:rStyle w:val="institution"/>
          <w:rFonts w:ascii="Arial" w:eastAsiaTheme="majorEastAsia" w:hAnsi="Arial" w:cs="Arial"/>
          <w:i w:val="0"/>
        </w:rPr>
        <w:t>Hôpital Saint-Antoine, Assistance Publique—Hôpitaux de Paris, Université Pierre et Marie Curie</w:t>
      </w:r>
      <w:r w:rsidRPr="00DD53FA">
        <w:rPr>
          <w:rFonts w:ascii="Arial" w:hAnsi="Arial" w:cs="Arial"/>
          <w:i w:val="0"/>
          <w:sz w:val="22"/>
          <w:szCs w:val="22"/>
        </w:rPr>
        <w:t xml:space="preserve">, </w:t>
      </w:r>
      <w:r w:rsidRPr="00DD53FA">
        <w:rPr>
          <w:rStyle w:val="addr-line"/>
          <w:rFonts w:ascii="Arial" w:eastAsia="SimSun" w:hAnsi="Arial" w:cs="Arial"/>
          <w:i w:val="0"/>
          <w:sz w:val="22"/>
          <w:szCs w:val="22"/>
        </w:rPr>
        <w:t>Paris</w:t>
      </w:r>
      <w:r w:rsidRPr="00DD53FA">
        <w:rPr>
          <w:rFonts w:ascii="Arial" w:hAnsi="Arial" w:cs="Arial"/>
          <w:i w:val="0"/>
          <w:sz w:val="22"/>
          <w:szCs w:val="22"/>
        </w:rPr>
        <w:t>, France</w:t>
      </w:r>
      <w:r>
        <w:rPr>
          <w:rFonts w:ascii="Arial" w:hAnsi="Arial" w:cs="Arial"/>
          <w:i w:val="0"/>
          <w:sz w:val="22"/>
          <w:szCs w:val="22"/>
        </w:rPr>
        <w:t xml:space="preserve"> (Prof B Lebeau MD)</w:t>
      </w:r>
    </w:p>
    <w:p w14:paraId="79E514D4" w14:textId="77777777" w:rsidR="0064223B" w:rsidRPr="00DD53FA" w:rsidRDefault="0064223B" w:rsidP="00F6404B">
      <w:pPr>
        <w:pStyle w:val="ListParagraph"/>
        <w:numPr>
          <w:ilvl w:val="0"/>
          <w:numId w:val="4"/>
        </w:numPr>
        <w:spacing w:line="240" w:lineRule="auto"/>
        <w:ind w:left="714" w:hanging="357"/>
        <w:jc w:val="left"/>
        <w:rPr>
          <w:rFonts w:ascii="Arial" w:hAnsi="Arial" w:cs="Arial"/>
        </w:rPr>
      </w:pPr>
      <w:r>
        <w:rPr>
          <w:rFonts w:ascii="Arial" w:hAnsi="Arial" w:cs="Arial"/>
        </w:rPr>
        <w:t>Hematology Service, University Clinic of Navarra, Pamplona, Spain. CIBER-CV. (R Lecumberri MD)</w:t>
      </w:r>
    </w:p>
    <w:p w14:paraId="645CFBA7" w14:textId="77777777" w:rsidR="0064223B" w:rsidRDefault="0064223B" w:rsidP="00F6404B">
      <w:pPr>
        <w:pStyle w:val="HTMLAddress"/>
        <w:numPr>
          <w:ilvl w:val="0"/>
          <w:numId w:val="4"/>
        </w:numPr>
        <w:ind w:left="714" w:hanging="357"/>
        <w:rPr>
          <w:rStyle w:val="addr-line"/>
          <w:rFonts w:ascii="Arial" w:eastAsia="SimSun" w:hAnsi="Arial" w:cs="Arial"/>
          <w:i w:val="0"/>
          <w:sz w:val="22"/>
          <w:szCs w:val="22"/>
        </w:rPr>
      </w:pPr>
      <w:r>
        <w:rPr>
          <w:rStyle w:val="addr-line"/>
          <w:rFonts w:ascii="Arial" w:eastAsia="SimSun" w:hAnsi="Arial" w:cs="Arial"/>
          <w:i w:val="0"/>
          <w:sz w:val="22"/>
          <w:szCs w:val="22"/>
        </w:rPr>
        <w:t>Divisions of Cardiology and Medical Oncology, Mayo Clinic, Rochester, Minnesota, USA (Prof C Loprinzi MD)</w:t>
      </w:r>
    </w:p>
    <w:p w14:paraId="5E2F3292" w14:textId="77777777" w:rsidR="0064223B" w:rsidRDefault="0064223B" w:rsidP="00F6404B">
      <w:pPr>
        <w:pStyle w:val="HTMLAddress"/>
        <w:numPr>
          <w:ilvl w:val="0"/>
          <w:numId w:val="4"/>
        </w:numPr>
        <w:ind w:left="714" w:hanging="357"/>
        <w:rPr>
          <w:rFonts w:ascii="Arial" w:hAnsi="Arial" w:cs="Arial"/>
          <w:i w:val="0"/>
          <w:sz w:val="22"/>
          <w:szCs w:val="22"/>
        </w:rPr>
      </w:pPr>
      <w:r>
        <w:rPr>
          <w:rStyle w:val="addr-line"/>
          <w:rFonts w:ascii="Arial" w:eastAsia="SimSun" w:hAnsi="Arial" w:cs="Arial"/>
          <w:i w:val="0"/>
          <w:sz w:val="22"/>
          <w:szCs w:val="22"/>
        </w:rPr>
        <w:t xml:space="preserve">Divisions of Vascular Medicine </w:t>
      </w:r>
      <w:r w:rsidRPr="00DD53FA">
        <w:rPr>
          <w:rStyle w:val="addr-line"/>
          <w:rFonts w:ascii="Arial" w:eastAsia="SimSun" w:hAnsi="Arial" w:cs="Arial"/>
          <w:i w:val="0"/>
          <w:sz w:val="22"/>
          <w:szCs w:val="22"/>
        </w:rPr>
        <w:t>and Hematology</w:t>
      </w:r>
      <w:r w:rsidRPr="00DD53FA">
        <w:rPr>
          <w:rFonts w:ascii="Arial" w:hAnsi="Arial" w:cs="Arial"/>
          <w:i w:val="0"/>
          <w:sz w:val="22"/>
          <w:szCs w:val="22"/>
        </w:rPr>
        <w:t xml:space="preserve">, </w:t>
      </w:r>
      <w:r w:rsidRPr="00DD53FA">
        <w:rPr>
          <w:rStyle w:val="institution"/>
          <w:rFonts w:ascii="Arial" w:eastAsia="SimSun" w:hAnsi="Arial" w:cs="Arial"/>
          <w:i w:val="0"/>
        </w:rPr>
        <w:t>Mayo Clinic</w:t>
      </w:r>
      <w:r w:rsidRPr="00DD53FA">
        <w:rPr>
          <w:rFonts w:ascii="Arial" w:hAnsi="Arial" w:cs="Arial"/>
          <w:i w:val="0"/>
          <w:sz w:val="22"/>
          <w:szCs w:val="22"/>
        </w:rPr>
        <w:t xml:space="preserve">, </w:t>
      </w:r>
      <w:r w:rsidRPr="00DD53FA">
        <w:rPr>
          <w:rStyle w:val="addr-line"/>
          <w:rFonts w:ascii="Arial" w:eastAsia="SimSun" w:hAnsi="Arial" w:cs="Arial"/>
          <w:i w:val="0"/>
          <w:sz w:val="22"/>
          <w:szCs w:val="22"/>
        </w:rPr>
        <w:t>Rochester, Minnesota</w:t>
      </w:r>
      <w:r w:rsidRPr="00DD53FA">
        <w:rPr>
          <w:rFonts w:ascii="Arial" w:hAnsi="Arial" w:cs="Arial"/>
          <w:i w:val="0"/>
          <w:sz w:val="22"/>
          <w:szCs w:val="22"/>
        </w:rPr>
        <w:t>, USA</w:t>
      </w:r>
      <w:r>
        <w:rPr>
          <w:rFonts w:ascii="Arial" w:hAnsi="Arial" w:cs="Arial"/>
          <w:i w:val="0"/>
          <w:sz w:val="22"/>
          <w:szCs w:val="22"/>
        </w:rPr>
        <w:t xml:space="preserve"> (Prof R McBane MD)</w:t>
      </w:r>
    </w:p>
    <w:p w14:paraId="53B4035F" w14:textId="77777777" w:rsidR="0064223B" w:rsidRPr="00DD53FA" w:rsidRDefault="0064223B" w:rsidP="00F6404B">
      <w:pPr>
        <w:pStyle w:val="HTMLAddress"/>
        <w:numPr>
          <w:ilvl w:val="0"/>
          <w:numId w:val="4"/>
        </w:numPr>
        <w:ind w:left="714" w:hanging="357"/>
        <w:rPr>
          <w:rFonts w:ascii="Arial" w:hAnsi="Arial" w:cs="Arial"/>
          <w:i w:val="0"/>
          <w:sz w:val="22"/>
          <w:szCs w:val="22"/>
        </w:rPr>
      </w:pPr>
      <w:r>
        <w:rPr>
          <w:rStyle w:val="addr-line"/>
          <w:rFonts w:ascii="Arial" w:eastAsia="SimSun" w:hAnsi="Arial" w:cs="Arial"/>
          <w:i w:val="0"/>
          <w:sz w:val="22"/>
          <w:szCs w:val="22"/>
        </w:rPr>
        <w:t>Divisions of Medical Oncology and Hematology, Mayo Clinic, Rochester, Minnesota, USA.(K Sideras MD)</w:t>
      </w:r>
    </w:p>
    <w:p w14:paraId="3BF248C6" w14:textId="77777777" w:rsidR="0064223B" w:rsidRPr="00DD53FA" w:rsidRDefault="0064223B" w:rsidP="00F6404B">
      <w:pPr>
        <w:pStyle w:val="HTMLAddress"/>
        <w:numPr>
          <w:ilvl w:val="0"/>
          <w:numId w:val="4"/>
        </w:numPr>
        <w:ind w:left="714" w:hanging="357"/>
        <w:rPr>
          <w:rFonts w:ascii="Arial" w:hAnsi="Arial" w:cs="Arial"/>
          <w:i w:val="0"/>
          <w:sz w:val="22"/>
          <w:szCs w:val="22"/>
        </w:rPr>
      </w:pPr>
      <w:bookmarkStart w:id="1" w:name="aff-28"/>
      <w:bookmarkEnd w:id="1"/>
      <w:r w:rsidRPr="00DD53FA">
        <w:rPr>
          <w:rStyle w:val="addr-line"/>
          <w:rFonts w:ascii="Arial" w:eastAsia="SimSun" w:hAnsi="Arial" w:cs="Arial"/>
          <w:i w:val="0"/>
          <w:sz w:val="22"/>
          <w:szCs w:val="22"/>
        </w:rPr>
        <w:t>Division of Cancer-Hull York Medical School</w:t>
      </w:r>
      <w:r w:rsidRPr="00DD53FA">
        <w:rPr>
          <w:rFonts w:ascii="Arial" w:hAnsi="Arial" w:cs="Arial"/>
          <w:i w:val="0"/>
          <w:sz w:val="22"/>
          <w:szCs w:val="22"/>
        </w:rPr>
        <w:t xml:space="preserve">, </w:t>
      </w:r>
      <w:r w:rsidRPr="00DD53FA">
        <w:rPr>
          <w:rStyle w:val="institution"/>
          <w:rFonts w:ascii="Arial" w:eastAsiaTheme="majorEastAsia" w:hAnsi="Arial" w:cs="Arial"/>
          <w:i w:val="0"/>
        </w:rPr>
        <w:t>University of Hull</w:t>
      </w:r>
      <w:r w:rsidRPr="00DD53FA">
        <w:rPr>
          <w:rFonts w:ascii="Arial" w:hAnsi="Arial" w:cs="Arial"/>
          <w:i w:val="0"/>
          <w:sz w:val="22"/>
          <w:szCs w:val="22"/>
        </w:rPr>
        <w:t xml:space="preserve">, </w:t>
      </w:r>
      <w:r w:rsidRPr="00DD53FA">
        <w:rPr>
          <w:rStyle w:val="addr-line"/>
          <w:rFonts w:ascii="Arial" w:eastAsia="SimSun" w:hAnsi="Arial" w:cs="Arial"/>
          <w:i w:val="0"/>
          <w:sz w:val="22"/>
          <w:szCs w:val="22"/>
        </w:rPr>
        <w:t>Hull</w:t>
      </w:r>
      <w:r w:rsidRPr="00DD53FA">
        <w:rPr>
          <w:rFonts w:ascii="Arial" w:hAnsi="Arial" w:cs="Arial"/>
          <w:i w:val="0"/>
          <w:sz w:val="22"/>
          <w:szCs w:val="22"/>
        </w:rPr>
        <w:t>, UK</w:t>
      </w:r>
      <w:r>
        <w:rPr>
          <w:rFonts w:ascii="Arial" w:hAnsi="Arial" w:cs="Arial"/>
          <w:i w:val="0"/>
          <w:sz w:val="22"/>
          <w:szCs w:val="22"/>
        </w:rPr>
        <w:t xml:space="preserve"> (Prof A Maraveyas MD)</w:t>
      </w:r>
    </w:p>
    <w:p w14:paraId="58DEB808" w14:textId="77777777" w:rsidR="0064223B" w:rsidRPr="00F05849" w:rsidRDefault="0064223B" w:rsidP="00F05849">
      <w:pPr>
        <w:pStyle w:val="HTMLAddress"/>
        <w:numPr>
          <w:ilvl w:val="0"/>
          <w:numId w:val="4"/>
        </w:numPr>
        <w:ind w:left="714" w:hanging="357"/>
        <w:rPr>
          <w:rFonts w:ascii="Arial" w:hAnsi="Arial" w:cs="Arial"/>
          <w:i w:val="0"/>
          <w:sz w:val="22"/>
          <w:szCs w:val="22"/>
        </w:rPr>
      </w:pPr>
      <w:bookmarkStart w:id="2" w:name="aff-31"/>
      <w:bookmarkEnd w:id="2"/>
      <w:r w:rsidRPr="00DD53FA">
        <w:rPr>
          <w:rStyle w:val="addr-line"/>
          <w:rFonts w:ascii="Arial" w:eastAsia="SimSun" w:hAnsi="Arial" w:cs="Arial"/>
          <w:i w:val="0"/>
          <w:sz w:val="22"/>
          <w:szCs w:val="22"/>
        </w:rPr>
        <w:t xml:space="preserve">Division of Hematology, Oncology and Tumor Immunology, </w:t>
      </w:r>
      <w:r w:rsidRPr="00F05849">
        <w:rPr>
          <w:rFonts w:ascii="Arial" w:hAnsi="Arial" w:cs="Arial"/>
          <w:i w:val="0"/>
          <w:iCs w:val="0"/>
          <w:color w:val="000000"/>
          <w:sz w:val="22"/>
          <w:szCs w:val="22"/>
        </w:rPr>
        <w:t>Charité - Universitätsmedizin Berlin, Freie Universität Berlin, Humboldt Universität - Universität zu Berlin, Berlin Institute of Health, Berlin, Germany</w:t>
      </w:r>
      <w:r>
        <w:rPr>
          <w:rFonts w:ascii="Arial" w:hAnsi="Arial" w:cs="Arial"/>
          <w:i w:val="0"/>
          <w:iCs w:val="0"/>
          <w:color w:val="000000"/>
          <w:sz w:val="22"/>
          <w:szCs w:val="22"/>
        </w:rPr>
        <w:t xml:space="preserve"> (U Pelzer MD)</w:t>
      </w:r>
    </w:p>
    <w:p w14:paraId="7346FE85" w14:textId="77777777" w:rsidR="0064223B" w:rsidRPr="00DD53FA" w:rsidRDefault="0064223B" w:rsidP="00F6404B">
      <w:pPr>
        <w:pStyle w:val="ListParagraph"/>
        <w:numPr>
          <w:ilvl w:val="0"/>
          <w:numId w:val="4"/>
        </w:numPr>
        <w:autoSpaceDE w:val="0"/>
        <w:autoSpaceDN w:val="0"/>
        <w:adjustRightInd w:val="0"/>
        <w:spacing w:line="240" w:lineRule="auto"/>
        <w:ind w:left="714" w:hanging="357"/>
        <w:jc w:val="left"/>
        <w:rPr>
          <w:rFonts w:ascii="Arial" w:hAnsi="Arial" w:cs="Arial"/>
          <w:lang w:val="en-CA"/>
        </w:rPr>
      </w:pPr>
      <w:r w:rsidRPr="00DD53FA">
        <w:rPr>
          <w:rFonts w:ascii="Arial" w:hAnsi="Arial" w:cs="Arial"/>
          <w:lang w:val="en-CA"/>
        </w:rPr>
        <w:t>Division of Neurology, Sunnybrook Health Science Centre, Toronto, Canada</w:t>
      </w:r>
      <w:r>
        <w:rPr>
          <w:rFonts w:ascii="Arial" w:hAnsi="Arial" w:cs="Arial"/>
          <w:lang w:val="en-CA"/>
        </w:rPr>
        <w:t xml:space="preserve"> (Prof J Perry MD)</w:t>
      </w:r>
    </w:p>
    <w:p w14:paraId="059F1893" w14:textId="77777777" w:rsidR="0064223B" w:rsidRDefault="0064223B" w:rsidP="00F6404B">
      <w:pPr>
        <w:pStyle w:val="ListParagraph"/>
        <w:numPr>
          <w:ilvl w:val="0"/>
          <w:numId w:val="4"/>
        </w:numPr>
        <w:autoSpaceDE w:val="0"/>
        <w:autoSpaceDN w:val="0"/>
        <w:adjustRightInd w:val="0"/>
        <w:spacing w:line="240" w:lineRule="auto"/>
        <w:ind w:left="714" w:hanging="357"/>
        <w:jc w:val="left"/>
        <w:rPr>
          <w:rFonts w:ascii="Arial" w:hAnsi="Arial" w:cs="Arial"/>
          <w:lang w:val="en-CA"/>
        </w:rPr>
      </w:pPr>
      <w:r w:rsidRPr="00DD53FA">
        <w:rPr>
          <w:rFonts w:ascii="Arial" w:hAnsi="Arial" w:cs="Arial"/>
          <w:lang w:val="en-CA"/>
        </w:rPr>
        <w:t>Ontario Clinical Oncology Group and Department of Oncology, McMaster University, Hamilton, Canada</w:t>
      </w:r>
      <w:r>
        <w:rPr>
          <w:rFonts w:ascii="Arial" w:hAnsi="Arial" w:cs="Arial"/>
          <w:lang w:val="en-CA"/>
        </w:rPr>
        <w:t xml:space="preserve"> (Prof J Perry MD)</w:t>
      </w:r>
    </w:p>
    <w:p w14:paraId="437E7460" w14:textId="77777777" w:rsidR="0064223B" w:rsidRDefault="0064223B" w:rsidP="00F6404B">
      <w:pPr>
        <w:pStyle w:val="ListParagraph"/>
        <w:numPr>
          <w:ilvl w:val="0"/>
          <w:numId w:val="4"/>
        </w:numPr>
        <w:spacing w:line="240" w:lineRule="auto"/>
        <w:ind w:left="714" w:hanging="357"/>
        <w:jc w:val="left"/>
        <w:rPr>
          <w:rFonts w:ascii="Arial" w:hAnsi="Arial" w:cs="Arial"/>
          <w:lang w:val="nl-NL"/>
        </w:rPr>
      </w:pPr>
      <w:r w:rsidRPr="00AD7394">
        <w:rPr>
          <w:rFonts w:ascii="Arial" w:hAnsi="Arial" w:cs="Arial"/>
          <w:lang w:val="nl-NL"/>
        </w:rPr>
        <w:t xml:space="preserve">Department of </w:t>
      </w:r>
      <w:r w:rsidRPr="00AD7394">
        <w:rPr>
          <w:rStyle w:val="addr-line"/>
          <w:rFonts w:ascii="Arial" w:hAnsi="Arial" w:cs="Arial"/>
        </w:rPr>
        <w:t>Internal Medicine</w:t>
      </w:r>
      <w:r w:rsidRPr="00AD7394">
        <w:rPr>
          <w:rFonts w:ascii="Arial" w:hAnsi="Arial" w:cs="Arial"/>
          <w:lang w:val="nl-NL"/>
        </w:rPr>
        <w:t xml:space="preserve">, </w:t>
      </w:r>
      <w:r w:rsidRPr="008E1272">
        <w:rPr>
          <w:rFonts w:ascii="Arial" w:hAnsi="Arial" w:cs="Arial"/>
        </w:rPr>
        <w:t xml:space="preserve">Dijklanderziekenhuis, Hoorn, </w:t>
      </w:r>
      <w:r w:rsidRPr="00AD7394">
        <w:rPr>
          <w:rFonts w:ascii="Arial" w:hAnsi="Arial" w:cs="Arial"/>
          <w:lang w:val="nl-NL"/>
        </w:rPr>
        <w:t>The Netherlands</w:t>
      </w:r>
      <w:r>
        <w:rPr>
          <w:rFonts w:ascii="Arial" w:hAnsi="Arial" w:cs="Arial"/>
          <w:lang w:val="nl-NL"/>
        </w:rPr>
        <w:t xml:space="preserve"> (C Klerk MD)</w:t>
      </w:r>
    </w:p>
    <w:p w14:paraId="654370D2" w14:textId="77777777" w:rsidR="0064223B" w:rsidRDefault="0064223B" w:rsidP="00F6404B">
      <w:pPr>
        <w:pStyle w:val="ListParagraph"/>
        <w:numPr>
          <w:ilvl w:val="0"/>
          <w:numId w:val="4"/>
        </w:numPr>
        <w:spacing w:line="240" w:lineRule="auto"/>
        <w:jc w:val="left"/>
        <w:rPr>
          <w:rFonts w:ascii="Arial" w:hAnsi="Arial" w:cs="Arial"/>
        </w:rPr>
      </w:pPr>
      <w:r w:rsidRPr="00A0304E">
        <w:rPr>
          <w:rFonts w:ascii="Arial" w:hAnsi="Arial" w:cs="Arial"/>
        </w:rPr>
        <w:lastRenderedPageBreak/>
        <w:t>Internal and Cardiovascular Medicine-Stroke Unit, University of Perugia, Perugia, Italy</w:t>
      </w:r>
      <w:r>
        <w:rPr>
          <w:rFonts w:ascii="Arial" w:hAnsi="Arial" w:cs="Arial"/>
        </w:rPr>
        <w:t xml:space="preserve"> (Prof G Agnelli)</w:t>
      </w:r>
    </w:p>
    <w:p w14:paraId="674C2258" w14:textId="77777777" w:rsidR="0064223B" w:rsidRPr="00F447AE" w:rsidRDefault="0064223B" w:rsidP="00A0304E">
      <w:pPr>
        <w:pStyle w:val="HTMLAddress"/>
        <w:ind w:left="714"/>
        <w:rPr>
          <w:rFonts w:ascii="Arial" w:hAnsi="Arial" w:cs="Arial"/>
          <w:i w:val="0"/>
          <w:sz w:val="22"/>
          <w:szCs w:val="22"/>
        </w:rPr>
      </w:pPr>
    </w:p>
    <w:p w14:paraId="6ECE860C" w14:textId="77777777" w:rsidR="0064223B" w:rsidRDefault="0064223B" w:rsidP="00397E56">
      <w:pPr>
        <w:spacing w:after="0" w:line="240" w:lineRule="auto"/>
        <w:rPr>
          <w:rFonts w:ascii="Arial" w:hAnsi="Arial" w:cs="Arial"/>
        </w:rPr>
      </w:pPr>
    </w:p>
    <w:p w14:paraId="03F972C6" w14:textId="77777777" w:rsidR="0064223B" w:rsidRDefault="0064223B" w:rsidP="00397E56">
      <w:pPr>
        <w:spacing w:after="0" w:line="240" w:lineRule="auto"/>
        <w:rPr>
          <w:rFonts w:ascii="Arial" w:hAnsi="Arial" w:cs="Arial"/>
        </w:rPr>
      </w:pPr>
      <w:r w:rsidRPr="00F447AE">
        <w:rPr>
          <w:rFonts w:ascii="Arial" w:hAnsi="Arial" w:cs="Arial"/>
        </w:rPr>
        <w:t xml:space="preserve">Corresponding author: </w:t>
      </w:r>
    </w:p>
    <w:p w14:paraId="13B4C583" w14:textId="77777777" w:rsidR="0064223B" w:rsidRPr="00F447AE" w:rsidRDefault="0064223B" w:rsidP="00397E56">
      <w:pPr>
        <w:spacing w:after="0" w:line="240" w:lineRule="auto"/>
        <w:rPr>
          <w:rFonts w:ascii="Arial" w:hAnsi="Arial" w:cs="Arial"/>
        </w:rPr>
      </w:pPr>
      <w:r w:rsidRPr="00F447AE">
        <w:rPr>
          <w:rFonts w:ascii="Arial" w:hAnsi="Arial" w:cs="Arial"/>
        </w:rPr>
        <w:t>Prof. Holger Schünemann</w:t>
      </w:r>
    </w:p>
    <w:p w14:paraId="1909F32E" w14:textId="77777777" w:rsidR="0064223B" w:rsidRPr="00D87B1A" w:rsidRDefault="0064223B" w:rsidP="00B20404">
      <w:pPr>
        <w:spacing w:after="0" w:line="240" w:lineRule="auto"/>
        <w:rPr>
          <w:rFonts w:ascii="Arial" w:hAnsi="Arial" w:cs="Arial"/>
          <w:lang w:val="pt-BR"/>
        </w:rPr>
      </w:pPr>
      <w:r w:rsidRPr="00EB2E51">
        <w:rPr>
          <w:rFonts w:ascii="Arial" w:hAnsi="Arial" w:cs="Arial"/>
        </w:rPr>
        <w:t>Michael G DeGroote Cochrane Canada and McMaster GRADE centres; Department of</w:t>
      </w:r>
      <w:r>
        <w:rPr>
          <w:rFonts w:ascii="Arial" w:hAnsi="Arial" w:cs="Arial"/>
        </w:rPr>
        <w:t xml:space="preserve"> </w:t>
      </w:r>
      <w:r w:rsidRPr="00EB2E51">
        <w:rPr>
          <w:rFonts w:ascii="Arial" w:hAnsi="Arial" w:cs="Arial"/>
        </w:rPr>
        <w:t>Health Research Methods, Evidence and Impact, McMaster University, HSC-2C, 1280 Main St West; Hamilton, ON L8N 3Z5, Canada;</w:t>
      </w:r>
    </w:p>
    <w:p w14:paraId="2DC2F538" w14:textId="77777777" w:rsidR="0064223B" w:rsidRPr="00D87B1A" w:rsidRDefault="0064223B" w:rsidP="00397E56">
      <w:pPr>
        <w:spacing w:after="0" w:line="240" w:lineRule="auto"/>
        <w:rPr>
          <w:rStyle w:val="Hyperlink"/>
          <w:rFonts w:ascii="Arial" w:hAnsi="Arial" w:cs="Arial"/>
          <w:lang w:val="pt-BR"/>
        </w:rPr>
      </w:pPr>
      <w:r w:rsidRPr="00D87B1A">
        <w:rPr>
          <w:rFonts w:ascii="Arial" w:hAnsi="Arial" w:cs="Arial"/>
          <w:lang w:val="pt-BR"/>
        </w:rPr>
        <w:t xml:space="preserve">Email: </w:t>
      </w:r>
      <w:r>
        <w:rPr>
          <w:rFonts w:ascii="Arial" w:hAnsi="Arial" w:cs="Arial"/>
          <w:lang w:val="pt-BR"/>
        </w:rPr>
        <w:t>schuneh@mcmaster.ca</w:t>
      </w:r>
      <w:bookmarkEnd w:id="0"/>
    </w:p>
    <w:p w14:paraId="2B462017" w14:textId="77777777" w:rsidR="0064223B" w:rsidRPr="00F447AE" w:rsidRDefault="0064223B" w:rsidP="00397E56">
      <w:pPr>
        <w:spacing w:after="0" w:line="240" w:lineRule="auto"/>
        <w:rPr>
          <w:rFonts w:ascii="Arial" w:hAnsi="Arial" w:cs="Arial"/>
        </w:rPr>
      </w:pPr>
      <w:r w:rsidRPr="00F447AE">
        <w:rPr>
          <w:rFonts w:ascii="Arial" w:hAnsi="Arial" w:cs="Arial"/>
        </w:rPr>
        <w:t>Phone Number: 1 905 525 9140 x 24931</w:t>
      </w:r>
    </w:p>
    <w:p w14:paraId="3C49D56B" w14:textId="77777777" w:rsidR="0064223B" w:rsidRDefault="0064223B" w:rsidP="00397E56">
      <w:pPr>
        <w:spacing w:after="0" w:line="240" w:lineRule="auto"/>
        <w:rPr>
          <w:rFonts w:ascii="Arial" w:hAnsi="Arial" w:cs="Arial"/>
        </w:rPr>
      </w:pPr>
      <w:r w:rsidRPr="00F447AE">
        <w:rPr>
          <w:rFonts w:ascii="Arial" w:hAnsi="Arial" w:cs="Arial"/>
        </w:rPr>
        <w:t>Fax Number: 1 905 522</w:t>
      </w:r>
      <w:r>
        <w:rPr>
          <w:rFonts w:ascii="Arial" w:hAnsi="Arial" w:cs="Arial"/>
        </w:rPr>
        <w:t xml:space="preserve"> </w:t>
      </w:r>
      <w:r w:rsidRPr="00F447AE">
        <w:rPr>
          <w:rFonts w:ascii="Arial" w:hAnsi="Arial" w:cs="Arial"/>
        </w:rPr>
        <w:t>9507</w:t>
      </w:r>
    </w:p>
    <w:p w14:paraId="778D3326" w14:textId="77777777" w:rsidR="0064223B" w:rsidRDefault="0064223B" w:rsidP="00397E56">
      <w:pPr>
        <w:spacing w:after="0" w:line="240" w:lineRule="auto"/>
        <w:rPr>
          <w:rFonts w:ascii="Arial" w:hAnsi="Arial" w:cs="Arial"/>
        </w:rPr>
      </w:pPr>
    </w:p>
    <w:p w14:paraId="7EF02B5E" w14:textId="77777777" w:rsidR="0064223B" w:rsidRDefault="0064223B" w:rsidP="00397E56">
      <w:pPr>
        <w:spacing w:after="0" w:line="240" w:lineRule="auto"/>
        <w:rPr>
          <w:rFonts w:ascii="Arial" w:hAnsi="Arial" w:cs="Arial"/>
        </w:rPr>
      </w:pPr>
    </w:p>
    <w:p w14:paraId="5EBCAB02" w14:textId="77777777" w:rsidR="0064223B" w:rsidRPr="00F447AE" w:rsidRDefault="0064223B" w:rsidP="00397E56">
      <w:pPr>
        <w:spacing w:after="0" w:line="240" w:lineRule="auto"/>
        <w:rPr>
          <w:rFonts w:ascii="Arial" w:hAnsi="Arial" w:cs="Arial"/>
        </w:rPr>
      </w:pPr>
    </w:p>
    <w:p w14:paraId="06F9614B" w14:textId="77777777" w:rsidR="0064223B" w:rsidRDefault="0064223B" w:rsidP="00162A96">
      <w:pPr>
        <w:spacing w:line="480" w:lineRule="auto"/>
        <w:rPr>
          <w:rFonts w:ascii="Arial" w:hAnsi="Arial" w:cs="Arial"/>
        </w:rPr>
      </w:pPr>
      <w:r>
        <w:rPr>
          <w:rFonts w:ascii="Arial" w:hAnsi="Arial" w:cs="Arial"/>
        </w:rPr>
        <w:t>Abstract word count: 250/250</w:t>
      </w:r>
    </w:p>
    <w:p w14:paraId="28162D80" w14:textId="77777777" w:rsidR="0064223B" w:rsidRPr="00BA0EB7" w:rsidRDefault="0064223B" w:rsidP="00162A96">
      <w:pPr>
        <w:spacing w:line="480" w:lineRule="auto"/>
        <w:rPr>
          <w:rFonts w:ascii="Arial" w:hAnsi="Arial" w:cs="Arial"/>
        </w:rPr>
      </w:pPr>
      <w:r w:rsidRPr="00BA0EB7">
        <w:rPr>
          <w:rFonts w:ascii="Arial" w:hAnsi="Arial" w:cs="Arial"/>
        </w:rPr>
        <w:t>Text word count: 2904/4000 (update after completion of results/discussion)</w:t>
      </w:r>
    </w:p>
    <w:p w14:paraId="75DC4444" w14:textId="77777777" w:rsidR="0064223B" w:rsidRPr="00BA0EB7" w:rsidRDefault="0064223B" w:rsidP="00FA2275">
      <w:pPr>
        <w:spacing w:line="480" w:lineRule="auto"/>
        <w:rPr>
          <w:rFonts w:ascii="Arial" w:hAnsi="Arial" w:cs="Arial"/>
        </w:rPr>
      </w:pPr>
      <w:r w:rsidRPr="00BA0EB7">
        <w:rPr>
          <w:rFonts w:ascii="Arial" w:hAnsi="Arial" w:cs="Arial"/>
        </w:rPr>
        <w:t xml:space="preserve">Table count: </w:t>
      </w:r>
      <w:r>
        <w:rPr>
          <w:rFonts w:ascii="Arial" w:hAnsi="Arial" w:cs="Arial"/>
        </w:rPr>
        <w:t>5</w:t>
      </w:r>
    </w:p>
    <w:p w14:paraId="1E33CA75" w14:textId="77777777" w:rsidR="0064223B" w:rsidRPr="00BA0EB7" w:rsidRDefault="0064223B" w:rsidP="00162A96">
      <w:pPr>
        <w:spacing w:line="480" w:lineRule="auto"/>
        <w:rPr>
          <w:rFonts w:ascii="Arial" w:hAnsi="Arial" w:cs="Arial"/>
        </w:rPr>
      </w:pPr>
      <w:r w:rsidRPr="00BA0EB7">
        <w:rPr>
          <w:rFonts w:ascii="Arial" w:hAnsi="Arial" w:cs="Arial"/>
        </w:rPr>
        <w:t>Figure count: 3</w:t>
      </w:r>
    </w:p>
    <w:p w14:paraId="43EAB7C1" w14:textId="77777777" w:rsidR="0064223B" w:rsidRDefault="0064223B" w:rsidP="00162A96">
      <w:pPr>
        <w:spacing w:line="480" w:lineRule="auto"/>
        <w:rPr>
          <w:rFonts w:ascii="Arial" w:hAnsi="Arial" w:cs="Arial"/>
        </w:rPr>
      </w:pPr>
      <w:r w:rsidRPr="002D251C">
        <w:rPr>
          <w:rFonts w:ascii="Arial" w:hAnsi="Arial" w:cs="Arial"/>
        </w:rPr>
        <w:t>Reference count:</w:t>
      </w:r>
      <w:r w:rsidRPr="001103C3">
        <w:rPr>
          <w:rFonts w:ascii="Arial" w:hAnsi="Arial" w:cs="Arial"/>
        </w:rPr>
        <w:t xml:space="preserve"> </w:t>
      </w:r>
      <w:r w:rsidRPr="002D251C">
        <w:rPr>
          <w:rFonts w:ascii="Arial" w:hAnsi="Arial" w:cs="Arial"/>
        </w:rPr>
        <w:t>5</w:t>
      </w:r>
      <w:r>
        <w:rPr>
          <w:rFonts w:ascii="Arial" w:hAnsi="Arial" w:cs="Arial"/>
        </w:rPr>
        <w:t>8</w:t>
      </w:r>
      <w:r w:rsidRPr="002D251C">
        <w:rPr>
          <w:rFonts w:ascii="Arial" w:hAnsi="Arial" w:cs="Arial"/>
        </w:rPr>
        <w:t xml:space="preserve">/100 </w:t>
      </w:r>
    </w:p>
    <w:p w14:paraId="1E984B5F" w14:textId="77777777" w:rsidR="0064223B" w:rsidRDefault="0064223B" w:rsidP="00162A96">
      <w:pPr>
        <w:spacing w:line="480" w:lineRule="auto"/>
        <w:rPr>
          <w:rFonts w:ascii="Arial" w:hAnsi="Arial" w:cs="Arial"/>
        </w:rPr>
      </w:pPr>
    </w:p>
    <w:p w14:paraId="53903056" w14:textId="77777777" w:rsidR="0064223B" w:rsidRPr="00162A96" w:rsidRDefault="0064223B" w:rsidP="00162A96">
      <w:pPr>
        <w:pStyle w:val="Heading1"/>
        <w:rPr>
          <w:rFonts w:ascii="Arial" w:hAnsi="Arial" w:cs="Arial"/>
        </w:rPr>
      </w:pPr>
      <w:r>
        <w:rPr>
          <w:rFonts w:ascii="Arial" w:hAnsi="Arial" w:cs="Arial"/>
        </w:rPr>
        <w:t>Key Point (Characters: 111/140)</w:t>
      </w:r>
    </w:p>
    <w:p w14:paraId="5D9B2F41" w14:textId="77777777" w:rsidR="0064223B" w:rsidRDefault="0064223B" w:rsidP="00162A96">
      <w:pPr>
        <w:spacing w:line="480" w:lineRule="auto"/>
        <w:rPr>
          <w:rFonts w:ascii="Arial" w:hAnsi="Arial" w:cs="Arial"/>
          <w:color w:val="000000"/>
        </w:rPr>
      </w:pPr>
      <w:r w:rsidRPr="00DD53FA">
        <w:rPr>
          <w:rFonts w:ascii="Arial" w:hAnsi="Arial" w:cs="Arial"/>
          <w:color w:val="000000"/>
        </w:rPr>
        <w:t>LMWH reduces VTE without increasing bleeding but does not improve survival across all patients.</w:t>
      </w:r>
    </w:p>
    <w:p w14:paraId="2570AC8D" w14:textId="77777777" w:rsidR="0064223B" w:rsidRDefault="0064223B">
      <w:pPr>
        <w:rPr>
          <w:rFonts w:ascii="Arial" w:hAnsi="Arial" w:cs="Arial"/>
          <w:b/>
          <w:i/>
          <w:u w:val="single"/>
        </w:rPr>
      </w:pPr>
      <w:r>
        <w:rPr>
          <w:rFonts w:ascii="Arial" w:hAnsi="Arial" w:cs="Arial"/>
        </w:rPr>
        <w:br w:type="page"/>
      </w:r>
    </w:p>
    <w:p w14:paraId="6E987230" w14:textId="68A71D37" w:rsidR="0064223B" w:rsidRDefault="0064223B" w:rsidP="00162A96">
      <w:pPr>
        <w:pStyle w:val="Heading1"/>
        <w:spacing w:line="480" w:lineRule="auto"/>
        <w:rPr>
          <w:rFonts w:ascii="Arial" w:hAnsi="Arial" w:cs="Arial"/>
        </w:rPr>
      </w:pPr>
      <w:r>
        <w:rPr>
          <w:rFonts w:ascii="Arial" w:hAnsi="Arial" w:cs="Arial"/>
        </w:rPr>
        <w:lastRenderedPageBreak/>
        <w:t>Summary (Word count: 250/250)</w:t>
      </w:r>
    </w:p>
    <w:p w14:paraId="607FF59E" w14:textId="6514AD58" w:rsidR="0064223B" w:rsidRPr="00E67CE5" w:rsidRDefault="0064223B" w:rsidP="00162A96">
      <w:pPr>
        <w:spacing w:line="480" w:lineRule="auto"/>
        <w:rPr>
          <w:rFonts w:ascii="Arial" w:hAnsi="Arial" w:cs="Arial"/>
          <w:color w:val="000000"/>
        </w:rPr>
      </w:pPr>
      <w:r>
        <w:rPr>
          <w:rFonts w:ascii="Arial" w:hAnsi="Arial" w:cs="Arial"/>
          <w:b/>
        </w:rPr>
        <w:t>Background</w:t>
      </w:r>
      <w:r w:rsidRPr="00E67CE5">
        <w:rPr>
          <w:rFonts w:ascii="Arial" w:hAnsi="Arial" w:cs="Arial"/>
          <w:b/>
        </w:rPr>
        <w:t xml:space="preserve">: </w:t>
      </w:r>
      <w:r w:rsidRPr="00FA64DE">
        <w:rPr>
          <w:rFonts w:ascii="Arial" w:hAnsi="Arial" w:cs="Arial"/>
          <w:bCs/>
        </w:rPr>
        <w:t>A</w:t>
      </w:r>
      <w:r>
        <w:rPr>
          <w:rFonts w:ascii="Arial" w:hAnsi="Arial" w:cs="Arial"/>
          <w:b/>
        </w:rPr>
        <w:t xml:space="preserve"> </w:t>
      </w:r>
      <w:r>
        <w:rPr>
          <w:rFonts w:ascii="Arial" w:hAnsi="Arial" w:cs="Arial"/>
          <w:color w:val="000000"/>
        </w:rPr>
        <w:t>s</w:t>
      </w:r>
      <w:r w:rsidRPr="00E67CE5">
        <w:rPr>
          <w:rFonts w:ascii="Arial" w:hAnsi="Arial" w:cs="Arial"/>
          <w:color w:val="000000"/>
        </w:rPr>
        <w:t xml:space="preserve">tudy-level meta-analysis </w:t>
      </w:r>
      <w:r>
        <w:rPr>
          <w:rFonts w:ascii="Arial" w:hAnsi="Arial" w:cs="Arial"/>
          <w:color w:val="000000"/>
        </w:rPr>
        <w:t>provides high certainty evidence that</w:t>
      </w:r>
      <w:r w:rsidRPr="00E67CE5">
        <w:rPr>
          <w:rFonts w:ascii="Arial" w:hAnsi="Arial" w:cs="Arial"/>
          <w:color w:val="000000"/>
        </w:rPr>
        <w:t xml:space="preserve"> </w:t>
      </w:r>
      <w:r>
        <w:rPr>
          <w:rFonts w:ascii="Arial" w:hAnsi="Arial" w:cs="Arial"/>
          <w:color w:val="000000"/>
        </w:rPr>
        <w:t>heparin</w:t>
      </w:r>
      <w:r w:rsidRPr="00E67CE5">
        <w:rPr>
          <w:rFonts w:ascii="Arial" w:hAnsi="Arial" w:cs="Arial"/>
          <w:color w:val="000000"/>
        </w:rPr>
        <w:t xml:space="preserve"> reduc</w:t>
      </w:r>
      <w:r>
        <w:rPr>
          <w:rFonts w:ascii="Arial" w:hAnsi="Arial" w:cs="Arial"/>
          <w:color w:val="000000"/>
        </w:rPr>
        <w:t>es</w:t>
      </w:r>
      <w:r w:rsidRPr="00E67CE5">
        <w:rPr>
          <w:rFonts w:ascii="Arial" w:hAnsi="Arial" w:cs="Arial"/>
          <w:color w:val="000000"/>
        </w:rPr>
        <w:t xml:space="preserve"> the risk of </w:t>
      </w:r>
      <w:r>
        <w:rPr>
          <w:rFonts w:ascii="Arial" w:hAnsi="Arial" w:cs="Arial"/>
          <w:color w:val="000000"/>
        </w:rPr>
        <w:t xml:space="preserve">symptomatic </w:t>
      </w:r>
      <w:r w:rsidRPr="00E67CE5">
        <w:rPr>
          <w:rFonts w:ascii="Arial" w:hAnsi="Arial" w:cs="Arial"/>
          <w:color w:val="000000"/>
        </w:rPr>
        <w:t xml:space="preserve">venous thromboembolism (VTE). </w:t>
      </w:r>
      <w:r>
        <w:rPr>
          <w:rFonts w:ascii="Arial" w:hAnsi="Arial" w:cs="Arial"/>
          <w:color w:val="000000"/>
        </w:rPr>
        <w:t>I</w:t>
      </w:r>
      <w:r w:rsidRPr="00E67CE5">
        <w:rPr>
          <w:rFonts w:ascii="Arial" w:hAnsi="Arial" w:cs="Arial"/>
          <w:color w:val="000000"/>
        </w:rPr>
        <w:t xml:space="preserve">t </w:t>
      </w:r>
      <w:r>
        <w:rPr>
          <w:rFonts w:ascii="Arial" w:hAnsi="Arial" w:cs="Arial"/>
          <w:color w:val="000000"/>
        </w:rPr>
        <w:t xml:space="preserve">remains </w:t>
      </w:r>
      <w:r w:rsidRPr="00E67CE5">
        <w:rPr>
          <w:rFonts w:ascii="Arial" w:hAnsi="Arial" w:cs="Arial"/>
          <w:color w:val="000000"/>
        </w:rPr>
        <w:t xml:space="preserve">unclear if </w:t>
      </w:r>
      <w:r>
        <w:rPr>
          <w:rFonts w:ascii="Arial" w:hAnsi="Arial" w:cs="Arial"/>
          <w:color w:val="000000"/>
        </w:rPr>
        <w:t xml:space="preserve">benefits and harms differ by cancer type. </w:t>
      </w:r>
      <w:r w:rsidRPr="00E67CE5">
        <w:rPr>
          <w:rFonts w:ascii="Arial" w:hAnsi="Arial" w:cs="Arial"/>
          <w:color w:val="000000"/>
        </w:rPr>
        <w:t>This individual participant data meta-analysis</w:t>
      </w:r>
      <w:r>
        <w:rPr>
          <w:rFonts w:ascii="Arial" w:hAnsi="Arial" w:cs="Arial"/>
          <w:color w:val="000000"/>
        </w:rPr>
        <w:t xml:space="preserve"> of randomized controlled trials (RCTs) </w:t>
      </w:r>
      <w:r w:rsidRPr="00E67CE5">
        <w:rPr>
          <w:rFonts w:ascii="Arial" w:hAnsi="Arial" w:cs="Arial"/>
          <w:color w:val="000000"/>
        </w:rPr>
        <w:t xml:space="preserve">examines the impact of heparin on survival, </w:t>
      </w:r>
      <w:r>
        <w:rPr>
          <w:rFonts w:ascii="Arial" w:hAnsi="Arial" w:cs="Arial"/>
          <w:color w:val="000000"/>
        </w:rPr>
        <w:t>VTE,</w:t>
      </w:r>
      <w:r w:rsidRPr="00E67CE5">
        <w:rPr>
          <w:rFonts w:ascii="Arial" w:hAnsi="Arial" w:cs="Arial"/>
          <w:color w:val="000000"/>
        </w:rPr>
        <w:t xml:space="preserve"> and bleedin</w:t>
      </w:r>
      <w:r>
        <w:rPr>
          <w:rFonts w:ascii="Arial" w:hAnsi="Arial" w:cs="Arial"/>
          <w:color w:val="000000"/>
        </w:rPr>
        <w:t xml:space="preserve">g in cancer </w:t>
      </w:r>
      <w:r w:rsidRPr="00E67CE5">
        <w:rPr>
          <w:rFonts w:ascii="Arial" w:hAnsi="Arial" w:cs="Arial"/>
          <w:color w:val="000000"/>
        </w:rPr>
        <w:t>patients</w:t>
      </w:r>
      <w:r>
        <w:rPr>
          <w:rFonts w:ascii="Arial" w:hAnsi="Arial" w:cs="Arial"/>
          <w:color w:val="000000"/>
        </w:rPr>
        <w:t xml:space="preserve"> in general, and by cancer type</w:t>
      </w:r>
      <w:r w:rsidRPr="00E67CE5">
        <w:rPr>
          <w:rFonts w:ascii="Arial" w:hAnsi="Arial" w:cs="Arial"/>
          <w:color w:val="000000"/>
        </w:rPr>
        <w:t>.</w:t>
      </w:r>
    </w:p>
    <w:p w14:paraId="27FE919B" w14:textId="654AFB9B" w:rsidR="0064223B" w:rsidRPr="00716D2F" w:rsidRDefault="0064223B" w:rsidP="00162A96">
      <w:pPr>
        <w:spacing w:line="480" w:lineRule="auto"/>
        <w:rPr>
          <w:rFonts w:ascii="Arial" w:hAnsi="Arial" w:cs="Arial"/>
        </w:rPr>
      </w:pPr>
      <w:r>
        <w:rPr>
          <w:rFonts w:ascii="Arial" w:hAnsi="Arial" w:cs="Arial"/>
          <w:b/>
        </w:rPr>
        <w:t xml:space="preserve">Methods: </w:t>
      </w:r>
      <w:r w:rsidRPr="00E67CE5">
        <w:rPr>
          <w:rFonts w:ascii="Arial" w:hAnsi="Arial" w:cs="Arial"/>
          <w:color w:val="000000"/>
        </w:rPr>
        <w:t>We systematic</w:t>
      </w:r>
      <w:r>
        <w:rPr>
          <w:rFonts w:ascii="Arial" w:hAnsi="Arial" w:cs="Arial"/>
          <w:color w:val="000000"/>
        </w:rPr>
        <w:t>ally</w:t>
      </w:r>
      <w:r w:rsidRPr="00E67CE5">
        <w:rPr>
          <w:rFonts w:ascii="Arial" w:hAnsi="Arial" w:cs="Arial"/>
          <w:color w:val="000000"/>
        </w:rPr>
        <w:t xml:space="preserve"> search</w:t>
      </w:r>
      <w:r>
        <w:rPr>
          <w:rFonts w:ascii="Arial" w:hAnsi="Arial" w:cs="Arial"/>
          <w:color w:val="000000"/>
        </w:rPr>
        <w:t>ed</w:t>
      </w:r>
      <w:r w:rsidRPr="00E67CE5">
        <w:rPr>
          <w:rFonts w:ascii="Arial" w:hAnsi="Arial" w:cs="Arial"/>
          <w:color w:val="000000"/>
        </w:rPr>
        <w:t xml:space="preserve"> </w:t>
      </w:r>
      <w:r w:rsidRPr="00E67CE5">
        <w:rPr>
          <w:rFonts w:ascii="Arial" w:hAnsi="Arial" w:cs="Arial"/>
          <w:color w:val="000000"/>
          <w:szCs w:val="20"/>
        </w:rPr>
        <w:t>MEDLINE, EMBASE,</w:t>
      </w:r>
      <w:r>
        <w:rPr>
          <w:rFonts w:ascii="Arial" w:hAnsi="Arial" w:cs="Arial"/>
          <w:color w:val="000000"/>
          <w:szCs w:val="20"/>
        </w:rPr>
        <w:t xml:space="preserve"> and </w:t>
      </w:r>
      <w:r w:rsidRPr="00E67CE5">
        <w:rPr>
          <w:rFonts w:ascii="Arial" w:hAnsi="Arial" w:cs="Arial"/>
          <w:color w:val="000000"/>
          <w:szCs w:val="20"/>
        </w:rPr>
        <w:t>Th</w:t>
      </w:r>
      <w:r>
        <w:rPr>
          <w:rFonts w:ascii="Arial" w:hAnsi="Arial" w:cs="Arial"/>
          <w:color w:val="000000"/>
          <w:szCs w:val="20"/>
        </w:rPr>
        <w:t xml:space="preserve">e Cochrane Library for RCTs </w:t>
      </w:r>
      <w:r w:rsidRPr="00DD53FA">
        <w:rPr>
          <w:rFonts w:ascii="Arial" w:hAnsi="Arial" w:cs="Arial"/>
          <w:color w:val="000000"/>
        </w:rPr>
        <w:t>comparing parenteral anticoagulants to placebo or standard care</w:t>
      </w:r>
      <w:r>
        <w:rPr>
          <w:rFonts w:ascii="Arial" w:hAnsi="Arial" w:cs="Arial"/>
          <w:color w:val="000000"/>
        </w:rPr>
        <w:t xml:space="preserve"> among ambulatory patients with solid tumors </w:t>
      </w:r>
      <w:r w:rsidRPr="00E67CE5">
        <w:rPr>
          <w:rFonts w:ascii="Arial" w:hAnsi="Arial" w:cs="Arial"/>
          <w:color w:val="000000"/>
          <w:szCs w:val="20"/>
        </w:rPr>
        <w:t xml:space="preserve">and no indication for </w:t>
      </w:r>
      <w:r w:rsidRPr="00E67CE5">
        <w:rPr>
          <w:rFonts w:ascii="Arial" w:hAnsi="Arial" w:cs="Arial"/>
          <w:color w:val="000000"/>
        </w:rPr>
        <w:t>anticoagulation</w:t>
      </w:r>
      <w:r>
        <w:rPr>
          <w:rFonts w:ascii="Arial" w:hAnsi="Arial" w:cs="Arial"/>
          <w:color w:val="000000"/>
        </w:rPr>
        <w:t xml:space="preserve"> until January 2017 and updated it to May 2020 without language restrictions</w:t>
      </w:r>
      <w:r w:rsidRPr="00E67CE5">
        <w:rPr>
          <w:rFonts w:ascii="Arial" w:hAnsi="Arial" w:cs="Arial"/>
          <w:color w:val="000000"/>
        </w:rPr>
        <w:t>.</w:t>
      </w:r>
      <w:r>
        <w:rPr>
          <w:rFonts w:ascii="Arial" w:hAnsi="Arial" w:cs="Arial"/>
          <w:color w:val="000000"/>
        </w:rPr>
        <w:t xml:space="preserve"> </w:t>
      </w:r>
      <w:r w:rsidRPr="00DD53FA">
        <w:rPr>
          <w:rFonts w:ascii="Arial" w:hAnsi="Arial" w:cs="Arial"/>
          <w:color w:val="000000"/>
        </w:rPr>
        <w:t xml:space="preserve">We calculated the impact on mortality </w:t>
      </w:r>
      <w:r>
        <w:rPr>
          <w:rFonts w:ascii="Arial" w:hAnsi="Arial" w:cs="Arial"/>
          <w:color w:val="000000"/>
        </w:rPr>
        <w:t xml:space="preserve">and VTE occurrence </w:t>
      </w:r>
      <w:r w:rsidRPr="00DD53FA">
        <w:rPr>
          <w:rFonts w:ascii="Arial" w:hAnsi="Arial" w:cs="Arial"/>
          <w:color w:val="000000"/>
        </w:rPr>
        <w:t>through multivariable hierarchical models with patient-level variables as fixed effects and a categorical trial variable as a random effect, adjusting for age, cancer type and metastasis status. Interaction terms were tested to investigate effects in predefined subgroups.</w:t>
      </w:r>
    </w:p>
    <w:p w14:paraId="6C24ADAA" w14:textId="44113B7A" w:rsidR="0064223B" w:rsidRDefault="0064223B" w:rsidP="00162A96">
      <w:pPr>
        <w:spacing w:line="480" w:lineRule="auto"/>
        <w:rPr>
          <w:rFonts w:ascii="Arial" w:hAnsi="Arial" w:cs="Arial"/>
          <w:color w:val="000000"/>
        </w:rPr>
      </w:pPr>
      <w:r>
        <w:rPr>
          <w:rFonts w:ascii="Arial" w:hAnsi="Arial" w:cs="Arial"/>
          <w:b/>
          <w:color w:val="000000"/>
        </w:rPr>
        <w:t>Findings</w:t>
      </w:r>
      <w:r w:rsidRPr="00DD53FA">
        <w:rPr>
          <w:rFonts w:ascii="Arial" w:hAnsi="Arial" w:cs="Arial"/>
          <w:b/>
          <w:color w:val="000000"/>
        </w:rPr>
        <w:t xml:space="preserve">: </w:t>
      </w:r>
      <w:r>
        <w:rPr>
          <w:rFonts w:ascii="Arial" w:hAnsi="Arial" w:cs="Arial"/>
          <w:color w:val="000000"/>
        </w:rPr>
        <w:t>We obtained data from 14</w:t>
      </w:r>
      <w:r w:rsidRPr="00DD53FA">
        <w:rPr>
          <w:rFonts w:ascii="Arial" w:hAnsi="Arial" w:cs="Arial"/>
          <w:color w:val="000000"/>
        </w:rPr>
        <w:t xml:space="preserve"> of 1</w:t>
      </w:r>
      <w:r>
        <w:rPr>
          <w:rFonts w:ascii="Arial" w:hAnsi="Arial" w:cs="Arial"/>
          <w:color w:val="000000"/>
        </w:rPr>
        <w:t>9</w:t>
      </w:r>
      <w:r w:rsidRPr="00DD53FA">
        <w:rPr>
          <w:rFonts w:ascii="Arial" w:hAnsi="Arial" w:cs="Arial"/>
          <w:color w:val="000000"/>
        </w:rPr>
        <w:t xml:space="preserve"> RCTs (8,278</w:t>
      </w:r>
      <w:r>
        <w:rPr>
          <w:rFonts w:ascii="Arial" w:hAnsi="Arial" w:cs="Arial"/>
          <w:color w:val="000000"/>
        </w:rPr>
        <w:t xml:space="preserve"> of </w:t>
      </w:r>
      <w:r w:rsidRPr="00DD53FA">
        <w:rPr>
          <w:rFonts w:ascii="Arial" w:hAnsi="Arial" w:cs="Arial"/>
          <w:color w:val="000000"/>
        </w:rPr>
        <w:t>10,041</w:t>
      </w:r>
      <w:r>
        <w:rPr>
          <w:rFonts w:ascii="Arial" w:hAnsi="Arial" w:cs="Arial"/>
          <w:color w:val="000000"/>
        </w:rPr>
        <w:t xml:space="preserve"> participants</w:t>
      </w:r>
      <w:r w:rsidRPr="00DD53FA">
        <w:rPr>
          <w:rFonts w:ascii="Arial" w:hAnsi="Arial" w:cs="Arial"/>
          <w:color w:val="000000"/>
        </w:rPr>
        <w:t xml:space="preserve">). Meta-analysis revealed an adjusted relative risk </w:t>
      </w:r>
      <w:r>
        <w:rPr>
          <w:rFonts w:ascii="Arial" w:hAnsi="Arial" w:cs="Arial"/>
          <w:color w:val="000000"/>
        </w:rPr>
        <w:t xml:space="preserve">(RR) </w:t>
      </w:r>
      <w:r w:rsidRPr="00DD53FA">
        <w:rPr>
          <w:rFonts w:ascii="Arial" w:hAnsi="Arial" w:cs="Arial"/>
          <w:color w:val="000000"/>
        </w:rPr>
        <w:t>of mortality at one year of 0.99 (95% CI: 0.9</w:t>
      </w:r>
      <w:r>
        <w:rPr>
          <w:rFonts w:ascii="Arial" w:hAnsi="Arial" w:cs="Arial"/>
          <w:color w:val="000000"/>
        </w:rPr>
        <w:t>3</w:t>
      </w:r>
      <w:r w:rsidRPr="00DD53FA">
        <w:rPr>
          <w:rFonts w:ascii="Arial" w:hAnsi="Arial" w:cs="Arial"/>
          <w:color w:val="000000"/>
        </w:rPr>
        <w:t>, 1.0</w:t>
      </w:r>
      <w:r>
        <w:rPr>
          <w:rFonts w:ascii="Arial" w:hAnsi="Arial" w:cs="Arial"/>
          <w:color w:val="000000"/>
        </w:rPr>
        <w:t>6</w:t>
      </w:r>
      <w:r w:rsidRPr="00DD53FA">
        <w:rPr>
          <w:rFonts w:ascii="Arial" w:hAnsi="Arial" w:cs="Arial"/>
          <w:color w:val="000000"/>
        </w:rPr>
        <w:t xml:space="preserve">) and a hazard ratio of </w:t>
      </w:r>
      <w:r w:rsidRPr="007A281D">
        <w:rPr>
          <w:rFonts w:ascii="Arial" w:hAnsi="Arial" w:cs="Arial"/>
          <w:color w:val="000000"/>
        </w:rPr>
        <w:t>0.99 (95% CI: 0.94, 1.05)</w:t>
      </w:r>
      <w:r w:rsidRPr="00DD53FA">
        <w:rPr>
          <w:rFonts w:ascii="Arial" w:hAnsi="Arial" w:cs="Arial"/>
          <w:color w:val="000000"/>
        </w:rPr>
        <w:t xml:space="preserve">. The </w:t>
      </w:r>
      <w:r>
        <w:rPr>
          <w:rFonts w:ascii="Arial" w:hAnsi="Arial" w:cs="Arial"/>
          <w:color w:val="000000"/>
        </w:rPr>
        <w:t>adjusted RR</w:t>
      </w:r>
      <w:r w:rsidRPr="00DD53FA">
        <w:rPr>
          <w:rFonts w:ascii="Arial" w:hAnsi="Arial" w:cs="Arial"/>
          <w:color w:val="000000"/>
        </w:rPr>
        <w:t xml:space="preserve"> </w:t>
      </w:r>
      <w:r>
        <w:rPr>
          <w:rFonts w:ascii="Arial" w:hAnsi="Arial" w:cs="Arial"/>
          <w:color w:val="000000"/>
        </w:rPr>
        <w:t xml:space="preserve">for VTE was 0.58 (95% CI: 0.47, 0.071), </w:t>
      </w:r>
      <w:r w:rsidRPr="00DD53FA">
        <w:rPr>
          <w:rFonts w:ascii="Arial" w:hAnsi="Arial" w:cs="Arial"/>
          <w:color w:val="000000"/>
        </w:rPr>
        <w:t xml:space="preserve">for major bleeding </w:t>
      </w:r>
      <w:r>
        <w:rPr>
          <w:rFonts w:ascii="Arial" w:hAnsi="Arial" w:cs="Arial"/>
          <w:color w:val="000000"/>
        </w:rPr>
        <w:t>1.27 (95% CI: 0.92, 1.74), and for minor bleeding 1.34 (95% CI: 1.19, 1.51)</w:t>
      </w:r>
      <w:r w:rsidRPr="00DD53FA">
        <w:rPr>
          <w:rFonts w:ascii="Arial" w:hAnsi="Arial" w:cs="Arial"/>
          <w:color w:val="000000"/>
        </w:rPr>
        <w:t xml:space="preserve">. </w:t>
      </w:r>
      <w:r w:rsidRPr="007A281D">
        <w:rPr>
          <w:rFonts w:ascii="Arial" w:hAnsi="Arial" w:cs="Arial"/>
          <w:color w:val="000000"/>
        </w:rPr>
        <w:t>Subgroup analysis</w:t>
      </w:r>
      <w:r>
        <w:rPr>
          <w:rFonts w:ascii="Arial" w:hAnsi="Arial" w:cs="Arial"/>
          <w:color w:val="000000"/>
        </w:rPr>
        <w:t xml:space="preserve"> </w:t>
      </w:r>
      <w:r w:rsidRPr="007A281D">
        <w:rPr>
          <w:rFonts w:ascii="Arial" w:hAnsi="Arial" w:cs="Arial"/>
          <w:color w:val="000000"/>
        </w:rPr>
        <w:t xml:space="preserve">of VTE occurrence by cancer type identified </w:t>
      </w:r>
      <w:r>
        <w:rPr>
          <w:rFonts w:ascii="Arial" w:hAnsi="Arial" w:cs="Arial"/>
          <w:color w:val="000000"/>
        </w:rPr>
        <w:t xml:space="preserve">the most certain benefit from heparin treatment in patients with </w:t>
      </w:r>
      <w:r w:rsidRPr="007A281D">
        <w:rPr>
          <w:rFonts w:ascii="Arial" w:hAnsi="Arial" w:cs="Arial"/>
          <w:color w:val="000000"/>
        </w:rPr>
        <w:t>lung cancer RR=0.5</w:t>
      </w:r>
      <w:r>
        <w:rPr>
          <w:rFonts w:ascii="Arial" w:hAnsi="Arial" w:cs="Arial"/>
          <w:color w:val="000000"/>
        </w:rPr>
        <w:t>9</w:t>
      </w:r>
      <w:r w:rsidRPr="007A281D">
        <w:rPr>
          <w:rFonts w:ascii="Arial" w:hAnsi="Arial" w:cs="Arial"/>
          <w:color w:val="000000"/>
        </w:rPr>
        <w:t xml:space="preserve"> (95% CI: 0.</w:t>
      </w:r>
      <w:r>
        <w:rPr>
          <w:rFonts w:ascii="Arial" w:hAnsi="Arial" w:cs="Arial"/>
          <w:color w:val="000000"/>
        </w:rPr>
        <w:t>42</w:t>
      </w:r>
      <w:r w:rsidRPr="007A281D">
        <w:rPr>
          <w:rFonts w:ascii="Arial" w:hAnsi="Arial" w:cs="Arial"/>
          <w:color w:val="000000"/>
        </w:rPr>
        <w:t>, 0.</w:t>
      </w:r>
      <w:r>
        <w:rPr>
          <w:rFonts w:ascii="Arial" w:hAnsi="Arial" w:cs="Arial"/>
          <w:color w:val="000000"/>
        </w:rPr>
        <w:t>81</w:t>
      </w:r>
      <w:r w:rsidRPr="007A281D">
        <w:rPr>
          <w:rFonts w:ascii="Arial" w:hAnsi="Arial" w:cs="Arial"/>
          <w:color w:val="000000"/>
        </w:rPr>
        <w:t>)</w:t>
      </w:r>
      <w:r>
        <w:rPr>
          <w:rFonts w:ascii="Arial" w:hAnsi="Arial" w:cs="Arial"/>
          <w:color w:val="000000"/>
        </w:rPr>
        <w:t xml:space="preserve"> which dominated the overall reduction in VTE</w:t>
      </w:r>
      <w:r w:rsidRPr="007A281D">
        <w:rPr>
          <w:rFonts w:ascii="Arial" w:hAnsi="Arial" w:cs="Arial"/>
          <w:color w:val="000000"/>
        </w:rPr>
        <w:t>.</w:t>
      </w:r>
      <w:r w:rsidRPr="00CB7A9E">
        <w:rPr>
          <w:rFonts w:ascii="Arial" w:hAnsi="Arial" w:cs="Arial"/>
          <w:color w:val="000000"/>
        </w:rPr>
        <w:t xml:space="preserve"> </w:t>
      </w:r>
      <w:r>
        <w:rPr>
          <w:rFonts w:ascii="Arial" w:hAnsi="Arial" w:cs="Arial"/>
          <w:color w:val="000000"/>
        </w:rPr>
        <w:t>C</w:t>
      </w:r>
      <w:r w:rsidRPr="00CB7A9E">
        <w:rPr>
          <w:rFonts w:ascii="Arial" w:hAnsi="Arial" w:cs="Arial"/>
          <w:color w:val="000000"/>
        </w:rPr>
        <w:t xml:space="preserve">ertainty of the evidence </w:t>
      </w:r>
      <w:r>
        <w:rPr>
          <w:rFonts w:ascii="Arial" w:hAnsi="Arial" w:cs="Arial"/>
          <w:color w:val="000000"/>
        </w:rPr>
        <w:t>for the outcomes ranged from moderate</w:t>
      </w:r>
      <w:r w:rsidRPr="00CB7A9E">
        <w:rPr>
          <w:rFonts w:ascii="Arial" w:hAnsi="Arial" w:cs="Arial"/>
          <w:color w:val="000000"/>
        </w:rPr>
        <w:t xml:space="preserve"> to high.</w:t>
      </w:r>
    </w:p>
    <w:p w14:paraId="5627421A" w14:textId="64238F36" w:rsidR="0064223B" w:rsidRDefault="0064223B" w:rsidP="00162A96">
      <w:pPr>
        <w:spacing w:line="480" w:lineRule="auto"/>
        <w:rPr>
          <w:rFonts w:ascii="Arial" w:hAnsi="Arial" w:cs="Arial"/>
          <w:color w:val="000000"/>
        </w:rPr>
      </w:pPr>
      <w:r>
        <w:rPr>
          <w:rFonts w:ascii="Arial" w:hAnsi="Arial" w:cs="Arial"/>
          <w:b/>
          <w:color w:val="000000"/>
        </w:rPr>
        <w:t>Interpretation</w:t>
      </w:r>
      <w:r w:rsidRPr="00DD53FA">
        <w:rPr>
          <w:rFonts w:ascii="Arial" w:hAnsi="Arial" w:cs="Arial"/>
          <w:b/>
          <w:color w:val="000000"/>
        </w:rPr>
        <w:t xml:space="preserve">: </w:t>
      </w:r>
      <w:r w:rsidRPr="00DD53FA">
        <w:rPr>
          <w:rFonts w:ascii="Arial" w:hAnsi="Arial" w:cs="Arial"/>
          <w:color w:val="000000"/>
        </w:rPr>
        <w:t xml:space="preserve">LMWH reduces risk of VTE without </w:t>
      </w:r>
      <w:r>
        <w:rPr>
          <w:rFonts w:ascii="Arial" w:hAnsi="Arial" w:cs="Arial"/>
          <w:color w:val="000000"/>
        </w:rPr>
        <w:t xml:space="preserve">importantly </w:t>
      </w:r>
      <w:r w:rsidRPr="00DD53FA">
        <w:rPr>
          <w:rFonts w:ascii="Arial" w:hAnsi="Arial" w:cs="Arial"/>
          <w:color w:val="000000"/>
        </w:rPr>
        <w:t xml:space="preserve">increasing risk of </w:t>
      </w:r>
      <w:r>
        <w:rPr>
          <w:rFonts w:ascii="Arial" w:hAnsi="Arial" w:cs="Arial"/>
          <w:color w:val="000000"/>
        </w:rPr>
        <w:t xml:space="preserve">major </w:t>
      </w:r>
      <w:r w:rsidRPr="00DD53FA">
        <w:rPr>
          <w:rFonts w:ascii="Arial" w:hAnsi="Arial" w:cs="Arial"/>
          <w:color w:val="000000"/>
        </w:rPr>
        <w:t xml:space="preserve">bleeding but does not </w:t>
      </w:r>
      <w:r>
        <w:rPr>
          <w:rFonts w:ascii="Arial" w:hAnsi="Arial" w:cs="Arial"/>
          <w:color w:val="000000"/>
        </w:rPr>
        <w:t>prolong</w:t>
      </w:r>
      <w:r w:rsidRPr="00DD53FA">
        <w:rPr>
          <w:rFonts w:ascii="Arial" w:hAnsi="Arial" w:cs="Arial"/>
          <w:color w:val="000000"/>
        </w:rPr>
        <w:t xml:space="preserve"> survival.</w:t>
      </w:r>
    </w:p>
    <w:p w14:paraId="3B1FB64A" w14:textId="77777777" w:rsidR="0064223B" w:rsidRDefault="0064223B">
      <w:pPr>
        <w:rPr>
          <w:rFonts w:ascii="Arial" w:hAnsi="Arial" w:cs="Arial"/>
          <w:color w:val="000000"/>
        </w:rPr>
      </w:pPr>
      <w:r>
        <w:rPr>
          <w:rFonts w:ascii="Arial" w:hAnsi="Arial" w:cs="Arial"/>
          <w:color w:val="000000"/>
        </w:rPr>
        <w:br w:type="page"/>
      </w:r>
    </w:p>
    <w:p w14:paraId="1CFE6091" w14:textId="77777777" w:rsidR="0064223B" w:rsidRPr="00650051" w:rsidRDefault="0064223B" w:rsidP="00650051">
      <w:pPr>
        <w:spacing w:line="360" w:lineRule="auto"/>
        <w:rPr>
          <w:rFonts w:ascii="Arial" w:hAnsi="Arial" w:cs="Arial"/>
          <w:b/>
          <w:bCs/>
          <w:i/>
          <w:iCs/>
          <w:color w:val="000000"/>
          <w:u w:val="single"/>
        </w:rPr>
      </w:pPr>
      <w:r w:rsidRPr="00650051">
        <w:rPr>
          <w:rFonts w:ascii="Arial" w:hAnsi="Arial" w:cs="Arial"/>
          <w:b/>
          <w:bCs/>
          <w:i/>
          <w:iCs/>
          <w:color w:val="000000"/>
          <w:u w:val="single"/>
        </w:rPr>
        <w:lastRenderedPageBreak/>
        <w:t>Evidence before this study</w:t>
      </w:r>
    </w:p>
    <w:p w14:paraId="65CB59EA" w14:textId="12B18947" w:rsidR="0064223B" w:rsidRPr="00650051" w:rsidRDefault="0064223B" w:rsidP="00650051">
      <w:pPr>
        <w:spacing w:line="480" w:lineRule="auto"/>
        <w:rPr>
          <w:rFonts w:ascii="Arial" w:hAnsi="Arial" w:cs="Arial"/>
          <w:color w:val="000000"/>
        </w:rPr>
      </w:pPr>
      <w:r w:rsidRPr="00650051">
        <w:rPr>
          <w:rFonts w:ascii="Arial" w:hAnsi="Arial" w:cs="Arial"/>
          <w:color w:val="000000"/>
        </w:rPr>
        <w:t xml:space="preserve">We previously conducted a study-level systematic review and meta-analysis suggesting that cancer patients may experience a survival benefit from prophylactic heparin, in addition to the reduction in venous thromboembolism. There also was uncertainty if antithrombotic effect differs by cancer subtype. </w:t>
      </w:r>
      <w:r>
        <w:rPr>
          <w:rFonts w:ascii="Arial" w:hAnsi="Arial" w:cs="Arial"/>
          <w:color w:val="000000"/>
        </w:rPr>
        <w:t xml:space="preserve">These analyses were based on a </w:t>
      </w:r>
      <w:r w:rsidRPr="00650051">
        <w:rPr>
          <w:rFonts w:ascii="Arial" w:hAnsi="Arial" w:cs="Arial"/>
          <w:color w:val="000000"/>
        </w:rPr>
        <w:t xml:space="preserve">search </w:t>
      </w:r>
      <w:r>
        <w:rPr>
          <w:rFonts w:ascii="Arial" w:hAnsi="Arial" w:cs="Arial"/>
          <w:color w:val="000000"/>
        </w:rPr>
        <w:t xml:space="preserve">of </w:t>
      </w:r>
      <w:r w:rsidRPr="00650051">
        <w:rPr>
          <w:rFonts w:ascii="Arial" w:hAnsi="Arial" w:cs="Arial"/>
          <w:color w:val="000000"/>
        </w:rPr>
        <w:t>MEDLINE, EMBASE, and the Cochrane Library</w:t>
      </w:r>
      <w:r>
        <w:rPr>
          <w:rFonts w:ascii="Arial" w:hAnsi="Arial" w:cs="Arial"/>
          <w:color w:val="000000"/>
        </w:rPr>
        <w:t xml:space="preserve"> databases</w:t>
      </w:r>
      <w:r w:rsidRPr="00650051">
        <w:rPr>
          <w:rFonts w:ascii="Arial" w:hAnsi="Arial" w:cs="Arial"/>
          <w:color w:val="000000"/>
        </w:rPr>
        <w:t xml:space="preserve"> for randomized controlled trials comparing parenteral anticoagulants to placebo or standard care among patients with solid cancer until </w:t>
      </w:r>
      <w:r>
        <w:rPr>
          <w:rFonts w:ascii="Arial" w:hAnsi="Arial" w:cs="Arial"/>
          <w:color w:val="000000"/>
        </w:rPr>
        <w:t>February 2016</w:t>
      </w:r>
      <w:r w:rsidRPr="00650051">
        <w:rPr>
          <w:rFonts w:ascii="Arial" w:hAnsi="Arial" w:cs="Arial"/>
          <w:color w:val="000000"/>
        </w:rPr>
        <w:t>. Patients had no indications for prophylactic or therapeutic anticoagulation</w:t>
      </w:r>
      <w:r>
        <w:rPr>
          <w:rFonts w:ascii="Arial" w:hAnsi="Arial" w:cs="Arial"/>
          <w:color w:val="000000"/>
        </w:rPr>
        <w:t xml:space="preserve"> and were ambulatory</w:t>
      </w:r>
      <w:r w:rsidRPr="00650051">
        <w:rPr>
          <w:rFonts w:ascii="Arial" w:hAnsi="Arial" w:cs="Arial"/>
          <w:color w:val="000000"/>
        </w:rPr>
        <w:t>. Search terms included “heparin”, “cancer”, “clinical trial” as well as the names of various types of low-molecular weight heparin. We placed no language restrictions.</w:t>
      </w:r>
      <w:r>
        <w:rPr>
          <w:rFonts w:ascii="Arial" w:hAnsi="Arial" w:cs="Arial"/>
          <w:color w:val="000000"/>
        </w:rPr>
        <w:t xml:space="preserve"> Study level meta-analyses limited in-depth exploration of subgroup effects leading our research team to conduct an individual participant data meta-analysis.</w:t>
      </w:r>
    </w:p>
    <w:p w14:paraId="45454B89" w14:textId="77777777" w:rsidR="0064223B" w:rsidRPr="00650051" w:rsidRDefault="0064223B" w:rsidP="00650051">
      <w:pPr>
        <w:spacing w:line="360" w:lineRule="auto"/>
        <w:rPr>
          <w:rFonts w:ascii="Arial" w:hAnsi="Arial" w:cs="Arial"/>
          <w:b/>
          <w:bCs/>
          <w:i/>
          <w:iCs/>
          <w:color w:val="000000"/>
          <w:u w:val="single"/>
        </w:rPr>
      </w:pPr>
      <w:r w:rsidRPr="00650051">
        <w:rPr>
          <w:rFonts w:ascii="Arial" w:hAnsi="Arial" w:cs="Arial"/>
          <w:b/>
          <w:bCs/>
          <w:i/>
          <w:iCs/>
          <w:color w:val="000000"/>
          <w:u w:val="single"/>
        </w:rPr>
        <w:t>Added value of this study</w:t>
      </w:r>
    </w:p>
    <w:p w14:paraId="0E6FA555" w14:textId="77777777" w:rsidR="0064223B" w:rsidRDefault="0064223B" w:rsidP="0000641E">
      <w:pPr>
        <w:spacing w:line="480" w:lineRule="auto"/>
        <w:rPr>
          <w:rFonts w:ascii="Arial" w:hAnsi="Arial" w:cs="Arial"/>
          <w:color w:val="000000"/>
        </w:rPr>
      </w:pPr>
      <w:r>
        <w:rPr>
          <w:rFonts w:ascii="Arial" w:hAnsi="Arial" w:cs="Arial"/>
          <w:color w:val="000000"/>
        </w:rPr>
        <w:t xml:space="preserve">To our knowledge, this is the first individual participant data meta-analysis investigating the effects of heparin use on patient important outcomes for cancer patients. </w:t>
      </w:r>
      <w:r>
        <w:rPr>
          <w:rFonts w:ascii="Arial" w:hAnsi="Arial" w:cs="Arial"/>
        </w:rPr>
        <w:t>Our analysis indicates that heparin does not prolong survival and it appears to have no direct clinical antitumor effect.</w:t>
      </w:r>
      <w:r w:rsidDel="000A53C9">
        <w:rPr>
          <w:rFonts w:ascii="Arial" w:hAnsi="Arial" w:cs="Arial"/>
        </w:rPr>
        <w:t xml:space="preserve"> </w:t>
      </w:r>
      <w:r>
        <w:rPr>
          <w:rFonts w:ascii="Arial" w:hAnsi="Arial" w:cs="Arial"/>
        </w:rPr>
        <w:t>However, there are VTE risk reductions for patients with breast, lung, colon/prostate, lung, pancreatic and other types of cancer, without importantly increasing the risk of major bleeding or thrombocytopenia.</w:t>
      </w:r>
      <w:r w:rsidRPr="00AF0DF0">
        <w:rPr>
          <w:rFonts w:ascii="Arial" w:hAnsi="Arial" w:cs="Arial"/>
        </w:rPr>
        <w:t xml:space="preserve"> </w:t>
      </w:r>
      <w:r>
        <w:rPr>
          <w:rFonts w:ascii="Arial" w:hAnsi="Arial" w:cs="Arial"/>
        </w:rPr>
        <w:t xml:space="preserve">However, minor bleeding appears to be increased. Where power permitted, subgroup analyses exploring differential effects of LMWH by cancer type did not identify any significant associations for mortality or VTE outcomes. The primary strength of this study is the consolidation of high-quality patient-level data from 14 randomised clinical trials and their combination through rigorous and standardised analysis. This meta-analysis included a heterogeneous population in terms of types of cancer. However, with slightly more than half of the patients having lung cancer only 4 specific types of cancer demonstrated sufficient </w:t>
      </w:r>
      <w:r>
        <w:rPr>
          <w:rFonts w:ascii="Arial" w:hAnsi="Arial" w:cs="Arial"/>
        </w:rPr>
        <w:lastRenderedPageBreak/>
        <w:t>representation to support specific analysis. Additional research examining the effects of LMWH by type, dose, and schedule may be required and should include quality of life outcomes.</w:t>
      </w:r>
    </w:p>
    <w:p w14:paraId="5430FB6C" w14:textId="77777777" w:rsidR="0064223B" w:rsidRPr="00650051" w:rsidRDefault="0064223B" w:rsidP="0000641E">
      <w:pPr>
        <w:spacing w:line="480" w:lineRule="auto"/>
        <w:rPr>
          <w:rFonts w:ascii="Arial" w:hAnsi="Arial" w:cs="Arial"/>
          <w:color w:val="000000"/>
        </w:rPr>
      </w:pPr>
    </w:p>
    <w:p w14:paraId="762A324D" w14:textId="77777777" w:rsidR="0064223B" w:rsidRPr="00650051" w:rsidRDefault="0064223B" w:rsidP="00650051">
      <w:pPr>
        <w:spacing w:line="360" w:lineRule="auto"/>
        <w:rPr>
          <w:rFonts w:ascii="Arial" w:hAnsi="Arial" w:cs="Arial"/>
          <w:b/>
          <w:bCs/>
          <w:i/>
          <w:iCs/>
          <w:color w:val="000000"/>
          <w:u w:val="single"/>
        </w:rPr>
      </w:pPr>
      <w:r w:rsidRPr="00650051">
        <w:rPr>
          <w:rFonts w:ascii="Arial" w:hAnsi="Arial" w:cs="Arial"/>
          <w:b/>
          <w:bCs/>
          <w:i/>
          <w:iCs/>
          <w:color w:val="000000"/>
          <w:u w:val="single"/>
        </w:rPr>
        <w:t>Implications of all the available evidence</w:t>
      </w:r>
      <w:r>
        <w:rPr>
          <w:rFonts w:ascii="Arial" w:hAnsi="Arial" w:cs="Arial"/>
          <w:b/>
          <w:bCs/>
          <w:i/>
          <w:iCs/>
          <w:color w:val="000000"/>
          <w:u w:val="single"/>
        </w:rPr>
        <w:t xml:space="preserve"> </w:t>
      </w:r>
    </w:p>
    <w:p w14:paraId="525FC149" w14:textId="6C7CDA5C" w:rsidR="0064223B" w:rsidRDefault="0064223B" w:rsidP="006D68E8">
      <w:pPr>
        <w:spacing w:line="480" w:lineRule="auto"/>
        <w:rPr>
          <w:rFonts w:ascii="Arial" w:hAnsi="Arial" w:cs="Arial"/>
        </w:rPr>
      </w:pPr>
      <w:r w:rsidRPr="00650051">
        <w:rPr>
          <w:rFonts w:ascii="Arial" w:hAnsi="Arial" w:cs="Arial"/>
          <w:color w:val="000000"/>
        </w:rPr>
        <w:t xml:space="preserve">This study supports </w:t>
      </w:r>
      <w:r>
        <w:rPr>
          <w:rFonts w:ascii="Arial" w:hAnsi="Arial" w:cs="Arial"/>
          <w:color w:val="000000"/>
        </w:rPr>
        <w:t xml:space="preserve"> </w:t>
      </w:r>
      <w:r w:rsidRPr="00650051">
        <w:rPr>
          <w:rFonts w:ascii="Arial" w:hAnsi="Arial" w:cs="Arial"/>
          <w:color w:val="000000"/>
        </w:rPr>
        <w:t xml:space="preserve">that LMWH prophylaxis decreases the risk of VTE by almost half without importantly increasing the risk of </w:t>
      </w:r>
      <w:r>
        <w:rPr>
          <w:rFonts w:ascii="Arial" w:hAnsi="Arial" w:cs="Arial"/>
          <w:color w:val="000000"/>
        </w:rPr>
        <w:t xml:space="preserve">major </w:t>
      </w:r>
      <w:r w:rsidRPr="00650051">
        <w:rPr>
          <w:rFonts w:ascii="Arial" w:hAnsi="Arial" w:cs="Arial"/>
          <w:color w:val="000000"/>
        </w:rPr>
        <w:t>bleeding or thrombocytopenia</w:t>
      </w:r>
      <w:r>
        <w:rPr>
          <w:rFonts w:ascii="Arial" w:hAnsi="Arial" w:cs="Arial"/>
          <w:color w:val="000000"/>
        </w:rPr>
        <w:t>, but that of minor bleeding</w:t>
      </w:r>
      <w:r w:rsidRPr="00650051">
        <w:rPr>
          <w:rFonts w:ascii="Arial" w:hAnsi="Arial" w:cs="Arial"/>
          <w:color w:val="000000"/>
        </w:rPr>
        <w:t>. Heparin in this setting does not prolong survival</w:t>
      </w:r>
      <w:r>
        <w:rPr>
          <w:rFonts w:ascii="Arial" w:hAnsi="Arial" w:cs="Arial"/>
          <w:color w:val="000000"/>
        </w:rPr>
        <w:t>.</w:t>
      </w:r>
      <w:r w:rsidRPr="00650051">
        <w:rPr>
          <w:rFonts w:ascii="Arial" w:hAnsi="Arial" w:cs="Arial"/>
          <w:color w:val="000000"/>
        </w:rPr>
        <w:t xml:space="preserve"> </w:t>
      </w:r>
      <w:r>
        <w:rPr>
          <w:rFonts w:ascii="Arial" w:hAnsi="Arial" w:cs="Arial"/>
        </w:rPr>
        <w:t>Our findings are relevant for guidelines, in particular those by the American Society of Hematology, which use these data in its upcoming guidelines. Our study level meta-analyses have also been used in guidelines of the American Society of Clinical Oncology and the In</w:t>
      </w:r>
      <w:r w:rsidRPr="00CE1888">
        <w:rPr>
          <w:rFonts w:ascii="Arial" w:hAnsi="Arial" w:cs="Arial"/>
        </w:rPr>
        <w:t>ternational Society on</w:t>
      </w:r>
      <w:r>
        <w:rPr>
          <w:rFonts w:ascii="Arial" w:hAnsi="Arial" w:cs="Arial"/>
        </w:rPr>
        <w:t xml:space="preserve"> </w:t>
      </w:r>
      <w:r w:rsidRPr="00CE1888">
        <w:rPr>
          <w:rFonts w:ascii="Arial" w:hAnsi="Arial" w:cs="Arial"/>
        </w:rPr>
        <w:t>Thrombosis and Haemostasis</w:t>
      </w:r>
      <w:r>
        <w:rPr>
          <w:rFonts w:ascii="Arial" w:hAnsi="Arial" w:cs="Arial"/>
        </w:rPr>
        <w:t>. Depending on the values a patient assigns to the different outcomes, patients may opt for or against prophylaxis. This data also needs to be seen in context of new data emerging about new direct oral anticoagulants. Other basic and clinical research should focus on a comparison with new direct oral anticoagulants that seem to have similar effects on venous thromboembolism but less data on bleeding risk.</w:t>
      </w:r>
    </w:p>
    <w:p w14:paraId="3E86EC3B" w14:textId="77777777" w:rsidR="0064223B" w:rsidRDefault="0064223B">
      <w:pPr>
        <w:rPr>
          <w:rFonts w:ascii="Arial" w:hAnsi="Arial" w:cs="Arial"/>
        </w:rPr>
      </w:pPr>
      <w:r>
        <w:rPr>
          <w:rFonts w:ascii="Arial" w:hAnsi="Arial" w:cs="Arial"/>
        </w:rPr>
        <w:br w:type="page"/>
      </w:r>
    </w:p>
    <w:p w14:paraId="59215DB0" w14:textId="77777777" w:rsidR="0064223B" w:rsidRDefault="0064223B" w:rsidP="0067117E">
      <w:pPr>
        <w:spacing w:line="480" w:lineRule="auto"/>
        <w:rPr>
          <w:rFonts w:ascii="Arial" w:hAnsi="Arial" w:cs="Arial"/>
          <w:color w:val="000000"/>
        </w:rPr>
      </w:pPr>
      <w:r w:rsidRPr="00077315">
        <w:rPr>
          <w:rStyle w:val="Heading1Char"/>
          <w:rFonts w:ascii="Arial" w:hAnsi="Arial" w:cs="Arial"/>
        </w:rPr>
        <w:lastRenderedPageBreak/>
        <w:t>Funding</w:t>
      </w:r>
      <w:r w:rsidRPr="00DD53FA">
        <w:rPr>
          <w:rFonts w:ascii="Arial" w:hAnsi="Arial" w:cs="Arial"/>
          <w:color w:val="000000"/>
        </w:rPr>
        <w:t xml:space="preserve"> </w:t>
      </w:r>
    </w:p>
    <w:p w14:paraId="70140300" w14:textId="77777777" w:rsidR="0064223B" w:rsidRPr="00DD53FA" w:rsidRDefault="0064223B" w:rsidP="0067117E">
      <w:pPr>
        <w:spacing w:line="480" w:lineRule="auto"/>
        <w:rPr>
          <w:rFonts w:ascii="Arial" w:hAnsi="Arial" w:cs="Arial"/>
          <w:color w:val="000000"/>
        </w:rPr>
      </w:pPr>
      <w:r w:rsidRPr="00DD53FA">
        <w:rPr>
          <w:rFonts w:ascii="Arial" w:hAnsi="Arial" w:cs="Arial"/>
          <w:color w:val="000000"/>
        </w:rPr>
        <w:t>Canadian Institutes of Health Research knowledge synthesis grant, KRS 126594</w:t>
      </w:r>
      <w:r>
        <w:rPr>
          <w:rFonts w:ascii="Arial" w:hAnsi="Arial" w:cs="Arial"/>
          <w:color w:val="000000"/>
        </w:rPr>
        <w:t>.</w:t>
      </w:r>
    </w:p>
    <w:p w14:paraId="4AC3FD94" w14:textId="77777777" w:rsidR="0064223B" w:rsidRDefault="0064223B" w:rsidP="0067117E">
      <w:pPr>
        <w:autoSpaceDE w:val="0"/>
        <w:autoSpaceDN w:val="0"/>
        <w:adjustRightInd w:val="0"/>
        <w:spacing w:after="0" w:line="480" w:lineRule="auto"/>
        <w:rPr>
          <w:rFonts w:ascii="Arial" w:hAnsi="Arial" w:cs="Arial"/>
          <w:b/>
          <w:color w:val="000000"/>
        </w:rPr>
      </w:pPr>
      <w:r w:rsidRPr="00077315">
        <w:rPr>
          <w:rStyle w:val="Heading1Char"/>
          <w:rFonts w:ascii="Arial" w:hAnsi="Arial" w:cs="Arial"/>
        </w:rPr>
        <w:t>Registration</w:t>
      </w:r>
    </w:p>
    <w:p w14:paraId="5BE3E3DE" w14:textId="77777777" w:rsidR="0064223B" w:rsidRPr="00DD53FA" w:rsidRDefault="0064223B" w:rsidP="0067117E">
      <w:pPr>
        <w:autoSpaceDE w:val="0"/>
        <w:autoSpaceDN w:val="0"/>
        <w:adjustRightInd w:val="0"/>
        <w:spacing w:after="0" w:line="480" w:lineRule="auto"/>
        <w:rPr>
          <w:rFonts w:ascii="Arial" w:hAnsi="Arial" w:cs="Arial"/>
          <w:color w:val="000000"/>
        </w:rPr>
      </w:pPr>
      <w:r w:rsidRPr="00DD53FA">
        <w:rPr>
          <w:rFonts w:ascii="Arial" w:hAnsi="Arial" w:cs="Arial"/>
          <w:color w:val="000000"/>
        </w:rPr>
        <w:t>International Prospective Register for Systematic Reviews (PROSPERO), CRD42013003526.</w:t>
      </w:r>
    </w:p>
    <w:p w14:paraId="50A991F7" w14:textId="77777777" w:rsidR="0064223B" w:rsidRPr="00716D2F" w:rsidRDefault="0064223B" w:rsidP="00162A96">
      <w:pPr>
        <w:spacing w:line="480" w:lineRule="auto"/>
        <w:rPr>
          <w:rFonts w:ascii="Arial" w:hAnsi="Arial" w:cs="Arial"/>
          <w:color w:val="000000"/>
        </w:rPr>
      </w:pPr>
    </w:p>
    <w:p w14:paraId="1451942A" w14:textId="77777777" w:rsidR="0064223B" w:rsidRPr="003F08C8" w:rsidRDefault="0064223B" w:rsidP="003F08C8">
      <w:pPr>
        <w:pStyle w:val="Heading1"/>
        <w:rPr>
          <w:rFonts w:ascii="Arial" w:hAnsi="Arial" w:cs="Arial"/>
        </w:rPr>
      </w:pPr>
      <w:r w:rsidRPr="003F08C8">
        <w:rPr>
          <w:rFonts w:ascii="Arial" w:hAnsi="Arial" w:cs="Arial"/>
        </w:rPr>
        <w:t>Statement of prior presentation</w:t>
      </w:r>
    </w:p>
    <w:p w14:paraId="18ADC429" w14:textId="77777777" w:rsidR="0064223B" w:rsidRPr="003F08C8" w:rsidRDefault="0064223B" w:rsidP="00162A96">
      <w:pPr>
        <w:spacing w:line="480" w:lineRule="auto"/>
        <w:rPr>
          <w:rFonts w:ascii="Arial" w:hAnsi="Arial" w:cs="Arial"/>
          <w:color w:val="000000"/>
        </w:rPr>
      </w:pPr>
      <w:r>
        <w:rPr>
          <w:rFonts w:ascii="Arial" w:hAnsi="Arial" w:cs="Arial"/>
        </w:rPr>
        <w:t>Preliminary findings p</w:t>
      </w:r>
      <w:r w:rsidRPr="003F08C8">
        <w:rPr>
          <w:rFonts w:ascii="Arial" w:hAnsi="Arial" w:cs="Arial"/>
        </w:rPr>
        <w:t>res</w:t>
      </w:r>
      <w:r>
        <w:rPr>
          <w:rFonts w:ascii="Arial" w:hAnsi="Arial" w:cs="Arial"/>
        </w:rPr>
        <w:t>ented in abstract form at the 59</w:t>
      </w:r>
      <w:r w:rsidRPr="003F08C8">
        <w:rPr>
          <w:rFonts w:ascii="Arial" w:hAnsi="Arial" w:cs="Arial"/>
        </w:rPr>
        <w:t xml:space="preserve">th annual meeting of the American Society of Hematology, </w:t>
      </w:r>
      <w:r>
        <w:rPr>
          <w:rFonts w:ascii="Arial" w:hAnsi="Arial" w:cs="Arial"/>
        </w:rPr>
        <w:t>Atlanta</w:t>
      </w:r>
      <w:r w:rsidRPr="003F08C8">
        <w:rPr>
          <w:rFonts w:ascii="Arial" w:hAnsi="Arial" w:cs="Arial"/>
        </w:rPr>
        <w:t xml:space="preserve">, </w:t>
      </w:r>
      <w:r>
        <w:rPr>
          <w:rFonts w:ascii="Arial" w:hAnsi="Arial" w:cs="Arial"/>
        </w:rPr>
        <w:t>GA</w:t>
      </w:r>
      <w:r w:rsidRPr="003F08C8">
        <w:rPr>
          <w:rFonts w:ascii="Arial" w:hAnsi="Arial" w:cs="Arial"/>
        </w:rPr>
        <w:t xml:space="preserve">, December </w:t>
      </w:r>
      <w:r>
        <w:rPr>
          <w:rFonts w:ascii="Arial" w:hAnsi="Arial" w:cs="Arial"/>
        </w:rPr>
        <w:t>11, 2017</w:t>
      </w:r>
    </w:p>
    <w:p w14:paraId="5D4B1583" w14:textId="77777777" w:rsidR="0064223B" w:rsidRDefault="0064223B" w:rsidP="00162A96">
      <w:pPr>
        <w:spacing w:line="480" w:lineRule="auto"/>
        <w:rPr>
          <w:rFonts w:ascii="Arial" w:hAnsi="Arial" w:cs="Arial"/>
          <w:color w:val="000000"/>
        </w:rPr>
      </w:pPr>
    </w:p>
    <w:p w14:paraId="24851A68" w14:textId="77777777" w:rsidR="0064223B" w:rsidRDefault="0064223B" w:rsidP="00162A96">
      <w:pPr>
        <w:spacing w:line="480" w:lineRule="auto"/>
        <w:rPr>
          <w:rFonts w:ascii="Arial" w:hAnsi="Arial" w:cs="Arial"/>
          <w:color w:val="000000"/>
        </w:rPr>
      </w:pPr>
    </w:p>
    <w:p w14:paraId="2152DD20" w14:textId="77777777" w:rsidR="0064223B" w:rsidRDefault="0064223B" w:rsidP="00162A96">
      <w:pPr>
        <w:spacing w:line="480" w:lineRule="auto"/>
        <w:rPr>
          <w:rFonts w:ascii="Arial" w:hAnsi="Arial" w:cs="Arial"/>
          <w:color w:val="000000"/>
        </w:rPr>
      </w:pPr>
    </w:p>
    <w:p w14:paraId="02F9EA32" w14:textId="77777777" w:rsidR="0064223B" w:rsidRDefault="0064223B" w:rsidP="00162A96">
      <w:pPr>
        <w:spacing w:line="480" w:lineRule="auto"/>
        <w:rPr>
          <w:rFonts w:ascii="Arial" w:hAnsi="Arial" w:cs="Arial"/>
          <w:color w:val="000000"/>
        </w:rPr>
      </w:pPr>
    </w:p>
    <w:p w14:paraId="489A4446" w14:textId="77777777" w:rsidR="0064223B" w:rsidRDefault="0064223B" w:rsidP="00162A96">
      <w:pPr>
        <w:spacing w:line="480" w:lineRule="auto"/>
        <w:rPr>
          <w:rFonts w:ascii="Arial" w:hAnsi="Arial" w:cs="Arial"/>
          <w:color w:val="000000"/>
        </w:rPr>
      </w:pPr>
    </w:p>
    <w:p w14:paraId="613A0F8A" w14:textId="77777777" w:rsidR="0064223B" w:rsidRDefault="0064223B" w:rsidP="00162A96">
      <w:pPr>
        <w:spacing w:line="480" w:lineRule="auto"/>
        <w:rPr>
          <w:rFonts w:ascii="Arial" w:hAnsi="Arial" w:cs="Arial"/>
          <w:color w:val="000000"/>
        </w:rPr>
      </w:pPr>
    </w:p>
    <w:p w14:paraId="0B731760" w14:textId="77777777" w:rsidR="0064223B" w:rsidRDefault="0064223B" w:rsidP="00162A96">
      <w:pPr>
        <w:spacing w:line="480" w:lineRule="auto"/>
        <w:rPr>
          <w:rFonts w:ascii="Arial" w:hAnsi="Arial" w:cs="Arial"/>
          <w:color w:val="000000"/>
        </w:rPr>
      </w:pPr>
    </w:p>
    <w:p w14:paraId="5954631D" w14:textId="77777777" w:rsidR="0064223B" w:rsidRDefault="0064223B">
      <w:pPr>
        <w:rPr>
          <w:rFonts w:ascii="Arial" w:hAnsi="Arial" w:cs="Arial"/>
          <w:b/>
          <w:i/>
          <w:u w:val="single"/>
        </w:rPr>
      </w:pPr>
      <w:r>
        <w:rPr>
          <w:rFonts w:ascii="Arial" w:hAnsi="Arial" w:cs="Arial"/>
        </w:rPr>
        <w:br w:type="page"/>
      </w:r>
    </w:p>
    <w:p w14:paraId="156B33F1" w14:textId="77777777" w:rsidR="0064223B" w:rsidRPr="00DD53FA" w:rsidRDefault="0064223B" w:rsidP="00162A96">
      <w:pPr>
        <w:pStyle w:val="Heading1"/>
        <w:spacing w:line="480" w:lineRule="auto"/>
        <w:rPr>
          <w:rFonts w:ascii="Arial" w:hAnsi="Arial" w:cs="Arial"/>
        </w:rPr>
      </w:pPr>
      <w:r w:rsidRPr="00DD53FA">
        <w:rPr>
          <w:rFonts w:ascii="Arial" w:hAnsi="Arial" w:cs="Arial"/>
        </w:rPr>
        <w:lastRenderedPageBreak/>
        <w:t xml:space="preserve">Background </w:t>
      </w:r>
      <w:r>
        <w:rPr>
          <w:rFonts w:ascii="Arial" w:hAnsi="Arial" w:cs="Arial"/>
        </w:rPr>
        <w:t>(349 words)</w:t>
      </w:r>
    </w:p>
    <w:p w14:paraId="4CB46750" w14:textId="77777777" w:rsidR="0064223B" w:rsidRPr="00DD53FA" w:rsidRDefault="0064223B" w:rsidP="00162A96">
      <w:pPr>
        <w:autoSpaceDE w:val="0"/>
        <w:autoSpaceDN w:val="0"/>
        <w:adjustRightInd w:val="0"/>
        <w:spacing w:after="0" w:line="480" w:lineRule="auto"/>
        <w:rPr>
          <w:rFonts w:ascii="Arial" w:hAnsi="Arial" w:cs="Arial"/>
          <w:color w:val="000000"/>
        </w:rPr>
      </w:pPr>
      <w:r w:rsidRPr="00DD53FA">
        <w:rPr>
          <w:rFonts w:ascii="Arial" w:hAnsi="Arial" w:cs="Arial"/>
          <w:color w:val="000000"/>
        </w:rPr>
        <w:t>Cancer is a leading cause of death worldwide. The International Agency for Research on Cancer estimate</w:t>
      </w:r>
      <w:r>
        <w:rPr>
          <w:rFonts w:ascii="Arial" w:hAnsi="Arial" w:cs="Arial"/>
          <w:color w:val="000000"/>
        </w:rPr>
        <w:t>d</w:t>
      </w:r>
      <w:r w:rsidRPr="00DD53FA">
        <w:rPr>
          <w:rFonts w:ascii="Arial" w:hAnsi="Arial" w:cs="Arial"/>
          <w:color w:val="000000"/>
        </w:rPr>
        <w:t xml:space="preserve"> </w:t>
      </w:r>
      <w:r>
        <w:rPr>
          <w:rFonts w:ascii="Arial" w:hAnsi="Arial" w:cs="Arial"/>
          <w:color w:val="000000"/>
        </w:rPr>
        <w:t xml:space="preserve">that </w:t>
      </w:r>
      <w:r w:rsidRPr="00DD53FA">
        <w:rPr>
          <w:rFonts w:ascii="Arial" w:hAnsi="Arial" w:cs="Arial"/>
          <w:color w:val="000000"/>
        </w:rPr>
        <w:t xml:space="preserve">over 14 million new cancer cases were diagnosed in 2012, </w:t>
      </w:r>
      <w:r>
        <w:rPr>
          <w:rFonts w:ascii="Arial" w:hAnsi="Arial" w:cs="Arial"/>
          <w:color w:val="000000"/>
        </w:rPr>
        <w:t xml:space="preserve">and this number is </w:t>
      </w:r>
      <w:r w:rsidRPr="00DD53FA">
        <w:rPr>
          <w:rFonts w:ascii="Arial" w:hAnsi="Arial" w:cs="Arial"/>
          <w:color w:val="000000"/>
        </w:rPr>
        <w:t>expected to grow to over 17 million in 2020.</w:t>
      </w:r>
      <w:r>
        <w:rPr>
          <w:rFonts w:ascii="Arial" w:hAnsi="Arial" w:cs="Arial"/>
          <w:noProof/>
          <w:color w:val="000000"/>
        </w:rPr>
        <w:t>(1)</w:t>
      </w:r>
      <w:r w:rsidRPr="00DD53FA">
        <w:rPr>
          <w:rFonts w:ascii="Arial" w:hAnsi="Arial" w:cs="Arial"/>
          <w:color w:val="0000FF"/>
        </w:rPr>
        <w:t xml:space="preserve"> </w:t>
      </w:r>
      <w:r w:rsidRPr="00DD53FA">
        <w:rPr>
          <w:rFonts w:ascii="Arial" w:hAnsi="Arial" w:cs="Arial"/>
          <w:color w:val="000000"/>
        </w:rPr>
        <w:t>The risk of venous thromboembolic complications is elevated in patients with cancer.</w:t>
      </w:r>
      <w:r>
        <w:rPr>
          <w:rFonts w:ascii="Arial" w:hAnsi="Arial" w:cs="Arial"/>
          <w:noProof/>
          <w:color w:val="000000"/>
        </w:rPr>
        <w:t>(2, 3)</w:t>
      </w:r>
      <w:r w:rsidRPr="00DD53FA">
        <w:rPr>
          <w:rFonts w:ascii="Arial" w:hAnsi="Arial" w:cs="Arial"/>
          <w:color w:val="0000FF"/>
        </w:rPr>
        <w:t xml:space="preserve"> </w:t>
      </w:r>
      <w:r w:rsidRPr="00DD53FA">
        <w:rPr>
          <w:rFonts w:ascii="Arial" w:hAnsi="Arial" w:cs="Arial"/>
          <w:color w:val="000000"/>
        </w:rPr>
        <w:t>The annual risk of suffering a venous thromboembolic event (VTE) in patients with solid cancer is 4–5%</w:t>
      </w:r>
      <w:r>
        <w:rPr>
          <w:rFonts w:ascii="Arial" w:hAnsi="Arial" w:cs="Arial"/>
          <w:color w:val="000000"/>
        </w:rPr>
        <w:t xml:space="preserve"> overall with wide variation across tumour types</w:t>
      </w:r>
      <w:r w:rsidRPr="00DD53FA">
        <w:rPr>
          <w:rFonts w:ascii="Arial" w:hAnsi="Arial" w:cs="Arial"/>
          <w:color w:val="000000"/>
        </w:rPr>
        <w:t>.</w:t>
      </w:r>
      <w:r>
        <w:rPr>
          <w:rFonts w:ascii="Arial" w:hAnsi="Arial" w:cs="Arial"/>
          <w:noProof/>
          <w:color w:val="000000"/>
        </w:rPr>
        <w:t>(4)</w:t>
      </w:r>
      <w:hyperlink w:anchor="_ENREF_4" w:tooltip="Akl, 2014 #4" w:history="1"/>
      <w:r w:rsidRPr="00DD53FA">
        <w:rPr>
          <w:rFonts w:ascii="Arial" w:hAnsi="Arial" w:cs="Arial"/>
          <w:color w:val="0000FF"/>
        </w:rPr>
        <w:t xml:space="preserve"> </w:t>
      </w:r>
      <w:r w:rsidRPr="00DD53FA">
        <w:rPr>
          <w:rFonts w:ascii="Arial" w:hAnsi="Arial" w:cs="Arial"/>
          <w:color w:val="000000"/>
        </w:rPr>
        <w:t>Patients who experience VTE frequently require hospital</w:t>
      </w:r>
      <w:r>
        <w:rPr>
          <w:rFonts w:ascii="Arial" w:hAnsi="Arial" w:cs="Arial"/>
          <w:color w:val="000000"/>
        </w:rPr>
        <w:t xml:space="preserve">isation </w:t>
      </w:r>
      <w:r w:rsidRPr="00DD53FA">
        <w:rPr>
          <w:rFonts w:ascii="Arial" w:hAnsi="Arial" w:cs="Arial"/>
          <w:color w:val="000000"/>
        </w:rPr>
        <w:t xml:space="preserve"> and/or prolonged anticoagulant therapy. VTE </w:t>
      </w:r>
      <w:r>
        <w:rPr>
          <w:rFonts w:ascii="Arial" w:hAnsi="Arial" w:cs="Arial"/>
          <w:color w:val="000000"/>
        </w:rPr>
        <w:t xml:space="preserve">in cancer patients </w:t>
      </w:r>
      <w:r w:rsidRPr="00DD53FA">
        <w:rPr>
          <w:rFonts w:ascii="Arial" w:hAnsi="Arial" w:cs="Arial"/>
          <w:color w:val="000000"/>
        </w:rPr>
        <w:t xml:space="preserve">is also associated with </w:t>
      </w:r>
      <w:r>
        <w:rPr>
          <w:rFonts w:ascii="Arial" w:hAnsi="Arial" w:cs="Arial"/>
          <w:color w:val="000000"/>
        </w:rPr>
        <w:t xml:space="preserve">functional </w:t>
      </w:r>
      <w:r w:rsidRPr="00DD53FA">
        <w:rPr>
          <w:rFonts w:ascii="Arial" w:hAnsi="Arial" w:cs="Arial"/>
          <w:color w:val="000000"/>
        </w:rPr>
        <w:t>impairments in day-to-day life</w:t>
      </w:r>
      <w:r>
        <w:rPr>
          <w:rFonts w:ascii="Arial" w:hAnsi="Arial" w:cs="Arial"/>
          <w:color w:val="000000"/>
        </w:rPr>
        <w:t>,</w:t>
      </w:r>
      <w:r w:rsidRPr="00DD53FA">
        <w:rPr>
          <w:rFonts w:ascii="Arial" w:hAnsi="Arial" w:cs="Arial"/>
          <w:color w:val="000000"/>
        </w:rPr>
        <w:t xml:space="preserve"> pain</w:t>
      </w:r>
      <w:r>
        <w:rPr>
          <w:rFonts w:ascii="Arial" w:hAnsi="Arial" w:cs="Arial"/>
          <w:color w:val="000000"/>
        </w:rPr>
        <w:t xml:space="preserve"> and significant </w:t>
      </w:r>
      <w:r w:rsidRPr="00DD53FA">
        <w:rPr>
          <w:rFonts w:ascii="Arial" w:hAnsi="Arial" w:cs="Arial"/>
          <w:color w:val="000000"/>
        </w:rPr>
        <w:t>increase</w:t>
      </w:r>
      <w:r>
        <w:rPr>
          <w:rFonts w:ascii="Arial" w:hAnsi="Arial" w:cs="Arial"/>
          <w:color w:val="000000"/>
        </w:rPr>
        <w:t xml:space="preserve"> in</w:t>
      </w:r>
      <w:r w:rsidRPr="00DD53FA">
        <w:rPr>
          <w:rFonts w:ascii="Arial" w:hAnsi="Arial" w:cs="Arial"/>
          <w:color w:val="000000"/>
        </w:rPr>
        <w:t xml:space="preserve"> costs</w:t>
      </w:r>
      <w:r>
        <w:rPr>
          <w:rFonts w:ascii="Arial" w:hAnsi="Arial" w:cs="Arial"/>
          <w:color w:val="000000"/>
        </w:rPr>
        <w:t xml:space="preserve"> of care</w:t>
      </w:r>
      <w:r w:rsidRPr="00DD53FA">
        <w:rPr>
          <w:rFonts w:ascii="Arial" w:hAnsi="Arial" w:cs="Arial"/>
          <w:color w:val="000000"/>
        </w:rPr>
        <w:t>.</w:t>
      </w:r>
      <w:r>
        <w:rPr>
          <w:rFonts w:ascii="Arial" w:hAnsi="Arial" w:cs="Arial"/>
          <w:noProof/>
          <w:color w:val="000000"/>
        </w:rPr>
        <w:t>(5)</w:t>
      </w:r>
    </w:p>
    <w:p w14:paraId="3FEC3BD5" w14:textId="77777777" w:rsidR="0064223B" w:rsidRPr="00DD53FA" w:rsidRDefault="0064223B" w:rsidP="00162A96">
      <w:pPr>
        <w:autoSpaceDE w:val="0"/>
        <w:autoSpaceDN w:val="0"/>
        <w:adjustRightInd w:val="0"/>
        <w:spacing w:after="0" w:line="480" w:lineRule="auto"/>
        <w:rPr>
          <w:rFonts w:ascii="Arial" w:hAnsi="Arial" w:cs="Arial"/>
          <w:color w:val="0000FF"/>
        </w:rPr>
      </w:pPr>
    </w:p>
    <w:p w14:paraId="64C03710" w14:textId="77777777" w:rsidR="0064223B" w:rsidRPr="00DD53FA" w:rsidRDefault="0064223B" w:rsidP="00162A96">
      <w:pPr>
        <w:autoSpaceDE w:val="0"/>
        <w:autoSpaceDN w:val="0"/>
        <w:adjustRightInd w:val="0"/>
        <w:spacing w:after="0" w:line="480" w:lineRule="auto"/>
        <w:rPr>
          <w:rFonts w:ascii="Arial" w:hAnsi="Arial" w:cs="Arial"/>
          <w:color w:val="0000FF"/>
        </w:rPr>
      </w:pPr>
      <w:r w:rsidRPr="00DD53FA">
        <w:rPr>
          <w:rFonts w:ascii="Arial" w:hAnsi="Arial" w:cs="Arial"/>
          <w:color w:val="000000"/>
        </w:rPr>
        <w:t>Heparin</w:t>
      </w:r>
      <w:r>
        <w:rPr>
          <w:rFonts w:ascii="Arial" w:hAnsi="Arial" w:cs="Arial"/>
          <w:color w:val="000000"/>
        </w:rPr>
        <w:t>s</w:t>
      </w:r>
      <w:r w:rsidRPr="00DD53FA">
        <w:rPr>
          <w:rFonts w:ascii="Arial" w:hAnsi="Arial" w:cs="Arial"/>
          <w:color w:val="000000"/>
        </w:rPr>
        <w:t xml:space="preserve"> are administered parenterally by intravenous infusion or subcutaneous injections.</w:t>
      </w:r>
      <w:r>
        <w:rPr>
          <w:rFonts w:ascii="Arial" w:hAnsi="Arial" w:cs="Arial"/>
          <w:noProof/>
          <w:color w:val="000000"/>
        </w:rPr>
        <w:t>(6)</w:t>
      </w:r>
      <w:r w:rsidRPr="00DD53FA">
        <w:rPr>
          <w:rFonts w:ascii="Arial" w:hAnsi="Arial" w:cs="Arial"/>
          <w:color w:val="0000FF"/>
        </w:rPr>
        <w:t xml:space="preserve"> </w:t>
      </w:r>
      <w:r>
        <w:rPr>
          <w:rFonts w:ascii="Arial" w:hAnsi="Arial" w:cs="Arial"/>
          <w:color w:val="000000"/>
        </w:rPr>
        <w:t>It has been speculated that heparins</w:t>
      </w:r>
      <w:r w:rsidRPr="00DD53FA">
        <w:rPr>
          <w:rFonts w:ascii="Arial" w:hAnsi="Arial" w:cs="Arial"/>
          <w:color w:val="000000"/>
        </w:rPr>
        <w:t xml:space="preserve"> may improve outcomes in patients with cancer through an anti-tumour effect, in addition to </w:t>
      </w:r>
      <w:r>
        <w:rPr>
          <w:rFonts w:ascii="Arial" w:hAnsi="Arial" w:cs="Arial"/>
          <w:color w:val="000000"/>
        </w:rPr>
        <w:t>their</w:t>
      </w:r>
      <w:r w:rsidRPr="00DD53FA">
        <w:rPr>
          <w:rFonts w:ascii="Arial" w:hAnsi="Arial" w:cs="Arial"/>
          <w:color w:val="000000"/>
        </w:rPr>
        <w:t xml:space="preserve"> antithrombotic effect.</w:t>
      </w:r>
      <w:r>
        <w:rPr>
          <w:rFonts w:ascii="Arial" w:hAnsi="Arial" w:cs="Arial"/>
          <w:noProof/>
          <w:color w:val="000000"/>
        </w:rPr>
        <w:t>(7)</w:t>
      </w:r>
      <w:r w:rsidRPr="00DD53FA">
        <w:rPr>
          <w:rFonts w:ascii="Arial" w:hAnsi="Arial" w:cs="Arial"/>
          <w:color w:val="0000FF"/>
        </w:rPr>
        <w:t xml:space="preserve"> </w:t>
      </w:r>
      <w:r w:rsidRPr="00DD53FA">
        <w:rPr>
          <w:rFonts w:ascii="Arial" w:hAnsi="Arial" w:cs="Arial"/>
          <w:color w:val="000000"/>
        </w:rPr>
        <w:t>Th</w:t>
      </w:r>
      <w:r>
        <w:rPr>
          <w:rFonts w:ascii="Arial" w:hAnsi="Arial" w:cs="Arial"/>
          <w:color w:val="000000"/>
        </w:rPr>
        <w:t>is</w:t>
      </w:r>
      <w:r w:rsidRPr="00DD53FA">
        <w:rPr>
          <w:rFonts w:ascii="Arial" w:hAnsi="Arial" w:cs="Arial"/>
          <w:color w:val="000000"/>
        </w:rPr>
        <w:t xml:space="preserve"> </w:t>
      </w:r>
      <w:r>
        <w:rPr>
          <w:rFonts w:ascii="Arial" w:hAnsi="Arial" w:cs="Arial"/>
          <w:color w:val="000000"/>
        </w:rPr>
        <w:t xml:space="preserve">possible </w:t>
      </w:r>
      <w:r w:rsidRPr="00DD53FA">
        <w:rPr>
          <w:rFonts w:ascii="Arial" w:hAnsi="Arial" w:cs="Arial"/>
          <w:color w:val="000000"/>
        </w:rPr>
        <w:t xml:space="preserve">anti-tumour activity of heparin, mechanistically, </w:t>
      </w:r>
      <w:r>
        <w:rPr>
          <w:rFonts w:ascii="Arial" w:hAnsi="Arial" w:cs="Arial"/>
          <w:color w:val="000000"/>
        </w:rPr>
        <w:t xml:space="preserve">involves </w:t>
      </w:r>
      <w:r w:rsidRPr="00DD53FA">
        <w:rPr>
          <w:rFonts w:ascii="Arial" w:hAnsi="Arial" w:cs="Arial"/>
          <w:color w:val="000000"/>
        </w:rPr>
        <w:t>the inhibition of cell–cell interaction by blocking cell-adhesion molecules (selectins), the inhibition of extracellular</w:t>
      </w:r>
      <w:r>
        <w:rPr>
          <w:rFonts w:ascii="Arial" w:hAnsi="Arial" w:cs="Arial"/>
          <w:color w:val="000000"/>
        </w:rPr>
        <w:t xml:space="preserve"> </w:t>
      </w:r>
      <w:r w:rsidRPr="00DD53FA">
        <w:rPr>
          <w:rFonts w:ascii="Arial" w:hAnsi="Arial" w:cs="Arial"/>
          <w:color w:val="000000"/>
        </w:rPr>
        <w:t xml:space="preserve">matrix protease </w:t>
      </w:r>
      <w:r>
        <w:rPr>
          <w:rFonts w:ascii="Arial" w:hAnsi="Arial" w:cs="Arial"/>
          <w:color w:val="000000"/>
        </w:rPr>
        <w:t xml:space="preserve">heparinase </w:t>
      </w:r>
      <w:r w:rsidRPr="00DD53FA">
        <w:rPr>
          <w:rFonts w:ascii="Arial" w:hAnsi="Arial" w:cs="Arial"/>
          <w:color w:val="000000"/>
        </w:rPr>
        <w:t>and the inhibition of angiogenesis.</w:t>
      </w:r>
      <w:r>
        <w:rPr>
          <w:rFonts w:ascii="Arial" w:hAnsi="Arial" w:cs="Arial"/>
          <w:noProof/>
          <w:color w:val="000000"/>
        </w:rPr>
        <w:t>(8)</w:t>
      </w:r>
    </w:p>
    <w:p w14:paraId="3D0D551A" w14:textId="77777777" w:rsidR="0064223B" w:rsidRPr="00DD53FA" w:rsidRDefault="0064223B" w:rsidP="00162A96">
      <w:pPr>
        <w:autoSpaceDE w:val="0"/>
        <w:autoSpaceDN w:val="0"/>
        <w:adjustRightInd w:val="0"/>
        <w:spacing w:after="0" w:line="480" w:lineRule="auto"/>
        <w:rPr>
          <w:rFonts w:ascii="Arial" w:hAnsi="Arial" w:cs="Arial"/>
          <w:color w:val="0000FF"/>
        </w:rPr>
      </w:pPr>
    </w:p>
    <w:p w14:paraId="43869CB0" w14:textId="77777777" w:rsidR="0064223B" w:rsidRDefault="0064223B" w:rsidP="00162A96">
      <w:pPr>
        <w:autoSpaceDE w:val="0"/>
        <w:autoSpaceDN w:val="0"/>
        <w:adjustRightInd w:val="0"/>
        <w:spacing w:after="0" w:line="480" w:lineRule="auto"/>
        <w:rPr>
          <w:rFonts w:ascii="Arial" w:hAnsi="Arial" w:cs="Arial"/>
          <w:color w:val="000000"/>
        </w:rPr>
      </w:pPr>
      <w:r w:rsidRPr="00DD53FA">
        <w:rPr>
          <w:rFonts w:ascii="Arial" w:hAnsi="Arial" w:cs="Arial"/>
          <w:color w:val="000000"/>
        </w:rPr>
        <w:t>However, anticoagulants may increase the risk for bleeding and</w:t>
      </w:r>
      <w:r>
        <w:rPr>
          <w:rFonts w:ascii="Arial" w:hAnsi="Arial" w:cs="Arial"/>
          <w:color w:val="000000"/>
        </w:rPr>
        <w:t xml:space="preserve"> thi</w:t>
      </w:r>
      <w:r w:rsidRPr="00DD53FA">
        <w:rPr>
          <w:rFonts w:ascii="Arial" w:hAnsi="Arial" w:cs="Arial"/>
          <w:color w:val="000000"/>
        </w:rPr>
        <w:t xml:space="preserve">s </w:t>
      </w:r>
      <w:r>
        <w:rPr>
          <w:rFonts w:ascii="Arial" w:hAnsi="Arial" w:cs="Arial"/>
          <w:color w:val="000000"/>
        </w:rPr>
        <w:t xml:space="preserve">risk is </w:t>
      </w:r>
      <w:r w:rsidRPr="00DD53FA">
        <w:rPr>
          <w:rFonts w:ascii="Arial" w:hAnsi="Arial" w:cs="Arial"/>
          <w:color w:val="000000"/>
        </w:rPr>
        <w:t>likely higher in patients with cancer. Heparins are also known to cause heparin-induced thrombocytopaenia.</w:t>
      </w:r>
      <w:r>
        <w:rPr>
          <w:rFonts w:ascii="Arial" w:hAnsi="Arial" w:cs="Arial"/>
          <w:noProof/>
          <w:color w:val="000000"/>
        </w:rPr>
        <w:t>(9)</w:t>
      </w:r>
      <w:r w:rsidRPr="00DD53FA">
        <w:rPr>
          <w:rFonts w:ascii="Arial" w:hAnsi="Arial" w:cs="Arial"/>
          <w:color w:val="0000FF"/>
        </w:rPr>
        <w:t xml:space="preserve"> </w:t>
      </w:r>
      <w:r w:rsidRPr="00A0304E">
        <w:rPr>
          <w:rFonts w:ascii="Arial" w:hAnsi="Arial" w:cs="Arial"/>
        </w:rPr>
        <w:t xml:space="preserve">These observations led to numerous trials </w:t>
      </w:r>
      <w:r>
        <w:rPr>
          <w:rFonts w:ascii="Arial" w:hAnsi="Arial" w:cs="Arial"/>
        </w:rPr>
        <w:t xml:space="preserve">evaluating the role of heparins in cancer survival, while subsequent systematic reviews and </w:t>
      </w:r>
      <w:r w:rsidRPr="00A0304E">
        <w:rPr>
          <w:rFonts w:ascii="Arial" w:hAnsi="Arial" w:cs="Arial"/>
        </w:rPr>
        <w:t xml:space="preserve">guideline panels began to evaluate the benefits and harms of prophylactic heparin use in patients with solid </w:t>
      </w:r>
      <w:r>
        <w:rPr>
          <w:rFonts w:ascii="Arial" w:hAnsi="Arial" w:cs="Arial"/>
        </w:rPr>
        <w:t>tumors</w:t>
      </w:r>
      <w:r w:rsidRPr="00A0304E">
        <w:rPr>
          <w:rFonts w:ascii="Arial" w:hAnsi="Arial" w:cs="Arial"/>
        </w:rPr>
        <w:t>.</w:t>
      </w:r>
      <w:r>
        <w:rPr>
          <w:rFonts w:ascii="Arial" w:hAnsi="Arial" w:cs="Arial"/>
          <w:noProof/>
        </w:rPr>
        <w:t>(10-15)</w:t>
      </w:r>
      <w:r w:rsidRPr="00DD53FA">
        <w:rPr>
          <w:rFonts w:ascii="Arial" w:hAnsi="Arial" w:cs="Arial"/>
          <w:color w:val="0000FF"/>
        </w:rPr>
        <w:t xml:space="preserve"> </w:t>
      </w:r>
      <w:r>
        <w:rPr>
          <w:rFonts w:ascii="Arial" w:hAnsi="Arial" w:cs="Arial"/>
          <w:color w:val="000000"/>
        </w:rPr>
        <w:t xml:space="preserve">Our previous study level meta-analyses </w:t>
      </w:r>
      <w:r w:rsidRPr="00DD53FA">
        <w:rPr>
          <w:rFonts w:ascii="Arial" w:hAnsi="Arial" w:cs="Arial"/>
          <w:color w:val="000000"/>
        </w:rPr>
        <w:t>suggested a survival benefit and a large reduction in VTE</w:t>
      </w:r>
      <w:r>
        <w:rPr>
          <w:rFonts w:ascii="Arial" w:hAnsi="Arial" w:cs="Arial"/>
          <w:color w:val="000000"/>
        </w:rPr>
        <w:t xml:space="preserve"> in favour of heparins.</w:t>
      </w:r>
      <w:r>
        <w:rPr>
          <w:rFonts w:ascii="Arial" w:hAnsi="Arial" w:cs="Arial"/>
          <w:noProof/>
          <w:color w:val="000000"/>
        </w:rPr>
        <w:t>(4, 16)</w:t>
      </w:r>
      <w:hyperlink w:anchor="_ENREF_17" w:tooltip="Akl, 2017 #94" w:history="1"/>
      <w:r w:rsidRPr="00DD53FA">
        <w:rPr>
          <w:rFonts w:ascii="Arial" w:hAnsi="Arial" w:cs="Arial"/>
          <w:color w:val="000000"/>
        </w:rPr>
        <w:t xml:space="preserve"> </w:t>
      </w:r>
      <w:r>
        <w:rPr>
          <w:rFonts w:ascii="Arial" w:hAnsi="Arial" w:cs="Arial"/>
          <w:color w:val="000000"/>
        </w:rPr>
        <w:t xml:space="preserve">However, study level meta-analyses have limitations which include not allowing in-depth exploration of subgroup effects. Therefore, we conducted an individual patient data </w:t>
      </w:r>
      <w:r>
        <w:rPr>
          <w:rFonts w:ascii="Arial" w:hAnsi="Arial" w:cs="Arial"/>
          <w:color w:val="000000"/>
        </w:rPr>
        <w:lastRenderedPageBreak/>
        <w:t>meta-analysis (IPDMA) to examine the following questions: 1) Is survival prolonged by the administration of prophylactic anticoagulation?; and 2) Are there specific subgroups of cancer patients for whom the benefit is more robust?</w:t>
      </w:r>
    </w:p>
    <w:p w14:paraId="1E35E867" w14:textId="77777777" w:rsidR="0064223B" w:rsidRPr="0069758D" w:rsidRDefault="0064223B" w:rsidP="0069758D">
      <w:pPr>
        <w:pStyle w:val="ListParagraph"/>
        <w:rPr>
          <w:rFonts w:ascii="Arial" w:hAnsi="Arial" w:cs="Arial"/>
          <w:color w:val="000000"/>
        </w:rPr>
      </w:pPr>
    </w:p>
    <w:p w14:paraId="15217071" w14:textId="6AC6A7E0" w:rsidR="0064223B" w:rsidRPr="00810E8B" w:rsidRDefault="0064223B" w:rsidP="00162A96">
      <w:pPr>
        <w:pStyle w:val="Heading1"/>
        <w:spacing w:line="480" w:lineRule="auto"/>
        <w:rPr>
          <w:rFonts w:ascii="Arial" w:hAnsi="Arial" w:cs="Arial"/>
        </w:rPr>
      </w:pPr>
      <w:r>
        <w:rPr>
          <w:rFonts w:ascii="Arial" w:hAnsi="Arial" w:cs="Arial"/>
        </w:rPr>
        <w:t>M</w:t>
      </w:r>
      <w:r w:rsidRPr="00DD53FA">
        <w:rPr>
          <w:rFonts w:ascii="Arial" w:hAnsi="Arial" w:cs="Arial"/>
        </w:rPr>
        <w:t>ethods</w:t>
      </w:r>
    </w:p>
    <w:p w14:paraId="3EE35B4B" w14:textId="77777777" w:rsidR="0064223B" w:rsidRPr="00DD53FA" w:rsidRDefault="0064223B" w:rsidP="00162A96">
      <w:pPr>
        <w:autoSpaceDE w:val="0"/>
        <w:autoSpaceDN w:val="0"/>
        <w:adjustRightInd w:val="0"/>
        <w:spacing w:after="0" w:line="480" w:lineRule="auto"/>
        <w:rPr>
          <w:rFonts w:ascii="Arial" w:hAnsi="Arial" w:cs="Arial"/>
          <w:color w:val="000000"/>
        </w:rPr>
      </w:pPr>
      <w:r>
        <w:rPr>
          <w:rFonts w:ascii="Arial" w:hAnsi="Arial" w:cs="Arial"/>
          <w:color w:val="000000"/>
        </w:rPr>
        <w:t xml:space="preserve">We conducted this systematic review </w:t>
      </w:r>
      <w:r w:rsidRPr="00DD53FA">
        <w:rPr>
          <w:rFonts w:ascii="Arial" w:hAnsi="Arial" w:cs="Arial"/>
          <w:color w:val="000000"/>
        </w:rPr>
        <w:t>according to Cochrane Collaboration</w:t>
      </w:r>
      <w:r>
        <w:rPr>
          <w:rFonts w:ascii="Arial" w:hAnsi="Arial" w:cs="Arial"/>
          <w:color w:val="000000"/>
        </w:rPr>
        <w:t xml:space="preserve"> standards, registered it </w:t>
      </w:r>
      <w:r w:rsidRPr="00DD53FA">
        <w:rPr>
          <w:rFonts w:ascii="Arial" w:hAnsi="Arial" w:cs="Arial"/>
          <w:color w:val="000000"/>
        </w:rPr>
        <w:t xml:space="preserve">in the </w:t>
      </w:r>
      <w:bookmarkStart w:id="3" w:name="_Hlk518080993"/>
      <w:r w:rsidRPr="00DD53FA">
        <w:rPr>
          <w:rFonts w:ascii="Arial" w:hAnsi="Arial" w:cs="Arial"/>
          <w:color w:val="000000"/>
        </w:rPr>
        <w:t>International Prospective Register for Systematic Reviews (PROSPERO</w:t>
      </w:r>
      <w:bookmarkEnd w:id="3"/>
      <w:r>
        <w:rPr>
          <w:rFonts w:ascii="Arial" w:hAnsi="Arial" w:cs="Arial"/>
          <w:color w:val="000000"/>
        </w:rPr>
        <w:t xml:space="preserve">, </w:t>
      </w:r>
      <w:r w:rsidRPr="00DD53FA">
        <w:rPr>
          <w:rFonts w:ascii="Arial" w:hAnsi="Arial" w:cs="Arial"/>
          <w:color w:val="000000"/>
        </w:rPr>
        <w:t>CRD42013003526</w:t>
      </w:r>
      <w:r>
        <w:rPr>
          <w:rFonts w:ascii="Arial" w:hAnsi="Arial" w:cs="Arial"/>
          <w:color w:val="000000"/>
        </w:rPr>
        <w:t>)</w:t>
      </w:r>
      <w:r>
        <w:rPr>
          <w:rFonts w:ascii="Arial" w:hAnsi="Arial" w:cs="Arial"/>
          <w:noProof/>
          <w:color w:val="000000"/>
        </w:rPr>
        <w:t>(17)</w:t>
      </w:r>
      <w:r>
        <w:rPr>
          <w:rFonts w:ascii="Arial" w:hAnsi="Arial" w:cs="Arial"/>
          <w:color w:val="000000"/>
        </w:rPr>
        <w:t xml:space="preserve"> and adhered to the </w:t>
      </w:r>
      <w:bookmarkStart w:id="4" w:name="_Hlk518080969"/>
      <w:r w:rsidRPr="00DD53FA">
        <w:rPr>
          <w:rFonts w:ascii="Arial" w:hAnsi="Arial" w:cs="Arial"/>
          <w:color w:val="000000"/>
        </w:rPr>
        <w:t xml:space="preserve">Preferred Reporting Items for Systematic Reviews and Meta-Analyses of Individual Participant Data (PRISMA-IPD) </w:t>
      </w:r>
      <w:bookmarkEnd w:id="4"/>
      <w:r w:rsidRPr="00DD53FA">
        <w:rPr>
          <w:rFonts w:ascii="Arial" w:hAnsi="Arial" w:cs="Arial"/>
          <w:color w:val="000000"/>
        </w:rPr>
        <w:t>guidelines.</w:t>
      </w:r>
      <w:r>
        <w:rPr>
          <w:rFonts w:ascii="Arial" w:hAnsi="Arial" w:cs="Arial"/>
          <w:noProof/>
          <w:color w:val="000000"/>
        </w:rPr>
        <w:t>(18)</w:t>
      </w:r>
      <w:r w:rsidRPr="00DD53FA">
        <w:rPr>
          <w:rFonts w:ascii="Arial" w:hAnsi="Arial" w:cs="Arial"/>
          <w:color w:val="000000"/>
        </w:rPr>
        <w:t xml:space="preserve"> </w:t>
      </w:r>
      <w:r>
        <w:rPr>
          <w:rFonts w:ascii="Arial" w:hAnsi="Arial" w:cs="Arial"/>
          <w:color w:val="000000"/>
        </w:rPr>
        <w:t>We previously published the</w:t>
      </w:r>
      <w:r w:rsidRPr="00DD53FA">
        <w:rPr>
          <w:rFonts w:ascii="Arial" w:hAnsi="Arial" w:cs="Arial"/>
          <w:color w:val="000000"/>
        </w:rPr>
        <w:t xml:space="preserve"> study protocol</w:t>
      </w:r>
      <w:r>
        <w:rPr>
          <w:rFonts w:ascii="Arial" w:hAnsi="Arial" w:cs="Arial"/>
          <w:color w:val="000000"/>
        </w:rPr>
        <w:t xml:space="preserve"> and, therefore, will describe the methods here only briefly</w:t>
      </w:r>
      <w:r w:rsidRPr="00DD53FA">
        <w:rPr>
          <w:rFonts w:ascii="Arial" w:hAnsi="Arial" w:cs="Arial"/>
          <w:color w:val="000000"/>
        </w:rPr>
        <w:t>.</w:t>
      </w:r>
      <w:r>
        <w:rPr>
          <w:rFonts w:ascii="Arial" w:hAnsi="Arial" w:cs="Arial"/>
          <w:noProof/>
          <w:color w:val="000000"/>
        </w:rPr>
        <w:t>(19)</w:t>
      </w:r>
    </w:p>
    <w:p w14:paraId="33322796" w14:textId="77777777" w:rsidR="0064223B" w:rsidRDefault="0064223B" w:rsidP="00644718">
      <w:pPr>
        <w:autoSpaceDE w:val="0"/>
        <w:autoSpaceDN w:val="0"/>
        <w:adjustRightInd w:val="0"/>
        <w:spacing w:after="0" w:line="480" w:lineRule="auto"/>
        <w:rPr>
          <w:rFonts w:ascii="Arial" w:hAnsi="Arial" w:cs="Arial"/>
          <w:color w:val="000000"/>
        </w:rPr>
      </w:pPr>
    </w:p>
    <w:p w14:paraId="26256914" w14:textId="77777777" w:rsidR="0064223B" w:rsidRPr="00644718" w:rsidRDefault="0064223B" w:rsidP="00644718">
      <w:pPr>
        <w:autoSpaceDE w:val="0"/>
        <w:autoSpaceDN w:val="0"/>
        <w:adjustRightInd w:val="0"/>
        <w:spacing w:after="0" w:line="480" w:lineRule="auto"/>
        <w:rPr>
          <w:rFonts w:ascii="Arial" w:hAnsi="Arial" w:cs="Arial"/>
          <w:b/>
          <w:color w:val="000000"/>
        </w:rPr>
      </w:pPr>
      <w:r w:rsidRPr="00644718">
        <w:rPr>
          <w:rFonts w:ascii="Arial" w:hAnsi="Arial" w:cs="Arial"/>
          <w:b/>
          <w:color w:val="000000"/>
        </w:rPr>
        <w:t>Inclusion criteria</w:t>
      </w:r>
    </w:p>
    <w:p w14:paraId="043CF7F7" w14:textId="77777777" w:rsidR="0064223B" w:rsidRPr="00611687" w:rsidRDefault="0064223B" w:rsidP="00644718">
      <w:pPr>
        <w:pStyle w:val="Heading2"/>
        <w:spacing w:line="480" w:lineRule="auto"/>
        <w:rPr>
          <w:b w:val="0"/>
        </w:rPr>
      </w:pPr>
      <w:r w:rsidRPr="00611687">
        <w:rPr>
          <w:b w:val="0"/>
        </w:rPr>
        <w:t xml:space="preserve">Types of Participants: Patients with solid cancers with no </w:t>
      </w:r>
      <w:r>
        <w:rPr>
          <w:b w:val="0"/>
        </w:rPr>
        <w:t xml:space="preserve">other </w:t>
      </w:r>
      <w:r w:rsidRPr="00611687">
        <w:rPr>
          <w:b w:val="0"/>
        </w:rPr>
        <w:t>indication for prophylactic anticoagulation (e.g. acute illness, central venous line placement,</w:t>
      </w:r>
      <w:r>
        <w:rPr>
          <w:b w:val="0"/>
        </w:rPr>
        <w:t xml:space="preserve"> </w:t>
      </w:r>
      <w:r w:rsidRPr="00611687">
        <w:rPr>
          <w:b w:val="0"/>
        </w:rPr>
        <w:t>perioperative</w:t>
      </w:r>
      <w:r>
        <w:rPr>
          <w:b w:val="0"/>
        </w:rPr>
        <w:t xml:space="preserve"> status</w:t>
      </w:r>
      <w:r w:rsidRPr="00611687">
        <w:rPr>
          <w:b w:val="0"/>
        </w:rPr>
        <w:t>) or therapeutic anticoagulation (e.g. for the treatment of</w:t>
      </w:r>
      <w:r>
        <w:rPr>
          <w:b w:val="0"/>
        </w:rPr>
        <w:t xml:space="preserve"> deep vein thrombosis</w:t>
      </w:r>
      <w:r w:rsidRPr="00611687">
        <w:rPr>
          <w:b w:val="0"/>
        </w:rPr>
        <w:t xml:space="preserve"> </w:t>
      </w:r>
      <w:r>
        <w:rPr>
          <w:b w:val="0"/>
        </w:rPr>
        <w:t>(</w:t>
      </w:r>
      <w:r w:rsidRPr="00611687">
        <w:rPr>
          <w:b w:val="0"/>
        </w:rPr>
        <w:t>DVT</w:t>
      </w:r>
      <w:r>
        <w:rPr>
          <w:b w:val="0"/>
        </w:rPr>
        <w:t>)</w:t>
      </w:r>
      <w:r w:rsidRPr="00611687">
        <w:rPr>
          <w:b w:val="0"/>
        </w:rPr>
        <w:t xml:space="preserve"> or </w:t>
      </w:r>
      <w:r>
        <w:rPr>
          <w:b w:val="0"/>
        </w:rPr>
        <w:t>pulmonary embolism (</w:t>
      </w:r>
      <w:r w:rsidRPr="00611687">
        <w:rPr>
          <w:b w:val="0"/>
        </w:rPr>
        <w:t>PE</w:t>
      </w:r>
      <w:r>
        <w:rPr>
          <w:b w:val="0"/>
        </w:rPr>
        <w:t>)</w:t>
      </w:r>
      <w:r w:rsidRPr="00611687">
        <w:rPr>
          <w:b w:val="0"/>
        </w:rPr>
        <w:t xml:space="preserve">). We </w:t>
      </w:r>
      <w:r>
        <w:rPr>
          <w:b w:val="0"/>
        </w:rPr>
        <w:t xml:space="preserve">included studies in which patients received </w:t>
      </w:r>
      <w:r w:rsidRPr="00611687">
        <w:rPr>
          <w:b w:val="0"/>
        </w:rPr>
        <w:t>concomitant chemotherapy or radiotherapy</w:t>
      </w:r>
      <w:r>
        <w:rPr>
          <w:b w:val="0"/>
        </w:rPr>
        <w:t xml:space="preserve"> as long as these treatments did not impact on randomization to heparin or no heparin</w:t>
      </w:r>
      <w:r w:rsidRPr="00611687">
        <w:rPr>
          <w:b w:val="0"/>
        </w:rPr>
        <w:t xml:space="preserve">. </w:t>
      </w:r>
    </w:p>
    <w:p w14:paraId="32016E16" w14:textId="77777777" w:rsidR="0064223B" w:rsidRPr="00611687" w:rsidRDefault="0064223B" w:rsidP="00611687">
      <w:pPr>
        <w:pStyle w:val="Heading2"/>
        <w:spacing w:line="480" w:lineRule="auto"/>
        <w:rPr>
          <w:b w:val="0"/>
        </w:rPr>
      </w:pPr>
      <w:r w:rsidRPr="00611687">
        <w:rPr>
          <w:b w:val="0"/>
        </w:rPr>
        <w:t>Types of intervention: parenteral anticoagulants such as U</w:t>
      </w:r>
      <w:r>
        <w:rPr>
          <w:b w:val="0"/>
        </w:rPr>
        <w:t>FH</w:t>
      </w:r>
      <w:r w:rsidRPr="00611687">
        <w:rPr>
          <w:b w:val="0"/>
        </w:rPr>
        <w:t>, LMWH</w:t>
      </w:r>
      <w:r>
        <w:rPr>
          <w:b w:val="0"/>
        </w:rPr>
        <w:t>,</w:t>
      </w:r>
      <w:r w:rsidRPr="00611687">
        <w:rPr>
          <w:b w:val="0"/>
        </w:rPr>
        <w:t xml:space="preserve"> and fondaparinux. </w:t>
      </w:r>
    </w:p>
    <w:p w14:paraId="7BE91409" w14:textId="77777777" w:rsidR="0064223B" w:rsidRPr="00611687" w:rsidRDefault="0064223B" w:rsidP="00644718">
      <w:pPr>
        <w:pStyle w:val="Heading2"/>
        <w:spacing w:line="480" w:lineRule="auto"/>
        <w:rPr>
          <w:b w:val="0"/>
        </w:rPr>
      </w:pPr>
      <w:r w:rsidRPr="00611687">
        <w:rPr>
          <w:b w:val="0"/>
        </w:rPr>
        <w:t xml:space="preserve">Comparator intervention: placebo or </w:t>
      </w:r>
      <w:r>
        <w:rPr>
          <w:b w:val="0"/>
        </w:rPr>
        <w:t>standard care</w:t>
      </w:r>
      <w:r w:rsidRPr="00611687">
        <w:rPr>
          <w:b w:val="0"/>
        </w:rPr>
        <w:t>.</w:t>
      </w:r>
    </w:p>
    <w:p w14:paraId="37B29980" w14:textId="77777777" w:rsidR="0064223B" w:rsidRPr="00611687" w:rsidRDefault="0064223B" w:rsidP="00307ADC">
      <w:pPr>
        <w:autoSpaceDE w:val="0"/>
        <w:autoSpaceDN w:val="0"/>
        <w:adjustRightInd w:val="0"/>
        <w:spacing w:after="0" w:line="480" w:lineRule="auto"/>
        <w:rPr>
          <w:b/>
        </w:rPr>
      </w:pPr>
      <w:r w:rsidRPr="00307ADC">
        <w:rPr>
          <w:rFonts w:ascii="Arial" w:hAnsi="Arial" w:cs="Arial"/>
          <w:bCs/>
        </w:rPr>
        <w:t>Study designs:</w:t>
      </w:r>
      <w:r w:rsidRPr="00307ADC">
        <w:rPr>
          <w:rFonts w:ascii="Arial" w:hAnsi="Arial" w:cs="Arial"/>
          <w:b/>
          <w:sz w:val="20"/>
          <w:szCs w:val="20"/>
        </w:rPr>
        <w:t xml:space="preserve"> </w:t>
      </w:r>
      <w:r w:rsidRPr="00307ADC">
        <w:rPr>
          <w:rFonts w:ascii="Arial" w:hAnsi="Arial" w:cs="Arial"/>
          <w:bCs/>
          <w:color w:val="000000"/>
        </w:rPr>
        <w:t xml:space="preserve">We considered </w:t>
      </w:r>
      <w:r>
        <w:rPr>
          <w:rFonts w:ascii="Arial" w:hAnsi="Arial" w:cs="Arial"/>
          <w:bCs/>
          <w:color w:val="000000"/>
        </w:rPr>
        <w:t>randomized controlled trials (</w:t>
      </w:r>
      <w:r w:rsidRPr="00307ADC">
        <w:rPr>
          <w:rFonts w:ascii="Arial" w:hAnsi="Arial" w:cs="Arial"/>
          <w:bCs/>
          <w:color w:val="000000"/>
        </w:rPr>
        <w:t>RCTs</w:t>
      </w:r>
      <w:r>
        <w:rPr>
          <w:rFonts w:ascii="Arial" w:hAnsi="Arial" w:cs="Arial"/>
          <w:bCs/>
          <w:color w:val="000000"/>
        </w:rPr>
        <w:t>)</w:t>
      </w:r>
      <w:r w:rsidRPr="00307ADC">
        <w:rPr>
          <w:rFonts w:ascii="Arial" w:hAnsi="Arial" w:cs="Arial"/>
          <w:bCs/>
          <w:color w:val="000000"/>
        </w:rPr>
        <w:t xml:space="preserve"> comparing parenteral anticoagulants to placebo or standard care.</w:t>
      </w:r>
      <w:r w:rsidRPr="00611687">
        <w:rPr>
          <w:rFonts w:ascii="Arial" w:hAnsi="Arial" w:cs="Arial"/>
          <w:b/>
          <w:color w:val="000000"/>
        </w:rPr>
        <w:t xml:space="preserve"> </w:t>
      </w:r>
    </w:p>
    <w:p w14:paraId="59B7A3A2" w14:textId="77777777" w:rsidR="0064223B" w:rsidRDefault="0064223B" w:rsidP="00F447AE">
      <w:pPr>
        <w:pStyle w:val="Heading2"/>
        <w:spacing w:line="480" w:lineRule="auto"/>
        <w:rPr>
          <w:szCs w:val="22"/>
        </w:rPr>
      </w:pPr>
    </w:p>
    <w:p w14:paraId="750D5969" w14:textId="77777777" w:rsidR="0064223B" w:rsidRPr="00F447AE" w:rsidRDefault="0064223B" w:rsidP="00F447AE">
      <w:pPr>
        <w:pStyle w:val="Heading2"/>
        <w:spacing w:line="480" w:lineRule="auto"/>
        <w:rPr>
          <w:szCs w:val="22"/>
        </w:rPr>
      </w:pPr>
      <w:r w:rsidRPr="00DD53FA">
        <w:rPr>
          <w:szCs w:val="22"/>
        </w:rPr>
        <w:t>Literature search</w:t>
      </w:r>
    </w:p>
    <w:p w14:paraId="1C2C1000" w14:textId="77777777" w:rsidR="0064223B" w:rsidRDefault="0064223B" w:rsidP="00162A96">
      <w:pPr>
        <w:autoSpaceDE w:val="0"/>
        <w:autoSpaceDN w:val="0"/>
        <w:adjustRightInd w:val="0"/>
        <w:spacing w:after="0" w:line="480" w:lineRule="auto"/>
        <w:rPr>
          <w:rFonts w:ascii="Arial" w:hAnsi="Arial" w:cs="Arial"/>
          <w:color w:val="000000"/>
        </w:rPr>
      </w:pPr>
      <w:r>
        <w:rPr>
          <w:rFonts w:ascii="Arial" w:hAnsi="Arial" w:cs="Arial"/>
          <w:color w:val="000000"/>
        </w:rPr>
        <w:t xml:space="preserve">We conducted a search of the </w:t>
      </w:r>
      <w:r w:rsidRPr="00DD53FA">
        <w:rPr>
          <w:rFonts w:ascii="Arial" w:hAnsi="Arial" w:cs="Arial"/>
          <w:color w:val="000000"/>
        </w:rPr>
        <w:t xml:space="preserve">following electronic bibliographic databases </w:t>
      </w:r>
      <w:r>
        <w:rPr>
          <w:rFonts w:ascii="Arial" w:hAnsi="Arial" w:cs="Arial"/>
          <w:color w:val="000000"/>
        </w:rPr>
        <w:t>(Table S1)</w:t>
      </w:r>
      <w:r w:rsidRPr="00DD53FA">
        <w:rPr>
          <w:rFonts w:ascii="Arial" w:hAnsi="Arial" w:cs="Arial"/>
          <w:color w:val="000000"/>
        </w:rPr>
        <w:t>:</w:t>
      </w:r>
      <w:r>
        <w:rPr>
          <w:rFonts w:ascii="Arial" w:hAnsi="Arial" w:cs="Arial"/>
          <w:noProof/>
          <w:color w:val="000000"/>
        </w:rPr>
        <w:t>(16)</w:t>
      </w:r>
      <w:r w:rsidRPr="00DD53FA">
        <w:rPr>
          <w:rFonts w:ascii="Arial" w:hAnsi="Arial" w:cs="Arial"/>
          <w:color w:val="0000FF"/>
        </w:rPr>
        <w:t xml:space="preserve"> </w:t>
      </w:r>
      <w:r w:rsidRPr="00DD53FA">
        <w:rPr>
          <w:rFonts w:ascii="Arial" w:hAnsi="Arial" w:cs="Arial"/>
          <w:color w:val="000000"/>
        </w:rPr>
        <w:t xml:space="preserve">MEDLINE, EMBASE, </w:t>
      </w:r>
      <w:r>
        <w:rPr>
          <w:rFonts w:ascii="Arial" w:hAnsi="Arial" w:cs="Arial"/>
          <w:color w:val="000000"/>
        </w:rPr>
        <w:t>and t</w:t>
      </w:r>
      <w:r w:rsidRPr="00DD53FA">
        <w:rPr>
          <w:rFonts w:ascii="Arial" w:hAnsi="Arial" w:cs="Arial"/>
          <w:color w:val="000000"/>
        </w:rPr>
        <w:t xml:space="preserve">he Cochrane Library (including Cochrane Central Register of </w:t>
      </w:r>
      <w:r w:rsidRPr="00DD53FA">
        <w:rPr>
          <w:rFonts w:ascii="Arial" w:hAnsi="Arial" w:cs="Arial"/>
          <w:color w:val="000000"/>
        </w:rPr>
        <w:lastRenderedPageBreak/>
        <w:t>Controlled Trials/CENTRAL, Clinical Trials, DARE and NHS EED)</w:t>
      </w:r>
      <w:r>
        <w:rPr>
          <w:rFonts w:ascii="Arial" w:hAnsi="Arial" w:cs="Arial"/>
          <w:color w:val="000000"/>
        </w:rPr>
        <w:t xml:space="preserve"> from inception until January 2017</w:t>
      </w:r>
      <w:r w:rsidRPr="00DD53FA">
        <w:rPr>
          <w:rFonts w:ascii="Arial" w:hAnsi="Arial" w:cs="Arial"/>
          <w:color w:val="000000"/>
        </w:rPr>
        <w:t>.</w:t>
      </w:r>
      <w:r>
        <w:rPr>
          <w:rFonts w:ascii="Arial" w:hAnsi="Arial" w:cs="Arial"/>
          <w:color w:val="000000"/>
        </w:rPr>
        <w:t xml:space="preserve"> An updated search was completed in May of 2020, studies published during this period are included in sensitivity analysis which compares study-level meta-analysis to our individual participant data meta-analysis.</w:t>
      </w:r>
      <w:r w:rsidRPr="00DD53FA">
        <w:rPr>
          <w:rFonts w:ascii="Arial" w:hAnsi="Arial" w:cs="Arial"/>
          <w:color w:val="000000"/>
        </w:rPr>
        <w:t xml:space="preserve"> </w:t>
      </w:r>
      <w:r>
        <w:rPr>
          <w:rFonts w:ascii="Arial" w:hAnsi="Arial" w:cs="Arial"/>
          <w:color w:val="000000"/>
        </w:rPr>
        <w:t>To identify additional studies, w</w:t>
      </w:r>
      <w:r w:rsidRPr="00DD53FA">
        <w:rPr>
          <w:rFonts w:ascii="Arial" w:hAnsi="Arial" w:cs="Arial"/>
          <w:color w:val="000000"/>
        </w:rPr>
        <w:t xml:space="preserve">e also used the </w:t>
      </w:r>
      <w:r>
        <w:rPr>
          <w:rFonts w:ascii="Arial" w:hAnsi="Arial" w:cs="Arial"/>
          <w:color w:val="000000"/>
        </w:rPr>
        <w:t>‘</w:t>
      </w:r>
      <w:r w:rsidRPr="00DD53FA">
        <w:rPr>
          <w:rFonts w:ascii="Arial" w:hAnsi="Arial" w:cs="Arial"/>
          <w:color w:val="000000"/>
        </w:rPr>
        <w:t>related article</w:t>
      </w:r>
      <w:r>
        <w:rPr>
          <w:rFonts w:ascii="Arial" w:hAnsi="Arial" w:cs="Arial"/>
          <w:color w:val="000000"/>
        </w:rPr>
        <w:t>’</w:t>
      </w:r>
      <w:r w:rsidRPr="00DD53FA">
        <w:rPr>
          <w:rFonts w:ascii="Arial" w:hAnsi="Arial" w:cs="Arial"/>
          <w:color w:val="000000"/>
        </w:rPr>
        <w:t xml:space="preserve"> feature in PubMed</w:t>
      </w:r>
      <w:r>
        <w:rPr>
          <w:rFonts w:ascii="Arial" w:hAnsi="Arial" w:cs="Arial"/>
          <w:color w:val="000000"/>
        </w:rPr>
        <w:t xml:space="preserve"> and </w:t>
      </w:r>
      <w:r w:rsidRPr="00DD53FA">
        <w:rPr>
          <w:rFonts w:ascii="Arial" w:hAnsi="Arial" w:cs="Arial"/>
          <w:color w:val="000000"/>
        </w:rPr>
        <w:t>r</w:t>
      </w:r>
      <w:r>
        <w:rPr>
          <w:rFonts w:ascii="Arial" w:hAnsi="Arial" w:cs="Arial"/>
          <w:color w:val="000000"/>
        </w:rPr>
        <w:t>evi</w:t>
      </w:r>
      <w:r w:rsidRPr="00DD53FA">
        <w:rPr>
          <w:rFonts w:ascii="Arial" w:hAnsi="Arial" w:cs="Arial"/>
          <w:color w:val="000000"/>
        </w:rPr>
        <w:t>ewed references of identified studies</w:t>
      </w:r>
      <w:r>
        <w:rPr>
          <w:rFonts w:ascii="Arial" w:hAnsi="Arial" w:cs="Arial"/>
          <w:color w:val="000000"/>
        </w:rPr>
        <w:t>,</w:t>
      </w:r>
      <w:r w:rsidRPr="00DD53FA">
        <w:rPr>
          <w:rFonts w:ascii="Arial" w:hAnsi="Arial" w:cs="Arial"/>
          <w:color w:val="000000"/>
        </w:rPr>
        <w:t xml:space="preserve"> narrative review articles, </w:t>
      </w:r>
      <w:r>
        <w:rPr>
          <w:rFonts w:ascii="Arial" w:hAnsi="Arial" w:cs="Arial"/>
          <w:color w:val="000000"/>
        </w:rPr>
        <w:t xml:space="preserve">and </w:t>
      </w:r>
      <w:r w:rsidRPr="00DD53FA">
        <w:rPr>
          <w:rFonts w:ascii="Arial" w:hAnsi="Arial" w:cs="Arial"/>
          <w:color w:val="000000"/>
        </w:rPr>
        <w:t xml:space="preserve">conference proceedings of the American Society of Clinical Oncology </w:t>
      </w:r>
      <w:r>
        <w:rPr>
          <w:rFonts w:ascii="Arial" w:hAnsi="Arial" w:cs="Arial"/>
          <w:color w:val="000000"/>
        </w:rPr>
        <w:t xml:space="preserve">as well as </w:t>
      </w:r>
      <w:r w:rsidRPr="00DD53FA">
        <w:rPr>
          <w:rFonts w:ascii="Arial" w:hAnsi="Arial" w:cs="Arial"/>
          <w:color w:val="000000"/>
        </w:rPr>
        <w:t>the</w:t>
      </w:r>
      <w:r>
        <w:rPr>
          <w:rFonts w:ascii="Arial" w:hAnsi="Arial" w:cs="Arial"/>
          <w:color w:val="000000"/>
        </w:rPr>
        <w:t xml:space="preserve"> American Society of Hematology</w:t>
      </w:r>
      <w:r w:rsidRPr="00DD53FA">
        <w:rPr>
          <w:rFonts w:ascii="Arial" w:hAnsi="Arial" w:cs="Arial"/>
          <w:color w:val="000000"/>
        </w:rPr>
        <w:t>.</w:t>
      </w:r>
      <w:r>
        <w:rPr>
          <w:rFonts w:ascii="Arial" w:hAnsi="Arial" w:cs="Arial"/>
          <w:color w:val="000000"/>
        </w:rPr>
        <w:t xml:space="preserve"> We applied</w:t>
      </w:r>
      <w:r w:rsidRPr="00DD53FA">
        <w:rPr>
          <w:rFonts w:ascii="Arial" w:hAnsi="Arial" w:cs="Arial"/>
          <w:color w:val="000000"/>
        </w:rPr>
        <w:t xml:space="preserve"> no date or language restrictions </w:t>
      </w:r>
      <w:r>
        <w:rPr>
          <w:rFonts w:ascii="Arial" w:hAnsi="Arial" w:cs="Arial"/>
          <w:color w:val="000000"/>
        </w:rPr>
        <w:t>to</w:t>
      </w:r>
      <w:r w:rsidRPr="00DD53FA">
        <w:rPr>
          <w:rFonts w:ascii="Arial" w:hAnsi="Arial" w:cs="Arial"/>
          <w:color w:val="000000"/>
        </w:rPr>
        <w:t xml:space="preserve"> included trials.</w:t>
      </w:r>
    </w:p>
    <w:p w14:paraId="616E9768" w14:textId="77777777" w:rsidR="0064223B" w:rsidRPr="00DD53FA" w:rsidRDefault="0064223B" w:rsidP="00162A96">
      <w:pPr>
        <w:autoSpaceDE w:val="0"/>
        <w:autoSpaceDN w:val="0"/>
        <w:adjustRightInd w:val="0"/>
        <w:spacing w:after="0" w:line="480" w:lineRule="auto"/>
        <w:rPr>
          <w:rFonts w:ascii="Arial" w:hAnsi="Arial" w:cs="Arial"/>
          <w:color w:val="000000"/>
        </w:rPr>
      </w:pPr>
      <w:r>
        <w:rPr>
          <w:rFonts w:ascii="Arial" w:hAnsi="Arial" w:cs="Arial"/>
          <w:color w:val="000000"/>
        </w:rPr>
        <w:t>T</w:t>
      </w:r>
      <w:r w:rsidRPr="00DD53FA">
        <w:rPr>
          <w:rFonts w:ascii="Arial" w:hAnsi="Arial" w:cs="Arial"/>
          <w:color w:val="000000"/>
        </w:rPr>
        <w:t>wo reviewers independently assessed titles and abstracts of all identified citations for potential eligibility</w:t>
      </w:r>
      <w:r>
        <w:rPr>
          <w:rFonts w:ascii="Arial" w:hAnsi="Arial" w:cs="Arial"/>
          <w:color w:val="000000"/>
        </w:rPr>
        <w:t xml:space="preserve"> (Figure 1)</w:t>
      </w:r>
      <w:r w:rsidRPr="00DD53FA">
        <w:rPr>
          <w:rFonts w:ascii="Arial" w:hAnsi="Arial" w:cs="Arial"/>
          <w:color w:val="000000"/>
        </w:rPr>
        <w:t>. Two reviewers screened full texts for eligibility using a standardised pilot tested form with explicit inclusion and exclusion criteria. Decisions were compared and agreement was measured using the</w:t>
      </w:r>
      <w:r>
        <w:rPr>
          <w:rFonts w:ascii="Arial" w:hAnsi="Arial" w:cs="Arial"/>
          <w:color w:val="000000"/>
        </w:rPr>
        <w:t xml:space="preserve"> Kappa</w:t>
      </w:r>
      <w:r w:rsidRPr="00DD53FA">
        <w:rPr>
          <w:rFonts w:ascii="Arial" w:hAnsi="Arial" w:cs="Arial"/>
          <w:color w:val="000000"/>
        </w:rPr>
        <w:t xml:space="preserve"> </w:t>
      </w:r>
      <w:r>
        <w:rPr>
          <w:rFonts w:ascii="Arial" w:hAnsi="Arial" w:cs="Arial"/>
          <w:color w:val="000000"/>
        </w:rPr>
        <w:t>(</w:t>
      </w:r>
      <w:r w:rsidRPr="00DD53FA">
        <w:rPr>
          <w:rFonts w:ascii="Arial" w:hAnsi="Arial" w:cs="Arial"/>
          <w:color w:val="000000"/>
        </w:rPr>
        <w:t>κ</w:t>
      </w:r>
      <w:r>
        <w:rPr>
          <w:rFonts w:ascii="Arial" w:hAnsi="Arial" w:cs="Arial"/>
          <w:color w:val="000000"/>
        </w:rPr>
        <w:t>)</w:t>
      </w:r>
      <w:r w:rsidRPr="00DD53FA">
        <w:rPr>
          <w:rFonts w:ascii="Arial" w:hAnsi="Arial" w:cs="Arial"/>
          <w:color w:val="000000"/>
        </w:rPr>
        <w:t xml:space="preserve"> statistic.</w:t>
      </w:r>
      <w:r>
        <w:rPr>
          <w:rFonts w:ascii="Arial" w:hAnsi="Arial" w:cs="Arial"/>
          <w:noProof/>
          <w:color w:val="000000"/>
        </w:rPr>
        <w:t>(20)</w:t>
      </w:r>
      <w:r w:rsidRPr="00DD53FA">
        <w:rPr>
          <w:rFonts w:ascii="Arial" w:hAnsi="Arial" w:cs="Arial"/>
          <w:color w:val="0000FF"/>
        </w:rPr>
        <w:t xml:space="preserve"> </w:t>
      </w:r>
      <w:r w:rsidRPr="00DD53FA">
        <w:rPr>
          <w:rFonts w:ascii="Arial" w:hAnsi="Arial" w:cs="Arial"/>
          <w:color w:val="000000"/>
        </w:rPr>
        <w:t xml:space="preserve">Disagreements were resolved by consensus and, when needed, with the help of a third reviewer. Reasons for exclusion were recorded. </w:t>
      </w:r>
    </w:p>
    <w:p w14:paraId="6AB34E97" w14:textId="58AD67DB" w:rsidR="0064223B" w:rsidRPr="00DD53FA" w:rsidRDefault="0064223B" w:rsidP="00162A96">
      <w:pPr>
        <w:autoSpaceDE w:val="0"/>
        <w:autoSpaceDN w:val="0"/>
        <w:adjustRightInd w:val="0"/>
        <w:spacing w:after="0" w:line="480" w:lineRule="auto"/>
        <w:rPr>
          <w:rFonts w:ascii="Arial" w:hAnsi="Arial" w:cs="Arial"/>
          <w:color w:val="000000"/>
        </w:rPr>
      </w:pPr>
      <w:r>
        <w:rPr>
          <w:rFonts w:ascii="Arial" w:hAnsi="Arial" w:cs="Arial"/>
          <w:color w:val="000000"/>
        </w:rPr>
        <w:t>We contacted a</w:t>
      </w:r>
      <w:r w:rsidRPr="00DD53FA">
        <w:rPr>
          <w:rFonts w:ascii="Arial" w:hAnsi="Arial" w:cs="Arial"/>
          <w:color w:val="000000"/>
        </w:rPr>
        <w:t xml:space="preserve">uthors and sponsors of eligible trials by email, fax, or telephone, </w:t>
      </w:r>
      <w:r>
        <w:rPr>
          <w:rFonts w:ascii="Arial" w:hAnsi="Arial" w:cs="Arial"/>
          <w:color w:val="000000"/>
        </w:rPr>
        <w:t xml:space="preserve">to invite them </w:t>
      </w:r>
      <w:r w:rsidRPr="00DD53FA">
        <w:rPr>
          <w:rFonts w:ascii="Arial" w:hAnsi="Arial" w:cs="Arial"/>
          <w:color w:val="000000"/>
        </w:rPr>
        <w:t xml:space="preserve">to share their data. </w:t>
      </w:r>
      <w:r>
        <w:rPr>
          <w:rFonts w:ascii="Arial" w:hAnsi="Arial" w:cs="Arial"/>
          <w:color w:val="000000"/>
        </w:rPr>
        <w:t xml:space="preserve">When necessary, we placed data sharing requests through clinicalstudydatarequest.com. </w:t>
      </w:r>
      <w:r w:rsidRPr="00DD53FA">
        <w:rPr>
          <w:rFonts w:ascii="Arial" w:hAnsi="Arial" w:cs="Arial"/>
          <w:color w:val="000000"/>
        </w:rPr>
        <w:t>In addition to the study protocol and complete analysis plans, a detailed list of all variables of interest was provided to contacted trialists in order to maintain analytical transparency, to avoid data driven analysis and to encourage authors to share relevant trial data.</w:t>
      </w:r>
      <w:r>
        <w:rPr>
          <w:rFonts w:ascii="Arial" w:hAnsi="Arial" w:cs="Arial"/>
          <w:color w:val="000000"/>
        </w:rPr>
        <w:t xml:space="preserve"> T</w:t>
      </w:r>
      <w:r w:rsidRPr="00DD53FA">
        <w:rPr>
          <w:rFonts w:ascii="Arial" w:hAnsi="Arial" w:cs="Arial"/>
          <w:color w:val="000000"/>
        </w:rPr>
        <w:t>he study protocol, case report forms and corresponding dataset</w:t>
      </w:r>
      <w:r>
        <w:rPr>
          <w:rFonts w:ascii="Arial" w:hAnsi="Arial" w:cs="Arial"/>
          <w:color w:val="000000"/>
        </w:rPr>
        <w:t>s</w:t>
      </w:r>
      <w:r w:rsidRPr="00DD53FA">
        <w:rPr>
          <w:rFonts w:ascii="Arial" w:hAnsi="Arial" w:cs="Arial"/>
          <w:color w:val="000000"/>
        </w:rPr>
        <w:t xml:space="preserve"> with all patient </w:t>
      </w:r>
      <w:r>
        <w:rPr>
          <w:rFonts w:ascii="Arial" w:hAnsi="Arial" w:cs="Arial"/>
          <w:color w:val="000000"/>
        </w:rPr>
        <w:t xml:space="preserve">identifiers </w:t>
      </w:r>
      <w:r w:rsidRPr="00DD53FA">
        <w:rPr>
          <w:rFonts w:ascii="Arial" w:hAnsi="Arial" w:cs="Arial"/>
          <w:color w:val="000000"/>
        </w:rPr>
        <w:t>removed</w:t>
      </w:r>
      <w:r>
        <w:rPr>
          <w:rFonts w:ascii="Arial" w:hAnsi="Arial" w:cs="Arial"/>
          <w:color w:val="000000"/>
        </w:rPr>
        <w:t xml:space="preserve"> were requested</w:t>
      </w:r>
      <w:r w:rsidRPr="00DD53FA">
        <w:rPr>
          <w:rFonts w:ascii="Arial" w:hAnsi="Arial" w:cs="Arial"/>
          <w:color w:val="000000"/>
        </w:rPr>
        <w:t>. Requested baseline data included participant’s anonymized demographic information, cancer diagnosis, concomitant therapies, history of VTE</w:t>
      </w:r>
      <w:r>
        <w:rPr>
          <w:rFonts w:ascii="Arial" w:hAnsi="Arial" w:cs="Arial"/>
          <w:color w:val="000000"/>
        </w:rPr>
        <w:t xml:space="preserve"> and bleeding</w:t>
      </w:r>
      <w:r w:rsidRPr="00DD53FA">
        <w:rPr>
          <w:rFonts w:ascii="Arial" w:hAnsi="Arial" w:cs="Arial"/>
          <w:color w:val="000000"/>
        </w:rPr>
        <w:t>, inflammatory markers as well as platelet and haemoglobin measurements. Requested follow-up information included randomi</w:t>
      </w:r>
      <w:r>
        <w:rPr>
          <w:rFonts w:ascii="Arial" w:hAnsi="Arial" w:cs="Arial"/>
          <w:color w:val="000000"/>
        </w:rPr>
        <w:t>s</w:t>
      </w:r>
      <w:r w:rsidRPr="00DD53FA">
        <w:rPr>
          <w:rFonts w:ascii="Arial" w:hAnsi="Arial" w:cs="Arial"/>
          <w:color w:val="000000"/>
        </w:rPr>
        <w:t>ation, treatment start/stop, censoring, and outcome (mortality, VTE, bleeding</w:t>
      </w:r>
      <w:r>
        <w:rPr>
          <w:rFonts w:ascii="Arial" w:hAnsi="Arial" w:cs="Arial"/>
          <w:color w:val="000000"/>
        </w:rPr>
        <w:t>, thrombocytopenia and health related quality of life</w:t>
      </w:r>
      <w:r w:rsidRPr="00DD53FA">
        <w:rPr>
          <w:rFonts w:ascii="Arial" w:hAnsi="Arial" w:cs="Arial"/>
          <w:color w:val="000000"/>
        </w:rPr>
        <w:t xml:space="preserve">) occurrence dates. </w:t>
      </w:r>
      <w:r>
        <w:rPr>
          <w:rFonts w:ascii="Arial" w:hAnsi="Arial" w:cs="Arial"/>
          <w:color w:val="000000"/>
        </w:rPr>
        <w:t>We</w:t>
      </w:r>
      <w:r w:rsidRPr="00DD53FA">
        <w:rPr>
          <w:rFonts w:ascii="Arial" w:hAnsi="Arial" w:cs="Arial"/>
          <w:color w:val="000000"/>
        </w:rPr>
        <w:t xml:space="preserve"> required </w:t>
      </w:r>
      <w:r w:rsidRPr="00DD53FA">
        <w:rPr>
          <w:rFonts w:ascii="Arial" w:hAnsi="Arial" w:cs="Arial"/>
        </w:rPr>
        <w:t>DVT events be diagnosed using an objective diagnostic test such as: venography, or compression ultrasound</w:t>
      </w:r>
      <w:r>
        <w:rPr>
          <w:rFonts w:ascii="Arial" w:hAnsi="Arial" w:cs="Arial"/>
        </w:rPr>
        <w:t xml:space="preserve"> and included any DVT events recorded in </w:t>
      </w:r>
      <w:r>
        <w:rPr>
          <w:rFonts w:ascii="Arial" w:hAnsi="Arial" w:cs="Arial"/>
        </w:rPr>
        <w:lastRenderedPageBreak/>
        <w:t>shared data regardless of their occurrence in lower or upper extremities</w:t>
      </w:r>
      <w:r w:rsidRPr="00DD53FA">
        <w:rPr>
          <w:rFonts w:ascii="Arial" w:hAnsi="Arial" w:cs="Arial"/>
        </w:rPr>
        <w:t xml:space="preserve">. </w:t>
      </w:r>
      <w:r>
        <w:rPr>
          <w:rFonts w:ascii="Arial" w:hAnsi="Arial" w:cs="Arial"/>
        </w:rPr>
        <w:t xml:space="preserve">Pulmonary embolism </w:t>
      </w:r>
      <w:r w:rsidRPr="00DD53FA">
        <w:rPr>
          <w:rFonts w:ascii="Arial" w:hAnsi="Arial" w:cs="Arial"/>
        </w:rPr>
        <w:t xml:space="preserve">events had to be diagnosed using an objective diagnostic test such as: pulmonary perfusion/ventilation scans, </w:t>
      </w:r>
      <w:r>
        <w:rPr>
          <w:rFonts w:ascii="Arial" w:hAnsi="Arial" w:cs="Arial"/>
        </w:rPr>
        <w:t>computed tomography</w:t>
      </w:r>
      <w:r w:rsidRPr="00DD53FA">
        <w:rPr>
          <w:rFonts w:ascii="Arial" w:hAnsi="Arial" w:cs="Arial"/>
        </w:rPr>
        <w:t xml:space="preserve"> pulmonary angiography or autopsy.</w:t>
      </w:r>
      <w:r>
        <w:rPr>
          <w:rFonts w:ascii="Arial" w:hAnsi="Arial" w:cs="Arial"/>
        </w:rPr>
        <w:t xml:space="preserve"> We accepted trial authors’ definitions for bleeding (Appendix page 5).</w:t>
      </w:r>
      <w:r w:rsidRPr="00DD53FA">
        <w:rPr>
          <w:rFonts w:ascii="Arial" w:hAnsi="Arial" w:cs="Arial"/>
        </w:rPr>
        <w:t xml:space="preserve"> </w:t>
      </w:r>
      <w:r>
        <w:rPr>
          <w:rFonts w:ascii="Arial" w:hAnsi="Arial" w:cs="Arial"/>
        </w:rPr>
        <w:t>We were unable to obtain sufficiently comparable data describing health related quality of life which we had planned in the study protocol.</w:t>
      </w:r>
      <w:r>
        <w:rPr>
          <w:rFonts w:ascii="Arial" w:hAnsi="Arial" w:cs="Arial"/>
          <w:noProof/>
        </w:rPr>
        <w:t>(19)</w:t>
      </w:r>
      <w:r>
        <w:rPr>
          <w:rFonts w:ascii="Arial" w:hAnsi="Arial" w:cs="Arial"/>
        </w:rPr>
        <w:t xml:space="preserve"> </w:t>
      </w:r>
      <w:r w:rsidRPr="00DD53FA">
        <w:rPr>
          <w:rFonts w:ascii="Arial" w:hAnsi="Arial" w:cs="Arial"/>
          <w:color w:val="000000"/>
        </w:rPr>
        <w:t>All shared data were stored on secure password</w:t>
      </w:r>
      <w:r>
        <w:rPr>
          <w:rFonts w:ascii="Arial" w:hAnsi="Arial" w:cs="Arial"/>
          <w:color w:val="000000"/>
        </w:rPr>
        <w:t>-</w:t>
      </w:r>
      <w:r w:rsidRPr="00DD53FA">
        <w:rPr>
          <w:rFonts w:ascii="Arial" w:hAnsi="Arial" w:cs="Arial"/>
          <w:color w:val="000000"/>
        </w:rPr>
        <w:t>protected servers.</w:t>
      </w:r>
      <w:r>
        <w:rPr>
          <w:rFonts w:ascii="Arial" w:hAnsi="Arial" w:cs="Arial"/>
          <w:color w:val="000000"/>
        </w:rPr>
        <w:t xml:space="preserve"> T</w:t>
      </w:r>
      <w:r w:rsidRPr="00DD53FA">
        <w:rPr>
          <w:rFonts w:ascii="Arial" w:hAnsi="Arial" w:cs="Arial"/>
          <w:color w:val="000000"/>
        </w:rPr>
        <w:t xml:space="preserve">o ensure that the data provided correspond to the reported results, we </w:t>
      </w:r>
      <w:r>
        <w:rPr>
          <w:rFonts w:ascii="Arial" w:hAnsi="Arial" w:cs="Arial"/>
          <w:color w:val="000000"/>
        </w:rPr>
        <w:t xml:space="preserve">cross-checked </w:t>
      </w:r>
      <w:r w:rsidRPr="00DD53FA">
        <w:rPr>
          <w:rFonts w:ascii="Arial" w:hAnsi="Arial" w:cs="Arial"/>
          <w:color w:val="000000"/>
        </w:rPr>
        <w:t xml:space="preserve">baseline data </w:t>
      </w:r>
      <w:r>
        <w:rPr>
          <w:rFonts w:ascii="Arial" w:hAnsi="Arial" w:cs="Arial"/>
          <w:color w:val="000000"/>
        </w:rPr>
        <w:t xml:space="preserve">and </w:t>
      </w:r>
      <w:r w:rsidRPr="00DD53FA">
        <w:rPr>
          <w:rFonts w:ascii="Arial" w:hAnsi="Arial" w:cs="Arial"/>
          <w:color w:val="000000"/>
        </w:rPr>
        <w:t xml:space="preserve">recalculated primary </w:t>
      </w:r>
      <w:r>
        <w:rPr>
          <w:rFonts w:ascii="Arial" w:hAnsi="Arial" w:cs="Arial"/>
          <w:color w:val="000000"/>
        </w:rPr>
        <w:t>analyses</w:t>
      </w:r>
      <w:r w:rsidRPr="00DD53FA">
        <w:rPr>
          <w:rFonts w:ascii="Arial" w:hAnsi="Arial" w:cs="Arial"/>
          <w:color w:val="000000"/>
        </w:rPr>
        <w:t>.</w:t>
      </w:r>
      <w:r>
        <w:rPr>
          <w:rFonts w:ascii="Arial" w:hAnsi="Arial" w:cs="Arial"/>
          <w:color w:val="000000"/>
        </w:rPr>
        <w:t xml:space="preserve"> We contacted trial authors to resolve discrepancies between shared data and published results.</w:t>
      </w:r>
    </w:p>
    <w:p w14:paraId="7BDAE093" w14:textId="77777777" w:rsidR="0064223B" w:rsidRPr="00DD53FA" w:rsidRDefault="0064223B" w:rsidP="00162A96">
      <w:pPr>
        <w:autoSpaceDE w:val="0"/>
        <w:autoSpaceDN w:val="0"/>
        <w:adjustRightInd w:val="0"/>
        <w:spacing w:after="0" w:line="480" w:lineRule="auto"/>
        <w:rPr>
          <w:rFonts w:ascii="Arial" w:hAnsi="Arial" w:cs="Arial"/>
          <w:color w:val="000000"/>
        </w:rPr>
      </w:pPr>
    </w:p>
    <w:p w14:paraId="16E672EC" w14:textId="77777777" w:rsidR="0064223B" w:rsidRPr="00E54861" w:rsidRDefault="0064223B" w:rsidP="00E54861">
      <w:pPr>
        <w:pStyle w:val="Heading2"/>
        <w:spacing w:line="480" w:lineRule="auto"/>
        <w:rPr>
          <w:szCs w:val="22"/>
        </w:rPr>
      </w:pPr>
      <w:r w:rsidRPr="00DD53FA">
        <w:rPr>
          <w:szCs w:val="22"/>
        </w:rPr>
        <w:t xml:space="preserve">Assessment of risk of bias and overall </w:t>
      </w:r>
      <w:r>
        <w:rPr>
          <w:szCs w:val="22"/>
        </w:rPr>
        <w:t>certainty</w:t>
      </w:r>
      <w:r w:rsidRPr="00DD53FA">
        <w:rPr>
          <w:szCs w:val="22"/>
        </w:rPr>
        <w:t xml:space="preserve"> of evidence</w:t>
      </w:r>
    </w:p>
    <w:p w14:paraId="21D3839B" w14:textId="77777777" w:rsidR="0064223B" w:rsidRPr="00DD53FA" w:rsidRDefault="0064223B" w:rsidP="00162A96">
      <w:pPr>
        <w:autoSpaceDE w:val="0"/>
        <w:autoSpaceDN w:val="0"/>
        <w:adjustRightInd w:val="0"/>
        <w:spacing w:after="0" w:line="480" w:lineRule="auto"/>
        <w:rPr>
          <w:rFonts w:ascii="Arial" w:hAnsi="Arial" w:cs="Arial"/>
          <w:color w:val="000000"/>
        </w:rPr>
      </w:pPr>
      <w:r w:rsidRPr="00DD53FA">
        <w:rPr>
          <w:rFonts w:ascii="Arial" w:hAnsi="Arial" w:cs="Arial"/>
          <w:color w:val="000000"/>
        </w:rPr>
        <w:t xml:space="preserve">Two review authors assessed, in duplicate and independently, the risk of bias </w:t>
      </w:r>
      <w:r>
        <w:rPr>
          <w:rFonts w:ascii="Arial" w:hAnsi="Arial" w:cs="Arial"/>
          <w:color w:val="000000"/>
        </w:rPr>
        <w:t>according to Cochrane methods</w:t>
      </w:r>
      <w:r w:rsidRPr="00DD53FA">
        <w:rPr>
          <w:rFonts w:ascii="Arial" w:hAnsi="Arial" w:cs="Arial"/>
          <w:color w:val="000000"/>
        </w:rPr>
        <w:t xml:space="preserve">. </w:t>
      </w:r>
      <w:r>
        <w:rPr>
          <w:rFonts w:ascii="Arial" w:hAnsi="Arial" w:cs="Arial"/>
          <w:color w:val="000000"/>
        </w:rPr>
        <w:t>D</w:t>
      </w:r>
      <w:r w:rsidRPr="00DD53FA">
        <w:rPr>
          <w:rFonts w:ascii="Arial" w:hAnsi="Arial" w:cs="Arial"/>
          <w:color w:val="000000"/>
        </w:rPr>
        <w:t xml:space="preserve">isagreements </w:t>
      </w:r>
      <w:r>
        <w:rPr>
          <w:rFonts w:ascii="Arial" w:hAnsi="Arial" w:cs="Arial"/>
          <w:color w:val="000000"/>
        </w:rPr>
        <w:t xml:space="preserve">were </w:t>
      </w:r>
      <w:r w:rsidRPr="00DD53FA">
        <w:rPr>
          <w:rFonts w:ascii="Arial" w:hAnsi="Arial" w:cs="Arial"/>
          <w:color w:val="000000"/>
        </w:rPr>
        <w:t xml:space="preserve">resolved by discussion or with the help of a third reviewer. </w:t>
      </w:r>
      <w:r>
        <w:rPr>
          <w:rFonts w:ascii="Arial" w:hAnsi="Arial" w:cs="Arial"/>
          <w:color w:val="000000"/>
        </w:rPr>
        <w:t>We used t</w:t>
      </w:r>
      <w:r w:rsidRPr="00DD53FA">
        <w:rPr>
          <w:rFonts w:ascii="Arial" w:hAnsi="Arial" w:cs="Arial"/>
          <w:color w:val="000000"/>
        </w:rPr>
        <w:t xml:space="preserve">he following criteria to assess the risk of bias: </w:t>
      </w:r>
      <w:r>
        <w:rPr>
          <w:rFonts w:ascii="Arial" w:hAnsi="Arial" w:cs="Arial"/>
          <w:color w:val="000000"/>
        </w:rPr>
        <w:t>a</w:t>
      </w:r>
      <w:r w:rsidRPr="00DD53FA">
        <w:rPr>
          <w:rFonts w:ascii="Arial" w:hAnsi="Arial" w:cs="Arial"/>
          <w:color w:val="000000"/>
        </w:rPr>
        <w:t xml:space="preserve">llocation concealment; blinding of participants, healthcare providers, data collectors, outcome adjudicators, and data analysts; </w:t>
      </w:r>
      <w:r>
        <w:rPr>
          <w:rFonts w:ascii="Arial" w:hAnsi="Arial" w:cs="Arial"/>
          <w:color w:val="000000"/>
        </w:rPr>
        <w:t xml:space="preserve">completeness of </w:t>
      </w:r>
      <w:r w:rsidRPr="00DD53FA">
        <w:rPr>
          <w:rFonts w:ascii="Arial" w:hAnsi="Arial" w:cs="Arial"/>
          <w:color w:val="000000"/>
        </w:rPr>
        <w:t xml:space="preserve">available data; and stopping early for benefit. We assessed selective outcomes and other reporting bias by comparing outcomes in published protocols and in the methods section to the outcomes reported in the published paper. We assessed statistical heterogeneity by calculating the </w:t>
      </w:r>
      <w:r>
        <w:rPr>
          <w:rFonts w:ascii="Arial" w:hAnsi="Arial" w:cs="Arial"/>
          <w:color w:val="000000"/>
        </w:rPr>
        <w:t>Chi</w:t>
      </w:r>
      <w:r>
        <w:rPr>
          <w:rFonts w:ascii="Arial" w:hAnsi="Arial" w:cs="Arial"/>
          <w:color w:val="000000"/>
          <w:vertAlign w:val="superscript"/>
        </w:rPr>
        <w:t>2</w:t>
      </w:r>
      <w:r>
        <w:rPr>
          <w:rFonts w:ascii="Arial" w:hAnsi="Arial" w:cs="Arial"/>
          <w:color w:val="000000"/>
        </w:rPr>
        <w:t xml:space="preserve"> </w:t>
      </w:r>
      <w:r w:rsidRPr="00DD53FA">
        <w:rPr>
          <w:rFonts w:ascii="Arial" w:hAnsi="Arial" w:cs="Arial"/>
          <w:color w:val="000000"/>
        </w:rPr>
        <w:t>and its p</w:t>
      </w:r>
      <w:r>
        <w:rPr>
          <w:rFonts w:ascii="Arial" w:hAnsi="Arial" w:cs="Arial"/>
          <w:color w:val="000000"/>
        </w:rPr>
        <w:t>-</w:t>
      </w:r>
      <w:r w:rsidRPr="00DD53FA">
        <w:rPr>
          <w:rFonts w:ascii="Arial" w:hAnsi="Arial" w:cs="Arial"/>
          <w:color w:val="000000"/>
        </w:rPr>
        <w:t>value, and the I</w:t>
      </w:r>
      <w:r w:rsidRPr="00DD53FA">
        <w:rPr>
          <w:rFonts w:ascii="Arial" w:hAnsi="Arial" w:cs="Arial"/>
          <w:color w:val="000000"/>
          <w:vertAlign w:val="superscript"/>
        </w:rPr>
        <w:t>2</w:t>
      </w:r>
      <w:r w:rsidRPr="00DD53FA">
        <w:rPr>
          <w:rFonts w:ascii="Arial" w:hAnsi="Arial" w:cs="Arial"/>
          <w:color w:val="000000"/>
        </w:rPr>
        <w:t xml:space="preserve">. </w:t>
      </w:r>
      <w:r>
        <w:rPr>
          <w:rFonts w:ascii="Arial" w:hAnsi="Arial" w:cs="Arial"/>
          <w:color w:val="000000"/>
        </w:rPr>
        <w:t>W</w:t>
      </w:r>
      <w:r w:rsidRPr="00DD53FA">
        <w:rPr>
          <w:rFonts w:ascii="Arial" w:hAnsi="Arial" w:cs="Arial"/>
          <w:color w:val="000000"/>
        </w:rPr>
        <w:t>e recorded and reported the sponsorship of included trials (whether sponsored by a for-profit or not-for-profit organisation or government agency) and assessed financial and intellectual conflicts of interest.</w:t>
      </w:r>
      <w:r w:rsidRPr="008E1491">
        <w:rPr>
          <w:rFonts w:ascii="Arial" w:hAnsi="Arial" w:cs="Arial"/>
          <w:color w:val="000000"/>
        </w:rPr>
        <w:t xml:space="preserve"> </w:t>
      </w:r>
      <w:r>
        <w:rPr>
          <w:rFonts w:ascii="Arial" w:hAnsi="Arial" w:cs="Arial"/>
          <w:color w:val="000000"/>
        </w:rPr>
        <w:t>I</w:t>
      </w:r>
      <w:r w:rsidRPr="00DD53FA">
        <w:rPr>
          <w:rFonts w:ascii="Arial" w:hAnsi="Arial" w:cs="Arial"/>
          <w:color w:val="000000"/>
        </w:rPr>
        <w:t>nverted funnel plot</w:t>
      </w:r>
      <w:r>
        <w:rPr>
          <w:rFonts w:ascii="Arial" w:hAnsi="Arial" w:cs="Arial"/>
          <w:color w:val="000000"/>
        </w:rPr>
        <w:t>s were generated</w:t>
      </w:r>
      <w:r w:rsidRPr="00DD53FA">
        <w:rPr>
          <w:rFonts w:ascii="Arial" w:hAnsi="Arial" w:cs="Arial"/>
          <w:color w:val="000000"/>
        </w:rPr>
        <w:t xml:space="preserve"> for each comparison to detect possible publication bias.</w:t>
      </w:r>
    </w:p>
    <w:p w14:paraId="4A6C89CE" w14:textId="77777777" w:rsidR="0064223B" w:rsidRPr="00DD53FA" w:rsidRDefault="0064223B" w:rsidP="00162A96">
      <w:pPr>
        <w:autoSpaceDE w:val="0"/>
        <w:autoSpaceDN w:val="0"/>
        <w:adjustRightInd w:val="0"/>
        <w:spacing w:after="0" w:line="480" w:lineRule="auto"/>
        <w:rPr>
          <w:rFonts w:ascii="Arial" w:hAnsi="Arial" w:cs="Arial"/>
          <w:color w:val="000000"/>
        </w:rPr>
      </w:pPr>
    </w:p>
    <w:p w14:paraId="40EF7C07" w14:textId="4935758C" w:rsidR="0064223B" w:rsidRDefault="0064223B" w:rsidP="00162A96">
      <w:pPr>
        <w:autoSpaceDE w:val="0"/>
        <w:autoSpaceDN w:val="0"/>
        <w:adjustRightInd w:val="0"/>
        <w:spacing w:after="0" w:line="480" w:lineRule="auto"/>
        <w:rPr>
          <w:rFonts w:ascii="Arial" w:hAnsi="Arial" w:cs="Arial"/>
          <w:color w:val="000000"/>
        </w:rPr>
      </w:pPr>
      <w:r>
        <w:rPr>
          <w:rFonts w:ascii="Arial" w:hAnsi="Arial" w:cs="Arial"/>
          <w:color w:val="000000"/>
        </w:rPr>
        <w:t>We used Grading of Recommendations Assessment, Development and Evaluation (G</w:t>
      </w:r>
      <w:r w:rsidRPr="00DD53FA">
        <w:rPr>
          <w:rFonts w:ascii="Arial" w:hAnsi="Arial" w:cs="Arial"/>
          <w:color w:val="000000"/>
        </w:rPr>
        <w:t>RADE</w:t>
      </w:r>
      <w:r>
        <w:rPr>
          <w:rFonts w:ascii="Arial" w:hAnsi="Arial" w:cs="Arial"/>
          <w:color w:val="000000"/>
        </w:rPr>
        <w:t>)</w:t>
      </w:r>
      <w:r w:rsidRPr="00DD53FA">
        <w:rPr>
          <w:rFonts w:ascii="Arial" w:hAnsi="Arial" w:cs="Arial"/>
          <w:color w:val="000000"/>
        </w:rPr>
        <w:t xml:space="preserve"> evidence profiles to summarise the </w:t>
      </w:r>
      <w:r>
        <w:rPr>
          <w:rFonts w:ascii="Arial" w:hAnsi="Arial" w:cs="Arial"/>
          <w:color w:val="000000"/>
        </w:rPr>
        <w:t>intervention</w:t>
      </w:r>
      <w:r w:rsidRPr="00DD53FA">
        <w:rPr>
          <w:rFonts w:ascii="Arial" w:hAnsi="Arial" w:cs="Arial"/>
          <w:color w:val="000000"/>
        </w:rPr>
        <w:t xml:space="preserve"> </w:t>
      </w:r>
      <w:r w:rsidRPr="00DD53FA">
        <w:rPr>
          <w:rFonts w:ascii="Arial" w:hAnsi="Arial" w:cs="Arial"/>
          <w:color w:val="000000"/>
        </w:rPr>
        <w:t>effects following the GRADE approach</w:t>
      </w:r>
      <w:r>
        <w:rPr>
          <w:rFonts w:ascii="Arial" w:hAnsi="Arial" w:cs="Arial"/>
          <w:color w:val="000000"/>
        </w:rPr>
        <w:t xml:space="preserve"> </w:t>
      </w:r>
      <w:r>
        <w:rPr>
          <w:rFonts w:ascii="Arial" w:hAnsi="Arial" w:cs="Arial"/>
          <w:noProof/>
          <w:color w:val="000000"/>
        </w:rPr>
        <w:t>(21, 22)</w:t>
      </w:r>
      <w:hyperlink w:anchor="_ENREF_17" w:tooltip="Agnelli, 2009 #23" w:history="1"/>
      <w:r w:rsidRPr="00DD53FA">
        <w:rPr>
          <w:rFonts w:ascii="Arial" w:hAnsi="Arial" w:cs="Arial"/>
          <w:color w:val="0000FF"/>
        </w:rPr>
        <w:t xml:space="preserve"> </w:t>
      </w:r>
      <w:r w:rsidRPr="00DD53FA">
        <w:rPr>
          <w:rFonts w:ascii="Arial" w:hAnsi="Arial" w:cs="Arial"/>
          <w:color w:val="000000"/>
        </w:rPr>
        <w:t>to provide support for decision makers</w:t>
      </w:r>
      <w:r>
        <w:rPr>
          <w:rFonts w:ascii="Arial" w:hAnsi="Arial" w:cs="Arial"/>
          <w:color w:val="000000"/>
        </w:rPr>
        <w:t>.</w:t>
      </w:r>
      <w:r w:rsidRPr="00DD53FA">
        <w:rPr>
          <w:rFonts w:ascii="Arial" w:hAnsi="Arial" w:cs="Arial"/>
          <w:color w:val="000000"/>
        </w:rPr>
        <w:t xml:space="preserve"> </w:t>
      </w:r>
      <w:r>
        <w:rPr>
          <w:rFonts w:ascii="Arial" w:hAnsi="Arial" w:cs="Arial"/>
          <w:color w:val="000000"/>
        </w:rPr>
        <w:t xml:space="preserve">We used GRADE’s </w:t>
      </w:r>
      <w:r w:rsidRPr="00DD53FA">
        <w:rPr>
          <w:rFonts w:ascii="Arial" w:hAnsi="Arial" w:cs="Arial"/>
          <w:color w:val="000000"/>
        </w:rPr>
        <w:t>GRADE</w:t>
      </w:r>
      <w:r>
        <w:rPr>
          <w:rFonts w:ascii="Arial" w:hAnsi="Arial" w:cs="Arial"/>
          <w:color w:val="000000"/>
        </w:rPr>
        <w:t>pro</w:t>
      </w:r>
      <w:r w:rsidRPr="00DD53FA">
        <w:rPr>
          <w:rFonts w:ascii="Arial" w:hAnsi="Arial" w:cs="Arial"/>
          <w:color w:val="000000"/>
        </w:rPr>
        <w:t xml:space="preserve"> software</w:t>
      </w:r>
      <w:r>
        <w:rPr>
          <w:rFonts w:ascii="Arial" w:hAnsi="Arial" w:cs="Arial"/>
          <w:color w:val="000000"/>
        </w:rPr>
        <w:t>.</w:t>
      </w:r>
      <w:r>
        <w:rPr>
          <w:rFonts w:ascii="Arial" w:hAnsi="Arial" w:cs="Arial"/>
          <w:noProof/>
          <w:color w:val="000000"/>
        </w:rPr>
        <w:t>(</w:t>
      </w:r>
      <w:r>
        <w:rPr>
          <w:rFonts w:ascii="Arial" w:hAnsi="Arial" w:cs="Arial"/>
          <w:noProof/>
          <w:color w:val="000000"/>
        </w:rPr>
        <w:t>23</w:t>
      </w:r>
      <w:r>
        <w:rPr>
          <w:rFonts w:ascii="Arial" w:hAnsi="Arial" w:cs="Arial"/>
          <w:noProof/>
          <w:color w:val="000000"/>
        </w:rPr>
        <w:t>)</w:t>
      </w:r>
      <w:r w:rsidRPr="00DD53FA">
        <w:rPr>
          <w:rFonts w:ascii="Arial" w:hAnsi="Arial" w:cs="Arial"/>
          <w:color w:val="000000"/>
        </w:rPr>
        <w:t xml:space="preserve"> </w:t>
      </w:r>
      <w:r>
        <w:rPr>
          <w:rFonts w:ascii="Arial" w:hAnsi="Arial" w:cs="Arial"/>
          <w:color w:val="000000"/>
        </w:rPr>
        <w:t xml:space="preserve">To </w:t>
      </w:r>
      <w:r>
        <w:rPr>
          <w:rFonts w:ascii="Arial" w:hAnsi="Arial" w:cs="Arial"/>
          <w:color w:val="000000"/>
        </w:rPr>
        <w:lastRenderedPageBreak/>
        <w:t>perform the GRADE assessment</w:t>
      </w:r>
      <w:r w:rsidRPr="00DD53FA">
        <w:rPr>
          <w:rFonts w:ascii="Arial" w:hAnsi="Arial" w:cs="Arial"/>
          <w:color w:val="000000"/>
        </w:rPr>
        <w:t>, we assessed publication bias and heterogeneity by using study-level identifiers. We conducted this assessment for the relative estimates of effect as well as baseline risk estimates in various patient subgroups.</w:t>
      </w:r>
    </w:p>
    <w:p w14:paraId="3E75EA5D" w14:textId="77777777" w:rsidR="0064223B" w:rsidRPr="00DD53FA" w:rsidRDefault="0064223B" w:rsidP="00162A96">
      <w:pPr>
        <w:autoSpaceDE w:val="0"/>
        <w:autoSpaceDN w:val="0"/>
        <w:adjustRightInd w:val="0"/>
        <w:spacing w:after="0" w:line="480" w:lineRule="auto"/>
        <w:rPr>
          <w:rFonts w:ascii="Arial" w:hAnsi="Arial" w:cs="Arial"/>
          <w:color w:val="000000"/>
        </w:rPr>
      </w:pPr>
    </w:p>
    <w:p w14:paraId="4CACD91C" w14:textId="77777777" w:rsidR="0064223B" w:rsidRPr="001E0ECE" w:rsidRDefault="0064223B" w:rsidP="001E0ECE">
      <w:pPr>
        <w:pStyle w:val="Heading2"/>
        <w:spacing w:line="480" w:lineRule="auto"/>
        <w:rPr>
          <w:szCs w:val="22"/>
        </w:rPr>
      </w:pPr>
      <w:r w:rsidRPr="00DD53FA">
        <w:rPr>
          <w:szCs w:val="22"/>
        </w:rPr>
        <w:t>Datasets and data extraction</w:t>
      </w:r>
    </w:p>
    <w:p w14:paraId="1E11F385" w14:textId="77777777" w:rsidR="0064223B" w:rsidRPr="00DD53FA" w:rsidRDefault="0064223B" w:rsidP="00162A96">
      <w:pPr>
        <w:autoSpaceDE w:val="0"/>
        <w:autoSpaceDN w:val="0"/>
        <w:adjustRightInd w:val="0"/>
        <w:spacing w:after="0" w:line="480" w:lineRule="auto"/>
        <w:rPr>
          <w:rFonts w:ascii="Arial" w:hAnsi="Arial" w:cs="Arial"/>
        </w:rPr>
      </w:pPr>
      <w:r w:rsidRPr="00DD53FA">
        <w:rPr>
          <w:rFonts w:ascii="Arial" w:hAnsi="Arial" w:cs="Arial"/>
        </w:rPr>
        <w:t xml:space="preserve">Two review authors independently extracted individual participant data and aggregate level data in duplicate using standardised pre-piloted data extraction forms. </w:t>
      </w:r>
      <w:r>
        <w:rPr>
          <w:rFonts w:ascii="Arial" w:hAnsi="Arial" w:cs="Arial"/>
        </w:rPr>
        <w:t>We</w:t>
      </w:r>
      <w:r w:rsidRPr="00DD53FA">
        <w:rPr>
          <w:rFonts w:ascii="Arial" w:hAnsi="Arial" w:cs="Arial"/>
        </w:rPr>
        <w:t xml:space="preserve"> standardise</w:t>
      </w:r>
      <w:r>
        <w:rPr>
          <w:rFonts w:ascii="Arial" w:hAnsi="Arial" w:cs="Arial"/>
        </w:rPr>
        <w:t>d</w:t>
      </w:r>
      <w:r w:rsidRPr="00DD53FA">
        <w:rPr>
          <w:rFonts w:ascii="Arial" w:hAnsi="Arial" w:cs="Arial"/>
        </w:rPr>
        <w:t xml:space="preserve"> variable names and value labels across trials. Data </w:t>
      </w:r>
      <w:r>
        <w:rPr>
          <w:rFonts w:ascii="Arial" w:hAnsi="Arial" w:cs="Arial"/>
        </w:rPr>
        <w:t xml:space="preserve">were </w:t>
      </w:r>
      <w:r w:rsidRPr="00DD53FA">
        <w:rPr>
          <w:rFonts w:ascii="Arial" w:hAnsi="Arial" w:cs="Arial"/>
        </w:rPr>
        <w:t xml:space="preserve">initially entered into an Excel database and converted to SAS for analysis. Finally, we </w:t>
      </w:r>
      <w:r>
        <w:rPr>
          <w:rFonts w:ascii="Arial" w:hAnsi="Arial" w:cs="Arial"/>
        </w:rPr>
        <w:t xml:space="preserve">synthesized </w:t>
      </w:r>
      <w:r w:rsidRPr="00DD53FA">
        <w:rPr>
          <w:rFonts w:ascii="Arial" w:hAnsi="Arial" w:cs="Arial"/>
        </w:rPr>
        <w:t xml:space="preserve">data sets and assigned a </w:t>
      </w:r>
      <w:r>
        <w:rPr>
          <w:rFonts w:ascii="Arial" w:hAnsi="Arial" w:cs="Arial"/>
        </w:rPr>
        <w:t xml:space="preserve">coded </w:t>
      </w:r>
      <w:r w:rsidRPr="00DD53FA">
        <w:rPr>
          <w:rFonts w:ascii="Arial" w:hAnsi="Arial" w:cs="Arial"/>
        </w:rPr>
        <w:t xml:space="preserve">trial variable </w:t>
      </w:r>
      <w:r>
        <w:rPr>
          <w:rFonts w:ascii="Arial" w:hAnsi="Arial" w:cs="Arial"/>
        </w:rPr>
        <w:t>for each participant</w:t>
      </w:r>
      <w:r w:rsidRPr="00DD53FA">
        <w:rPr>
          <w:rFonts w:ascii="Arial" w:hAnsi="Arial" w:cs="Arial"/>
        </w:rPr>
        <w:t>.</w:t>
      </w:r>
      <w:r>
        <w:rPr>
          <w:rFonts w:ascii="Arial" w:hAnsi="Arial" w:cs="Arial"/>
        </w:rPr>
        <w:t xml:space="preserve"> </w:t>
      </w:r>
      <w:r w:rsidRPr="00DD53FA">
        <w:rPr>
          <w:rFonts w:ascii="Arial" w:hAnsi="Arial" w:cs="Arial"/>
        </w:rPr>
        <w:t>The percentage of missing data in analyses relevant variables was calculated and Little’s method</w:t>
      </w:r>
      <w:r>
        <w:rPr>
          <w:rFonts w:ascii="Arial" w:hAnsi="Arial" w:cs="Arial"/>
        </w:rPr>
        <w:t xml:space="preserve"> was</w:t>
      </w:r>
      <w:r w:rsidRPr="00DD53FA">
        <w:rPr>
          <w:rFonts w:ascii="Arial" w:hAnsi="Arial" w:cs="Arial"/>
        </w:rPr>
        <w:t xml:space="preserve"> used to assess the </w:t>
      </w:r>
      <w:bookmarkStart w:id="5" w:name="_Hlk518081389"/>
      <w:r w:rsidRPr="00DD53FA">
        <w:rPr>
          <w:rFonts w:ascii="Arial" w:hAnsi="Arial" w:cs="Arial"/>
        </w:rPr>
        <w:t xml:space="preserve">missing completely at random (MCAR) </w:t>
      </w:r>
      <w:bookmarkEnd w:id="5"/>
      <w:r w:rsidRPr="00DD53FA">
        <w:rPr>
          <w:rFonts w:ascii="Arial" w:hAnsi="Arial" w:cs="Arial"/>
        </w:rPr>
        <w:t>assumption in the variable</w:t>
      </w:r>
      <w:r>
        <w:rPr>
          <w:rFonts w:ascii="Arial" w:hAnsi="Arial" w:cs="Arial"/>
        </w:rPr>
        <w:t>s</w:t>
      </w:r>
      <w:r w:rsidRPr="00DD53FA">
        <w:rPr>
          <w:rFonts w:ascii="Arial" w:hAnsi="Arial" w:cs="Arial"/>
        </w:rPr>
        <w:t xml:space="preserve"> with at least 5% of missing data. If the MCAR </w:t>
      </w:r>
      <w:r>
        <w:rPr>
          <w:rFonts w:ascii="Arial" w:hAnsi="Arial" w:cs="Arial"/>
        </w:rPr>
        <w:t xml:space="preserve">assumption </w:t>
      </w:r>
      <w:r w:rsidRPr="00DD53FA">
        <w:rPr>
          <w:rFonts w:ascii="Arial" w:hAnsi="Arial" w:cs="Arial"/>
        </w:rPr>
        <w:t>was violated, we further examine</w:t>
      </w:r>
      <w:r>
        <w:rPr>
          <w:rFonts w:ascii="Arial" w:hAnsi="Arial" w:cs="Arial"/>
        </w:rPr>
        <w:t>d</w:t>
      </w:r>
      <w:r w:rsidRPr="00DD53FA">
        <w:rPr>
          <w:rFonts w:ascii="Arial" w:hAnsi="Arial" w:cs="Arial"/>
        </w:rPr>
        <w:t xml:space="preserve"> the MAR pattern by comparing the outcome in the variable with and without missing values.</w:t>
      </w:r>
    </w:p>
    <w:p w14:paraId="31B801D2" w14:textId="77777777" w:rsidR="0064223B" w:rsidRPr="00DD53FA" w:rsidRDefault="0064223B" w:rsidP="00162A96">
      <w:pPr>
        <w:autoSpaceDE w:val="0"/>
        <w:autoSpaceDN w:val="0"/>
        <w:adjustRightInd w:val="0"/>
        <w:spacing w:after="0" w:line="480" w:lineRule="auto"/>
        <w:rPr>
          <w:rFonts w:ascii="Arial" w:hAnsi="Arial" w:cs="Arial"/>
        </w:rPr>
      </w:pPr>
    </w:p>
    <w:p w14:paraId="7B2A9A38" w14:textId="77777777" w:rsidR="0064223B" w:rsidRPr="00453873" w:rsidRDefault="0064223B" w:rsidP="00453873">
      <w:pPr>
        <w:pStyle w:val="Heading2"/>
        <w:spacing w:line="480" w:lineRule="auto"/>
        <w:rPr>
          <w:szCs w:val="22"/>
        </w:rPr>
      </w:pPr>
      <w:r w:rsidRPr="00DD53FA">
        <w:rPr>
          <w:szCs w:val="22"/>
        </w:rPr>
        <w:t>Data analysis</w:t>
      </w:r>
    </w:p>
    <w:p w14:paraId="2C6B5ABE" w14:textId="77777777" w:rsidR="0064223B" w:rsidRDefault="0064223B" w:rsidP="00D834DC">
      <w:pPr>
        <w:autoSpaceDE w:val="0"/>
        <w:autoSpaceDN w:val="0"/>
        <w:adjustRightInd w:val="0"/>
        <w:spacing w:after="0" w:line="480" w:lineRule="auto"/>
        <w:rPr>
          <w:rFonts w:ascii="Arial" w:hAnsi="Arial" w:cs="Arial"/>
          <w:color w:val="000000"/>
          <w:lang w:eastAsia="zh-CN"/>
        </w:rPr>
      </w:pPr>
      <w:r w:rsidRPr="00DD53FA">
        <w:rPr>
          <w:rFonts w:ascii="Arial" w:hAnsi="Arial" w:cs="Arial"/>
          <w:color w:val="000000"/>
        </w:rPr>
        <w:t xml:space="preserve">All analyses followed the </w:t>
      </w:r>
      <w:bookmarkStart w:id="6" w:name="_Hlk518081437"/>
      <w:r>
        <w:rPr>
          <w:rFonts w:ascii="Arial" w:hAnsi="Arial" w:cs="Arial"/>
          <w:color w:val="000000"/>
        </w:rPr>
        <w:t>intention-to-treat (</w:t>
      </w:r>
      <w:r w:rsidRPr="00DD53FA">
        <w:rPr>
          <w:rFonts w:ascii="Arial" w:hAnsi="Arial" w:cs="Arial"/>
          <w:color w:val="000000"/>
        </w:rPr>
        <w:t>ITT</w:t>
      </w:r>
      <w:r>
        <w:rPr>
          <w:rFonts w:ascii="Arial" w:hAnsi="Arial" w:cs="Arial"/>
          <w:color w:val="000000"/>
        </w:rPr>
        <w:t xml:space="preserve">) </w:t>
      </w:r>
      <w:bookmarkEnd w:id="6"/>
      <w:r>
        <w:rPr>
          <w:rFonts w:ascii="Arial" w:hAnsi="Arial" w:cs="Arial"/>
          <w:color w:val="000000"/>
        </w:rPr>
        <w:t>principle</w:t>
      </w:r>
      <w:r w:rsidRPr="00DD53FA">
        <w:rPr>
          <w:rFonts w:ascii="Arial" w:hAnsi="Arial" w:cs="Arial"/>
          <w:color w:val="000000"/>
        </w:rPr>
        <w:t xml:space="preserve">. We summarised </w:t>
      </w:r>
      <w:r>
        <w:rPr>
          <w:rFonts w:ascii="Arial" w:hAnsi="Arial" w:cs="Arial"/>
          <w:color w:val="000000"/>
        </w:rPr>
        <w:t xml:space="preserve">categorical data using frequencies alongside percentages and continuous data with mean or median, depending on the distribution, together with </w:t>
      </w:r>
      <w:bookmarkStart w:id="7" w:name="_Hlk518081461"/>
      <w:r>
        <w:rPr>
          <w:rFonts w:ascii="Arial" w:hAnsi="Arial" w:cs="Arial"/>
          <w:color w:val="000000"/>
        </w:rPr>
        <w:t>standard deviation (SD</w:t>
      </w:r>
      <w:bookmarkEnd w:id="7"/>
      <w:r>
        <w:rPr>
          <w:rFonts w:ascii="Arial" w:hAnsi="Arial" w:cs="Arial"/>
          <w:color w:val="000000"/>
        </w:rPr>
        <w:t xml:space="preserve">) or </w:t>
      </w:r>
      <w:bookmarkStart w:id="8" w:name="_Hlk518081491"/>
      <w:r>
        <w:rPr>
          <w:rFonts w:ascii="Arial" w:hAnsi="Arial" w:cs="Arial"/>
          <w:color w:val="000000"/>
        </w:rPr>
        <w:t>interquartile range (IQR</w:t>
      </w:r>
      <w:bookmarkEnd w:id="8"/>
      <w:r>
        <w:rPr>
          <w:rFonts w:ascii="Arial" w:hAnsi="Arial" w:cs="Arial"/>
          <w:color w:val="000000"/>
        </w:rPr>
        <w:t xml:space="preserve">). </w:t>
      </w:r>
      <w:r>
        <w:rPr>
          <w:rFonts w:ascii="Arial" w:hAnsi="Arial" w:cs="Arial"/>
          <w:color w:val="000000"/>
          <w:lang w:eastAsia="zh-CN"/>
        </w:rPr>
        <w:t>F</w:t>
      </w:r>
      <w:r>
        <w:rPr>
          <w:rFonts w:ascii="Arial" w:hAnsi="Arial" w:cs="Arial" w:hint="eastAsia"/>
          <w:color w:val="000000"/>
          <w:lang w:eastAsia="zh-CN"/>
        </w:rPr>
        <w:t xml:space="preserve">or </w:t>
      </w:r>
      <w:r w:rsidRPr="00985434">
        <w:rPr>
          <w:rFonts w:ascii="Arial" w:hAnsi="Arial" w:cs="Arial"/>
          <w:color w:val="000000"/>
          <w:lang w:eastAsia="zh-CN"/>
        </w:rPr>
        <w:t>dichotomous outcomes</w:t>
      </w:r>
      <w:r>
        <w:rPr>
          <w:rFonts w:ascii="Arial" w:hAnsi="Arial" w:cs="Arial" w:hint="eastAsia"/>
          <w:color w:val="000000"/>
          <w:lang w:eastAsia="zh-CN"/>
        </w:rPr>
        <w:t xml:space="preserve">, we </w:t>
      </w:r>
      <w:r>
        <w:rPr>
          <w:rFonts w:ascii="Arial" w:hAnsi="Arial" w:cs="Arial"/>
          <w:color w:val="000000"/>
        </w:rPr>
        <w:t xml:space="preserve">expressed the intervention effects </w:t>
      </w:r>
      <w:r>
        <w:rPr>
          <w:rFonts w:ascii="Arial" w:hAnsi="Arial" w:cs="Arial" w:hint="eastAsia"/>
          <w:color w:val="000000"/>
          <w:lang w:eastAsia="zh-CN"/>
        </w:rPr>
        <w:t xml:space="preserve">in </w:t>
      </w:r>
      <w:bookmarkStart w:id="9" w:name="_Hlk518081508"/>
      <w:r>
        <w:rPr>
          <w:rFonts w:ascii="Arial" w:hAnsi="Arial" w:cs="Arial"/>
          <w:color w:val="000000"/>
          <w:lang w:eastAsia="zh-CN"/>
        </w:rPr>
        <w:t>r</w:t>
      </w:r>
      <w:r>
        <w:rPr>
          <w:rFonts w:ascii="Arial" w:hAnsi="Arial" w:cs="Arial" w:hint="eastAsia"/>
          <w:color w:val="000000"/>
          <w:lang w:eastAsia="zh-CN"/>
        </w:rPr>
        <w:t xml:space="preserve">elative </w:t>
      </w:r>
      <w:r>
        <w:rPr>
          <w:rFonts w:ascii="Arial" w:hAnsi="Arial" w:cs="Arial"/>
          <w:color w:val="000000"/>
          <w:lang w:eastAsia="zh-CN"/>
        </w:rPr>
        <w:t>r</w:t>
      </w:r>
      <w:r>
        <w:rPr>
          <w:rFonts w:ascii="Arial" w:hAnsi="Arial" w:cs="Arial" w:hint="eastAsia"/>
          <w:color w:val="000000"/>
          <w:lang w:eastAsia="zh-CN"/>
        </w:rPr>
        <w:t>isk (RR</w:t>
      </w:r>
      <w:bookmarkEnd w:id="9"/>
      <w:r>
        <w:rPr>
          <w:rFonts w:ascii="Arial" w:hAnsi="Arial" w:cs="Arial" w:hint="eastAsia"/>
          <w:color w:val="000000"/>
          <w:lang w:eastAsia="zh-CN"/>
        </w:rPr>
        <w:t>).</w:t>
      </w:r>
    </w:p>
    <w:p w14:paraId="2D85035E" w14:textId="77777777" w:rsidR="0064223B" w:rsidRDefault="0064223B" w:rsidP="00561594">
      <w:pPr>
        <w:autoSpaceDE w:val="0"/>
        <w:autoSpaceDN w:val="0"/>
        <w:adjustRightInd w:val="0"/>
        <w:spacing w:after="0" w:line="480" w:lineRule="auto"/>
        <w:rPr>
          <w:rFonts w:ascii="Arial" w:hAnsi="Arial" w:cs="Arial"/>
          <w:color w:val="000000"/>
          <w:lang w:eastAsia="zh-CN"/>
        </w:rPr>
      </w:pPr>
      <w:r>
        <w:rPr>
          <w:rFonts w:ascii="Arial" w:hAnsi="Arial" w:cs="Arial"/>
          <w:color w:val="000000"/>
        </w:rPr>
        <w:t xml:space="preserve">A one-stage approach was used to analyze data. </w:t>
      </w:r>
      <w:r w:rsidRPr="00DD53FA">
        <w:rPr>
          <w:rFonts w:ascii="Arial" w:hAnsi="Arial" w:cs="Arial"/>
          <w:color w:val="000000"/>
        </w:rPr>
        <w:t>In the regression anal</w:t>
      </w:r>
      <w:r>
        <w:rPr>
          <w:rFonts w:ascii="Arial" w:hAnsi="Arial" w:cs="Arial"/>
          <w:color w:val="000000"/>
        </w:rPr>
        <w:t>yses, we used multilevel models</w:t>
      </w:r>
      <w:r>
        <w:rPr>
          <w:rFonts w:ascii="Arial" w:hAnsi="Arial" w:cs="Arial"/>
          <w:noProof/>
          <w:color w:val="000000"/>
        </w:rPr>
        <w:t>(24-26)</w:t>
      </w:r>
      <w:r w:rsidRPr="00DD53FA">
        <w:rPr>
          <w:rFonts w:ascii="Arial" w:hAnsi="Arial" w:cs="Arial"/>
          <w:color w:val="0000FF"/>
        </w:rPr>
        <w:t xml:space="preserve"> </w:t>
      </w:r>
      <w:r w:rsidRPr="00DD53FA">
        <w:rPr>
          <w:rFonts w:ascii="Arial" w:hAnsi="Arial" w:cs="Arial"/>
          <w:color w:val="000000"/>
        </w:rPr>
        <w:t>to incorporate data at trial level and patient level.</w:t>
      </w:r>
      <w:r>
        <w:rPr>
          <w:rFonts w:ascii="Arial" w:hAnsi="Arial" w:cs="Arial"/>
          <w:color w:val="000000"/>
        </w:rPr>
        <w:t xml:space="preserve"> We included </w:t>
      </w:r>
      <w:r>
        <w:rPr>
          <w:rFonts w:ascii="Arial" w:hAnsi="Arial" w:cs="Arial"/>
          <w:lang w:eastAsia="zh-CN"/>
        </w:rPr>
        <w:t>f</w:t>
      </w:r>
      <w:r w:rsidRPr="00742BFC">
        <w:rPr>
          <w:rFonts w:ascii="Arial" w:hAnsi="Arial" w:cs="Arial"/>
          <w:lang w:eastAsia="zh-CN"/>
        </w:rPr>
        <w:t>our</w:t>
      </w:r>
      <w:r w:rsidRPr="00742BFC">
        <w:rPr>
          <w:rFonts w:ascii="Arial" w:hAnsi="Arial" w:cs="Arial"/>
        </w:rPr>
        <w:t xml:space="preserve"> adjustment variables - </w:t>
      </w:r>
      <w:r w:rsidRPr="00742BFC">
        <w:rPr>
          <w:rFonts w:ascii="Arial" w:hAnsi="Arial" w:cs="Arial"/>
          <w:color w:val="000000"/>
        </w:rPr>
        <w:t>age</w:t>
      </w:r>
      <w:r w:rsidRPr="00742BFC">
        <w:rPr>
          <w:rFonts w:ascii="Arial" w:hAnsi="Arial" w:cs="Arial"/>
          <w:color w:val="000000"/>
          <w:lang w:eastAsia="zh-CN"/>
        </w:rPr>
        <w:t xml:space="preserve">, time to </w:t>
      </w:r>
      <w:r w:rsidRPr="00742BFC">
        <w:rPr>
          <w:rFonts w:ascii="Arial" w:hAnsi="Arial" w:cs="Arial"/>
          <w:lang w:val="en-US" w:eastAsia="zh-CN"/>
        </w:rPr>
        <w:t>c</w:t>
      </w:r>
      <w:r w:rsidRPr="00742BFC">
        <w:rPr>
          <w:rFonts w:ascii="Arial" w:hAnsi="Arial" w:cs="Arial"/>
          <w:lang w:val="en-US"/>
        </w:rPr>
        <w:t>ancer diagnosis prior to baseline</w:t>
      </w:r>
      <w:r w:rsidRPr="00742BFC">
        <w:rPr>
          <w:rFonts w:ascii="Arial" w:hAnsi="Arial" w:cs="Arial"/>
          <w:lang w:val="en-US" w:eastAsia="zh-CN"/>
        </w:rPr>
        <w:t xml:space="preserve">, </w:t>
      </w:r>
      <w:r w:rsidRPr="00742BFC">
        <w:rPr>
          <w:rFonts w:ascii="Arial" w:hAnsi="Arial" w:cs="Arial"/>
          <w:lang w:eastAsia="zh-CN"/>
        </w:rPr>
        <w:t>cancer type and s</w:t>
      </w:r>
      <w:r w:rsidRPr="00742BFC">
        <w:rPr>
          <w:rFonts w:ascii="Arial" w:eastAsia="Garamond" w:hAnsi="Arial" w:cs="Arial"/>
        </w:rPr>
        <w:t>tage</w:t>
      </w:r>
      <w:r w:rsidRPr="00742BFC">
        <w:rPr>
          <w:rFonts w:ascii="Arial" w:eastAsia="Garamond" w:hAnsi="Arial" w:cs="Arial"/>
          <w:spacing w:val="-4"/>
        </w:rPr>
        <w:t xml:space="preserve"> </w:t>
      </w:r>
      <w:r w:rsidRPr="00742BFC">
        <w:rPr>
          <w:rFonts w:ascii="Arial" w:eastAsia="Garamond" w:hAnsi="Arial" w:cs="Arial"/>
        </w:rPr>
        <w:t>of</w:t>
      </w:r>
      <w:r w:rsidRPr="00742BFC">
        <w:rPr>
          <w:rFonts w:ascii="Arial" w:eastAsia="Garamond" w:hAnsi="Arial" w:cs="Arial"/>
          <w:spacing w:val="-1"/>
        </w:rPr>
        <w:t xml:space="preserve"> </w:t>
      </w:r>
      <w:r w:rsidRPr="00742BFC">
        <w:rPr>
          <w:rFonts w:ascii="Arial" w:eastAsia="Garamond" w:hAnsi="Arial" w:cs="Arial"/>
        </w:rPr>
        <w:t>cancer</w:t>
      </w:r>
      <w:r w:rsidRPr="00742BFC">
        <w:rPr>
          <w:rFonts w:ascii="Arial" w:hAnsi="Arial" w:cs="Arial"/>
          <w:lang w:eastAsia="zh-CN"/>
        </w:rPr>
        <w:t xml:space="preserve"> </w:t>
      </w:r>
      <w:r>
        <w:rPr>
          <w:rFonts w:ascii="Arial" w:hAnsi="Arial" w:cs="Arial" w:hint="eastAsia"/>
          <w:lang w:eastAsia="zh-CN"/>
        </w:rPr>
        <w:t xml:space="preserve">- </w:t>
      </w:r>
      <w:r w:rsidRPr="00742BFC">
        <w:rPr>
          <w:rFonts w:ascii="Arial" w:hAnsi="Arial" w:cs="Arial"/>
          <w:color w:val="000000"/>
        </w:rPr>
        <w:t>as fixed</w:t>
      </w:r>
      <w:r>
        <w:rPr>
          <w:rFonts w:ascii="Arial" w:hAnsi="Arial" w:cs="Arial"/>
          <w:color w:val="000000"/>
        </w:rPr>
        <w:t xml:space="preserve"> </w:t>
      </w:r>
      <w:r w:rsidRPr="00742BFC">
        <w:rPr>
          <w:rFonts w:ascii="Arial" w:hAnsi="Arial" w:cs="Arial"/>
          <w:color w:val="000000"/>
        </w:rPr>
        <w:t xml:space="preserve">effects </w:t>
      </w:r>
      <w:r w:rsidRPr="00742BFC">
        <w:rPr>
          <w:rFonts w:ascii="Arial" w:hAnsi="Arial" w:cs="Arial"/>
          <w:color w:val="000000"/>
          <w:lang w:eastAsia="zh-CN"/>
        </w:rPr>
        <w:t xml:space="preserve">and trial as </w:t>
      </w:r>
      <w:r>
        <w:rPr>
          <w:rFonts w:ascii="Arial" w:hAnsi="Arial" w:cs="Arial"/>
          <w:color w:val="000000"/>
          <w:lang w:eastAsia="zh-CN"/>
        </w:rPr>
        <w:t xml:space="preserve">a </w:t>
      </w:r>
      <w:r w:rsidRPr="00742BFC">
        <w:rPr>
          <w:rFonts w:ascii="Arial" w:hAnsi="Arial" w:cs="Arial"/>
          <w:color w:val="000000"/>
          <w:lang w:eastAsia="zh-CN"/>
        </w:rPr>
        <w:t>random effect</w:t>
      </w:r>
      <w:r>
        <w:rPr>
          <w:rFonts w:ascii="Arial" w:hAnsi="Arial" w:cs="Arial" w:hint="eastAsia"/>
          <w:color w:val="000000"/>
          <w:lang w:eastAsia="zh-CN"/>
        </w:rPr>
        <w:t>.</w:t>
      </w:r>
      <w:r>
        <w:rPr>
          <w:rFonts w:ascii="Arial" w:hAnsi="Arial" w:cs="Arial"/>
          <w:color w:val="000000"/>
          <w:lang w:eastAsia="zh-CN"/>
        </w:rPr>
        <w:t xml:space="preserve"> Therefore, heterogeneity among trials was modelled with the frailty random effect.</w:t>
      </w:r>
    </w:p>
    <w:p w14:paraId="62DEE68B" w14:textId="77777777" w:rsidR="0064223B" w:rsidRDefault="0064223B" w:rsidP="00C96933">
      <w:pPr>
        <w:autoSpaceDE w:val="0"/>
        <w:autoSpaceDN w:val="0"/>
        <w:adjustRightInd w:val="0"/>
        <w:spacing w:after="0" w:line="480" w:lineRule="auto"/>
        <w:rPr>
          <w:rFonts w:ascii="Arial" w:hAnsi="Arial" w:cs="Arial"/>
          <w:color w:val="000000"/>
        </w:rPr>
      </w:pPr>
      <w:r>
        <w:rPr>
          <w:rFonts w:ascii="Arial" w:hAnsi="Arial" w:cs="Arial"/>
          <w:color w:val="000000"/>
        </w:rPr>
        <w:lastRenderedPageBreak/>
        <w:t xml:space="preserve">The regression modeling was based on the </w:t>
      </w:r>
      <w:r w:rsidRPr="00DD53FA">
        <w:rPr>
          <w:rFonts w:ascii="Arial" w:hAnsi="Arial" w:cs="Arial"/>
          <w:color w:val="000000"/>
        </w:rPr>
        <w:t>joint distribution of the treatment effect and trial with a bivariate normal distribution (i</w:t>
      </w:r>
      <w:r>
        <w:rPr>
          <w:rFonts w:ascii="Arial" w:hAnsi="Arial" w:cs="Arial"/>
          <w:color w:val="000000"/>
        </w:rPr>
        <w:t>.</w:t>
      </w:r>
      <w:r w:rsidRPr="00DD53FA">
        <w:rPr>
          <w:rFonts w:ascii="Arial" w:hAnsi="Arial" w:cs="Arial"/>
          <w:color w:val="000000"/>
        </w:rPr>
        <w:t>e</w:t>
      </w:r>
      <w:r>
        <w:rPr>
          <w:rFonts w:ascii="Arial" w:hAnsi="Arial" w:cs="Arial"/>
          <w:color w:val="000000"/>
        </w:rPr>
        <w:t>.</w:t>
      </w:r>
      <w:r w:rsidRPr="00DD53FA">
        <w:rPr>
          <w:rFonts w:ascii="Arial" w:hAnsi="Arial" w:cs="Arial"/>
          <w:color w:val="000000"/>
        </w:rPr>
        <w:t>, using model (3) from Turner et al</w:t>
      </w:r>
      <w:r>
        <w:rPr>
          <w:rFonts w:ascii="Arial" w:hAnsi="Arial" w:cs="Arial"/>
          <w:color w:val="000000"/>
        </w:rPr>
        <w:t>.</w:t>
      </w:r>
      <w:r>
        <w:rPr>
          <w:rFonts w:ascii="Arial" w:hAnsi="Arial" w:cs="Arial"/>
          <w:noProof/>
          <w:color w:val="000000"/>
        </w:rPr>
        <w:t>(26)</w:t>
      </w:r>
      <w:hyperlink w:anchor="_ENREF_20" w:tooltip="Thompson, 2001 #80" w:history="1"/>
      <w:r w:rsidRPr="00DD53FA">
        <w:rPr>
          <w:rFonts w:ascii="Arial" w:hAnsi="Arial" w:cs="Arial"/>
          <w:color w:val="000000"/>
        </w:rPr>
        <w:t>).</w:t>
      </w:r>
      <w:r>
        <w:rPr>
          <w:rFonts w:ascii="Arial" w:hAnsi="Arial" w:cs="Arial"/>
          <w:color w:val="000000"/>
        </w:rPr>
        <w:t xml:space="preserve"> </w:t>
      </w:r>
      <w:bookmarkStart w:id="10" w:name="_Hlk42331107"/>
      <w:r w:rsidRPr="00AE167D">
        <w:rPr>
          <w:rFonts w:ascii="Arial" w:hAnsi="Arial" w:cs="Arial"/>
          <w:color w:val="000000"/>
        </w:rPr>
        <w:t xml:space="preserve">As Poisson regression takes into account that different observations have different lengths of follow-up, we used the mixed </w:t>
      </w:r>
      <w:r w:rsidRPr="00AE167D">
        <w:rPr>
          <w:rFonts w:ascii="Arial" w:hAnsi="Arial" w:cs="Arial"/>
          <w:color w:val="000000"/>
          <w:lang w:eastAsia="zh-CN"/>
        </w:rPr>
        <w:t xml:space="preserve">robust Poisson </w:t>
      </w:r>
      <w:r w:rsidRPr="00AE167D">
        <w:rPr>
          <w:rFonts w:ascii="Arial" w:hAnsi="Arial" w:cs="Arial"/>
          <w:color w:val="000000"/>
        </w:rPr>
        <w:t xml:space="preserve">regression model to estimate the adjusted RR. </w:t>
      </w:r>
      <w:r w:rsidRPr="00AE167D">
        <w:rPr>
          <w:rFonts w:ascii="Arial" w:hAnsi="Arial" w:cs="Arial"/>
          <w:color w:val="000000"/>
          <w:lang w:eastAsia="zh-CN"/>
        </w:rPr>
        <w:t>We also performed a multilevel Cox regression analysis with frailty random effects for trials and used the hazard ratio (</w:t>
      </w:r>
      <w:r w:rsidRPr="00AE167D">
        <w:rPr>
          <w:rFonts w:ascii="Arial" w:hAnsi="Arial" w:cs="Arial"/>
          <w:color w:val="000000"/>
        </w:rPr>
        <w:t>HR</w:t>
      </w:r>
      <w:r w:rsidRPr="00AE167D">
        <w:rPr>
          <w:rFonts w:ascii="Arial" w:hAnsi="Arial" w:cs="Arial"/>
          <w:color w:val="000000"/>
          <w:lang w:eastAsia="zh-CN"/>
        </w:rPr>
        <w:t>)</w:t>
      </w:r>
      <w:r w:rsidRPr="00AE167D">
        <w:rPr>
          <w:rFonts w:ascii="Arial" w:hAnsi="Arial" w:cs="Arial"/>
          <w:color w:val="000000"/>
        </w:rPr>
        <w:t xml:space="preserve"> to express </w:t>
      </w:r>
      <w:r w:rsidRPr="00AE167D">
        <w:rPr>
          <w:rFonts w:ascii="Arial" w:hAnsi="Arial" w:cs="Arial"/>
          <w:color w:val="000000"/>
          <w:lang w:eastAsia="zh-CN"/>
        </w:rPr>
        <w:t xml:space="preserve">the intervention effect for </w:t>
      </w:r>
      <w:r w:rsidRPr="00AE167D">
        <w:rPr>
          <w:rFonts w:ascii="Arial" w:hAnsi="Arial" w:cs="Arial"/>
          <w:color w:val="000000"/>
        </w:rPr>
        <w:t>the time to mortality analysis</w:t>
      </w:r>
      <w:r>
        <w:rPr>
          <w:rFonts w:ascii="Arial" w:hAnsi="Arial" w:cs="Arial" w:hint="eastAsia"/>
          <w:color w:val="000000"/>
          <w:lang w:eastAsia="zh-CN"/>
        </w:rPr>
        <w:t>.</w:t>
      </w:r>
      <w:bookmarkEnd w:id="10"/>
      <w:r>
        <w:rPr>
          <w:rFonts w:ascii="Arial" w:hAnsi="Arial" w:cs="Arial"/>
          <w:color w:val="000000"/>
          <w:lang w:eastAsia="zh-CN"/>
        </w:rPr>
        <w:t xml:space="preserve"> </w:t>
      </w:r>
      <w:r w:rsidRPr="00E23E56">
        <w:rPr>
          <w:rFonts w:ascii="Arial" w:hAnsi="Arial" w:cs="Arial"/>
          <w:color w:val="000000"/>
        </w:rPr>
        <w:t>In order to account for death as a risk competing with the development of VTE, a competing risk model based cumulative incidence curve</w:t>
      </w:r>
      <w:r>
        <w:rPr>
          <w:rFonts w:ascii="Arial" w:hAnsi="Arial" w:cs="Arial"/>
          <w:color w:val="000000"/>
        </w:rPr>
        <w:t xml:space="preserve"> was plotted for time to VTE </w:t>
      </w:r>
      <w:r>
        <w:rPr>
          <w:rFonts w:ascii="Arial" w:hAnsi="Arial" w:cs="Arial"/>
          <w:noProof/>
          <w:color w:val="000000"/>
        </w:rPr>
        <w:t>(27, 28)</w:t>
      </w:r>
      <w:r>
        <w:rPr>
          <w:rFonts w:ascii="Arial" w:hAnsi="Arial" w:cs="Arial"/>
          <w:color w:val="000000"/>
        </w:rPr>
        <w:t>.</w:t>
      </w:r>
    </w:p>
    <w:p w14:paraId="1C3F4195" w14:textId="77777777" w:rsidR="0064223B" w:rsidRDefault="0064223B" w:rsidP="00C96933">
      <w:pPr>
        <w:autoSpaceDE w:val="0"/>
        <w:autoSpaceDN w:val="0"/>
        <w:adjustRightInd w:val="0"/>
        <w:spacing w:after="0" w:line="480" w:lineRule="auto"/>
        <w:rPr>
          <w:rFonts w:ascii="Arial" w:hAnsi="Arial" w:cs="Arial"/>
          <w:color w:val="000000"/>
        </w:rPr>
      </w:pPr>
      <w:bookmarkStart w:id="11" w:name="_Hlk25534404"/>
      <w:r>
        <w:rPr>
          <w:rFonts w:ascii="Arial" w:hAnsi="Arial" w:cs="Arial" w:hint="eastAsia"/>
          <w:color w:val="000000"/>
          <w:lang w:eastAsia="zh-CN"/>
        </w:rPr>
        <w:t>Aiming to</w:t>
      </w:r>
      <w:r w:rsidRPr="00964FCD">
        <w:rPr>
          <w:rFonts w:ascii="Arial" w:hAnsi="Arial" w:cs="Arial"/>
          <w:color w:val="000000"/>
          <w:lang w:eastAsia="zh-CN"/>
        </w:rPr>
        <w:t xml:space="preserve"> </w:t>
      </w:r>
      <w:r w:rsidRPr="00964FCD">
        <w:rPr>
          <w:rFonts w:ascii="Arial" w:hAnsi="Arial" w:cs="Arial"/>
        </w:rPr>
        <w:t>reduc</w:t>
      </w:r>
      <w:r>
        <w:rPr>
          <w:rFonts w:ascii="Arial" w:hAnsi="Arial" w:cs="Arial" w:hint="eastAsia"/>
          <w:lang w:eastAsia="zh-CN"/>
        </w:rPr>
        <w:t xml:space="preserve">e </w:t>
      </w:r>
      <w:r w:rsidRPr="00964FCD">
        <w:rPr>
          <w:rFonts w:ascii="Arial" w:hAnsi="Arial" w:cs="Arial"/>
        </w:rPr>
        <w:t xml:space="preserve">bias </w:t>
      </w:r>
      <w:r w:rsidRPr="00964FCD">
        <w:rPr>
          <w:rFonts w:ascii="Arial" w:hAnsi="Arial" w:cs="Arial"/>
          <w:lang w:eastAsia="zh-CN"/>
        </w:rPr>
        <w:t>and</w:t>
      </w:r>
      <w:r w:rsidRPr="00964FCD">
        <w:rPr>
          <w:rFonts w:ascii="Arial" w:hAnsi="Arial" w:cs="Arial"/>
        </w:rPr>
        <w:t xml:space="preserve"> increas</w:t>
      </w:r>
      <w:r>
        <w:rPr>
          <w:rFonts w:ascii="Arial" w:hAnsi="Arial" w:cs="Arial" w:hint="eastAsia"/>
          <w:lang w:eastAsia="zh-CN"/>
        </w:rPr>
        <w:t>e</w:t>
      </w:r>
      <w:r w:rsidRPr="00964FCD">
        <w:rPr>
          <w:rFonts w:ascii="Arial" w:hAnsi="Arial" w:cs="Arial"/>
        </w:rPr>
        <w:t xml:space="preserve"> precision</w:t>
      </w:r>
      <w:r w:rsidRPr="00964FCD">
        <w:rPr>
          <w:rFonts w:ascii="Arial" w:hAnsi="Arial" w:cs="Arial"/>
          <w:color w:val="000000"/>
          <w:lang w:eastAsia="zh-CN"/>
        </w:rPr>
        <w:t xml:space="preserve">, </w:t>
      </w:r>
      <w:r w:rsidRPr="00964FCD">
        <w:rPr>
          <w:rFonts w:ascii="Arial" w:hAnsi="Arial" w:cs="Arial"/>
        </w:rPr>
        <w:t xml:space="preserve">we </w:t>
      </w:r>
      <w:r>
        <w:rPr>
          <w:rFonts w:ascii="Arial" w:hAnsi="Arial" w:cs="Arial" w:hint="eastAsia"/>
          <w:lang w:eastAsia="zh-CN"/>
        </w:rPr>
        <w:t xml:space="preserve">applied multiple imputation for all the regression analyses </w:t>
      </w:r>
      <w:r>
        <w:rPr>
          <w:rFonts w:ascii="Arial" w:hAnsi="Arial" w:cs="Arial"/>
          <w:lang w:eastAsia="zh-CN"/>
        </w:rPr>
        <w:t>depicted</w:t>
      </w:r>
      <w:r>
        <w:rPr>
          <w:rFonts w:ascii="Arial" w:hAnsi="Arial" w:cs="Arial" w:hint="eastAsia"/>
          <w:lang w:eastAsia="zh-CN"/>
        </w:rPr>
        <w:t xml:space="preserve"> above. We </w:t>
      </w:r>
      <w:r w:rsidRPr="00964FCD">
        <w:rPr>
          <w:rFonts w:ascii="Arial" w:hAnsi="Arial" w:cs="Arial"/>
        </w:rPr>
        <w:t xml:space="preserve">performed each </w:t>
      </w:r>
      <w:r>
        <w:rPr>
          <w:rFonts w:ascii="Arial" w:hAnsi="Arial" w:cs="Arial" w:hint="eastAsia"/>
          <w:lang w:eastAsia="zh-CN"/>
        </w:rPr>
        <w:t xml:space="preserve">regression </w:t>
      </w:r>
      <w:r>
        <w:rPr>
          <w:rFonts w:ascii="Arial" w:hAnsi="Arial" w:cs="Arial"/>
        </w:rPr>
        <w:t>analysis five times</w:t>
      </w:r>
      <w:r>
        <w:rPr>
          <w:rFonts w:ascii="Arial" w:hAnsi="Arial" w:cs="Arial" w:hint="eastAsia"/>
          <w:lang w:eastAsia="zh-CN"/>
        </w:rPr>
        <w:t xml:space="preserve"> </w:t>
      </w:r>
      <w:r w:rsidRPr="00964FCD">
        <w:rPr>
          <w:rFonts w:ascii="Arial" w:hAnsi="Arial" w:cs="Arial"/>
        </w:rPr>
        <w:t xml:space="preserve">using </w:t>
      </w:r>
      <w:r>
        <w:rPr>
          <w:rFonts w:ascii="Arial" w:hAnsi="Arial" w:cs="Arial"/>
        </w:rPr>
        <w:t xml:space="preserve">five </w:t>
      </w:r>
      <w:r>
        <w:rPr>
          <w:rFonts w:ascii="Arial" w:hAnsi="Arial" w:cs="Arial"/>
          <w:lang w:eastAsia="zh-CN"/>
        </w:rPr>
        <w:t>data</w:t>
      </w:r>
      <w:r>
        <w:rPr>
          <w:rFonts w:ascii="Arial" w:hAnsi="Arial" w:cs="Arial" w:hint="eastAsia"/>
          <w:lang w:eastAsia="zh-CN"/>
        </w:rPr>
        <w:t xml:space="preserve"> sets with the </w:t>
      </w:r>
      <w:r w:rsidRPr="00964FCD">
        <w:rPr>
          <w:rFonts w:ascii="Arial" w:hAnsi="Arial" w:cs="Arial"/>
        </w:rPr>
        <w:t>missing data</w:t>
      </w:r>
      <w:r>
        <w:rPr>
          <w:rFonts w:ascii="Arial" w:hAnsi="Arial" w:cs="Arial" w:hint="eastAsia"/>
          <w:lang w:eastAsia="zh-CN"/>
        </w:rPr>
        <w:t xml:space="preserve"> </w:t>
      </w:r>
      <w:r>
        <w:rPr>
          <w:rFonts w:ascii="Arial" w:hAnsi="Arial" w:cs="Arial"/>
        </w:rPr>
        <w:t>imput</w:t>
      </w:r>
      <w:r>
        <w:rPr>
          <w:rFonts w:ascii="Arial" w:hAnsi="Arial" w:cs="Arial"/>
          <w:lang w:eastAsia="zh-CN"/>
        </w:rPr>
        <w:t>ed based on both baseline and outcome data</w:t>
      </w:r>
      <w:r>
        <w:rPr>
          <w:rFonts w:ascii="Arial" w:hAnsi="Arial" w:cs="Arial" w:hint="eastAsia"/>
          <w:lang w:eastAsia="zh-CN"/>
        </w:rPr>
        <w:t>; we</w:t>
      </w:r>
      <w:r w:rsidRPr="00964FCD">
        <w:rPr>
          <w:rFonts w:ascii="Arial" w:hAnsi="Arial" w:cs="Arial"/>
        </w:rPr>
        <w:t xml:space="preserve"> </w:t>
      </w:r>
      <w:r>
        <w:rPr>
          <w:rFonts w:ascii="Arial" w:hAnsi="Arial" w:cs="Arial"/>
        </w:rPr>
        <w:t xml:space="preserve">calculated </w:t>
      </w:r>
      <w:r w:rsidRPr="00964FCD">
        <w:rPr>
          <w:rFonts w:ascii="Arial" w:hAnsi="Arial" w:cs="Arial"/>
        </w:rPr>
        <w:t xml:space="preserve">pooled </w:t>
      </w:r>
      <w:r>
        <w:rPr>
          <w:rFonts w:ascii="Arial" w:hAnsi="Arial" w:cs="Arial" w:hint="eastAsia"/>
          <w:lang w:eastAsia="zh-CN"/>
        </w:rPr>
        <w:t>estimates along with the 95% confidences</w:t>
      </w:r>
      <w:r w:rsidRPr="00964FCD">
        <w:rPr>
          <w:rFonts w:ascii="Arial" w:hAnsi="Arial" w:cs="Arial"/>
        </w:rPr>
        <w:t xml:space="preserve"> and corresponding P-value</w:t>
      </w:r>
      <w:r>
        <w:rPr>
          <w:rFonts w:ascii="Arial" w:hAnsi="Arial" w:cs="Arial" w:hint="eastAsia"/>
          <w:lang w:eastAsia="zh-CN"/>
        </w:rPr>
        <w:t>s</w:t>
      </w:r>
      <w:r w:rsidRPr="00964FCD">
        <w:rPr>
          <w:rFonts w:ascii="Arial" w:hAnsi="Arial" w:cs="Arial"/>
        </w:rPr>
        <w:t xml:space="preserve"> for each analysis</w:t>
      </w:r>
      <w:r>
        <w:rPr>
          <w:rFonts w:ascii="Arial" w:hAnsi="Arial" w:cs="Arial"/>
        </w:rPr>
        <w:t>.</w:t>
      </w:r>
      <w:bookmarkEnd w:id="11"/>
      <w:r>
        <w:rPr>
          <w:rFonts w:ascii="Arial" w:hAnsi="Arial" w:cs="Arial"/>
          <w:noProof/>
        </w:rPr>
        <w:t>(29)</w:t>
      </w:r>
      <w:r>
        <w:rPr>
          <w:rFonts w:ascii="Arial" w:hAnsi="Arial" w:cs="Arial"/>
        </w:rPr>
        <w:t xml:space="preserve"> </w:t>
      </w:r>
      <w:r w:rsidRPr="00DD53FA">
        <w:rPr>
          <w:rFonts w:ascii="Arial" w:hAnsi="Arial" w:cs="Arial"/>
          <w:color w:val="000000"/>
        </w:rPr>
        <w:t xml:space="preserve">We also </w:t>
      </w:r>
      <w:r>
        <w:rPr>
          <w:rFonts w:ascii="Arial" w:hAnsi="Arial" w:cs="Arial"/>
          <w:color w:val="000000"/>
        </w:rPr>
        <w:t xml:space="preserve">calculated </w:t>
      </w:r>
      <w:r w:rsidRPr="00DD53FA">
        <w:rPr>
          <w:rFonts w:ascii="Arial" w:hAnsi="Arial" w:cs="Arial"/>
          <w:color w:val="000000"/>
        </w:rPr>
        <w:t xml:space="preserve">the anticipated absolute effects based on the </w:t>
      </w:r>
      <w:r>
        <w:rPr>
          <w:rFonts w:ascii="Arial" w:hAnsi="Arial" w:cs="Arial"/>
          <w:color w:val="000000"/>
        </w:rPr>
        <w:t>adjusted R</w:t>
      </w:r>
      <w:r w:rsidRPr="00DD53FA">
        <w:rPr>
          <w:rFonts w:ascii="Arial" w:hAnsi="Arial" w:cs="Arial"/>
          <w:color w:val="000000"/>
        </w:rPr>
        <w:t>R, and three assumed baseline risks</w:t>
      </w:r>
      <w:r>
        <w:rPr>
          <w:rFonts w:ascii="Arial" w:hAnsi="Arial" w:cs="Arial"/>
          <w:color w:val="000000"/>
        </w:rPr>
        <w:t xml:space="preserve">, in terms of the </w:t>
      </w:r>
      <w:r w:rsidRPr="00DD53FA">
        <w:rPr>
          <w:rFonts w:ascii="Arial" w:hAnsi="Arial" w:cs="Arial"/>
          <w:color w:val="000000"/>
        </w:rPr>
        <w:t>median or mean difference in survival.</w:t>
      </w:r>
    </w:p>
    <w:p w14:paraId="41C3B7DD" w14:textId="77777777" w:rsidR="0064223B" w:rsidRPr="00DD53FA" w:rsidRDefault="0064223B" w:rsidP="00D834DC">
      <w:pPr>
        <w:autoSpaceDE w:val="0"/>
        <w:autoSpaceDN w:val="0"/>
        <w:adjustRightInd w:val="0"/>
        <w:spacing w:after="0" w:line="480" w:lineRule="auto"/>
        <w:rPr>
          <w:rFonts w:ascii="Arial" w:hAnsi="Arial" w:cs="Arial"/>
          <w:color w:val="000000"/>
          <w:lang w:eastAsia="zh-CN"/>
        </w:rPr>
      </w:pPr>
      <w:bookmarkStart w:id="12" w:name="_Hlk25535478"/>
      <w:r w:rsidRPr="00DD53FA">
        <w:rPr>
          <w:rFonts w:ascii="Arial" w:hAnsi="Arial" w:cs="Arial"/>
          <w:color w:val="000000"/>
        </w:rPr>
        <w:t>In addition, we performed</w:t>
      </w:r>
      <w:r>
        <w:rPr>
          <w:rFonts w:ascii="Arial" w:hAnsi="Arial" w:cs="Arial"/>
          <w:color w:val="000000"/>
        </w:rPr>
        <w:t xml:space="preserve"> the </w:t>
      </w:r>
      <w:r>
        <w:rPr>
          <w:rFonts w:ascii="Arial" w:hAnsi="Arial" w:cs="Arial" w:hint="eastAsia"/>
          <w:color w:val="000000"/>
          <w:lang w:eastAsia="zh-CN"/>
        </w:rPr>
        <w:t xml:space="preserve">following </w:t>
      </w:r>
      <w:r w:rsidRPr="00DD53FA">
        <w:rPr>
          <w:rFonts w:ascii="Arial" w:hAnsi="Arial" w:cs="Arial"/>
          <w:color w:val="000000"/>
        </w:rPr>
        <w:t xml:space="preserve">pre-specified sensitivity analyses to investigate differences in </w:t>
      </w:r>
      <w:r>
        <w:rPr>
          <w:rFonts w:ascii="Arial" w:hAnsi="Arial" w:cs="Arial"/>
          <w:color w:val="000000"/>
        </w:rPr>
        <w:t xml:space="preserve">summary </w:t>
      </w:r>
      <w:r w:rsidRPr="00DD53FA">
        <w:rPr>
          <w:rFonts w:ascii="Arial" w:hAnsi="Arial" w:cs="Arial"/>
          <w:color w:val="000000"/>
        </w:rPr>
        <w:t xml:space="preserve">effect estimates related to </w:t>
      </w:r>
      <w:r>
        <w:rPr>
          <w:rFonts w:ascii="Arial" w:hAnsi="Arial" w:cs="Arial" w:hint="eastAsia"/>
          <w:color w:val="000000"/>
          <w:lang w:eastAsia="zh-CN"/>
        </w:rPr>
        <w:t xml:space="preserve">the </w:t>
      </w:r>
      <w:r w:rsidRPr="00DD53FA">
        <w:rPr>
          <w:rFonts w:ascii="Arial" w:hAnsi="Arial" w:cs="Arial"/>
          <w:color w:val="000000"/>
        </w:rPr>
        <w:t xml:space="preserve">conduct </w:t>
      </w:r>
      <w:r>
        <w:rPr>
          <w:rFonts w:ascii="Arial" w:hAnsi="Arial" w:cs="Arial" w:hint="eastAsia"/>
          <w:color w:val="000000"/>
          <w:lang w:eastAsia="zh-CN"/>
        </w:rPr>
        <w:t xml:space="preserve">of </w:t>
      </w:r>
      <w:r w:rsidRPr="00DD53FA">
        <w:rPr>
          <w:rFonts w:ascii="Arial" w:hAnsi="Arial" w:cs="Arial"/>
          <w:color w:val="000000"/>
        </w:rPr>
        <w:t>o</w:t>
      </w:r>
      <w:r>
        <w:rPr>
          <w:rFonts w:ascii="Arial" w:hAnsi="Arial" w:cs="Arial"/>
          <w:color w:val="000000"/>
        </w:rPr>
        <w:t>u</w:t>
      </w:r>
      <w:r w:rsidRPr="00DD53FA">
        <w:rPr>
          <w:rFonts w:ascii="Arial" w:hAnsi="Arial" w:cs="Arial"/>
          <w:color w:val="000000"/>
        </w:rPr>
        <w:t>r methods</w:t>
      </w:r>
      <w:r>
        <w:rPr>
          <w:rFonts w:ascii="Arial" w:hAnsi="Arial" w:cs="Arial" w:hint="eastAsia"/>
          <w:color w:val="000000"/>
          <w:lang w:eastAsia="zh-CN"/>
        </w:rPr>
        <w:t>:</w:t>
      </w:r>
      <w:r w:rsidRPr="00DD53FA">
        <w:rPr>
          <w:rFonts w:ascii="Arial" w:hAnsi="Arial" w:cs="Arial"/>
          <w:color w:val="000000"/>
        </w:rPr>
        <w:t xml:space="preserve"> </w:t>
      </w:r>
    </w:p>
    <w:p w14:paraId="0C715EBF" w14:textId="77777777" w:rsidR="0064223B" w:rsidRPr="00DD53FA" w:rsidRDefault="0064223B" w:rsidP="00D834DC">
      <w:pPr>
        <w:autoSpaceDE w:val="0"/>
        <w:autoSpaceDN w:val="0"/>
        <w:adjustRightInd w:val="0"/>
        <w:spacing w:after="0" w:line="480" w:lineRule="auto"/>
        <w:rPr>
          <w:rFonts w:ascii="Arial" w:hAnsi="Arial" w:cs="Arial"/>
          <w:color w:val="000000"/>
        </w:rPr>
      </w:pPr>
      <w:r w:rsidRPr="00DD53FA">
        <w:rPr>
          <w:rFonts w:ascii="Arial" w:hAnsi="Arial" w:cs="Arial"/>
          <w:color w:val="000000"/>
        </w:rPr>
        <w:t xml:space="preserve">1. </w:t>
      </w:r>
      <w:r>
        <w:rPr>
          <w:rFonts w:ascii="Arial" w:hAnsi="Arial" w:cs="Arial"/>
          <w:color w:val="000000"/>
        </w:rPr>
        <w:t>We c</w:t>
      </w:r>
      <w:r w:rsidRPr="00DD53FA">
        <w:rPr>
          <w:rFonts w:ascii="Arial" w:hAnsi="Arial" w:cs="Arial"/>
          <w:color w:val="000000"/>
        </w:rPr>
        <w:t>ompare</w:t>
      </w:r>
      <w:r>
        <w:rPr>
          <w:rFonts w:ascii="Arial" w:hAnsi="Arial" w:cs="Arial"/>
          <w:color w:val="000000"/>
        </w:rPr>
        <w:t>d</w:t>
      </w:r>
      <w:r w:rsidRPr="00DD53FA">
        <w:rPr>
          <w:rFonts w:ascii="Arial" w:hAnsi="Arial" w:cs="Arial"/>
          <w:color w:val="000000"/>
        </w:rPr>
        <w:t xml:space="preserve"> the </w:t>
      </w:r>
      <w:r>
        <w:rPr>
          <w:rFonts w:ascii="Arial" w:hAnsi="Arial" w:cs="Arial"/>
          <w:color w:val="000000"/>
        </w:rPr>
        <w:t xml:space="preserve">main IPDMA </w:t>
      </w:r>
      <w:r w:rsidRPr="00DD53FA">
        <w:rPr>
          <w:rFonts w:ascii="Arial" w:hAnsi="Arial" w:cs="Arial"/>
          <w:color w:val="000000"/>
        </w:rPr>
        <w:t xml:space="preserve">results </w:t>
      </w:r>
      <w:r>
        <w:rPr>
          <w:rFonts w:ascii="Arial" w:hAnsi="Arial" w:cs="Arial"/>
          <w:color w:val="000000"/>
        </w:rPr>
        <w:t xml:space="preserve">with the results </w:t>
      </w:r>
      <w:r w:rsidRPr="00DD53FA">
        <w:rPr>
          <w:rFonts w:ascii="Arial" w:hAnsi="Arial" w:cs="Arial"/>
          <w:color w:val="000000"/>
        </w:rPr>
        <w:t xml:space="preserve">of study-level meta-analysis </w:t>
      </w:r>
      <w:r>
        <w:rPr>
          <w:rFonts w:ascii="Arial" w:hAnsi="Arial" w:cs="Arial" w:hint="eastAsia"/>
          <w:color w:val="000000"/>
          <w:lang w:eastAsia="zh-CN"/>
        </w:rPr>
        <w:t xml:space="preserve">using the studies </w:t>
      </w:r>
      <w:r>
        <w:rPr>
          <w:rFonts w:ascii="Arial" w:hAnsi="Arial" w:cs="Arial"/>
          <w:color w:val="000000"/>
          <w:lang w:eastAsia="zh-CN"/>
        </w:rPr>
        <w:t xml:space="preserve">we </w:t>
      </w:r>
      <w:r w:rsidRPr="00DD53FA">
        <w:rPr>
          <w:rFonts w:ascii="Arial" w:hAnsi="Arial" w:cs="Arial"/>
          <w:color w:val="000000"/>
        </w:rPr>
        <w:t>receive</w:t>
      </w:r>
      <w:r>
        <w:rPr>
          <w:rFonts w:ascii="Arial" w:hAnsi="Arial" w:cs="Arial"/>
          <w:color w:val="000000"/>
        </w:rPr>
        <w:t>d</w:t>
      </w:r>
      <w:r w:rsidRPr="00DD53FA">
        <w:rPr>
          <w:rFonts w:ascii="Arial" w:hAnsi="Arial" w:cs="Arial"/>
          <w:color w:val="000000"/>
        </w:rPr>
        <w:t xml:space="preserve"> </w:t>
      </w:r>
      <w:r>
        <w:rPr>
          <w:rFonts w:ascii="Arial" w:hAnsi="Arial" w:cs="Arial"/>
          <w:color w:val="000000"/>
        </w:rPr>
        <w:t xml:space="preserve">the </w:t>
      </w:r>
      <w:r w:rsidRPr="00DD53FA">
        <w:rPr>
          <w:rFonts w:ascii="Arial" w:hAnsi="Arial" w:cs="Arial"/>
          <w:color w:val="000000"/>
        </w:rPr>
        <w:t>original datasets</w:t>
      </w:r>
      <w:r>
        <w:rPr>
          <w:rFonts w:ascii="Arial" w:hAnsi="Arial" w:cs="Arial"/>
          <w:color w:val="000000"/>
        </w:rPr>
        <w:t xml:space="preserve"> for</w:t>
      </w:r>
      <w:r>
        <w:rPr>
          <w:rFonts w:ascii="Arial" w:hAnsi="Arial" w:cs="Arial" w:hint="eastAsia"/>
          <w:color w:val="000000"/>
          <w:lang w:eastAsia="zh-CN"/>
        </w:rPr>
        <w:t>.</w:t>
      </w:r>
    </w:p>
    <w:p w14:paraId="744C8778" w14:textId="77777777" w:rsidR="0064223B" w:rsidRDefault="0064223B" w:rsidP="00162A96">
      <w:pPr>
        <w:autoSpaceDE w:val="0"/>
        <w:autoSpaceDN w:val="0"/>
        <w:adjustRightInd w:val="0"/>
        <w:spacing w:after="0" w:line="480" w:lineRule="auto"/>
        <w:rPr>
          <w:rFonts w:ascii="Arial" w:hAnsi="Arial" w:cs="Arial"/>
          <w:color w:val="000000"/>
        </w:rPr>
      </w:pPr>
      <w:r w:rsidRPr="00DD53FA">
        <w:rPr>
          <w:rFonts w:ascii="Arial" w:hAnsi="Arial" w:cs="Arial"/>
          <w:color w:val="000000"/>
        </w:rPr>
        <w:t xml:space="preserve">2. </w:t>
      </w:r>
      <w:r>
        <w:rPr>
          <w:rFonts w:ascii="Arial" w:hAnsi="Arial" w:cs="Arial"/>
          <w:color w:val="000000"/>
        </w:rPr>
        <w:t>We evaluated if h</w:t>
      </w:r>
      <w:r w:rsidRPr="00DD53FA">
        <w:rPr>
          <w:rFonts w:ascii="Arial" w:hAnsi="Arial" w:cs="Arial"/>
          <w:color w:val="000000"/>
        </w:rPr>
        <w:t xml:space="preserve">igher risk of bias in the original study </w:t>
      </w:r>
      <w:r>
        <w:rPr>
          <w:rFonts w:ascii="Arial" w:hAnsi="Arial" w:cs="Arial"/>
          <w:color w:val="000000"/>
        </w:rPr>
        <w:t xml:space="preserve">compared to lower risk of bias </w:t>
      </w:r>
      <w:r w:rsidRPr="00DD53FA">
        <w:rPr>
          <w:rFonts w:ascii="Arial" w:hAnsi="Arial" w:cs="Arial"/>
          <w:color w:val="000000"/>
        </w:rPr>
        <w:t xml:space="preserve">may be associated with a greater effect. </w:t>
      </w:r>
    </w:p>
    <w:bookmarkEnd w:id="12"/>
    <w:p w14:paraId="36F60EBD" w14:textId="38970D76" w:rsidR="0064223B" w:rsidRDefault="0064223B" w:rsidP="001D1896">
      <w:pPr>
        <w:autoSpaceDE w:val="0"/>
        <w:autoSpaceDN w:val="0"/>
        <w:adjustRightInd w:val="0"/>
        <w:spacing w:after="0" w:line="480" w:lineRule="auto"/>
        <w:rPr>
          <w:rFonts w:ascii="Arial" w:hAnsi="Arial" w:cs="Arial"/>
          <w:color w:val="000000"/>
          <w:lang w:eastAsia="zh-CN"/>
        </w:rPr>
      </w:pPr>
      <w:r w:rsidRPr="00DD53FA">
        <w:rPr>
          <w:rFonts w:ascii="Arial" w:hAnsi="Arial" w:cs="Arial"/>
          <w:color w:val="000000"/>
        </w:rPr>
        <w:t xml:space="preserve">We </w:t>
      </w:r>
      <w:r>
        <w:rPr>
          <w:rFonts w:ascii="Arial" w:hAnsi="Arial" w:cs="Arial" w:hint="eastAsia"/>
          <w:color w:val="000000"/>
          <w:lang w:eastAsia="zh-CN"/>
        </w:rPr>
        <w:t>also explored</w:t>
      </w:r>
      <w:r w:rsidRPr="00DD53FA">
        <w:rPr>
          <w:rFonts w:ascii="Arial" w:hAnsi="Arial" w:cs="Arial"/>
          <w:color w:val="000000"/>
        </w:rPr>
        <w:t xml:space="preserve"> </w:t>
      </w:r>
      <w:r>
        <w:rPr>
          <w:rFonts w:ascii="Arial" w:hAnsi="Arial" w:cs="Arial"/>
          <w:color w:val="000000"/>
        </w:rPr>
        <w:t xml:space="preserve">the heterogeneity </w:t>
      </w:r>
      <w:r w:rsidRPr="00DD53FA">
        <w:rPr>
          <w:rFonts w:ascii="Arial" w:hAnsi="Arial" w:cs="Arial"/>
          <w:color w:val="000000"/>
        </w:rPr>
        <w:t xml:space="preserve">in </w:t>
      </w:r>
      <w:r>
        <w:rPr>
          <w:rFonts w:ascii="Arial" w:hAnsi="Arial" w:cs="Arial" w:hint="eastAsia"/>
          <w:color w:val="000000"/>
          <w:lang w:eastAsia="zh-CN"/>
        </w:rPr>
        <w:t xml:space="preserve">the </w:t>
      </w:r>
      <w:r>
        <w:rPr>
          <w:rFonts w:ascii="Arial" w:hAnsi="Arial" w:cs="Arial"/>
          <w:color w:val="000000"/>
        </w:rPr>
        <w:t xml:space="preserve">summary </w:t>
      </w:r>
      <w:r w:rsidRPr="00DD53FA">
        <w:rPr>
          <w:rFonts w:ascii="Arial" w:hAnsi="Arial" w:cs="Arial"/>
          <w:color w:val="000000"/>
        </w:rPr>
        <w:t xml:space="preserve">effect estimates related to different patient subgroups. We tested </w:t>
      </w:r>
      <w:r>
        <w:rPr>
          <w:rFonts w:ascii="Arial" w:hAnsi="Arial" w:cs="Arial" w:hint="eastAsia"/>
          <w:color w:val="000000"/>
          <w:lang w:eastAsia="zh-CN"/>
        </w:rPr>
        <w:t xml:space="preserve">the subgroup effect on an </w:t>
      </w:r>
      <w:r>
        <w:rPr>
          <w:rFonts w:ascii="Arial" w:hAnsi="Arial" w:cs="Arial"/>
          <w:color w:val="000000"/>
          <w:lang w:eastAsia="zh-CN"/>
        </w:rPr>
        <w:t>interaction</w:t>
      </w:r>
      <w:r>
        <w:rPr>
          <w:rFonts w:ascii="Arial" w:hAnsi="Arial" w:cs="Arial" w:hint="eastAsia"/>
          <w:color w:val="000000"/>
          <w:lang w:eastAsia="zh-CN"/>
        </w:rPr>
        <w:t xml:space="preserve"> term with the treatment in the </w:t>
      </w:r>
      <w:r>
        <w:rPr>
          <w:rFonts w:ascii="Arial" w:hAnsi="Arial" w:cs="Arial"/>
          <w:color w:val="000000"/>
          <w:lang w:eastAsia="zh-CN"/>
        </w:rPr>
        <w:t xml:space="preserve">mixed-effect Poisson </w:t>
      </w:r>
      <w:r>
        <w:rPr>
          <w:rFonts w:ascii="Arial" w:hAnsi="Arial" w:cs="Arial" w:hint="eastAsia"/>
          <w:color w:val="000000"/>
          <w:lang w:eastAsia="zh-CN"/>
        </w:rPr>
        <w:t xml:space="preserve">regression model with the five </w:t>
      </w:r>
      <w:r>
        <w:rPr>
          <w:rFonts w:ascii="Arial" w:hAnsi="Arial" w:cs="Arial"/>
          <w:color w:val="000000"/>
          <w:lang w:eastAsia="zh-CN"/>
        </w:rPr>
        <w:t>adjustment</w:t>
      </w:r>
      <w:r>
        <w:rPr>
          <w:rFonts w:ascii="Arial" w:hAnsi="Arial" w:cs="Arial" w:hint="eastAsia"/>
          <w:color w:val="000000"/>
          <w:lang w:eastAsia="zh-CN"/>
        </w:rPr>
        <w:t xml:space="preserve"> </w:t>
      </w:r>
      <w:r>
        <w:rPr>
          <w:rFonts w:ascii="Arial" w:hAnsi="Arial" w:cs="Arial"/>
          <w:color w:val="000000"/>
          <w:lang w:eastAsia="zh-CN"/>
        </w:rPr>
        <w:t>variable</w:t>
      </w:r>
      <w:r>
        <w:rPr>
          <w:rFonts w:ascii="Arial" w:hAnsi="Arial" w:cs="Arial" w:hint="eastAsia"/>
          <w:color w:val="000000"/>
          <w:lang w:eastAsia="zh-CN"/>
        </w:rPr>
        <w:t xml:space="preserve">s including trial </w:t>
      </w:r>
      <w:r>
        <w:rPr>
          <w:rFonts w:ascii="Arial" w:hAnsi="Arial" w:cs="Arial"/>
          <w:color w:val="000000"/>
          <w:lang w:eastAsia="zh-CN"/>
        </w:rPr>
        <w:t xml:space="preserve">as random effect </w:t>
      </w:r>
      <w:r>
        <w:rPr>
          <w:rFonts w:ascii="Arial" w:hAnsi="Arial" w:cs="Arial" w:hint="eastAsia"/>
          <w:color w:val="000000"/>
          <w:lang w:eastAsia="zh-CN"/>
        </w:rPr>
        <w:t xml:space="preserve">listed as </w:t>
      </w:r>
      <w:r>
        <w:rPr>
          <w:rFonts w:ascii="Arial" w:hAnsi="Arial" w:cs="Arial"/>
          <w:color w:val="000000"/>
          <w:lang w:eastAsia="zh-CN"/>
        </w:rPr>
        <w:t>above</w:t>
      </w:r>
      <w:r>
        <w:rPr>
          <w:rFonts w:ascii="Arial" w:hAnsi="Arial" w:cs="Arial"/>
          <w:color w:val="000000"/>
        </w:rPr>
        <w:t xml:space="preserve">. This approach </w:t>
      </w:r>
      <w:r w:rsidRPr="00DD53FA">
        <w:rPr>
          <w:rFonts w:ascii="Arial" w:hAnsi="Arial" w:cs="Arial"/>
          <w:color w:val="000000"/>
        </w:rPr>
        <w:t>is preferred to separate subgroup group-specific analyses.</w:t>
      </w:r>
      <w:r>
        <w:rPr>
          <w:rFonts w:ascii="Arial" w:hAnsi="Arial" w:cs="Arial"/>
          <w:noProof/>
          <w:color w:val="000000"/>
        </w:rPr>
        <w:t>(30, 31)</w:t>
      </w:r>
      <w:r>
        <w:rPr>
          <w:rFonts w:ascii="Arial" w:hAnsi="Arial" w:cs="Arial"/>
          <w:color w:val="000000"/>
        </w:rPr>
        <w:t xml:space="preserve"> </w:t>
      </w:r>
      <w:r>
        <w:rPr>
          <w:rFonts w:ascii="Arial" w:hAnsi="Arial" w:cs="Arial" w:hint="eastAsia"/>
          <w:lang w:eastAsia="zh-CN"/>
        </w:rPr>
        <w:t>T</w:t>
      </w:r>
      <w:r w:rsidRPr="005027B0">
        <w:rPr>
          <w:rFonts w:ascii="Arial" w:hAnsi="Arial" w:cs="Arial" w:hint="eastAsia"/>
          <w:lang w:eastAsia="zh-CN"/>
        </w:rPr>
        <w:t xml:space="preserve">he </w:t>
      </w:r>
      <w:r>
        <w:rPr>
          <w:rFonts w:ascii="Arial" w:hAnsi="Arial" w:cs="Arial" w:hint="eastAsia"/>
          <w:lang w:eastAsia="zh-CN"/>
        </w:rPr>
        <w:t>subgroup factors considered were:</w:t>
      </w:r>
    </w:p>
    <w:p w14:paraId="18A04426" w14:textId="77777777" w:rsidR="0064223B" w:rsidRPr="00A2445E" w:rsidRDefault="0064223B" w:rsidP="00A2445E">
      <w:pPr>
        <w:pStyle w:val="ListParagraph"/>
        <w:numPr>
          <w:ilvl w:val="0"/>
          <w:numId w:val="23"/>
        </w:numPr>
        <w:autoSpaceDE w:val="0"/>
        <w:autoSpaceDN w:val="0"/>
        <w:adjustRightInd w:val="0"/>
        <w:spacing w:line="480" w:lineRule="auto"/>
        <w:jc w:val="left"/>
        <w:rPr>
          <w:rFonts w:ascii="Arial" w:hAnsi="Arial" w:cs="Arial"/>
          <w:color w:val="000000"/>
        </w:rPr>
      </w:pPr>
      <w:r w:rsidRPr="00A2445E">
        <w:rPr>
          <w:rFonts w:ascii="Arial" w:hAnsi="Arial" w:cs="Arial"/>
          <w:color w:val="000000"/>
        </w:rPr>
        <w:t>Type of cancer</w:t>
      </w:r>
    </w:p>
    <w:p w14:paraId="57633753" w14:textId="77777777" w:rsidR="0064223B" w:rsidRDefault="0064223B" w:rsidP="00A2445E">
      <w:pPr>
        <w:pStyle w:val="ListParagraph"/>
        <w:numPr>
          <w:ilvl w:val="0"/>
          <w:numId w:val="23"/>
        </w:numPr>
        <w:autoSpaceDE w:val="0"/>
        <w:autoSpaceDN w:val="0"/>
        <w:adjustRightInd w:val="0"/>
        <w:spacing w:line="480" w:lineRule="auto"/>
        <w:jc w:val="left"/>
        <w:rPr>
          <w:rFonts w:ascii="Arial" w:hAnsi="Arial" w:cs="Arial"/>
          <w:color w:val="000000"/>
        </w:rPr>
      </w:pPr>
      <w:r>
        <w:rPr>
          <w:rFonts w:ascii="Arial" w:hAnsi="Arial" w:cs="Arial"/>
          <w:color w:val="000000"/>
        </w:rPr>
        <w:lastRenderedPageBreak/>
        <w:t>Stage of cancer (local compared to metastatic)</w:t>
      </w:r>
    </w:p>
    <w:p w14:paraId="144E5CF9" w14:textId="77777777" w:rsidR="0064223B" w:rsidRDefault="0064223B" w:rsidP="001D1896">
      <w:pPr>
        <w:pStyle w:val="ListParagraph"/>
        <w:numPr>
          <w:ilvl w:val="0"/>
          <w:numId w:val="23"/>
        </w:numPr>
        <w:autoSpaceDE w:val="0"/>
        <w:autoSpaceDN w:val="0"/>
        <w:adjustRightInd w:val="0"/>
        <w:spacing w:line="480" w:lineRule="auto"/>
        <w:jc w:val="left"/>
        <w:rPr>
          <w:rFonts w:ascii="Arial" w:hAnsi="Arial" w:cs="Arial"/>
          <w:color w:val="000000"/>
        </w:rPr>
      </w:pPr>
      <w:r>
        <w:rPr>
          <w:rFonts w:ascii="Arial" w:hAnsi="Arial" w:cs="Arial"/>
          <w:color w:val="000000"/>
        </w:rPr>
        <w:t>Concomitant treatment (chemotherapy compared to no chemotherapy)</w:t>
      </w:r>
    </w:p>
    <w:p w14:paraId="1D516C90" w14:textId="77777777" w:rsidR="0064223B" w:rsidRPr="00A2445E" w:rsidRDefault="0064223B" w:rsidP="001D1896">
      <w:pPr>
        <w:pStyle w:val="ListParagraph"/>
        <w:numPr>
          <w:ilvl w:val="0"/>
          <w:numId w:val="23"/>
        </w:numPr>
        <w:autoSpaceDE w:val="0"/>
        <w:autoSpaceDN w:val="0"/>
        <w:adjustRightInd w:val="0"/>
        <w:spacing w:line="480" w:lineRule="auto"/>
        <w:jc w:val="left"/>
        <w:rPr>
          <w:rFonts w:ascii="Arial" w:hAnsi="Arial" w:cs="Arial"/>
          <w:color w:val="000000"/>
        </w:rPr>
      </w:pPr>
      <w:bookmarkStart w:id="13" w:name="_Hlk518081586"/>
      <w:r>
        <w:rPr>
          <w:rFonts w:ascii="Arial" w:hAnsi="Arial" w:cs="Arial"/>
        </w:rPr>
        <w:t>Eastern Cooperative Oncology Group/World Health Organization (</w:t>
      </w:r>
      <w:r w:rsidRPr="00A2445E">
        <w:rPr>
          <w:rFonts w:ascii="Arial" w:hAnsi="Arial" w:cs="Arial"/>
        </w:rPr>
        <w:t>ECOG/WHO</w:t>
      </w:r>
      <w:bookmarkEnd w:id="13"/>
      <w:r>
        <w:rPr>
          <w:rFonts w:ascii="Arial" w:hAnsi="Arial" w:cs="Arial"/>
        </w:rPr>
        <w:t>)</w:t>
      </w:r>
      <w:r w:rsidRPr="00A2445E">
        <w:rPr>
          <w:rFonts w:ascii="Arial" w:hAnsi="Arial" w:cs="Arial"/>
        </w:rPr>
        <w:t xml:space="preserve"> performance status</w:t>
      </w:r>
      <w:r>
        <w:rPr>
          <w:rFonts w:ascii="Arial" w:hAnsi="Arial" w:cs="Arial"/>
          <w:noProof/>
        </w:rPr>
        <w:t>(32)</w:t>
      </w:r>
    </w:p>
    <w:p w14:paraId="57BE9B51" w14:textId="77777777" w:rsidR="0064223B" w:rsidRPr="005118E0" w:rsidRDefault="0064223B" w:rsidP="009D2082">
      <w:pPr>
        <w:pStyle w:val="ListParagraph"/>
        <w:numPr>
          <w:ilvl w:val="0"/>
          <w:numId w:val="23"/>
        </w:numPr>
        <w:autoSpaceDE w:val="0"/>
        <w:autoSpaceDN w:val="0"/>
        <w:adjustRightInd w:val="0"/>
        <w:spacing w:line="480" w:lineRule="auto"/>
        <w:jc w:val="left"/>
        <w:rPr>
          <w:rFonts w:ascii="Arial" w:hAnsi="Arial" w:cs="Arial"/>
          <w:color w:val="000000"/>
        </w:rPr>
      </w:pPr>
      <w:r>
        <w:rPr>
          <w:rFonts w:ascii="Arial" w:hAnsi="Arial" w:cs="Arial"/>
        </w:rPr>
        <w:t>Heparin type</w:t>
      </w:r>
    </w:p>
    <w:p w14:paraId="46594572" w14:textId="77777777" w:rsidR="0064223B" w:rsidRPr="009D2082" w:rsidRDefault="0064223B" w:rsidP="009D2082">
      <w:pPr>
        <w:pStyle w:val="ListParagraph"/>
        <w:numPr>
          <w:ilvl w:val="0"/>
          <w:numId w:val="23"/>
        </w:numPr>
        <w:autoSpaceDE w:val="0"/>
        <w:autoSpaceDN w:val="0"/>
        <w:adjustRightInd w:val="0"/>
        <w:spacing w:line="480" w:lineRule="auto"/>
        <w:jc w:val="left"/>
        <w:rPr>
          <w:rFonts w:ascii="Arial" w:hAnsi="Arial" w:cs="Arial"/>
          <w:color w:val="000000"/>
        </w:rPr>
      </w:pPr>
      <w:r>
        <w:rPr>
          <w:rFonts w:ascii="Arial" w:hAnsi="Arial" w:cs="Arial"/>
        </w:rPr>
        <w:t>We compared heparins registered for use by the FDA and EMA to those not registered (semuloparin, certoparin).</w:t>
      </w:r>
    </w:p>
    <w:p w14:paraId="69CA0A24" w14:textId="15EC2BFB" w:rsidR="0064223B" w:rsidRDefault="0064223B" w:rsidP="009D2082">
      <w:pPr>
        <w:spacing w:line="480" w:lineRule="auto"/>
        <w:rPr>
          <w:rFonts w:ascii="Arial" w:hAnsi="Arial" w:cs="Arial"/>
          <w:szCs w:val="20"/>
        </w:rPr>
      </w:pPr>
      <w:r>
        <w:rPr>
          <w:rFonts w:ascii="Arial" w:hAnsi="Arial" w:cs="Arial"/>
          <w:szCs w:val="20"/>
        </w:rPr>
        <w:t>As described in our study protocol</w:t>
      </w:r>
      <w:r>
        <w:rPr>
          <w:rFonts w:ascii="Arial" w:hAnsi="Arial" w:cs="Arial"/>
          <w:noProof/>
        </w:rPr>
        <w:t>(19)</w:t>
      </w:r>
      <w:r>
        <w:rPr>
          <w:rFonts w:ascii="Arial" w:hAnsi="Arial" w:cs="Arial"/>
          <w:szCs w:val="20"/>
        </w:rPr>
        <w:t xml:space="preserve">, we initially planned to examine differences in LMWH dose and schedule but due to the high number of variations between studies, we were unable to perform these subgroup analyses. </w:t>
      </w:r>
    </w:p>
    <w:p w14:paraId="06F3FE38" w14:textId="77777777" w:rsidR="0064223B" w:rsidRDefault="0064223B" w:rsidP="009D2082">
      <w:pPr>
        <w:spacing w:line="480" w:lineRule="auto"/>
        <w:rPr>
          <w:rFonts w:ascii="Arial" w:hAnsi="Arial" w:cs="Arial"/>
          <w:color w:val="000000"/>
        </w:rPr>
      </w:pPr>
      <w:r>
        <w:rPr>
          <w:rFonts w:ascii="Arial" w:hAnsi="Arial" w:cs="Arial"/>
          <w:szCs w:val="20"/>
        </w:rPr>
        <w:t xml:space="preserve">We used </w:t>
      </w:r>
      <w:r>
        <w:rPr>
          <w:rFonts w:ascii="Arial" w:hAnsi="Arial" w:cs="Arial"/>
          <w:color w:val="000000"/>
        </w:rPr>
        <w:t>SAS V.9.4</w:t>
      </w:r>
      <w:r w:rsidRPr="00DD53FA">
        <w:rPr>
          <w:rFonts w:ascii="Arial" w:hAnsi="Arial" w:cs="Arial"/>
          <w:color w:val="000000"/>
        </w:rPr>
        <w:t xml:space="preserve"> (Cary, North Carolina, USA) to analyse data.</w:t>
      </w:r>
      <w:r w:rsidRPr="005118E0">
        <w:rPr>
          <w:rFonts w:ascii="Arial" w:hAnsi="Arial" w:cs="Arial"/>
          <w:color w:val="000000"/>
        </w:rPr>
        <w:t xml:space="preserve"> </w:t>
      </w:r>
      <w:bookmarkStart w:id="14" w:name="_Hlk42201756"/>
      <w:r w:rsidRPr="005118E0">
        <w:rPr>
          <w:rFonts w:ascii="Arial" w:eastAsia="Times New Roman" w:hAnsi="Arial" w:cs="Arial"/>
          <w:lang w:eastAsia="en-CA"/>
        </w:rPr>
        <w:t>The funder of the study had no role in study design, data collection, data analysis, data interpretation, or writing of the report.</w:t>
      </w:r>
      <w:r>
        <w:rPr>
          <w:rFonts w:ascii="Arial" w:eastAsia="Times New Roman" w:hAnsi="Arial" w:cs="Arial"/>
          <w:lang w:eastAsia="en-CA"/>
        </w:rPr>
        <w:t xml:space="preserve"> Study authors with access to shared clinical trial data included HJS, MV, and QZ.</w:t>
      </w:r>
      <w:r w:rsidRPr="005118E0">
        <w:rPr>
          <w:rFonts w:ascii="Arial" w:eastAsia="Times New Roman" w:hAnsi="Arial" w:cs="Arial"/>
          <w:lang w:eastAsia="en-CA"/>
        </w:rPr>
        <w:t xml:space="preserve"> The corresponding author had full access to all of the data and the final responsibility to submit for publication.</w:t>
      </w:r>
      <w:bookmarkEnd w:id="14"/>
    </w:p>
    <w:p w14:paraId="596C567A" w14:textId="77777777" w:rsidR="0064223B" w:rsidRPr="00DD53FA" w:rsidRDefault="0064223B" w:rsidP="00162A96">
      <w:pPr>
        <w:autoSpaceDE w:val="0"/>
        <w:autoSpaceDN w:val="0"/>
        <w:adjustRightInd w:val="0"/>
        <w:spacing w:after="0" w:line="480" w:lineRule="auto"/>
        <w:rPr>
          <w:rFonts w:ascii="Arial" w:hAnsi="Arial" w:cs="Arial"/>
          <w:color w:val="000000"/>
        </w:rPr>
      </w:pPr>
    </w:p>
    <w:p w14:paraId="2C3E5FA3" w14:textId="77777777" w:rsidR="0064223B" w:rsidRDefault="0064223B" w:rsidP="00162A96">
      <w:pPr>
        <w:pStyle w:val="Heading1"/>
        <w:spacing w:line="480" w:lineRule="auto"/>
        <w:rPr>
          <w:rFonts w:ascii="Arial" w:hAnsi="Arial" w:cs="Arial"/>
        </w:rPr>
      </w:pPr>
      <w:r w:rsidRPr="00DD53FA">
        <w:rPr>
          <w:rFonts w:ascii="Arial" w:hAnsi="Arial" w:cs="Arial"/>
        </w:rPr>
        <w:t>Results</w:t>
      </w:r>
      <w:r>
        <w:rPr>
          <w:rFonts w:ascii="Arial" w:hAnsi="Arial" w:cs="Arial"/>
        </w:rPr>
        <w:t xml:space="preserve"> (word count: 843)</w:t>
      </w:r>
    </w:p>
    <w:p w14:paraId="27766CD5" w14:textId="5E56888D" w:rsidR="0064223B" w:rsidRPr="00680552" w:rsidRDefault="0064223B" w:rsidP="00343101">
      <w:pPr>
        <w:spacing w:after="0" w:line="480" w:lineRule="auto"/>
        <w:rPr>
          <w:rFonts w:ascii="Arial" w:hAnsi="Arial" w:cs="Arial"/>
        </w:rPr>
      </w:pPr>
      <w:r>
        <w:rPr>
          <w:rFonts w:ascii="Arial" w:hAnsi="Arial" w:cs="Arial"/>
        </w:rPr>
        <w:t>Our search identified 8,388 studies, out of which 19 RCTs (with 10,041 participants) fulfilled eligibility criteria. We were able to obtain individual participant data for 14 RCTs representing 8,278 (82.4%) participants (Figure 1).</w:t>
      </w:r>
      <w:r>
        <w:rPr>
          <w:rFonts w:ascii="Arial" w:hAnsi="Arial" w:cs="Arial"/>
          <w:noProof/>
        </w:rPr>
        <w:t>(33-45)</w:t>
      </w:r>
      <w:r>
        <w:rPr>
          <w:rFonts w:ascii="Arial" w:hAnsi="Arial" w:cs="Arial"/>
        </w:rPr>
        <w:t xml:space="preserve"> Data from the </w:t>
      </w:r>
      <w:r w:rsidRPr="00750E85">
        <w:rPr>
          <w:rFonts w:ascii="Arial" w:hAnsi="Arial" w:cs="Arial"/>
        </w:rPr>
        <w:t>Fragmin Advanced Malignancy Outcome Study</w:t>
      </w:r>
      <w:r>
        <w:rPr>
          <w:rFonts w:ascii="Arial" w:hAnsi="Arial" w:cs="Arial"/>
        </w:rPr>
        <w:t xml:space="preserve"> (FAMOUS)</w:t>
      </w:r>
      <w:r>
        <w:rPr>
          <w:rFonts w:ascii="Arial" w:hAnsi="Arial" w:cs="Arial"/>
          <w:noProof/>
        </w:rPr>
        <w:t>(46)</w:t>
      </w:r>
      <w:r>
        <w:rPr>
          <w:rFonts w:ascii="Arial" w:hAnsi="Arial" w:cs="Arial"/>
        </w:rPr>
        <w:t xml:space="preserve"> trial (n=374; 3.7%) was no longer stored electronically and study authors could not convert to a shareable electronic format. The request for </w:t>
      </w:r>
      <w:r w:rsidRPr="00750E85">
        <w:rPr>
          <w:rFonts w:ascii="Arial" w:hAnsi="Arial" w:cs="Arial"/>
        </w:rPr>
        <w:t>PROphylaxis of ThromboEmbolism during CHemoTherapy</w:t>
      </w:r>
      <w:r>
        <w:rPr>
          <w:rFonts w:ascii="Arial" w:hAnsi="Arial" w:cs="Arial"/>
        </w:rPr>
        <w:t xml:space="preserve"> (PROTECHT)</w:t>
      </w:r>
      <w:r>
        <w:rPr>
          <w:rFonts w:ascii="Arial" w:hAnsi="Arial" w:cs="Arial"/>
          <w:noProof/>
        </w:rPr>
        <w:t>(47)</w:t>
      </w:r>
      <w:r>
        <w:rPr>
          <w:rFonts w:ascii="Arial" w:hAnsi="Arial" w:cs="Arial"/>
        </w:rPr>
        <w:t xml:space="preserve"> data (n=1,150; 11.5%) was denied due to ongoing analysis which discouraged sponsors from sharing individual participant data. Data from three trials</w:t>
      </w:r>
      <w:r>
        <w:rPr>
          <w:rFonts w:ascii="Arial" w:hAnsi="Arial" w:cs="Arial"/>
          <w:noProof/>
        </w:rPr>
        <w:t>(48-50)</w:t>
      </w:r>
      <w:r>
        <w:rPr>
          <w:rFonts w:ascii="Arial" w:hAnsi="Arial" w:cs="Arial"/>
        </w:rPr>
        <w:t xml:space="preserve"> (n=239, 2.4%), could not be obtained in a timely fashion. </w:t>
      </w:r>
      <w:r>
        <w:rPr>
          <w:rFonts w:ascii="Arial" w:hAnsi="Arial" w:cs="Arial"/>
        </w:rPr>
        <w:lastRenderedPageBreak/>
        <w:t>Figure 1 and Appendix p 7 describe the analyzed studies, Appendix p 11 describes characteristics of studies we were unable to obtain data for. Our updated search identified one additional eligible study, (RASTEN</w:t>
      </w:r>
      <w:r w:rsidRPr="00C14D83">
        <w:rPr>
          <w:rFonts w:ascii="Arial" w:hAnsi="Arial" w:cs="Arial"/>
        </w:rPr>
        <w:t xml:space="preserve"> </w:t>
      </w:r>
      <w:r>
        <w:rPr>
          <w:rFonts w:ascii="Arial" w:hAnsi="Arial" w:cs="Arial"/>
        </w:rPr>
        <w:t>n=377; 4.5%).</w:t>
      </w:r>
      <w:r>
        <w:rPr>
          <w:rFonts w:ascii="Arial" w:hAnsi="Arial" w:cs="Arial"/>
          <w:noProof/>
        </w:rPr>
        <w:t>(51)</w:t>
      </w:r>
    </w:p>
    <w:p w14:paraId="0539F323" w14:textId="77777777" w:rsidR="0064223B" w:rsidRDefault="0064223B" w:rsidP="0032187E">
      <w:pPr>
        <w:autoSpaceDE w:val="0"/>
        <w:autoSpaceDN w:val="0"/>
        <w:adjustRightInd w:val="0"/>
        <w:spacing w:after="0" w:line="480" w:lineRule="auto"/>
        <w:rPr>
          <w:rFonts w:ascii="Arial" w:eastAsia="ScalaLancetPro" w:hAnsi="Arial" w:cs="Arial"/>
          <w:szCs w:val="18"/>
          <w:highlight w:val="yellow"/>
        </w:rPr>
      </w:pPr>
      <w:r>
        <w:rPr>
          <w:rFonts w:ascii="Arial" w:eastAsia="ScalaLancetPro" w:hAnsi="Arial" w:cs="Arial"/>
          <w:szCs w:val="18"/>
        </w:rPr>
        <w:t>We observed t</w:t>
      </w:r>
      <w:r w:rsidRPr="00453873">
        <w:rPr>
          <w:rFonts w:ascii="Arial" w:eastAsia="ScalaLancetPro" w:hAnsi="Arial" w:cs="Arial"/>
          <w:szCs w:val="18"/>
        </w:rPr>
        <w:t>he following differences between clinical trial datasets and published results.</w:t>
      </w:r>
      <w:r>
        <w:rPr>
          <w:rFonts w:ascii="Arial" w:eastAsia="ScalaLancetPro" w:hAnsi="Arial" w:cs="Arial"/>
          <w:szCs w:val="18"/>
        </w:rPr>
        <w:t xml:space="preserve"> </w:t>
      </w:r>
      <w:r w:rsidRPr="00453873">
        <w:rPr>
          <w:rFonts w:ascii="Arial" w:eastAsia="ScalaLancetPro" w:hAnsi="Arial" w:cs="Arial"/>
          <w:szCs w:val="18"/>
        </w:rPr>
        <w:t>In the trial</w:t>
      </w:r>
      <w:r>
        <w:rPr>
          <w:rFonts w:ascii="Arial" w:eastAsia="ScalaLancetPro" w:hAnsi="Arial" w:cs="Arial"/>
          <w:szCs w:val="18"/>
        </w:rPr>
        <w:t>s</w:t>
      </w:r>
      <w:r w:rsidRPr="00453873">
        <w:rPr>
          <w:rFonts w:ascii="Arial" w:eastAsia="ScalaLancetPro" w:hAnsi="Arial" w:cs="Arial"/>
          <w:szCs w:val="18"/>
        </w:rPr>
        <w:t xml:space="preserve"> conducted by Weber et al.</w:t>
      </w:r>
      <w:r>
        <w:rPr>
          <w:rFonts w:ascii="Arial" w:eastAsia="ScalaLancetPro" w:hAnsi="Arial" w:cs="Arial"/>
          <w:noProof/>
          <w:szCs w:val="18"/>
        </w:rPr>
        <w:t>(45)</w:t>
      </w:r>
      <w:r>
        <w:rPr>
          <w:rFonts w:ascii="Arial" w:eastAsia="ScalaLancetPro" w:hAnsi="Arial" w:cs="Arial"/>
          <w:szCs w:val="18"/>
        </w:rPr>
        <w:t xml:space="preserve"> and Lebeau et al.,</w:t>
      </w:r>
      <w:r>
        <w:rPr>
          <w:rFonts w:ascii="Arial" w:hAnsi="Arial" w:cs="Arial"/>
          <w:noProof/>
          <w:sz w:val="20"/>
          <w:szCs w:val="20"/>
        </w:rPr>
        <w:t>(37)</w:t>
      </w:r>
      <w:r>
        <w:rPr>
          <w:rFonts w:ascii="Arial" w:eastAsia="ScalaLancetPro" w:hAnsi="Arial" w:cs="Arial"/>
          <w:szCs w:val="18"/>
        </w:rPr>
        <w:t xml:space="preserve"> the shared individual participant data appeared to have been updated beyond the date of the original publication, and included a larger number of deaths. The paper describing the trial by Lecumberri et al.</w:t>
      </w:r>
      <w:r>
        <w:rPr>
          <w:rFonts w:ascii="Arial" w:eastAsia="ScalaLancetPro" w:hAnsi="Arial" w:cs="Arial"/>
          <w:noProof/>
          <w:szCs w:val="18"/>
        </w:rPr>
        <w:t>(38)</w:t>
      </w:r>
      <w:r>
        <w:rPr>
          <w:rFonts w:ascii="Arial" w:eastAsia="ScalaLancetPro" w:hAnsi="Arial" w:cs="Arial"/>
          <w:szCs w:val="18"/>
        </w:rPr>
        <w:t xml:space="preserve"> reported that 7 participants in the control group survived 1 year, whereas the corresponding value in the shared participant data was 10. We could not locate the original analysis code to address the discrepancy. For the </w:t>
      </w:r>
      <w:r w:rsidRPr="00453873">
        <w:rPr>
          <w:rFonts w:ascii="Arial" w:eastAsia="ScalaLancetPro" w:hAnsi="Arial" w:cs="Arial"/>
          <w:szCs w:val="18"/>
        </w:rPr>
        <w:t>TOPIC-1</w:t>
      </w:r>
      <w:r>
        <w:rPr>
          <w:rFonts w:ascii="Arial" w:eastAsia="ScalaLancetPro" w:hAnsi="Arial" w:cs="Arial"/>
          <w:noProof/>
          <w:szCs w:val="18"/>
        </w:rPr>
        <w:t>(35)</w:t>
      </w:r>
      <w:r w:rsidRPr="00453873">
        <w:rPr>
          <w:rFonts w:ascii="Arial" w:eastAsia="ScalaLancetPro" w:hAnsi="Arial" w:cs="Arial"/>
          <w:szCs w:val="18"/>
        </w:rPr>
        <w:t xml:space="preserve">, individual patient data indicated that 3 symptomatic </w:t>
      </w:r>
      <w:r>
        <w:rPr>
          <w:rFonts w:ascii="Arial" w:eastAsia="ScalaLancetPro" w:hAnsi="Arial" w:cs="Arial"/>
          <w:szCs w:val="18"/>
        </w:rPr>
        <w:t xml:space="preserve">PE </w:t>
      </w:r>
      <w:r w:rsidRPr="00453873">
        <w:rPr>
          <w:rFonts w:ascii="Arial" w:eastAsia="ScalaLancetPro" w:hAnsi="Arial" w:cs="Arial"/>
          <w:szCs w:val="18"/>
        </w:rPr>
        <w:t>events occurred whereas the publication indicate</w:t>
      </w:r>
      <w:r>
        <w:rPr>
          <w:rFonts w:ascii="Arial" w:eastAsia="ScalaLancetPro" w:hAnsi="Arial" w:cs="Arial"/>
          <w:szCs w:val="18"/>
        </w:rPr>
        <w:t xml:space="preserve">d that </w:t>
      </w:r>
      <w:r w:rsidRPr="00453873">
        <w:rPr>
          <w:rFonts w:ascii="Arial" w:eastAsia="ScalaLancetPro" w:hAnsi="Arial" w:cs="Arial"/>
          <w:szCs w:val="18"/>
        </w:rPr>
        <w:t>only 2 events</w:t>
      </w:r>
      <w:r>
        <w:rPr>
          <w:rFonts w:ascii="Arial" w:eastAsia="ScalaLancetPro" w:hAnsi="Arial" w:cs="Arial"/>
          <w:szCs w:val="18"/>
        </w:rPr>
        <w:t xml:space="preserve"> occurred</w:t>
      </w:r>
      <w:r w:rsidRPr="00453873">
        <w:rPr>
          <w:rFonts w:ascii="Arial" w:eastAsia="ScalaLancetPro" w:hAnsi="Arial" w:cs="Arial"/>
          <w:szCs w:val="18"/>
        </w:rPr>
        <w:t xml:space="preserve">. The corresponding author no longer had access to the </w:t>
      </w:r>
      <w:r>
        <w:rPr>
          <w:rFonts w:ascii="Arial" w:eastAsia="ScalaLancetPro" w:hAnsi="Arial" w:cs="Arial"/>
          <w:szCs w:val="18"/>
        </w:rPr>
        <w:t xml:space="preserve">shared </w:t>
      </w:r>
      <w:r w:rsidRPr="00453873">
        <w:rPr>
          <w:rFonts w:ascii="Arial" w:eastAsia="ScalaLancetPro" w:hAnsi="Arial" w:cs="Arial"/>
          <w:szCs w:val="18"/>
        </w:rPr>
        <w:t xml:space="preserve">study data. </w:t>
      </w:r>
      <w:r>
        <w:rPr>
          <w:rFonts w:ascii="Arial" w:eastAsia="ScalaLancetPro" w:hAnsi="Arial" w:cs="Arial"/>
          <w:szCs w:val="18"/>
        </w:rPr>
        <w:t>In the data from</w:t>
      </w:r>
      <w:r w:rsidRPr="00453873">
        <w:rPr>
          <w:rFonts w:ascii="Arial" w:eastAsia="ScalaLancetPro" w:hAnsi="Arial" w:cs="Arial"/>
          <w:szCs w:val="18"/>
        </w:rPr>
        <w:t xml:space="preserve"> Altinbas et al.</w:t>
      </w:r>
      <w:r>
        <w:rPr>
          <w:rFonts w:ascii="Arial" w:eastAsia="ScalaLancetPro" w:hAnsi="Arial" w:cs="Arial"/>
          <w:noProof/>
          <w:szCs w:val="18"/>
        </w:rPr>
        <w:t>(34)</w:t>
      </w:r>
      <w:r>
        <w:rPr>
          <w:rFonts w:ascii="Arial" w:eastAsia="ScalaLancetPro" w:hAnsi="Arial" w:cs="Arial"/>
          <w:szCs w:val="18"/>
        </w:rPr>
        <w:t xml:space="preserve"> the shared data did not specify which </w:t>
      </w:r>
      <w:r w:rsidRPr="00453873">
        <w:rPr>
          <w:rFonts w:ascii="Arial" w:eastAsia="ScalaLancetPro" w:hAnsi="Arial" w:cs="Arial"/>
          <w:szCs w:val="18"/>
        </w:rPr>
        <w:t xml:space="preserve">participant experienced the reported DVT and </w:t>
      </w:r>
      <w:r>
        <w:rPr>
          <w:rFonts w:ascii="Arial" w:eastAsia="ScalaLancetPro" w:hAnsi="Arial" w:cs="Arial"/>
          <w:szCs w:val="18"/>
        </w:rPr>
        <w:t xml:space="preserve">we </w:t>
      </w:r>
      <w:r w:rsidRPr="00453873">
        <w:rPr>
          <w:rFonts w:ascii="Arial" w:eastAsia="ScalaLancetPro" w:hAnsi="Arial" w:cs="Arial"/>
          <w:szCs w:val="18"/>
        </w:rPr>
        <w:t xml:space="preserve">were unable to </w:t>
      </w:r>
      <w:r>
        <w:rPr>
          <w:rFonts w:ascii="Arial" w:eastAsia="ScalaLancetPro" w:hAnsi="Arial" w:cs="Arial"/>
          <w:szCs w:val="18"/>
        </w:rPr>
        <w:t>clarify this</w:t>
      </w:r>
      <w:r w:rsidRPr="00453873">
        <w:rPr>
          <w:rFonts w:ascii="Arial" w:eastAsia="ScalaLancetPro" w:hAnsi="Arial" w:cs="Arial"/>
          <w:szCs w:val="18"/>
        </w:rPr>
        <w:t>.</w:t>
      </w:r>
    </w:p>
    <w:p w14:paraId="76601B92" w14:textId="1925A238" w:rsidR="0064223B" w:rsidRDefault="0064223B" w:rsidP="00480737">
      <w:pPr>
        <w:autoSpaceDE w:val="0"/>
        <w:autoSpaceDN w:val="0"/>
        <w:adjustRightInd w:val="0"/>
        <w:spacing w:after="100" w:afterAutospacing="1" w:line="480" w:lineRule="auto"/>
        <w:rPr>
          <w:rFonts w:ascii="Arial" w:hAnsi="Arial" w:cs="Arial"/>
        </w:rPr>
      </w:pPr>
      <w:r>
        <w:rPr>
          <w:rFonts w:ascii="Arial" w:eastAsia="ScalaLancetPro" w:hAnsi="Arial" w:cs="Arial"/>
          <w:szCs w:val="18"/>
        </w:rPr>
        <w:t xml:space="preserve">Included trials were published between 1994 and 2016 and recruited participants from over 50 countries (Appendix p 5). Pooled baseline characteristics were similar between treatment arms (Table 1). All 8,278 patients were adults with a mean age of 61.3 years (SD=10.4), and 61.1% (5,061) were men. The most common types of cancer among participants were those of the lung (55.6%, n=4,573) followed by colon/prostate (15.2%, n=1,247), pancreatic (10.0%, n=823) and breast (5.1%, n=419). Participants allocated to treatment arms (n=4,139) received semuloparin (38.8%, n=1,608), dalteparin (33.1%, n=1,369), certoparin (10.7%, n=442), nadroparin (9.7%, n=402), enoxaparin (3.9%, n=160), calciparin (3.3%, n=138) or bemiparin (0.48%, n=20) subcutaneously for a range of five weeks to approximately two years. </w:t>
      </w:r>
      <w:r w:rsidRPr="0032187E">
        <w:rPr>
          <w:rFonts w:ascii="Arial" w:eastAsia="ScalaLancetPro" w:hAnsi="Arial" w:cs="Arial"/>
          <w:szCs w:val="18"/>
        </w:rPr>
        <w:t>Compliance, measured through daily charting and by examining the number of empty syringes returned at follow-up, exceeded 90% in each study which provided relevant individual participant data (</w:t>
      </w:r>
      <w:r>
        <w:rPr>
          <w:rFonts w:ascii="Arial" w:eastAsia="ScalaLancetPro" w:hAnsi="Arial" w:cs="Arial"/>
          <w:szCs w:val="18"/>
        </w:rPr>
        <w:t>Appendix p 13</w:t>
      </w:r>
      <w:r w:rsidRPr="0032187E">
        <w:rPr>
          <w:rFonts w:ascii="Arial" w:eastAsia="ScalaLancetPro" w:hAnsi="Arial" w:cs="Arial"/>
          <w:szCs w:val="18"/>
        </w:rPr>
        <w:t>)</w:t>
      </w:r>
      <w:r>
        <w:rPr>
          <w:rFonts w:ascii="Arial" w:eastAsia="ScalaLancetPro" w:hAnsi="Arial" w:cs="Arial"/>
          <w:szCs w:val="18"/>
        </w:rPr>
        <w:t>.</w:t>
      </w:r>
      <w:r>
        <w:rPr>
          <w:rFonts w:ascii="Arial" w:hAnsi="Arial" w:cs="Arial"/>
          <w:noProof/>
          <w:sz w:val="20"/>
          <w:szCs w:val="20"/>
        </w:rPr>
        <w:t>(33, 35, 38, 42, 44)</w:t>
      </w:r>
      <w:r w:rsidRPr="00734420">
        <w:rPr>
          <w:rFonts w:ascii="Arial" w:eastAsia="ScalaLancetPro" w:hAnsi="Arial" w:cs="Arial"/>
          <w:szCs w:val="18"/>
        </w:rPr>
        <w:t xml:space="preserve"> </w:t>
      </w:r>
      <w:r>
        <w:rPr>
          <w:rFonts w:ascii="Arial" w:eastAsia="ScalaLancetPro" w:hAnsi="Arial" w:cs="Arial"/>
          <w:szCs w:val="18"/>
        </w:rPr>
        <w:t xml:space="preserve">Approximately 68% (n=5,517) of participants </w:t>
      </w:r>
      <w:r>
        <w:rPr>
          <w:rFonts w:ascii="Arial" w:eastAsia="ScalaLancetPro" w:hAnsi="Arial" w:cs="Arial"/>
          <w:szCs w:val="18"/>
        </w:rPr>
        <w:lastRenderedPageBreak/>
        <w:t xml:space="preserve">with available data (n=8,152), presented with metastatic cancer at baseline and 88% (6,988/7,928) received chemotherapy. Trials generally excluded participants with a Karnofsky performance score below 60, ECOG/WHO performance status equal to or above 3, life expectancy of fewer than 3 months, other indication for thromboprophylaxis and a history of bleeding. The median time of intervention, for participants with available data, is 123 days (IQR: 67 to 179) and the median follow-up duration for all participations is 280 days (IQR: 156 to 383). Appendix p 14 summarizes </w:t>
      </w:r>
      <w:r>
        <w:rPr>
          <w:rFonts w:ascii="Arial" w:hAnsi="Arial" w:cs="Arial"/>
        </w:rPr>
        <w:t>a</w:t>
      </w:r>
      <w:r w:rsidRPr="002C3D84">
        <w:rPr>
          <w:rFonts w:ascii="Arial" w:hAnsi="Arial" w:cs="Arial"/>
        </w:rPr>
        <w:t xml:space="preserve">uthors' judgements </w:t>
      </w:r>
      <w:r>
        <w:rPr>
          <w:rFonts w:ascii="Arial" w:hAnsi="Arial" w:cs="Arial"/>
        </w:rPr>
        <w:t xml:space="preserve">of </w:t>
      </w:r>
      <w:r w:rsidRPr="002C3D84">
        <w:rPr>
          <w:rFonts w:ascii="Arial" w:hAnsi="Arial" w:cs="Arial"/>
        </w:rPr>
        <w:t xml:space="preserve">each </w:t>
      </w:r>
      <w:r>
        <w:rPr>
          <w:rFonts w:ascii="Arial" w:hAnsi="Arial" w:cs="Arial"/>
        </w:rPr>
        <w:t xml:space="preserve">risk of bias </w:t>
      </w:r>
      <w:r w:rsidRPr="002C3D84">
        <w:rPr>
          <w:rFonts w:ascii="Arial" w:hAnsi="Arial" w:cs="Arial"/>
        </w:rPr>
        <w:t xml:space="preserve">item for </w:t>
      </w:r>
      <w:r>
        <w:rPr>
          <w:rFonts w:ascii="Arial" w:hAnsi="Arial" w:cs="Arial"/>
        </w:rPr>
        <w:t>the included studies.</w:t>
      </w:r>
    </w:p>
    <w:p w14:paraId="600EAC0B" w14:textId="77777777" w:rsidR="0064223B" w:rsidRDefault="0064223B" w:rsidP="00806120">
      <w:pPr>
        <w:sectPr w:rsidR="0064223B" w:rsidSect="00AE167D">
          <w:footerReference w:type="even" r:id="rId5"/>
          <w:footerReference w:type="default" r:id="rId6"/>
          <w:pgSz w:w="12240" w:h="15840"/>
          <w:pgMar w:top="1440" w:right="1440" w:bottom="1440" w:left="1440" w:header="709" w:footer="709" w:gutter="0"/>
          <w:cols w:space="708"/>
          <w:docGrid w:linePitch="360"/>
        </w:sectPr>
      </w:pPr>
    </w:p>
    <w:p w14:paraId="2E58698C" w14:textId="2B20619A" w:rsidR="0064223B" w:rsidRPr="00AB6700" w:rsidRDefault="0064223B" w:rsidP="00AB6700">
      <w:pPr>
        <w:spacing w:after="100" w:afterAutospacing="1" w:line="480" w:lineRule="auto"/>
        <w:rPr>
          <w:rFonts w:ascii="Arial" w:hAnsi="Arial" w:cs="Arial"/>
          <w:lang w:val="en-US"/>
        </w:rPr>
      </w:pPr>
      <w:r w:rsidRPr="008D2D71">
        <w:rPr>
          <w:rFonts w:ascii="Arial" w:hAnsi="Arial" w:cs="Arial"/>
        </w:rPr>
        <w:lastRenderedPageBreak/>
        <w:t>Overall mortality was 65.0%</w:t>
      </w:r>
      <w:r>
        <w:rPr>
          <w:rFonts w:ascii="Arial" w:hAnsi="Arial" w:cs="Arial"/>
        </w:rPr>
        <w:t xml:space="preserve"> (2,690/4,139)</w:t>
      </w:r>
      <w:r w:rsidRPr="008D2D71">
        <w:rPr>
          <w:rFonts w:ascii="Arial" w:hAnsi="Arial" w:cs="Arial"/>
        </w:rPr>
        <w:t xml:space="preserve"> in the LMWH group and 66.4%</w:t>
      </w:r>
      <w:r>
        <w:rPr>
          <w:rFonts w:ascii="Arial" w:hAnsi="Arial" w:cs="Arial"/>
        </w:rPr>
        <w:t xml:space="preserve"> (2,749/4139)</w:t>
      </w:r>
      <w:r w:rsidRPr="008D2D71">
        <w:rPr>
          <w:rFonts w:ascii="Arial" w:hAnsi="Arial" w:cs="Arial"/>
        </w:rPr>
        <w:t xml:space="preserve"> in the control group. </w:t>
      </w:r>
      <w:r w:rsidRPr="008D2D71">
        <w:rPr>
          <w:rFonts w:ascii="Arial" w:hAnsi="Arial" w:cs="Arial"/>
          <w:lang w:val="en-US"/>
        </w:rPr>
        <w:t>The adjusted relative risk of experiencing mortality was 0.98 (95% CI: 0.9</w:t>
      </w:r>
      <w:r>
        <w:rPr>
          <w:rFonts w:ascii="Arial" w:hAnsi="Arial" w:cs="Arial"/>
          <w:lang w:val="en-US"/>
        </w:rPr>
        <w:t>3</w:t>
      </w:r>
      <w:r w:rsidRPr="008D2D71">
        <w:rPr>
          <w:rFonts w:ascii="Arial" w:hAnsi="Arial" w:cs="Arial"/>
          <w:lang w:val="en-US"/>
        </w:rPr>
        <w:t>, 1.0</w:t>
      </w:r>
      <w:r>
        <w:rPr>
          <w:rFonts w:ascii="Arial" w:hAnsi="Arial" w:cs="Arial"/>
          <w:lang w:val="en-US"/>
        </w:rPr>
        <w:t>4</w:t>
      </w:r>
      <w:r w:rsidRPr="008D2D71">
        <w:rPr>
          <w:rFonts w:ascii="Arial" w:hAnsi="Arial" w:cs="Arial"/>
          <w:lang w:val="en-US"/>
        </w:rPr>
        <w:t>)</w:t>
      </w:r>
      <w:r>
        <w:rPr>
          <w:rFonts w:ascii="Arial" w:hAnsi="Arial" w:cs="Arial"/>
          <w:lang w:val="en-US"/>
        </w:rPr>
        <w:t xml:space="preserve"> throughout trial duration</w:t>
      </w:r>
      <w:r w:rsidRPr="008D2D71">
        <w:rPr>
          <w:rFonts w:ascii="Arial" w:hAnsi="Arial" w:cs="Arial"/>
          <w:lang w:val="en-US"/>
        </w:rPr>
        <w:t>, 0.99 (95% CI: 0.9</w:t>
      </w:r>
      <w:r>
        <w:rPr>
          <w:rFonts w:ascii="Arial" w:hAnsi="Arial" w:cs="Arial"/>
          <w:lang w:val="en-US"/>
        </w:rPr>
        <w:t>3</w:t>
      </w:r>
      <w:r w:rsidRPr="008D2D71">
        <w:rPr>
          <w:rFonts w:ascii="Arial" w:hAnsi="Arial" w:cs="Arial"/>
          <w:lang w:val="en-US"/>
        </w:rPr>
        <w:t>, 1.0</w:t>
      </w:r>
      <w:r>
        <w:rPr>
          <w:rFonts w:ascii="Arial" w:hAnsi="Arial" w:cs="Arial"/>
          <w:lang w:val="en-US"/>
        </w:rPr>
        <w:t>6</w:t>
      </w:r>
      <w:r w:rsidRPr="008D2D71">
        <w:rPr>
          <w:rFonts w:ascii="Arial" w:hAnsi="Arial" w:cs="Arial"/>
          <w:lang w:val="en-US"/>
        </w:rPr>
        <w:t xml:space="preserve">) within 1 year, and 1.00 (95% CI: 0.95, 1.06) after 2 years (Table </w:t>
      </w:r>
      <w:r>
        <w:rPr>
          <w:rFonts w:ascii="Arial" w:hAnsi="Arial" w:cs="Arial"/>
          <w:lang w:val="en-US"/>
        </w:rPr>
        <w:t>2</w:t>
      </w:r>
      <w:r w:rsidRPr="008D2D71">
        <w:rPr>
          <w:rFonts w:ascii="Arial" w:hAnsi="Arial" w:cs="Arial"/>
          <w:lang w:val="en-US"/>
        </w:rPr>
        <w:t xml:space="preserve">). The median time to </w:t>
      </w:r>
      <w:r>
        <w:rPr>
          <w:rFonts w:ascii="Arial" w:hAnsi="Arial" w:cs="Arial"/>
          <w:lang w:val="en-US"/>
        </w:rPr>
        <w:t>death</w:t>
      </w:r>
      <w:r w:rsidRPr="008D2D71">
        <w:rPr>
          <w:rFonts w:ascii="Arial" w:hAnsi="Arial" w:cs="Arial"/>
          <w:lang w:val="en-US"/>
        </w:rPr>
        <w:t xml:space="preserve"> was 7.83 months (IQR: 4.31 to 12.40) in the LMWH arm and 7.60 months (IQR: 4.01 to 12.30) in the control group. </w:t>
      </w:r>
      <w:r>
        <w:rPr>
          <w:rFonts w:ascii="Arial" w:hAnsi="Arial" w:cs="Arial"/>
          <w:lang w:val="en-US"/>
        </w:rPr>
        <w:t xml:space="preserve">The anticipated absolute difference is 0.6% fewer deaths (95% CI: 4 fewer to 3.5 more) within 1 year among those taking LMWH (Table 3). </w:t>
      </w:r>
      <w:r w:rsidRPr="008D2D71">
        <w:rPr>
          <w:rFonts w:ascii="Arial" w:hAnsi="Arial" w:cs="Arial"/>
        </w:rPr>
        <w:t>The hazard ratio</w:t>
      </w:r>
      <w:r>
        <w:rPr>
          <w:rFonts w:ascii="Arial" w:hAnsi="Arial" w:cs="Arial"/>
        </w:rPr>
        <w:t xml:space="preserve"> for time to death</w:t>
      </w:r>
      <w:r w:rsidRPr="008D2D71">
        <w:rPr>
          <w:rFonts w:ascii="Arial" w:hAnsi="Arial" w:cs="Arial"/>
        </w:rPr>
        <w:t xml:space="preserve">, adjusted for </w:t>
      </w:r>
      <w:r w:rsidRPr="008D2D71">
        <w:rPr>
          <w:rFonts w:ascii="Arial" w:hAnsi="Arial" w:cs="Arial"/>
          <w:lang w:eastAsia="zh-CN"/>
        </w:rPr>
        <w:t>age, cancer type</w:t>
      </w:r>
      <w:r>
        <w:rPr>
          <w:rFonts w:ascii="Arial" w:hAnsi="Arial" w:cs="Arial"/>
          <w:lang w:eastAsia="zh-CN"/>
        </w:rPr>
        <w:t>,</w:t>
      </w:r>
      <w:r w:rsidRPr="008D2D71">
        <w:rPr>
          <w:rFonts w:ascii="Arial" w:hAnsi="Arial" w:cs="Arial"/>
          <w:lang w:eastAsia="zh-CN"/>
        </w:rPr>
        <w:t xml:space="preserve"> s</w:t>
      </w:r>
      <w:r w:rsidRPr="008D2D71">
        <w:rPr>
          <w:rFonts w:ascii="Arial" w:eastAsia="Garamond" w:hAnsi="Arial" w:cs="Arial"/>
        </w:rPr>
        <w:t>tage</w:t>
      </w:r>
      <w:r w:rsidRPr="008D2D71">
        <w:rPr>
          <w:rFonts w:ascii="Arial" w:eastAsia="Garamond" w:hAnsi="Arial" w:cs="Arial"/>
          <w:spacing w:val="-4"/>
        </w:rPr>
        <w:t xml:space="preserve"> </w:t>
      </w:r>
      <w:r w:rsidRPr="008D2D71">
        <w:rPr>
          <w:rFonts w:ascii="Arial" w:eastAsia="Garamond" w:hAnsi="Arial" w:cs="Arial"/>
        </w:rPr>
        <w:t>of</w:t>
      </w:r>
      <w:r w:rsidRPr="008D2D71">
        <w:rPr>
          <w:rFonts w:ascii="Arial" w:eastAsia="Garamond" w:hAnsi="Arial" w:cs="Arial"/>
          <w:spacing w:val="-1"/>
        </w:rPr>
        <w:t xml:space="preserve"> </w:t>
      </w:r>
      <w:r w:rsidRPr="008D2D71">
        <w:rPr>
          <w:rFonts w:ascii="Arial" w:eastAsia="Garamond" w:hAnsi="Arial" w:cs="Arial"/>
        </w:rPr>
        <w:t>cancer</w:t>
      </w:r>
      <w:r>
        <w:rPr>
          <w:rFonts w:ascii="Arial" w:eastAsia="Garamond" w:hAnsi="Arial" w:cs="Arial"/>
        </w:rPr>
        <w:t xml:space="preserve"> and study (by random effect)</w:t>
      </w:r>
      <w:r w:rsidRPr="008D2D71">
        <w:rPr>
          <w:rFonts w:ascii="Arial" w:hAnsi="Arial" w:cs="Arial"/>
        </w:rPr>
        <w:t xml:space="preserve">, was </w:t>
      </w:r>
      <w:r>
        <w:rPr>
          <w:rFonts w:ascii="Arial" w:hAnsi="Arial" w:cs="Arial"/>
          <w:lang w:val="en-US"/>
        </w:rPr>
        <w:t>1.01</w:t>
      </w:r>
      <w:r w:rsidRPr="008D2D71">
        <w:rPr>
          <w:rFonts w:ascii="Arial" w:hAnsi="Arial" w:cs="Arial"/>
          <w:lang w:val="en-US"/>
        </w:rPr>
        <w:t xml:space="preserve"> (95% CI: 0.9</w:t>
      </w:r>
      <w:r>
        <w:rPr>
          <w:rFonts w:ascii="Arial" w:hAnsi="Arial" w:cs="Arial"/>
          <w:lang w:val="en-US"/>
        </w:rPr>
        <w:t>6</w:t>
      </w:r>
      <w:r w:rsidRPr="008D2D71">
        <w:rPr>
          <w:rFonts w:ascii="Arial" w:hAnsi="Arial" w:cs="Arial"/>
          <w:lang w:val="en-US"/>
        </w:rPr>
        <w:t>, 1.0</w:t>
      </w:r>
      <w:r>
        <w:rPr>
          <w:rFonts w:ascii="Arial" w:hAnsi="Arial" w:cs="Arial"/>
          <w:lang w:val="en-US"/>
        </w:rPr>
        <w:t>7</w:t>
      </w:r>
      <w:r w:rsidRPr="008D2D71">
        <w:rPr>
          <w:rFonts w:ascii="Arial" w:hAnsi="Arial" w:cs="Arial"/>
          <w:lang w:val="en-US"/>
        </w:rPr>
        <w:t>) (</w:t>
      </w:r>
      <w:r>
        <w:rPr>
          <w:rFonts w:ascii="Arial" w:hAnsi="Arial" w:cs="Arial"/>
          <w:lang w:val="en-US"/>
        </w:rPr>
        <w:t>Appendix p 15</w:t>
      </w:r>
      <w:r w:rsidRPr="008D2D71">
        <w:rPr>
          <w:rFonts w:ascii="Arial" w:hAnsi="Arial" w:cs="Arial"/>
          <w:lang w:val="en-US"/>
        </w:rPr>
        <w:t>).</w:t>
      </w:r>
      <w:r>
        <w:rPr>
          <w:rFonts w:ascii="Arial" w:hAnsi="Arial" w:cs="Arial"/>
          <w:lang w:val="en-US"/>
        </w:rPr>
        <w:t xml:space="preserve"> No significant interaction effects were identified </w:t>
      </w:r>
      <w:r w:rsidRPr="008D2D71">
        <w:rPr>
          <w:rFonts w:ascii="Arial" w:hAnsi="Arial" w:cs="Arial"/>
          <w:lang w:val="en-US"/>
        </w:rPr>
        <w:t>(</w:t>
      </w:r>
      <w:r>
        <w:rPr>
          <w:rFonts w:ascii="Arial" w:hAnsi="Arial" w:cs="Arial"/>
          <w:lang w:val="en-US"/>
        </w:rPr>
        <w:t>Appendix p 16 - 18</w:t>
      </w:r>
      <w:r w:rsidRPr="008D2D71">
        <w:rPr>
          <w:rFonts w:ascii="Arial" w:hAnsi="Arial" w:cs="Arial"/>
          <w:lang w:val="en-US"/>
        </w:rPr>
        <w:t>).</w:t>
      </w:r>
    </w:p>
    <w:p w14:paraId="7C1856DA" w14:textId="2E8E600D" w:rsidR="0064223B" w:rsidRDefault="0064223B" w:rsidP="00D42B02">
      <w:pPr>
        <w:spacing w:after="0" w:line="480" w:lineRule="auto"/>
        <w:rPr>
          <w:rFonts w:ascii="Arial" w:hAnsi="Arial" w:cs="Arial"/>
        </w:rPr>
      </w:pPr>
      <w:r>
        <w:rPr>
          <w:rFonts w:ascii="Arial" w:hAnsi="Arial" w:cs="Arial"/>
        </w:rPr>
        <w:t>Of 7,917 participants with available data, the t</w:t>
      </w:r>
      <w:r w:rsidRPr="008D2D71">
        <w:rPr>
          <w:rFonts w:ascii="Arial" w:hAnsi="Arial" w:cs="Arial"/>
        </w:rPr>
        <w:t xml:space="preserve">otal </w:t>
      </w:r>
      <w:r>
        <w:rPr>
          <w:rFonts w:ascii="Arial" w:hAnsi="Arial" w:cs="Arial"/>
        </w:rPr>
        <w:t xml:space="preserve">number of </w:t>
      </w:r>
      <w:r w:rsidRPr="008D2D71">
        <w:rPr>
          <w:rFonts w:ascii="Arial" w:hAnsi="Arial" w:cs="Arial"/>
        </w:rPr>
        <w:t xml:space="preserve">patients experiencing </w:t>
      </w:r>
      <w:r>
        <w:rPr>
          <w:rFonts w:ascii="Arial" w:hAnsi="Arial" w:cs="Arial"/>
        </w:rPr>
        <w:t>incidental</w:t>
      </w:r>
      <w:r w:rsidRPr="008D2D71">
        <w:rPr>
          <w:rFonts w:ascii="Arial" w:hAnsi="Arial" w:cs="Arial"/>
        </w:rPr>
        <w:t xml:space="preserve"> or symptomatic VTEs </w:t>
      </w:r>
      <w:r>
        <w:rPr>
          <w:rFonts w:ascii="Arial" w:hAnsi="Arial" w:cs="Arial"/>
        </w:rPr>
        <w:t xml:space="preserve">was </w:t>
      </w:r>
      <w:r w:rsidRPr="008D2D71">
        <w:rPr>
          <w:rFonts w:ascii="Arial" w:hAnsi="Arial" w:cs="Arial"/>
        </w:rPr>
        <w:t>158</w:t>
      </w:r>
      <w:r>
        <w:rPr>
          <w:rFonts w:ascii="Arial" w:hAnsi="Arial" w:cs="Arial"/>
        </w:rPr>
        <w:t xml:space="preserve"> of 3,958 (4.0%)</w:t>
      </w:r>
      <w:r w:rsidRPr="008D2D71">
        <w:rPr>
          <w:rFonts w:ascii="Arial" w:hAnsi="Arial" w:cs="Arial"/>
        </w:rPr>
        <w:t xml:space="preserve"> in the LMWH group </w:t>
      </w:r>
      <w:r>
        <w:rPr>
          <w:rFonts w:ascii="Arial" w:hAnsi="Arial" w:cs="Arial"/>
        </w:rPr>
        <w:t xml:space="preserve">versus </w:t>
      </w:r>
      <w:r w:rsidRPr="008D2D71">
        <w:rPr>
          <w:rFonts w:ascii="Arial" w:hAnsi="Arial" w:cs="Arial"/>
        </w:rPr>
        <w:t xml:space="preserve">279 </w:t>
      </w:r>
      <w:r>
        <w:rPr>
          <w:rFonts w:ascii="Arial" w:hAnsi="Arial" w:cs="Arial"/>
        </w:rPr>
        <w:t xml:space="preserve">of 3,959 (7.0%) </w:t>
      </w:r>
      <w:r w:rsidRPr="008D2D71">
        <w:rPr>
          <w:rFonts w:ascii="Arial" w:hAnsi="Arial" w:cs="Arial"/>
        </w:rPr>
        <w:t>in the control group, adjusted relative risk 0.5</w:t>
      </w:r>
      <w:r>
        <w:rPr>
          <w:rFonts w:ascii="Arial" w:hAnsi="Arial" w:cs="Arial"/>
        </w:rPr>
        <w:t>8</w:t>
      </w:r>
      <w:r w:rsidRPr="008D2D71">
        <w:rPr>
          <w:rFonts w:ascii="Arial" w:hAnsi="Arial" w:cs="Arial"/>
        </w:rPr>
        <w:t xml:space="preserve"> (95% CI: 0.</w:t>
      </w:r>
      <w:r>
        <w:rPr>
          <w:rFonts w:ascii="Arial" w:hAnsi="Arial" w:cs="Arial"/>
        </w:rPr>
        <w:t>47</w:t>
      </w:r>
      <w:r w:rsidRPr="008D2D71">
        <w:rPr>
          <w:rFonts w:ascii="Arial" w:hAnsi="Arial" w:cs="Arial"/>
        </w:rPr>
        <w:t>, 0.</w:t>
      </w:r>
      <w:r>
        <w:rPr>
          <w:rFonts w:ascii="Arial" w:hAnsi="Arial" w:cs="Arial"/>
        </w:rPr>
        <w:t>71</w:t>
      </w:r>
      <w:r w:rsidRPr="008D2D71">
        <w:rPr>
          <w:rFonts w:ascii="Arial" w:hAnsi="Arial" w:cs="Arial"/>
        </w:rPr>
        <w:t xml:space="preserve">). </w:t>
      </w:r>
      <w:r>
        <w:rPr>
          <w:rFonts w:ascii="Arial" w:hAnsi="Arial" w:cs="Arial"/>
        </w:rPr>
        <w:t>The anticipated absolute difference for incidental</w:t>
      </w:r>
      <w:r w:rsidRPr="008D2D71">
        <w:rPr>
          <w:rFonts w:ascii="Arial" w:hAnsi="Arial" w:cs="Arial"/>
        </w:rPr>
        <w:t xml:space="preserve"> or symptomatic VTEs </w:t>
      </w:r>
      <w:r>
        <w:rPr>
          <w:rFonts w:ascii="Arial" w:hAnsi="Arial" w:cs="Arial"/>
        </w:rPr>
        <w:t xml:space="preserve">is 3.0% fewer events (95% CI: 3.7 fewer to 2.0 fewer) among those taking LMWH (Table 3). The unadjusted hazard ratio for time to VTE is (HR=0.60; 95% CI: 0.48, 0.74). </w:t>
      </w:r>
      <w:r w:rsidRPr="008D2D71">
        <w:rPr>
          <w:rFonts w:ascii="Arial" w:hAnsi="Arial" w:cs="Arial"/>
        </w:rPr>
        <w:t>Symptomatic VTEs occurred in 114 participants in the LMWH group and 220 in the control group, adjusted relative risk 0.5</w:t>
      </w:r>
      <w:r>
        <w:rPr>
          <w:rFonts w:ascii="Arial" w:hAnsi="Arial" w:cs="Arial"/>
        </w:rPr>
        <w:t>8</w:t>
      </w:r>
      <w:r w:rsidRPr="008D2D71">
        <w:rPr>
          <w:rFonts w:ascii="Arial" w:hAnsi="Arial" w:cs="Arial"/>
        </w:rPr>
        <w:t xml:space="preserve"> (95% CI: 0.</w:t>
      </w:r>
      <w:r>
        <w:rPr>
          <w:rFonts w:ascii="Arial" w:hAnsi="Arial" w:cs="Arial"/>
        </w:rPr>
        <w:t>48</w:t>
      </w:r>
      <w:r w:rsidRPr="008D2D71">
        <w:rPr>
          <w:rFonts w:ascii="Arial" w:hAnsi="Arial" w:cs="Arial"/>
        </w:rPr>
        <w:t>, 0.</w:t>
      </w:r>
      <w:r>
        <w:rPr>
          <w:rFonts w:ascii="Arial" w:hAnsi="Arial" w:cs="Arial"/>
        </w:rPr>
        <w:t>70</w:t>
      </w:r>
      <w:r w:rsidRPr="008D2D71">
        <w:rPr>
          <w:rFonts w:ascii="Arial" w:hAnsi="Arial" w:cs="Arial"/>
        </w:rPr>
        <w:t xml:space="preserve">) (Table </w:t>
      </w:r>
      <w:r>
        <w:rPr>
          <w:rFonts w:ascii="Arial" w:hAnsi="Arial" w:cs="Arial"/>
        </w:rPr>
        <w:t>2, Figure 2</w:t>
      </w:r>
      <w:r w:rsidRPr="008D2D71">
        <w:rPr>
          <w:rFonts w:ascii="Arial" w:hAnsi="Arial" w:cs="Arial"/>
        </w:rPr>
        <w:t xml:space="preserve">). </w:t>
      </w:r>
      <w:r>
        <w:rPr>
          <w:rFonts w:ascii="Arial" w:hAnsi="Arial" w:cs="Arial"/>
        </w:rPr>
        <w:t xml:space="preserve">The anticipated absolute difference is 2.5% fewer (95% CI: 3.1 fewer to 1.8 fewer) among those taking LMWH (Table 3). Subgroup analysis did not detect any significant interaction (Appendix pages 20 - 22). </w:t>
      </w:r>
    </w:p>
    <w:p w14:paraId="4CC8DB03" w14:textId="77777777" w:rsidR="0064223B" w:rsidRDefault="0064223B" w:rsidP="00D42B02">
      <w:pPr>
        <w:spacing w:after="0" w:line="480" w:lineRule="auto"/>
        <w:rPr>
          <w:rFonts w:ascii="Arial" w:hAnsi="Arial" w:cs="Arial"/>
        </w:rPr>
      </w:pPr>
    </w:p>
    <w:p w14:paraId="603190D2" w14:textId="3ED622D5" w:rsidR="0064223B" w:rsidRDefault="0064223B" w:rsidP="00D42B02">
      <w:pPr>
        <w:spacing w:after="0" w:line="480" w:lineRule="auto"/>
        <w:rPr>
          <w:rFonts w:ascii="Arial" w:hAnsi="Arial" w:cs="Arial"/>
        </w:rPr>
      </w:pPr>
      <w:r>
        <w:rPr>
          <w:rFonts w:ascii="Arial" w:hAnsi="Arial" w:cs="Arial"/>
        </w:rPr>
        <w:t>M</w:t>
      </w:r>
      <w:r w:rsidRPr="008D2D71">
        <w:rPr>
          <w:rFonts w:ascii="Arial" w:hAnsi="Arial" w:cs="Arial"/>
        </w:rPr>
        <w:t>ajor bleeding events occurred in 1.7% of control</w:t>
      </w:r>
      <w:r>
        <w:rPr>
          <w:rFonts w:ascii="Arial" w:hAnsi="Arial" w:cs="Arial"/>
        </w:rPr>
        <w:t xml:space="preserve"> (71/4,139)</w:t>
      </w:r>
      <w:r w:rsidRPr="008D2D71">
        <w:rPr>
          <w:rFonts w:ascii="Arial" w:hAnsi="Arial" w:cs="Arial"/>
        </w:rPr>
        <w:t xml:space="preserve"> and 2.1% </w:t>
      </w:r>
      <w:r>
        <w:rPr>
          <w:rFonts w:ascii="Arial" w:hAnsi="Arial" w:cs="Arial"/>
        </w:rPr>
        <w:t xml:space="preserve">(88/4,139) </w:t>
      </w:r>
      <w:r w:rsidRPr="008D2D71">
        <w:rPr>
          <w:rFonts w:ascii="Arial" w:hAnsi="Arial" w:cs="Arial"/>
        </w:rPr>
        <w:t xml:space="preserve">of LMWH allocated participants, </w:t>
      </w:r>
      <w:r>
        <w:rPr>
          <w:rFonts w:ascii="Arial" w:hAnsi="Arial" w:cs="Arial"/>
        </w:rPr>
        <w:t xml:space="preserve">respectively, with an </w:t>
      </w:r>
      <w:r w:rsidRPr="008D2D71">
        <w:rPr>
          <w:rFonts w:ascii="Arial" w:hAnsi="Arial" w:cs="Arial"/>
        </w:rPr>
        <w:t xml:space="preserve">adjusted relative risk </w:t>
      </w:r>
      <w:r>
        <w:rPr>
          <w:rFonts w:ascii="Arial" w:hAnsi="Arial" w:cs="Arial"/>
        </w:rPr>
        <w:t xml:space="preserve">of </w:t>
      </w:r>
      <w:r w:rsidRPr="008D2D71">
        <w:rPr>
          <w:rFonts w:ascii="Arial" w:hAnsi="Arial" w:cs="Arial"/>
        </w:rPr>
        <w:t>1.2</w:t>
      </w:r>
      <w:r>
        <w:rPr>
          <w:rFonts w:ascii="Arial" w:hAnsi="Arial" w:cs="Arial"/>
        </w:rPr>
        <w:t>7</w:t>
      </w:r>
      <w:r w:rsidRPr="008D2D71">
        <w:rPr>
          <w:rFonts w:ascii="Arial" w:hAnsi="Arial" w:cs="Arial"/>
        </w:rPr>
        <w:t xml:space="preserve"> (95% CI: 0.</w:t>
      </w:r>
      <w:r>
        <w:rPr>
          <w:rFonts w:ascii="Arial" w:hAnsi="Arial" w:cs="Arial"/>
        </w:rPr>
        <w:t>92</w:t>
      </w:r>
      <w:r w:rsidRPr="008D2D71">
        <w:rPr>
          <w:rFonts w:ascii="Arial" w:hAnsi="Arial" w:cs="Arial"/>
        </w:rPr>
        <w:t>, 1.7</w:t>
      </w:r>
      <w:r>
        <w:rPr>
          <w:rFonts w:ascii="Arial" w:hAnsi="Arial" w:cs="Arial"/>
        </w:rPr>
        <w:t>4</w:t>
      </w:r>
      <w:r w:rsidRPr="008D2D71">
        <w:rPr>
          <w:rFonts w:ascii="Arial" w:hAnsi="Arial" w:cs="Arial"/>
        </w:rPr>
        <w:t>)</w:t>
      </w:r>
      <w:r>
        <w:rPr>
          <w:rFonts w:ascii="Arial" w:hAnsi="Arial" w:cs="Arial"/>
        </w:rPr>
        <w:t xml:space="preserve"> for a risk difference of 0.4% more in LMWH patients </w:t>
      </w:r>
      <w:r w:rsidRPr="003A666F">
        <w:rPr>
          <w:rFonts w:ascii="Arial" w:hAnsi="Arial" w:cs="Arial"/>
        </w:rPr>
        <w:t>(</w:t>
      </w:r>
      <w:r>
        <w:rPr>
          <w:rFonts w:ascii="Arial" w:hAnsi="Arial" w:cs="Arial"/>
        </w:rPr>
        <w:t xml:space="preserve">95% </w:t>
      </w:r>
      <w:r w:rsidRPr="008D2D71">
        <w:rPr>
          <w:rFonts w:ascii="Arial" w:hAnsi="Arial" w:cs="Arial"/>
        </w:rPr>
        <w:t xml:space="preserve">CI: </w:t>
      </w:r>
      <w:r w:rsidRPr="003A666F">
        <w:rPr>
          <w:rFonts w:ascii="Arial" w:hAnsi="Arial" w:cs="Arial"/>
        </w:rPr>
        <w:t xml:space="preserve">0.3 </w:t>
      </w:r>
      <w:r>
        <w:rPr>
          <w:rFonts w:ascii="Arial" w:hAnsi="Arial" w:cs="Arial"/>
        </w:rPr>
        <w:t>fewer</w:t>
      </w:r>
      <w:r w:rsidRPr="003A666F">
        <w:rPr>
          <w:rFonts w:ascii="Arial" w:hAnsi="Arial" w:cs="Arial"/>
        </w:rPr>
        <w:t xml:space="preserve"> to 1.3 more</w:t>
      </w:r>
      <w:r>
        <w:rPr>
          <w:rFonts w:ascii="Arial" w:hAnsi="Arial" w:cs="Arial"/>
        </w:rPr>
        <w:t>, Table 3</w:t>
      </w:r>
      <w:r w:rsidRPr="003A666F">
        <w:rPr>
          <w:rFonts w:ascii="Arial" w:hAnsi="Arial" w:cs="Arial"/>
        </w:rPr>
        <w:t>)</w:t>
      </w:r>
      <w:r w:rsidRPr="008D2D71">
        <w:rPr>
          <w:rFonts w:ascii="Arial" w:hAnsi="Arial" w:cs="Arial"/>
        </w:rPr>
        <w:t xml:space="preserve">. </w:t>
      </w:r>
      <w:r>
        <w:rPr>
          <w:rFonts w:ascii="Arial" w:hAnsi="Arial" w:cs="Arial"/>
        </w:rPr>
        <w:t xml:space="preserve">Minor bleeding events occurred in 12.1% (478/4,139) of the control population and 16.6% (652/4,139) of LMWH exposed participants, with adjusted relative risk of 1.34 (95% CI: 1.19, </w:t>
      </w:r>
      <w:r>
        <w:rPr>
          <w:rFonts w:ascii="Arial" w:hAnsi="Arial" w:cs="Arial"/>
        </w:rPr>
        <w:lastRenderedPageBreak/>
        <w:t xml:space="preserve">1.51) and risk difference of 4.1% more (95% CI: 2.3 more to 6.2 more). </w:t>
      </w:r>
      <w:r w:rsidRPr="008D2D71">
        <w:rPr>
          <w:rFonts w:ascii="Arial" w:hAnsi="Arial" w:cs="Arial"/>
        </w:rPr>
        <w:t>The total incidence of thrombocytopenia was 8.9%</w:t>
      </w:r>
      <w:r>
        <w:rPr>
          <w:rFonts w:ascii="Arial" w:hAnsi="Arial" w:cs="Arial"/>
        </w:rPr>
        <w:t xml:space="preserve"> (251/2,823)</w:t>
      </w:r>
      <w:r w:rsidRPr="008D2D71">
        <w:rPr>
          <w:rFonts w:ascii="Arial" w:hAnsi="Arial" w:cs="Arial"/>
        </w:rPr>
        <w:t xml:space="preserve"> in the control group and 8.</w:t>
      </w:r>
      <w:r>
        <w:rPr>
          <w:rFonts w:ascii="Arial" w:hAnsi="Arial" w:cs="Arial"/>
        </w:rPr>
        <w:t>7</w:t>
      </w:r>
      <w:r w:rsidRPr="008D2D71">
        <w:rPr>
          <w:rFonts w:ascii="Arial" w:hAnsi="Arial" w:cs="Arial"/>
        </w:rPr>
        <w:t>%</w:t>
      </w:r>
      <w:r>
        <w:rPr>
          <w:rFonts w:ascii="Arial" w:hAnsi="Arial" w:cs="Arial"/>
        </w:rPr>
        <w:t xml:space="preserve"> (244/2,818)</w:t>
      </w:r>
      <w:r w:rsidRPr="008D2D71">
        <w:rPr>
          <w:rFonts w:ascii="Arial" w:hAnsi="Arial" w:cs="Arial"/>
        </w:rPr>
        <w:t xml:space="preserve"> in the LMWH group, </w:t>
      </w:r>
      <w:r>
        <w:rPr>
          <w:rFonts w:ascii="Arial" w:hAnsi="Arial" w:cs="Arial"/>
        </w:rPr>
        <w:t xml:space="preserve">respectively, with an </w:t>
      </w:r>
      <w:r w:rsidRPr="008D2D71">
        <w:rPr>
          <w:rFonts w:ascii="Arial" w:hAnsi="Arial" w:cs="Arial"/>
        </w:rPr>
        <w:t>adjusted relative risk</w:t>
      </w:r>
      <w:r>
        <w:rPr>
          <w:rFonts w:ascii="Arial" w:hAnsi="Arial" w:cs="Arial"/>
        </w:rPr>
        <w:t xml:space="preserve"> of</w:t>
      </w:r>
      <w:r w:rsidRPr="008D2D71">
        <w:rPr>
          <w:rFonts w:ascii="Arial" w:hAnsi="Arial" w:cs="Arial"/>
        </w:rPr>
        <w:t xml:space="preserve"> 0.9</w:t>
      </w:r>
      <w:r>
        <w:rPr>
          <w:rFonts w:ascii="Arial" w:hAnsi="Arial" w:cs="Arial"/>
        </w:rPr>
        <w:t>5</w:t>
      </w:r>
      <w:r w:rsidRPr="008D2D71">
        <w:rPr>
          <w:rFonts w:ascii="Arial" w:hAnsi="Arial" w:cs="Arial"/>
        </w:rPr>
        <w:t xml:space="preserve"> (</w:t>
      </w:r>
      <w:r>
        <w:rPr>
          <w:rFonts w:ascii="Arial" w:hAnsi="Arial" w:cs="Arial"/>
        </w:rPr>
        <w:t xml:space="preserve">95% </w:t>
      </w:r>
      <w:r w:rsidRPr="008D2D71">
        <w:rPr>
          <w:rFonts w:ascii="Arial" w:hAnsi="Arial" w:cs="Arial"/>
        </w:rPr>
        <w:t>CI: 0.8</w:t>
      </w:r>
      <w:r>
        <w:rPr>
          <w:rFonts w:ascii="Arial" w:hAnsi="Arial" w:cs="Arial"/>
        </w:rPr>
        <w:t>0</w:t>
      </w:r>
      <w:r w:rsidRPr="008D2D71">
        <w:rPr>
          <w:rFonts w:ascii="Arial" w:hAnsi="Arial" w:cs="Arial"/>
        </w:rPr>
        <w:t>, 1.</w:t>
      </w:r>
      <w:r>
        <w:rPr>
          <w:rFonts w:ascii="Arial" w:hAnsi="Arial" w:cs="Arial"/>
        </w:rPr>
        <w:t>14</w:t>
      </w:r>
      <w:r w:rsidRPr="008D2D71">
        <w:rPr>
          <w:rFonts w:ascii="Arial" w:hAnsi="Arial" w:cs="Arial"/>
        </w:rPr>
        <w:t xml:space="preserve">) (Table </w:t>
      </w:r>
      <w:r>
        <w:rPr>
          <w:rFonts w:ascii="Arial" w:hAnsi="Arial" w:cs="Arial"/>
        </w:rPr>
        <w:t>2</w:t>
      </w:r>
      <w:r w:rsidRPr="008D2D71">
        <w:rPr>
          <w:rFonts w:ascii="Arial" w:hAnsi="Arial" w:cs="Arial"/>
        </w:rPr>
        <w:t>).</w:t>
      </w:r>
      <w:r>
        <w:rPr>
          <w:rFonts w:ascii="Arial" w:hAnsi="Arial" w:cs="Arial"/>
        </w:rPr>
        <w:t xml:space="preserve"> We found no significant interaction effects for major bleeding, minor bleeding, or thrombocytopenia (Appendix p 23 - 25).</w:t>
      </w:r>
    </w:p>
    <w:p w14:paraId="688DBD8D" w14:textId="77777777" w:rsidR="0064223B" w:rsidRPr="008D2D71" w:rsidRDefault="0064223B" w:rsidP="00D42B02">
      <w:pPr>
        <w:spacing w:after="0" w:line="480" w:lineRule="auto"/>
        <w:rPr>
          <w:rFonts w:ascii="Arial" w:hAnsi="Arial" w:cs="Arial"/>
        </w:rPr>
      </w:pPr>
    </w:p>
    <w:p w14:paraId="420599C4" w14:textId="03281231" w:rsidR="0064223B" w:rsidRDefault="0064223B" w:rsidP="00F86EEC">
      <w:pPr>
        <w:spacing w:after="0" w:line="480" w:lineRule="auto"/>
        <w:rPr>
          <w:rFonts w:ascii="Arial" w:hAnsi="Arial" w:cs="Arial"/>
          <w:bCs/>
        </w:rPr>
      </w:pPr>
      <w:r>
        <w:rPr>
          <w:rFonts w:ascii="Arial" w:hAnsi="Arial" w:cs="Arial"/>
          <w:bCs/>
        </w:rPr>
        <w:t>A s</w:t>
      </w:r>
      <w:r w:rsidRPr="0063414D">
        <w:rPr>
          <w:rFonts w:ascii="Arial" w:hAnsi="Arial" w:cs="Arial"/>
          <w:bCs/>
        </w:rPr>
        <w:t>tudy-level meta-analys</w:t>
      </w:r>
      <w:r>
        <w:rPr>
          <w:rFonts w:ascii="Arial" w:hAnsi="Arial" w:cs="Arial"/>
          <w:bCs/>
        </w:rPr>
        <w:t>i</w:t>
      </w:r>
      <w:r w:rsidRPr="0063414D">
        <w:rPr>
          <w:rFonts w:ascii="Arial" w:hAnsi="Arial" w:cs="Arial"/>
          <w:bCs/>
        </w:rPr>
        <w:t>s</w:t>
      </w:r>
      <w:r>
        <w:rPr>
          <w:rFonts w:ascii="Arial" w:hAnsi="Arial" w:cs="Arial"/>
          <w:bCs/>
        </w:rPr>
        <w:t xml:space="preserve">, including the same studies we obtained individual participant data for, comparing LMWH to no LMWH for each outcome is available in the supplementary material (Appendix p 26 - 34). A funnel plot for the primary outcome of mortality at 12 months indicates no publication bias is present (Appendix p 35). Results resemble analysis using individual participant data with no differing conclusions. Additional study-level meta-analysis including all studies eligible for inclusion  for the primary outcome of mortality at 1 year depicts similar results to our IPDMA (Appendix p 36). We did not identify statistically significant associations in sensitivity analysis comparing blinded to unblinded studies or when comparing the effects of approved versus unapproved medications (Appendix p 16). </w:t>
      </w:r>
    </w:p>
    <w:p w14:paraId="6BE8D874" w14:textId="77777777" w:rsidR="0064223B" w:rsidRPr="00F86EEC" w:rsidRDefault="0064223B" w:rsidP="00F86EEC">
      <w:pPr>
        <w:spacing w:after="0" w:line="480" w:lineRule="auto"/>
        <w:rPr>
          <w:rFonts w:ascii="Arial" w:hAnsi="Arial" w:cs="Arial"/>
          <w:bCs/>
        </w:rPr>
      </w:pPr>
    </w:p>
    <w:p w14:paraId="412CF163" w14:textId="249E61B8" w:rsidR="0064223B" w:rsidRDefault="0064223B" w:rsidP="00122AD9">
      <w:pPr>
        <w:spacing w:after="0" w:line="480" w:lineRule="auto"/>
        <w:rPr>
          <w:rFonts w:ascii="Arial" w:hAnsi="Arial" w:cs="Arial"/>
          <w:bCs/>
        </w:rPr>
      </w:pPr>
      <w:r w:rsidRPr="00343101">
        <w:rPr>
          <w:rFonts w:ascii="Arial" w:hAnsi="Arial" w:cs="Arial"/>
        </w:rPr>
        <w:t xml:space="preserve">Table </w:t>
      </w:r>
      <w:r>
        <w:rPr>
          <w:rFonts w:ascii="Arial" w:hAnsi="Arial" w:cs="Arial"/>
        </w:rPr>
        <w:t>3</w:t>
      </w:r>
      <w:r w:rsidRPr="00343101">
        <w:rPr>
          <w:rFonts w:ascii="Arial" w:hAnsi="Arial" w:cs="Arial"/>
        </w:rPr>
        <w:t xml:space="preserve"> presents the summary of findings and certainty </w:t>
      </w:r>
      <w:r>
        <w:rPr>
          <w:rFonts w:ascii="Arial" w:hAnsi="Arial" w:cs="Arial"/>
        </w:rPr>
        <w:t xml:space="preserve">of the evidence </w:t>
      </w:r>
      <w:r w:rsidRPr="00343101">
        <w:rPr>
          <w:rFonts w:ascii="Arial" w:hAnsi="Arial" w:cs="Arial"/>
        </w:rPr>
        <w:t>rating</w:t>
      </w:r>
      <w:r>
        <w:rPr>
          <w:rFonts w:ascii="Arial" w:hAnsi="Arial" w:cs="Arial"/>
        </w:rPr>
        <w:t>s according to GRADE</w:t>
      </w:r>
      <w:r w:rsidRPr="00343101">
        <w:rPr>
          <w:rFonts w:ascii="Arial" w:hAnsi="Arial" w:cs="Arial"/>
        </w:rPr>
        <w:t xml:space="preserve">. We rated </w:t>
      </w:r>
      <w:r>
        <w:rPr>
          <w:rFonts w:ascii="Arial" w:hAnsi="Arial" w:cs="Arial"/>
        </w:rPr>
        <w:t xml:space="preserve">down </w:t>
      </w:r>
      <w:r w:rsidRPr="00343101">
        <w:rPr>
          <w:rFonts w:ascii="Arial" w:hAnsi="Arial" w:cs="Arial"/>
        </w:rPr>
        <w:t xml:space="preserve">the certainty </w:t>
      </w:r>
      <w:r>
        <w:rPr>
          <w:rFonts w:ascii="Arial" w:hAnsi="Arial" w:cs="Arial"/>
        </w:rPr>
        <w:t xml:space="preserve">of </w:t>
      </w:r>
      <w:r w:rsidRPr="00343101">
        <w:rPr>
          <w:rFonts w:ascii="Arial" w:hAnsi="Arial" w:cs="Arial"/>
        </w:rPr>
        <w:t xml:space="preserve">evidence for mortality at </w:t>
      </w:r>
      <w:r>
        <w:rPr>
          <w:rFonts w:ascii="Arial" w:hAnsi="Arial" w:cs="Arial"/>
        </w:rPr>
        <w:t>one</w:t>
      </w:r>
      <w:r w:rsidRPr="00343101">
        <w:rPr>
          <w:rFonts w:ascii="Arial" w:hAnsi="Arial" w:cs="Arial"/>
        </w:rPr>
        <w:t xml:space="preserve"> year</w:t>
      </w:r>
      <w:r>
        <w:rPr>
          <w:rFonts w:ascii="Arial" w:hAnsi="Arial" w:cs="Arial"/>
        </w:rPr>
        <w:t>, any VTE, symptomatic DVT major bleeding and thrombocytopenia</w:t>
      </w:r>
      <w:r w:rsidRPr="00343101">
        <w:rPr>
          <w:rFonts w:ascii="Arial" w:hAnsi="Arial" w:cs="Arial"/>
        </w:rPr>
        <w:t xml:space="preserve"> for imprecision</w:t>
      </w:r>
      <w:r>
        <w:rPr>
          <w:rFonts w:ascii="Arial" w:hAnsi="Arial" w:cs="Arial"/>
        </w:rPr>
        <w:t xml:space="preserve"> because confidence intervals include non-clinically significant values</w:t>
      </w:r>
      <w:r w:rsidRPr="00343101">
        <w:rPr>
          <w:rFonts w:ascii="Arial" w:hAnsi="Arial" w:cs="Arial"/>
        </w:rPr>
        <w:t xml:space="preserve">. </w:t>
      </w:r>
      <w:r>
        <w:rPr>
          <w:rFonts w:ascii="Arial" w:hAnsi="Arial" w:cs="Arial"/>
        </w:rPr>
        <w:t>We also rated down the c</w:t>
      </w:r>
      <w:r w:rsidRPr="00343101">
        <w:rPr>
          <w:rFonts w:ascii="Arial" w:hAnsi="Arial" w:cs="Arial"/>
        </w:rPr>
        <w:t xml:space="preserve">ertainty of evidence </w:t>
      </w:r>
      <w:r>
        <w:rPr>
          <w:rFonts w:ascii="Arial" w:hAnsi="Arial" w:cs="Arial"/>
        </w:rPr>
        <w:t xml:space="preserve">for </w:t>
      </w:r>
      <w:r w:rsidRPr="00343101">
        <w:rPr>
          <w:rFonts w:ascii="Arial" w:hAnsi="Arial" w:cs="Arial"/>
        </w:rPr>
        <w:t xml:space="preserve">any </w:t>
      </w:r>
      <w:r>
        <w:rPr>
          <w:rFonts w:ascii="Arial" w:hAnsi="Arial" w:cs="Arial"/>
        </w:rPr>
        <w:t xml:space="preserve">symptomatic or asymptomatic </w:t>
      </w:r>
      <w:r w:rsidRPr="00343101">
        <w:rPr>
          <w:rFonts w:ascii="Arial" w:hAnsi="Arial" w:cs="Arial"/>
        </w:rPr>
        <w:t>VTE</w:t>
      </w:r>
      <w:r>
        <w:rPr>
          <w:rFonts w:ascii="Arial" w:hAnsi="Arial" w:cs="Arial"/>
        </w:rPr>
        <w:t xml:space="preserve"> for indirectness</w:t>
      </w:r>
      <w:r w:rsidRPr="00343101">
        <w:rPr>
          <w:rFonts w:ascii="Arial" w:hAnsi="Arial" w:cs="Arial"/>
        </w:rPr>
        <w:t>, as asymptomatic VTE</w:t>
      </w:r>
      <w:r>
        <w:rPr>
          <w:rFonts w:ascii="Arial" w:hAnsi="Arial" w:cs="Arial"/>
        </w:rPr>
        <w:t xml:space="preserve"> is considered a surrogate outcome</w:t>
      </w:r>
      <w:r w:rsidRPr="00343101">
        <w:rPr>
          <w:rFonts w:ascii="Arial" w:hAnsi="Arial" w:cs="Arial"/>
        </w:rPr>
        <w:t>.</w:t>
      </w:r>
      <w:r>
        <w:rPr>
          <w:rFonts w:ascii="Arial" w:hAnsi="Arial" w:cs="Arial"/>
        </w:rPr>
        <w:t xml:space="preserve"> Other outcomes had high certainty of evidence associated with them. </w:t>
      </w:r>
      <w:r>
        <w:rPr>
          <w:rFonts w:ascii="Arial" w:hAnsi="Arial" w:cs="Arial"/>
          <w:bCs/>
        </w:rPr>
        <w:t>Table 3 shows the absolute effects that we estimated based on baseline risks</w:t>
      </w:r>
      <w:r w:rsidRPr="00122AD9">
        <w:rPr>
          <w:rFonts w:ascii="Arial" w:hAnsi="Arial" w:cs="Arial"/>
          <w:bCs/>
        </w:rPr>
        <w:t xml:space="preserve"> </w:t>
      </w:r>
      <w:r>
        <w:rPr>
          <w:rFonts w:ascii="Arial" w:hAnsi="Arial" w:cs="Arial"/>
          <w:bCs/>
        </w:rPr>
        <w:t>for</w:t>
      </w:r>
      <w:r w:rsidRPr="00122AD9">
        <w:rPr>
          <w:rFonts w:ascii="Arial" w:hAnsi="Arial" w:cs="Arial"/>
          <w:bCs/>
        </w:rPr>
        <w:t xml:space="preserve"> VTE reduction</w:t>
      </w:r>
      <w:r>
        <w:rPr>
          <w:rFonts w:ascii="Arial" w:hAnsi="Arial" w:cs="Arial"/>
          <w:bCs/>
        </w:rPr>
        <w:t>, a</w:t>
      </w:r>
      <w:r w:rsidRPr="00343101">
        <w:rPr>
          <w:rFonts w:ascii="Arial" w:hAnsi="Arial" w:cs="Arial"/>
        </w:rPr>
        <w:t xml:space="preserve">ny VTE (symptomatic or asymptomatic VTE), symptomatic VTE, symptomatic DVT, symptomatic PE, </w:t>
      </w:r>
      <w:r w:rsidRPr="00122AD9">
        <w:rPr>
          <w:rFonts w:ascii="Arial" w:hAnsi="Arial" w:cs="Arial"/>
          <w:bCs/>
        </w:rPr>
        <w:t xml:space="preserve">major </w:t>
      </w:r>
      <w:r>
        <w:rPr>
          <w:rFonts w:ascii="Arial" w:hAnsi="Arial" w:cs="Arial"/>
          <w:bCs/>
        </w:rPr>
        <w:t xml:space="preserve">and minor </w:t>
      </w:r>
      <w:r w:rsidRPr="00122AD9">
        <w:rPr>
          <w:rFonts w:ascii="Arial" w:hAnsi="Arial" w:cs="Arial"/>
          <w:bCs/>
        </w:rPr>
        <w:t xml:space="preserve">bleeding, </w:t>
      </w:r>
      <w:r>
        <w:rPr>
          <w:rFonts w:ascii="Arial" w:hAnsi="Arial" w:cs="Arial"/>
          <w:bCs/>
        </w:rPr>
        <w:t xml:space="preserve">and </w:t>
      </w:r>
      <w:r w:rsidRPr="00122AD9">
        <w:rPr>
          <w:rFonts w:ascii="Arial" w:hAnsi="Arial" w:cs="Arial"/>
          <w:bCs/>
        </w:rPr>
        <w:t>thrombocytopenia</w:t>
      </w:r>
      <w:r>
        <w:rPr>
          <w:rFonts w:ascii="Arial" w:hAnsi="Arial" w:cs="Arial"/>
          <w:bCs/>
        </w:rPr>
        <w:t>.</w:t>
      </w:r>
    </w:p>
    <w:p w14:paraId="743545DE" w14:textId="77777777" w:rsidR="0064223B" w:rsidRDefault="0064223B" w:rsidP="008A6A13">
      <w:pPr>
        <w:rPr>
          <w:rFonts w:ascii="Arial" w:hAnsi="Arial" w:cs="Arial"/>
        </w:rPr>
      </w:pPr>
    </w:p>
    <w:p w14:paraId="3AC64CDC" w14:textId="77777777" w:rsidR="0064223B" w:rsidRPr="00A55EB4" w:rsidRDefault="0064223B" w:rsidP="00A55EB4">
      <w:pPr>
        <w:pStyle w:val="Heading1"/>
        <w:spacing w:line="480" w:lineRule="auto"/>
        <w:rPr>
          <w:rFonts w:ascii="Arial" w:hAnsi="Arial" w:cs="Arial"/>
        </w:rPr>
      </w:pPr>
      <w:bookmarkStart w:id="15" w:name="_Hlk42166311"/>
      <w:r w:rsidRPr="00DD53FA">
        <w:rPr>
          <w:rFonts w:ascii="Arial" w:hAnsi="Arial" w:cs="Arial"/>
        </w:rPr>
        <w:lastRenderedPageBreak/>
        <w:t>Discussion</w:t>
      </w:r>
      <w:r>
        <w:rPr>
          <w:rFonts w:ascii="Arial" w:hAnsi="Arial" w:cs="Arial"/>
        </w:rPr>
        <w:t xml:space="preserve"> </w:t>
      </w:r>
    </w:p>
    <w:p w14:paraId="647F6D76" w14:textId="01352588" w:rsidR="0064223B" w:rsidRDefault="0064223B" w:rsidP="00717EDF">
      <w:pPr>
        <w:autoSpaceDE w:val="0"/>
        <w:autoSpaceDN w:val="0"/>
        <w:adjustRightInd w:val="0"/>
        <w:spacing w:after="0" w:line="480" w:lineRule="auto"/>
        <w:rPr>
          <w:rFonts w:ascii="Arial" w:hAnsi="Arial" w:cs="Arial"/>
        </w:rPr>
      </w:pPr>
      <w:r>
        <w:rPr>
          <w:rFonts w:ascii="Arial" w:hAnsi="Arial" w:cs="Arial"/>
        </w:rPr>
        <w:tab/>
        <w:t xml:space="preserve">To our knowledge, we performed the </w:t>
      </w:r>
      <w:r w:rsidRPr="00DD53FA">
        <w:rPr>
          <w:rFonts w:ascii="Arial" w:hAnsi="Arial" w:cs="Arial"/>
        </w:rPr>
        <w:t>first IPDMA address</w:t>
      </w:r>
      <w:r>
        <w:rPr>
          <w:rFonts w:ascii="Arial" w:hAnsi="Arial" w:cs="Arial"/>
        </w:rPr>
        <w:t>ing</w:t>
      </w:r>
      <w:r w:rsidRPr="00DD53FA">
        <w:rPr>
          <w:rFonts w:ascii="Arial" w:hAnsi="Arial" w:cs="Arial"/>
        </w:rPr>
        <w:t xml:space="preserve"> the effects of heparin on patient</w:t>
      </w:r>
      <w:r>
        <w:rPr>
          <w:rFonts w:ascii="Arial" w:hAnsi="Arial" w:cs="Arial"/>
        </w:rPr>
        <w:t xml:space="preserve"> important outcome</w:t>
      </w:r>
      <w:r w:rsidRPr="00DD53FA">
        <w:rPr>
          <w:rFonts w:ascii="Arial" w:hAnsi="Arial" w:cs="Arial"/>
        </w:rPr>
        <w:t xml:space="preserve">s </w:t>
      </w:r>
      <w:r>
        <w:rPr>
          <w:rFonts w:ascii="Arial" w:hAnsi="Arial" w:cs="Arial"/>
        </w:rPr>
        <w:t xml:space="preserve">in patients </w:t>
      </w:r>
      <w:r w:rsidRPr="00DD53FA">
        <w:rPr>
          <w:rFonts w:ascii="Arial" w:hAnsi="Arial" w:cs="Arial"/>
        </w:rPr>
        <w:t>with cancer</w:t>
      </w:r>
      <w:r>
        <w:rPr>
          <w:rFonts w:ascii="Arial" w:hAnsi="Arial" w:cs="Arial"/>
        </w:rPr>
        <w:t>. Our analysis indicates that heparin does not prolong survival and it appears to have no direct clinical antitumor effect.</w:t>
      </w:r>
      <w:r w:rsidDel="000A53C9">
        <w:rPr>
          <w:rFonts w:ascii="Arial" w:hAnsi="Arial" w:cs="Arial"/>
        </w:rPr>
        <w:t xml:space="preserve"> </w:t>
      </w:r>
      <w:r>
        <w:rPr>
          <w:rFonts w:ascii="Arial" w:hAnsi="Arial" w:cs="Arial"/>
        </w:rPr>
        <w:t xml:space="preserve">However, there are VTE risk reductions for patients with breast, lung, colon/prostate, lung, pancreatic and other types of cancer, without importantly increasing the risk of major bleeding or thrombocytopenia. Where power permitted, subgroup analyses exploring differential effects of LMWH by cancer type did not identify any significant associations for mortality or VTE outcomes. </w:t>
      </w:r>
    </w:p>
    <w:p w14:paraId="68F27798" w14:textId="3AFD82DD" w:rsidR="0064223B" w:rsidRDefault="0064223B" w:rsidP="002A2D30">
      <w:pPr>
        <w:autoSpaceDE w:val="0"/>
        <w:autoSpaceDN w:val="0"/>
        <w:adjustRightInd w:val="0"/>
        <w:spacing w:after="0" w:line="480" w:lineRule="auto"/>
        <w:ind w:firstLine="720"/>
        <w:rPr>
          <w:rFonts w:ascii="Arial" w:hAnsi="Arial" w:cs="Arial"/>
        </w:rPr>
      </w:pPr>
      <w:r>
        <w:rPr>
          <w:rFonts w:ascii="Arial" w:hAnsi="Arial" w:cs="Arial"/>
        </w:rPr>
        <w:t>The primary strength of this study is the consolidation of high-quality patient-level data from 14 randomised clinical trials and their combination through rigorous and standardised analysis. This meta-analysis included a heterogeneous population in terms of types of cancer. However, with slightly more than half of the patients having lung cancer only 4 specific types of cancer demonstrated sufficient representation to support specific analysis. Due to the numerous permutations in type, dose and schedule of LMWH treatment, we were unable to complete all pre-planned subgroup analyses. Additionally, the trial data did not include sufficiently comparable data describing health related quality of life.</w:t>
      </w:r>
      <w:r>
        <w:rPr>
          <w:rFonts w:ascii="Arial" w:hAnsi="Arial" w:cs="Arial"/>
          <w:noProof/>
        </w:rPr>
        <w:t>(19)</w:t>
      </w:r>
      <w:r>
        <w:rPr>
          <w:rFonts w:ascii="Arial" w:hAnsi="Arial" w:cs="Arial"/>
        </w:rPr>
        <w:t xml:space="preserve"> Although we could not obtain data from six trials, these individual patient data (n=2,153 participants) represent only 20.6% of participants in all potentially eligible studies and, thus, their inclusion would have been unlikely to alter the results. </w:t>
      </w:r>
      <w:bookmarkStart w:id="16" w:name="_Hlk25536021"/>
      <w:r>
        <w:rPr>
          <w:rFonts w:ascii="Arial" w:hAnsi="Arial" w:cs="Arial"/>
        </w:rPr>
        <w:t>In addition, study level results from these studies do not differ from our findings. Our findings are also similar to results of the TILT phase 3 trial that was not included in our analysis.</w:t>
      </w:r>
      <w:r>
        <w:rPr>
          <w:rFonts w:ascii="Arial" w:hAnsi="Arial" w:cs="Arial"/>
          <w:noProof/>
        </w:rPr>
        <w:t>(52)</w:t>
      </w:r>
      <w:bookmarkEnd w:id="16"/>
      <w:r>
        <w:rPr>
          <w:rFonts w:ascii="Arial" w:hAnsi="Arial" w:cs="Arial"/>
        </w:rPr>
        <w:t xml:space="preserve"> Noteworthy is also that </w:t>
      </w:r>
      <w:r w:rsidRPr="0073240D">
        <w:rPr>
          <w:rFonts w:ascii="Arial" w:hAnsi="Arial" w:cs="Arial"/>
        </w:rPr>
        <w:t xml:space="preserve">semuloparin </w:t>
      </w:r>
      <w:r>
        <w:rPr>
          <w:rFonts w:ascii="Arial" w:hAnsi="Arial" w:cs="Arial"/>
        </w:rPr>
        <w:t xml:space="preserve">and certoparin contributed a large proportion of the individual patient data but both agents are not approved by regulators. While the subgroup effects did not differ importantly for efficacy endpoints for different drugs or from the study level meta-analysis, it causes some concern about applicability of the findings (Appendix p 16). </w:t>
      </w:r>
      <w:hyperlink w:anchor="_ENREF_55" w:tooltip="Carrier, 2019 #97" w:history="1"/>
    </w:p>
    <w:p w14:paraId="38E3026C" w14:textId="77777777" w:rsidR="0064223B" w:rsidRDefault="0064223B" w:rsidP="009F707E">
      <w:pPr>
        <w:autoSpaceDE w:val="0"/>
        <w:autoSpaceDN w:val="0"/>
        <w:adjustRightInd w:val="0"/>
        <w:spacing w:after="0" w:line="480" w:lineRule="auto"/>
        <w:rPr>
          <w:rFonts w:ascii="Arial" w:hAnsi="Arial" w:cs="Arial"/>
        </w:rPr>
      </w:pPr>
    </w:p>
    <w:p w14:paraId="036F2FAD" w14:textId="2B585DEA" w:rsidR="0064223B" w:rsidRDefault="0064223B" w:rsidP="00CE1888">
      <w:pPr>
        <w:autoSpaceDE w:val="0"/>
        <w:autoSpaceDN w:val="0"/>
        <w:adjustRightInd w:val="0"/>
        <w:spacing w:after="0" w:line="480" w:lineRule="auto"/>
        <w:rPr>
          <w:rFonts w:ascii="Arial" w:hAnsi="Arial" w:cs="Arial"/>
        </w:rPr>
      </w:pPr>
      <w:r>
        <w:rPr>
          <w:rFonts w:ascii="Arial" w:hAnsi="Arial" w:cs="Arial"/>
        </w:rPr>
        <w:t xml:space="preserve">Our findings indicate that certain high-risk cancer groups may benefit from use of LMWH to prevent VTE but that there is likely no impact on mortality. Studies included participants that were not selected </w:t>
      </w:r>
      <w:r w:rsidRPr="00847EB4">
        <w:rPr>
          <w:rFonts w:ascii="Arial" w:hAnsi="Arial" w:cs="Arial"/>
        </w:rPr>
        <w:t xml:space="preserve">by stratification tools in terms of </w:t>
      </w:r>
      <w:r>
        <w:rPr>
          <w:rFonts w:ascii="Arial" w:hAnsi="Arial" w:cs="Arial"/>
        </w:rPr>
        <w:t xml:space="preserve">their </w:t>
      </w:r>
      <w:r w:rsidRPr="00847EB4">
        <w:rPr>
          <w:rFonts w:ascii="Arial" w:hAnsi="Arial" w:cs="Arial"/>
        </w:rPr>
        <w:t>VTE risk</w:t>
      </w:r>
      <w:r>
        <w:rPr>
          <w:rFonts w:ascii="Arial" w:hAnsi="Arial" w:cs="Arial"/>
        </w:rPr>
        <w:t xml:space="preserve"> </w:t>
      </w:r>
      <w:r w:rsidRPr="00847EB4">
        <w:rPr>
          <w:rFonts w:ascii="Arial" w:hAnsi="Arial" w:cs="Arial"/>
        </w:rPr>
        <w:t xml:space="preserve">and VTE rates </w:t>
      </w:r>
      <w:r>
        <w:rPr>
          <w:rFonts w:ascii="Arial" w:hAnsi="Arial" w:cs="Arial"/>
        </w:rPr>
        <w:t>in the control arms</w:t>
      </w:r>
      <w:r w:rsidRPr="00847EB4">
        <w:rPr>
          <w:rFonts w:ascii="Arial" w:hAnsi="Arial" w:cs="Arial"/>
        </w:rPr>
        <w:t xml:space="preserve"> varied widely between studies. </w:t>
      </w:r>
      <w:r>
        <w:rPr>
          <w:rFonts w:ascii="Arial" w:hAnsi="Arial" w:cs="Arial"/>
        </w:rPr>
        <w:t>Thus, there was considerable variation in the risk of VTE which is important for weighing possible benefits and harms</w:t>
      </w:r>
      <w:r w:rsidRPr="00847EB4">
        <w:rPr>
          <w:rFonts w:ascii="Arial" w:hAnsi="Arial" w:cs="Arial"/>
        </w:rPr>
        <w:t xml:space="preserve">. </w:t>
      </w:r>
      <w:r>
        <w:rPr>
          <w:rFonts w:ascii="Arial" w:hAnsi="Arial" w:cs="Arial"/>
        </w:rPr>
        <w:t xml:space="preserve">However, we describe elsewhere that risk prediction using scores like the Khorana score may not be able </w:t>
      </w:r>
      <w:r w:rsidRPr="00E85723">
        <w:rPr>
          <w:rFonts w:ascii="Arial" w:hAnsi="Arial" w:cs="Arial"/>
        </w:rPr>
        <w:t>to stratify patients with lung cancer based on their VTE risk</w:t>
      </w:r>
      <w:r>
        <w:rPr>
          <w:rFonts w:ascii="Arial" w:hAnsi="Arial" w:cs="Arial"/>
        </w:rPr>
        <w:t>.</w:t>
      </w:r>
      <w:r>
        <w:rPr>
          <w:rFonts w:ascii="Arial Narrow" w:eastAsia="Times New Roman" w:hAnsi="Arial Narrow"/>
          <w:noProof/>
          <w:sz w:val="18"/>
          <w:szCs w:val="16"/>
        </w:rPr>
        <w:t>(53)</w:t>
      </w:r>
      <w:r w:rsidRPr="00E85723">
        <w:rPr>
          <w:rFonts w:ascii="Arial" w:hAnsi="Arial" w:cs="Arial"/>
        </w:rPr>
        <w:t xml:space="preserve"> Among those with other cancer types, </w:t>
      </w:r>
      <w:r>
        <w:rPr>
          <w:rFonts w:ascii="Arial" w:hAnsi="Arial" w:cs="Arial"/>
        </w:rPr>
        <w:t xml:space="preserve">however, </w:t>
      </w:r>
      <w:r w:rsidRPr="00E85723">
        <w:rPr>
          <w:rFonts w:ascii="Arial" w:hAnsi="Arial" w:cs="Arial"/>
        </w:rPr>
        <w:t xml:space="preserve">a high-risk score </w:t>
      </w:r>
      <w:r>
        <w:rPr>
          <w:rFonts w:ascii="Arial" w:hAnsi="Arial" w:cs="Arial"/>
        </w:rPr>
        <w:t>is</w:t>
      </w:r>
      <w:r w:rsidRPr="00E85723">
        <w:rPr>
          <w:rFonts w:ascii="Arial" w:hAnsi="Arial" w:cs="Arial"/>
        </w:rPr>
        <w:t xml:space="preserve"> associated with a 3-</w:t>
      </w:r>
      <w:r>
        <w:rPr>
          <w:rFonts w:ascii="Arial" w:hAnsi="Arial" w:cs="Arial"/>
        </w:rPr>
        <w:t>times</w:t>
      </w:r>
      <w:r w:rsidRPr="00E85723">
        <w:rPr>
          <w:rFonts w:ascii="Arial" w:hAnsi="Arial" w:cs="Arial"/>
        </w:rPr>
        <w:t xml:space="preserve"> increased risk of VTE compared with a low-to-intermediate risk score</w:t>
      </w:r>
      <w:r>
        <w:rPr>
          <w:rFonts w:ascii="Arial" w:hAnsi="Arial" w:cs="Arial"/>
        </w:rPr>
        <w:t xml:space="preserve"> and for those patients it may be useful to use prophylaxis</w:t>
      </w:r>
      <w:r w:rsidRPr="00E85723">
        <w:rPr>
          <w:rFonts w:ascii="Arial" w:hAnsi="Arial" w:cs="Arial"/>
        </w:rPr>
        <w:t>.</w:t>
      </w:r>
      <w:r w:rsidRPr="003E5AB5">
        <w:rPr>
          <w:rFonts w:ascii="Arial" w:hAnsi="Arial" w:cs="Arial"/>
        </w:rPr>
        <w:t xml:space="preserve"> </w:t>
      </w:r>
      <w:r>
        <w:rPr>
          <w:rFonts w:ascii="Arial" w:hAnsi="Arial" w:cs="Arial"/>
        </w:rPr>
        <w:t xml:space="preserve">Our analysis did not detect increased risk of major bleeding with high certainty, however, may not have been powered to do so. Minor bleeding is increased in patients receiving LMWH. This allows for a balance of the absolute benefits and harms, namely a 3 to 4% reduction in VTE (moderate to high certainty) and a 4% increase in minor bleeding (high certainty) and a 0.4% increase in major bleeding (moderate certainty). This is considered in guidelines, in particular those by the American Society of Hematology </w:t>
      </w:r>
      <w:r>
        <w:rPr>
          <w:rFonts w:ascii="Arial" w:hAnsi="Arial" w:cs="Arial"/>
          <w:noProof/>
        </w:rPr>
        <w:t>(54)</w:t>
      </w:r>
      <w:r>
        <w:rPr>
          <w:rFonts w:ascii="Arial" w:hAnsi="Arial" w:cs="Arial"/>
        </w:rPr>
        <w:t>, which use these data in its upcoming guidelines. Our study level meta-analyses have also been used in guidelines of the American Society of Clinical Oncology and the In</w:t>
      </w:r>
      <w:r w:rsidRPr="00CE1888">
        <w:rPr>
          <w:rFonts w:ascii="Arial" w:hAnsi="Arial" w:cs="Arial"/>
        </w:rPr>
        <w:t>ternational Society on</w:t>
      </w:r>
      <w:r>
        <w:rPr>
          <w:rFonts w:ascii="Arial" w:hAnsi="Arial" w:cs="Arial"/>
        </w:rPr>
        <w:t xml:space="preserve"> </w:t>
      </w:r>
      <w:r w:rsidRPr="00CE1888">
        <w:rPr>
          <w:rFonts w:ascii="Arial" w:hAnsi="Arial" w:cs="Arial"/>
        </w:rPr>
        <w:t>Thrombosis and Haemostasis</w:t>
      </w:r>
      <w:r>
        <w:rPr>
          <w:rFonts w:ascii="Arial" w:hAnsi="Arial" w:cs="Arial"/>
        </w:rPr>
        <w:t>.</w:t>
      </w:r>
      <w:r>
        <w:rPr>
          <w:rFonts w:ascii="Arial" w:hAnsi="Arial" w:cs="Arial"/>
          <w:noProof/>
        </w:rPr>
        <w:t>(55, 56)</w:t>
      </w:r>
    </w:p>
    <w:p w14:paraId="5B84A7C8" w14:textId="77777777" w:rsidR="0064223B" w:rsidRDefault="0064223B" w:rsidP="004E5085">
      <w:pPr>
        <w:autoSpaceDE w:val="0"/>
        <w:autoSpaceDN w:val="0"/>
        <w:adjustRightInd w:val="0"/>
        <w:spacing w:after="0" w:line="480" w:lineRule="auto"/>
        <w:ind w:firstLine="720"/>
        <w:rPr>
          <w:rFonts w:ascii="Arial" w:hAnsi="Arial" w:cs="Arial"/>
        </w:rPr>
      </w:pPr>
      <w:r>
        <w:rPr>
          <w:rFonts w:ascii="Arial" w:hAnsi="Arial" w:cs="Arial"/>
        </w:rPr>
        <w:t xml:space="preserve">These guidelines should be referred to for clinical decisions, as they utilize detailed criteria that should be considered in translating the evidence provided here to recommendations. Depending on the values a patient assigns to the different outcomes, patients may opt for or against prophylaxis. This data also needs to be seen in context of new data emerging about new direct oral anticoagulants. </w:t>
      </w:r>
    </w:p>
    <w:p w14:paraId="0B259CBE" w14:textId="77777777" w:rsidR="0064223B" w:rsidRDefault="0064223B" w:rsidP="00415B28">
      <w:pPr>
        <w:autoSpaceDE w:val="0"/>
        <w:autoSpaceDN w:val="0"/>
        <w:adjustRightInd w:val="0"/>
        <w:spacing w:after="0" w:line="480" w:lineRule="auto"/>
        <w:ind w:firstLine="720"/>
        <w:rPr>
          <w:rFonts w:ascii="Arial" w:hAnsi="Arial" w:cs="Arial"/>
        </w:rPr>
      </w:pPr>
    </w:p>
    <w:p w14:paraId="015E5500" w14:textId="77777777" w:rsidR="0064223B" w:rsidRDefault="0064223B" w:rsidP="009F707E">
      <w:pPr>
        <w:autoSpaceDE w:val="0"/>
        <w:autoSpaceDN w:val="0"/>
        <w:adjustRightInd w:val="0"/>
        <w:spacing w:after="0" w:line="480" w:lineRule="auto"/>
        <w:rPr>
          <w:rFonts w:ascii="Arial" w:hAnsi="Arial" w:cs="Arial"/>
        </w:rPr>
      </w:pPr>
      <w:r>
        <w:rPr>
          <w:rFonts w:ascii="Arial" w:hAnsi="Arial" w:cs="Arial"/>
        </w:rPr>
        <w:tab/>
        <w:t xml:space="preserve">Additional research examining the effects of LMWH by type, dose, and schedule may be required and should include quality of life outcomes. Other basic and clinical research should </w:t>
      </w:r>
      <w:r>
        <w:rPr>
          <w:rFonts w:ascii="Arial" w:hAnsi="Arial" w:cs="Arial"/>
        </w:rPr>
        <w:lastRenderedPageBreak/>
        <w:t xml:space="preserve">focus on a comparison with new direct oral anticoagulants (DOAC). The living systematic review through which we included the eligible studies will allow us to identify when new studies become eligible and may affect the findings of this analysis, for potential update of this IPD and to put them in context with the RCTs that evaluate DOACs and compare our effects with those trials. </w:t>
      </w:r>
      <w:bookmarkStart w:id="17" w:name="_GoBack"/>
      <w:r>
        <w:rPr>
          <w:rFonts w:ascii="Arial" w:hAnsi="Arial" w:cs="Arial"/>
          <w:noProof/>
        </w:rPr>
        <w:t>(57, 58)</w:t>
      </w:r>
      <w:bookmarkEnd w:id="17"/>
      <w:r>
        <w:rPr>
          <w:rFonts w:ascii="Arial" w:hAnsi="Arial" w:cs="Arial"/>
        </w:rPr>
        <w:t xml:space="preserve"> The Cassini investigators found a HR of 0.66 (</w:t>
      </w:r>
      <w:r w:rsidRPr="00516F61">
        <w:rPr>
          <w:rFonts w:ascii="Arial" w:hAnsi="Arial" w:cs="Arial"/>
        </w:rPr>
        <w:t xml:space="preserve">95% </w:t>
      </w:r>
      <w:r>
        <w:rPr>
          <w:rFonts w:ascii="Arial" w:hAnsi="Arial" w:cs="Arial"/>
        </w:rPr>
        <w:t>CI</w:t>
      </w:r>
      <w:r w:rsidRPr="00516F61">
        <w:rPr>
          <w:rFonts w:ascii="Arial" w:hAnsi="Arial" w:cs="Arial"/>
        </w:rPr>
        <w:t xml:space="preserve">, 0.40 to 1.09; </w:t>
      </w:r>
      <w:r>
        <w:rPr>
          <w:rFonts w:ascii="Arial" w:hAnsi="Arial" w:cs="Arial"/>
        </w:rPr>
        <w:t xml:space="preserve">p </w:t>
      </w:r>
      <w:r w:rsidRPr="00516F61">
        <w:rPr>
          <w:rFonts w:ascii="Arial" w:hAnsi="Arial" w:cs="Arial"/>
        </w:rPr>
        <w:t>=</w:t>
      </w:r>
      <w:r>
        <w:rPr>
          <w:rFonts w:ascii="Arial" w:hAnsi="Arial" w:cs="Arial"/>
        </w:rPr>
        <w:t xml:space="preserve"> </w:t>
      </w:r>
      <w:r w:rsidRPr="00516F61">
        <w:rPr>
          <w:rFonts w:ascii="Arial" w:hAnsi="Arial" w:cs="Arial"/>
        </w:rPr>
        <w:t>0.10</w:t>
      </w:r>
      <w:r>
        <w:rPr>
          <w:rFonts w:ascii="Arial" w:hAnsi="Arial" w:cs="Arial"/>
        </w:rPr>
        <w:t>) for th</w:t>
      </w:r>
      <w:r w:rsidRPr="00584067">
        <w:rPr>
          <w:rFonts w:ascii="Arial" w:hAnsi="Arial" w:cs="Arial"/>
        </w:rPr>
        <w:t>e primary efficacy end point</w:t>
      </w:r>
      <w:r>
        <w:rPr>
          <w:rFonts w:ascii="Arial" w:hAnsi="Arial" w:cs="Arial"/>
        </w:rPr>
        <w:t xml:space="preserve">, a </w:t>
      </w:r>
      <w:r w:rsidRPr="00584067">
        <w:rPr>
          <w:rFonts w:ascii="Arial" w:hAnsi="Arial" w:cs="Arial"/>
        </w:rPr>
        <w:t xml:space="preserve">composite of objectively confirmed proximal deep-vein thrombosis in a lower limb, pulmonary embolism, symptomatic deep-vein thrombosis in an upper limb or distal deep-vein thrombosis in a lower limb, and death from venous thromboembolism </w:t>
      </w:r>
      <w:r>
        <w:rPr>
          <w:rFonts w:ascii="Arial" w:hAnsi="Arial" w:cs="Arial"/>
        </w:rPr>
        <w:t xml:space="preserve">with rivaroxaban compared to placebo in ambulatory patients with cancer after </w:t>
      </w:r>
      <w:r w:rsidRPr="00584067">
        <w:rPr>
          <w:rFonts w:ascii="Arial" w:hAnsi="Arial" w:cs="Arial"/>
        </w:rPr>
        <w:t>180</w:t>
      </w:r>
      <w:r>
        <w:rPr>
          <w:rFonts w:ascii="Arial" w:hAnsi="Arial" w:cs="Arial"/>
        </w:rPr>
        <w:t xml:space="preserve"> days.(57) The AVERT investigators observed a HR for v</w:t>
      </w:r>
      <w:r w:rsidRPr="009D4C41">
        <w:rPr>
          <w:rFonts w:ascii="Arial" w:hAnsi="Arial" w:cs="Arial"/>
        </w:rPr>
        <w:t xml:space="preserve">enous thromboembolism </w:t>
      </w:r>
      <w:r>
        <w:rPr>
          <w:rFonts w:ascii="Arial" w:hAnsi="Arial" w:cs="Arial"/>
        </w:rPr>
        <w:t>of</w:t>
      </w:r>
      <w:r w:rsidRPr="009D4C41">
        <w:rPr>
          <w:rFonts w:ascii="Arial" w:hAnsi="Arial" w:cs="Arial"/>
        </w:rPr>
        <w:t xml:space="preserve"> 0.41</w:t>
      </w:r>
      <w:r>
        <w:rPr>
          <w:rFonts w:ascii="Arial" w:hAnsi="Arial" w:cs="Arial"/>
        </w:rPr>
        <w:t xml:space="preserve"> (</w:t>
      </w:r>
      <w:r w:rsidRPr="009D4C41">
        <w:rPr>
          <w:rFonts w:ascii="Arial" w:hAnsi="Arial" w:cs="Arial"/>
        </w:rPr>
        <w:t xml:space="preserve">95% </w:t>
      </w:r>
      <w:r>
        <w:rPr>
          <w:rFonts w:ascii="Arial" w:hAnsi="Arial" w:cs="Arial"/>
        </w:rPr>
        <w:t>CI</w:t>
      </w:r>
      <w:r w:rsidRPr="009D4C41">
        <w:rPr>
          <w:rFonts w:ascii="Arial" w:hAnsi="Arial" w:cs="Arial"/>
        </w:rPr>
        <w:t xml:space="preserve">, 0.26 to 0.65; </w:t>
      </w:r>
      <w:r>
        <w:rPr>
          <w:rFonts w:ascii="Arial" w:hAnsi="Arial" w:cs="Arial"/>
        </w:rPr>
        <w:t xml:space="preserve">p </w:t>
      </w:r>
      <w:r w:rsidRPr="009D4C41">
        <w:rPr>
          <w:rFonts w:ascii="Arial" w:hAnsi="Arial" w:cs="Arial"/>
        </w:rPr>
        <w:t>&lt;</w:t>
      </w:r>
      <w:r>
        <w:rPr>
          <w:rFonts w:ascii="Arial" w:hAnsi="Arial" w:cs="Arial"/>
        </w:rPr>
        <w:t xml:space="preserve"> </w:t>
      </w:r>
      <w:r w:rsidRPr="009D4C41">
        <w:rPr>
          <w:rFonts w:ascii="Arial" w:hAnsi="Arial" w:cs="Arial"/>
        </w:rPr>
        <w:t>0.001)</w:t>
      </w:r>
      <w:r>
        <w:rPr>
          <w:rFonts w:ascii="Arial" w:hAnsi="Arial" w:cs="Arial"/>
        </w:rPr>
        <w:t xml:space="preserve"> with apixaban compared to placebo in active cancer patients after 180 days. These effects are similar to those we observed for LMWH.(58) The CASSINI and AVERT trials had only 21 major bleeding events combined and, thus, do not allow yet to draw conclusions about the bleeding risk with the same precision compared to our data with 159 events. Balancing the advantages and disadvantages of these approaches of anticoagulation will be influenced by considerations about bleeding but many other decision criteria that guideline panels consider.</w:t>
      </w:r>
      <w:r>
        <w:rPr>
          <w:rFonts w:ascii="Arial" w:hAnsi="Arial" w:cs="Arial"/>
          <w:noProof/>
        </w:rPr>
        <w:t>(59)</w:t>
      </w:r>
    </w:p>
    <w:p w14:paraId="1AEF8BA3" w14:textId="77777777" w:rsidR="0064223B" w:rsidRDefault="0064223B" w:rsidP="009F707E">
      <w:pPr>
        <w:autoSpaceDE w:val="0"/>
        <w:autoSpaceDN w:val="0"/>
        <w:adjustRightInd w:val="0"/>
        <w:spacing w:after="0" w:line="480" w:lineRule="auto"/>
        <w:rPr>
          <w:rFonts w:ascii="Arial" w:hAnsi="Arial" w:cs="Arial"/>
        </w:rPr>
      </w:pPr>
    </w:p>
    <w:p w14:paraId="311F6F11" w14:textId="77777777" w:rsidR="0064223B" w:rsidRDefault="0064223B" w:rsidP="009F707E">
      <w:pPr>
        <w:autoSpaceDE w:val="0"/>
        <w:autoSpaceDN w:val="0"/>
        <w:adjustRightInd w:val="0"/>
        <w:spacing w:after="0" w:line="480" w:lineRule="auto"/>
        <w:rPr>
          <w:rFonts w:ascii="Arial" w:hAnsi="Arial" w:cs="Arial"/>
        </w:rPr>
      </w:pPr>
      <w:r>
        <w:rPr>
          <w:rFonts w:ascii="Arial" w:hAnsi="Arial" w:cs="Arial"/>
        </w:rPr>
        <w:t xml:space="preserve">Our analysis of the use of heparin in patients with cancer did not identify important differences in survival time at 1 year, 2 years or throughout trial duration. This study supports previous findings that LMWH use decreases the risk of VTE by almost half without importantly increasing the risk of bleeding or thrombocytopenia. For some outcomes, imprecision suggests that more data could help better balancing the potential health benefits and harms. </w:t>
      </w:r>
      <w:r w:rsidRPr="00DD53FA">
        <w:rPr>
          <w:rFonts w:ascii="Arial" w:hAnsi="Arial" w:cs="Arial"/>
        </w:rPr>
        <w:t xml:space="preserve">Our </w:t>
      </w:r>
      <w:r>
        <w:rPr>
          <w:rFonts w:ascii="Arial" w:hAnsi="Arial" w:cs="Arial"/>
        </w:rPr>
        <w:t xml:space="preserve">IPDMA </w:t>
      </w:r>
      <w:r w:rsidRPr="00DD53FA">
        <w:rPr>
          <w:rFonts w:ascii="Arial" w:hAnsi="Arial" w:cs="Arial"/>
        </w:rPr>
        <w:t xml:space="preserve">results </w:t>
      </w:r>
      <w:r>
        <w:rPr>
          <w:rFonts w:ascii="Arial" w:hAnsi="Arial" w:cs="Arial"/>
        </w:rPr>
        <w:t xml:space="preserve">have been used </w:t>
      </w:r>
      <w:r w:rsidRPr="00DD53FA">
        <w:rPr>
          <w:rFonts w:ascii="Arial" w:hAnsi="Arial" w:cs="Arial"/>
        </w:rPr>
        <w:t xml:space="preserve">in the </w:t>
      </w:r>
      <w:r>
        <w:rPr>
          <w:rFonts w:ascii="Arial" w:hAnsi="Arial" w:cs="Arial"/>
        </w:rPr>
        <w:t>soon to be published American Society of Hematology Clinical practice guidelines on Venous Thromboembolism</w:t>
      </w:r>
      <w:r>
        <w:rPr>
          <w:rFonts w:ascii="Arial" w:hAnsi="Arial" w:cs="Arial"/>
          <w:noProof/>
        </w:rPr>
        <w:t>(54)</w:t>
      </w:r>
      <w:r>
        <w:rPr>
          <w:rFonts w:ascii="Arial" w:hAnsi="Arial" w:cs="Arial"/>
        </w:rPr>
        <w:t xml:space="preserve"> and they may inform other guideline development groups</w:t>
      </w:r>
      <w:r w:rsidRPr="00DD53FA">
        <w:rPr>
          <w:rFonts w:ascii="Arial" w:hAnsi="Arial" w:cs="Arial"/>
        </w:rPr>
        <w:t xml:space="preserve">. </w:t>
      </w:r>
    </w:p>
    <w:bookmarkEnd w:id="15"/>
    <w:p w14:paraId="500324C8" w14:textId="77777777" w:rsidR="0064223B" w:rsidRPr="008D2D71" w:rsidRDefault="0064223B" w:rsidP="00034F0C">
      <w:pPr>
        <w:pStyle w:val="Heading1"/>
        <w:rPr>
          <w:rFonts w:ascii="Arial" w:hAnsi="Arial" w:cs="Arial"/>
        </w:rPr>
      </w:pPr>
      <w:r w:rsidRPr="008D2D71">
        <w:rPr>
          <w:rFonts w:ascii="Arial" w:hAnsi="Arial" w:cs="Arial"/>
        </w:rPr>
        <w:lastRenderedPageBreak/>
        <w:t>Acknowledgments</w:t>
      </w:r>
    </w:p>
    <w:p w14:paraId="23A6E0F4" w14:textId="77777777" w:rsidR="0064223B" w:rsidRDefault="0064223B" w:rsidP="00307ADC">
      <w:pPr>
        <w:autoSpaceDE w:val="0"/>
        <w:autoSpaceDN w:val="0"/>
        <w:adjustRightInd w:val="0"/>
        <w:spacing w:after="0" w:line="480" w:lineRule="auto"/>
        <w:rPr>
          <w:rFonts w:ascii="Arial" w:hAnsi="Arial" w:cs="Arial"/>
        </w:rPr>
      </w:pPr>
      <w:r>
        <w:rPr>
          <w:rFonts w:ascii="Arial" w:hAnsi="Arial" w:cs="Arial"/>
        </w:rPr>
        <w:t xml:space="preserve">This work was supported by a grant from the </w:t>
      </w:r>
      <w:r w:rsidRPr="00DD53FA">
        <w:rPr>
          <w:rFonts w:ascii="Arial" w:hAnsi="Arial" w:cs="Arial"/>
          <w:color w:val="000000"/>
        </w:rPr>
        <w:t xml:space="preserve">Canadian Institutes of Health Research </w:t>
      </w:r>
      <w:r>
        <w:rPr>
          <w:rFonts w:ascii="Arial" w:hAnsi="Arial" w:cs="Arial"/>
          <w:color w:val="000000"/>
        </w:rPr>
        <w:t xml:space="preserve">(CIHR </w:t>
      </w:r>
      <w:r w:rsidRPr="00DD53FA">
        <w:rPr>
          <w:rFonts w:ascii="Arial" w:hAnsi="Arial" w:cs="Arial"/>
          <w:color w:val="000000"/>
        </w:rPr>
        <w:t>knowledge synthesis grant</w:t>
      </w:r>
      <w:r>
        <w:rPr>
          <w:rFonts w:ascii="Arial" w:hAnsi="Arial" w:cs="Arial"/>
          <w:color w:val="000000"/>
        </w:rPr>
        <w:t>,</w:t>
      </w:r>
      <w:r w:rsidRPr="00DD53FA">
        <w:rPr>
          <w:rFonts w:ascii="Arial" w:hAnsi="Arial" w:cs="Arial"/>
          <w:color w:val="000000"/>
        </w:rPr>
        <w:t xml:space="preserve"> KRS 126594</w:t>
      </w:r>
      <w:r>
        <w:rPr>
          <w:rFonts w:ascii="Arial" w:hAnsi="Arial" w:cs="Arial"/>
          <w:color w:val="000000"/>
        </w:rPr>
        <w:t xml:space="preserve"> to HJS), </w:t>
      </w:r>
      <w:r>
        <w:rPr>
          <w:rFonts w:ascii="Arial" w:hAnsi="Arial" w:cs="Arial"/>
        </w:rPr>
        <w:t>a government organization</w:t>
      </w:r>
      <w:r w:rsidRPr="00BC780D">
        <w:rPr>
          <w:rFonts w:ascii="Arial" w:hAnsi="Arial" w:cs="Arial"/>
        </w:rPr>
        <w:t xml:space="preserve"> that support</w:t>
      </w:r>
      <w:r>
        <w:rPr>
          <w:rFonts w:ascii="Arial" w:hAnsi="Arial" w:cs="Arial"/>
        </w:rPr>
        <w:t>s health research, and the Michael G. DeGroote Cochrane Canada and McMaster GRADE centres</w:t>
      </w:r>
      <w:r w:rsidRPr="00BC780D">
        <w:rPr>
          <w:rFonts w:ascii="Arial" w:hAnsi="Arial" w:cs="Arial"/>
        </w:rPr>
        <w:t xml:space="preserve">. </w:t>
      </w:r>
      <w:r>
        <w:rPr>
          <w:rFonts w:ascii="Arial" w:hAnsi="Arial" w:cs="Arial"/>
        </w:rPr>
        <w:t xml:space="preserve">CIHR </w:t>
      </w:r>
      <w:r w:rsidRPr="00BC780D">
        <w:rPr>
          <w:rFonts w:ascii="Arial" w:hAnsi="Arial" w:cs="Arial"/>
        </w:rPr>
        <w:t xml:space="preserve">had no role in </w:t>
      </w:r>
      <w:r>
        <w:rPr>
          <w:rFonts w:ascii="Arial" w:hAnsi="Arial" w:cs="Arial"/>
        </w:rPr>
        <w:t xml:space="preserve">designing the study, </w:t>
      </w:r>
      <w:r w:rsidRPr="00BC780D">
        <w:rPr>
          <w:rFonts w:ascii="Arial" w:hAnsi="Arial" w:cs="Arial"/>
        </w:rPr>
        <w:t>gathering, analyzing, or interpreting the</w:t>
      </w:r>
      <w:r>
        <w:rPr>
          <w:rFonts w:ascii="Arial" w:hAnsi="Arial" w:cs="Arial"/>
        </w:rPr>
        <w:t xml:space="preserve"> data</w:t>
      </w:r>
      <w:r w:rsidRPr="00BC780D">
        <w:rPr>
          <w:rFonts w:ascii="Arial" w:hAnsi="Arial" w:cs="Arial"/>
        </w:rPr>
        <w:t>.</w:t>
      </w:r>
      <w:r>
        <w:rPr>
          <w:rFonts w:ascii="Arial" w:hAnsi="Arial" w:cs="Arial"/>
        </w:rPr>
        <w:t xml:space="preserve"> We would also like to thank the research organizations and authors responsible for sharing clinical trial data: Sanofi, Novartis Pharma GmbH, GlaxoSmithKline, </w:t>
      </w:r>
      <w:r w:rsidRPr="00A572BB">
        <w:rPr>
          <w:rFonts w:ascii="Arial" w:hAnsi="Arial" w:cs="Arial"/>
        </w:rPr>
        <w:t>Instituto Científico y Tecnológico, University of Navarra, Velindre National Health Service Trust, Charité–Universitätsmedizin Berlin, Sunnybrook Health Sciences Centre, Hull and East Yorkshire Hospitals Trust, The Mayo Clinic, and the Hospital Saint-Antoine</w:t>
      </w:r>
      <w:r>
        <w:t>.</w:t>
      </w:r>
    </w:p>
    <w:p w14:paraId="5410B161" w14:textId="77777777" w:rsidR="0064223B" w:rsidRDefault="0064223B" w:rsidP="00307ADC">
      <w:pPr>
        <w:autoSpaceDE w:val="0"/>
        <w:autoSpaceDN w:val="0"/>
        <w:adjustRightInd w:val="0"/>
        <w:spacing w:after="0" w:line="480" w:lineRule="auto"/>
        <w:rPr>
          <w:rFonts w:ascii="Arial" w:hAnsi="Arial" w:cs="Arial"/>
        </w:rPr>
      </w:pPr>
    </w:p>
    <w:p w14:paraId="1F71ADAF" w14:textId="77777777" w:rsidR="0064223B" w:rsidRPr="008D2D71" w:rsidRDefault="0064223B" w:rsidP="00EF42BF">
      <w:pPr>
        <w:pStyle w:val="Heading1"/>
        <w:rPr>
          <w:rFonts w:ascii="Arial" w:hAnsi="Arial" w:cs="Arial"/>
        </w:rPr>
      </w:pPr>
      <w:r w:rsidRPr="008D2D71">
        <w:rPr>
          <w:rFonts w:ascii="Arial" w:hAnsi="Arial" w:cs="Arial"/>
        </w:rPr>
        <w:t>Authorship contributions</w:t>
      </w:r>
    </w:p>
    <w:p w14:paraId="6720C513" w14:textId="77777777" w:rsidR="0064223B" w:rsidRDefault="0064223B" w:rsidP="00AA269C">
      <w:pPr>
        <w:spacing w:line="480" w:lineRule="auto"/>
        <w:rPr>
          <w:rFonts w:ascii="Arial" w:hAnsi="Arial" w:cs="Arial"/>
        </w:rPr>
      </w:pPr>
      <w:r>
        <w:rPr>
          <w:rFonts w:ascii="Arial" w:hAnsi="Arial" w:cs="Arial"/>
        </w:rPr>
        <w:t xml:space="preserve">Conception of the study by HJS and EAA. </w:t>
      </w:r>
      <w:r w:rsidRPr="008D2D71">
        <w:rPr>
          <w:rFonts w:ascii="Arial" w:hAnsi="Arial" w:cs="Arial"/>
        </w:rPr>
        <w:t xml:space="preserve">The design of this study </w:t>
      </w:r>
      <w:r>
        <w:rPr>
          <w:rFonts w:ascii="Arial" w:hAnsi="Arial" w:cs="Arial"/>
        </w:rPr>
        <w:t xml:space="preserve">was </w:t>
      </w:r>
      <w:r w:rsidRPr="008D2D71">
        <w:rPr>
          <w:rFonts w:ascii="Arial" w:hAnsi="Arial" w:cs="Arial"/>
        </w:rPr>
        <w:t xml:space="preserve">generated primarily by </w:t>
      </w:r>
      <w:r>
        <w:rPr>
          <w:rFonts w:ascii="Arial" w:hAnsi="Arial" w:cs="Arial"/>
        </w:rPr>
        <w:t>HJS</w:t>
      </w:r>
      <w:r w:rsidRPr="008D2D71">
        <w:rPr>
          <w:rFonts w:ascii="Arial" w:hAnsi="Arial" w:cs="Arial"/>
        </w:rPr>
        <w:t>, E</w:t>
      </w:r>
      <w:r>
        <w:rPr>
          <w:rFonts w:ascii="Arial" w:hAnsi="Arial" w:cs="Arial"/>
        </w:rPr>
        <w:t>A</w:t>
      </w:r>
      <w:r w:rsidRPr="008D2D71">
        <w:rPr>
          <w:rFonts w:ascii="Arial" w:hAnsi="Arial" w:cs="Arial"/>
        </w:rPr>
        <w:t>A, MC, MB, QZ, SN, FM, GG, SM, DG, GL, MD</w:t>
      </w:r>
      <w:r>
        <w:rPr>
          <w:rFonts w:ascii="Arial" w:hAnsi="Arial" w:cs="Arial"/>
        </w:rPr>
        <w:t>N</w:t>
      </w:r>
      <w:r w:rsidRPr="008D2D71">
        <w:rPr>
          <w:rFonts w:ascii="Arial" w:hAnsi="Arial" w:cs="Arial"/>
        </w:rPr>
        <w:t xml:space="preserve">, AI, GG, </w:t>
      </w:r>
      <w:r>
        <w:rPr>
          <w:rFonts w:ascii="Arial" w:hAnsi="Arial" w:cs="Arial"/>
        </w:rPr>
        <w:t>and LK</w:t>
      </w:r>
      <w:r w:rsidRPr="008D2D71">
        <w:rPr>
          <w:rFonts w:ascii="Arial" w:hAnsi="Arial" w:cs="Arial"/>
          <w:b/>
        </w:rPr>
        <w:t xml:space="preserve">. </w:t>
      </w:r>
      <w:r>
        <w:rPr>
          <w:rFonts w:ascii="Arial" w:hAnsi="Arial" w:cs="Arial"/>
        </w:rPr>
        <w:t>HJS</w:t>
      </w:r>
      <w:r w:rsidRPr="008D2D71">
        <w:rPr>
          <w:rFonts w:ascii="Arial" w:hAnsi="Arial" w:cs="Arial"/>
        </w:rPr>
        <w:t xml:space="preserve">, MV, SN, FM, </w:t>
      </w:r>
      <w:r>
        <w:rPr>
          <w:rFonts w:ascii="Arial" w:hAnsi="Arial" w:cs="Arial"/>
        </w:rPr>
        <w:t xml:space="preserve">GA, </w:t>
      </w:r>
      <w:r w:rsidRPr="008D2D71">
        <w:rPr>
          <w:rFonts w:ascii="Arial" w:hAnsi="Arial" w:cs="Arial"/>
        </w:rPr>
        <w:t>GG, GL, WA, GB, HB, BL, RL, CL, RM, KS, AM, UP, JP, and CK worked to facilitate the data sharing process of at least one of the eligible clinical trials. MV, QZ, TB, LM, I</w:t>
      </w:r>
      <w:r>
        <w:rPr>
          <w:rFonts w:ascii="Arial" w:hAnsi="Arial" w:cs="Arial"/>
        </w:rPr>
        <w:t>D</w:t>
      </w:r>
      <w:r w:rsidRPr="008D2D71">
        <w:rPr>
          <w:rFonts w:ascii="Arial" w:hAnsi="Arial" w:cs="Arial"/>
        </w:rPr>
        <w:t>F,</w:t>
      </w:r>
      <w:r>
        <w:rPr>
          <w:rFonts w:ascii="Arial" w:hAnsi="Arial" w:cs="Arial"/>
        </w:rPr>
        <w:t xml:space="preserve"> ZS,</w:t>
      </w:r>
      <w:r w:rsidRPr="008D2D71">
        <w:rPr>
          <w:rFonts w:ascii="Arial" w:hAnsi="Arial" w:cs="Arial"/>
        </w:rPr>
        <w:t xml:space="preserve"> and OGA extracted relevant data from at least one shared clinical trial into a unified database. QZ performed statistical analysis. </w:t>
      </w:r>
      <w:r>
        <w:rPr>
          <w:rFonts w:ascii="Arial" w:hAnsi="Arial" w:cs="Arial"/>
        </w:rPr>
        <w:t>HJS</w:t>
      </w:r>
      <w:r w:rsidRPr="008D2D71">
        <w:rPr>
          <w:rFonts w:ascii="Arial" w:hAnsi="Arial" w:cs="Arial"/>
        </w:rPr>
        <w:t xml:space="preserve">, MC, MB, QZ, SN, FM, GG, DG, GL, </w:t>
      </w:r>
      <w:r>
        <w:rPr>
          <w:rFonts w:ascii="Arial" w:hAnsi="Arial" w:cs="Arial"/>
        </w:rPr>
        <w:t xml:space="preserve">LK, </w:t>
      </w:r>
      <w:r w:rsidRPr="008D2D71">
        <w:rPr>
          <w:rFonts w:ascii="Arial" w:hAnsi="Arial" w:cs="Arial"/>
        </w:rPr>
        <w:t>MD</w:t>
      </w:r>
      <w:r>
        <w:rPr>
          <w:rFonts w:ascii="Arial" w:hAnsi="Arial" w:cs="Arial"/>
        </w:rPr>
        <w:t>N</w:t>
      </w:r>
      <w:r w:rsidRPr="008D2D71">
        <w:rPr>
          <w:rFonts w:ascii="Arial" w:hAnsi="Arial" w:cs="Arial"/>
        </w:rPr>
        <w:t>, AI, IN, M</w:t>
      </w:r>
      <w:r>
        <w:rPr>
          <w:rFonts w:ascii="Arial" w:hAnsi="Arial" w:cs="Arial"/>
        </w:rPr>
        <w:t>B</w:t>
      </w:r>
      <w:r w:rsidRPr="008D2D71">
        <w:rPr>
          <w:rFonts w:ascii="Arial" w:hAnsi="Arial" w:cs="Arial"/>
        </w:rPr>
        <w:t>S, E</w:t>
      </w:r>
      <w:r>
        <w:rPr>
          <w:rFonts w:ascii="Arial" w:hAnsi="Arial" w:cs="Arial"/>
        </w:rPr>
        <w:t>A</w:t>
      </w:r>
      <w:r w:rsidRPr="008D2D71">
        <w:rPr>
          <w:rFonts w:ascii="Arial" w:hAnsi="Arial" w:cs="Arial"/>
        </w:rPr>
        <w:t xml:space="preserve">A, and MV interpreted the data and </w:t>
      </w:r>
      <w:r>
        <w:rPr>
          <w:rFonts w:ascii="Arial" w:hAnsi="Arial" w:cs="Arial"/>
        </w:rPr>
        <w:t>HJS and MV drafted</w:t>
      </w:r>
      <w:r w:rsidRPr="008D2D71">
        <w:rPr>
          <w:rFonts w:ascii="Arial" w:hAnsi="Arial" w:cs="Arial"/>
        </w:rPr>
        <w:t xml:space="preserve"> the manuscript. All authors revised the manuscript for important intellectual content and approved the final version of the manuscript. </w:t>
      </w:r>
    </w:p>
    <w:p w14:paraId="6F355413" w14:textId="77777777" w:rsidR="0064223B" w:rsidRPr="008D2D71" w:rsidRDefault="0064223B" w:rsidP="00AA269C">
      <w:pPr>
        <w:spacing w:line="480" w:lineRule="auto"/>
        <w:rPr>
          <w:rFonts w:ascii="Arial" w:hAnsi="Arial" w:cs="Arial"/>
        </w:rPr>
      </w:pPr>
    </w:p>
    <w:p w14:paraId="6BE74580" w14:textId="77777777" w:rsidR="0064223B" w:rsidRDefault="0064223B" w:rsidP="00162A96">
      <w:pPr>
        <w:autoSpaceDE w:val="0"/>
        <w:autoSpaceDN w:val="0"/>
        <w:adjustRightInd w:val="0"/>
        <w:spacing w:after="0" w:line="480" w:lineRule="auto"/>
        <w:rPr>
          <w:rFonts w:ascii="Arial" w:hAnsi="Arial" w:cs="Arial"/>
        </w:rPr>
      </w:pPr>
    </w:p>
    <w:p w14:paraId="22622F38" w14:textId="77777777" w:rsidR="0064223B" w:rsidRDefault="0064223B" w:rsidP="00162A96">
      <w:pPr>
        <w:autoSpaceDE w:val="0"/>
        <w:autoSpaceDN w:val="0"/>
        <w:adjustRightInd w:val="0"/>
        <w:spacing w:after="0" w:line="480" w:lineRule="auto"/>
        <w:rPr>
          <w:rFonts w:ascii="Arial" w:hAnsi="Arial" w:cs="Arial"/>
        </w:rPr>
      </w:pPr>
    </w:p>
    <w:p w14:paraId="2BBA4A97" w14:textId="77777777" w:rsidR="0064223B" w:rsidRDefault="0064223B">
      <w:pPr>
        <w:rPr>
          <w:rFonts w:ascii="Arial" w:hAnsi="Arial" w:cs="Arial"/>
          <w:b/>
          <w:i/>
          <w:u w:val="single"/>
        </w:rPr>
      </w:pPr>
      <w:r>
        <w:rPr>
          <w:rFonts w:ascii="Arial" w:hAnsi="Arial" w:cs="Arial"/>
        </w:rPr>
        <w:br w:type="page"/>
      </w:r>
    </w:p>
    <w:p w14:paraId="24CC5521" w14:textId="77777777" w:rsidR="0064223B" w:rsidRPr="008D2D71" w:rsidRDefault="0064223B" w:rsidP="00034F0C">
      <w:pPr>
        <w:pStyle w:val="Heading1"/>
        <w:rPr>
          <w:rFonts w:ascii="Arial" w:hAnsi="Arial" w:cs="Arial"/>
        </w:rPr>
      </w:pPr>
      <w:r w:rsidRPr="008D2D71">
        <w:rPr>
          <w:rFonts w:ascii="Arial" w:hAnsi="Arial" w:cs="Arial"/>
        </w:rPr>
        <w:lastRenderedPageBreak/>
        <w:t>Conflicts of interest</w:t>
      </w:r>
    </w:p>
    <w:p w14:paraId="4DEA9766" w14:textId="5D1C6DAD" w:rsidR="0064223B" w:rsidRPr="00B20404" w:rsidRDefault="0064223B" w:rsidP="00B20404">
      <w:pPr>
        <w:spacing w:line="480" w:lineRule="auto"/>
        <w:rPr>
          <w:rFonts w:ascii="Arial" w:hAnsi="Arial" w:cs="Arial"/>
        </w:rPr>
      </w:pPr>
      <w:r w:rsidRPr="00B20404">
        <w:rPr>
          <w:rFonts w:ascii="Arial" w:hAnsi="Arial" w:cs="Arial"/>
        </w:rPr>
        <w:t>SN reports personal fees from Bayer, personal fees from Boe</w:t>
      </w:r>
      <w:r>
        <w:rPr>
          <w:rFonts w:ascii="Arial" w:hAnsi="Arial" w:cs="Arial"/>
        </w:rPr>
        <w:t>h</w:t>
      </w:r>
      <w:r w:rsidRPr="00B20404">
        <w:rPr>
          <w:rFonts w:ascii="Arial" w:hAnsi="Arial" w:cs="Arial"/>
        </w:rPr>
        <w:t>ringer Ingelheim, outside the submitted work. MDN reports personal fees from Daiichi Sankyo, personal fees from Bayer, personal fees from Pfizer, personal fees from Leo Pharma, personal fees from Aspen, outside the submitted work. MBS reports personal fees from Bayer, grants from Boehringer-Ingelheim, personal fees from Daiichi-Sankyo, personal fees from Pfizer, grants from Roche, grants and personal fees from Janssen, grants from NovoNordisk, grants from Sanofi, outside the submitted work. AM reports grants and personal fees from</w:t>
      </w:r>
      <w:r>
        <w:rPr>
          <w:rFonts w:ascii="Arial" w:hAnsi="Arial" w:cs="Arial"/>
        </w:rPr>
        <w:t xml:space="preserve"> Bristol-Myers Squibb</w:t>
      </w:r>
      <w:r w:rsidRPr="00B20404">
        <w:rPr>
          <w:rFonts w:ascii="Arial" w:hAnsi="Arial" w:cs="Arial"/>
        </w:rPr>
        <w:t xml:space="preserve">, grants and personal fees from Bayer, personal fees from Daichii Sankyo, outside the submitted work. WA reports personal fees from Sanofi, personal fees from Aspen, grants and personal fees from Bayer, personal fees from Daiichi Sankyo, personal fees from Boehringer Ingelheim, personal fees from Portola, outside the submitted work. Dr. Crowther reports grants and other from Bayer, personal fees from Shionogi, personal fees from Alexion, grants from Leo pharma, personal fees from Pfizer, other from Daiichi, grants from Heart and Stroke Foundation, other from Alnylam, personal fees from Octapharma, personal fees from </w:t>
      </w:r>
      <w:r>
        <w:rPr>
          <w:rFonts w:ascii="Arial" w:hAnsi="Arial" w:cs="Arial"/>
        </w:rPr>
        <w:t xml:space="preserve">Bristol-Myers Squibb </w:t>
      </w:r>
      <w:r w:rsidRPr="00B20404">
        <w:rPr>
          <w:rFonts w:ascii="Arial" w:hAnsi="Arial" w:cs="Arial"/>
        </w:rPr>
        <w:t>Canada, personal fees from CSL Behring, personal fees from Alexion, personal fees from Servier Canada, personal fees from Diagnostica Stago, personal fees from Asahi Kasei, outside the submitted work.</w:t>
      </w:r>
      <w:r>
        <w:rPr>
          <w:rFonts w:ascii="Arial" w:hAnsi="Arial" w:cs="Arial"/>
        </w:rPr>
        <w:t xml:space="preserve"> CL reports personal fees from PledPharma, personal fees from Disarm Therapeutics, personal fees from Asahi Kasei, personal fees from Metys pharmaceuticals, personal fees from OnQuality, outside the submitted work.</w:t>
      </w:r>
      <w:r w:rsidRPr="00B20404">
        <w:rPr>
          <w:rFonts w:ascii="Arial" w:hAnsi="Arial" w:cs="Arial"/>
        </w:rPr>
        <w:t xml:space="preserve"> NvE</w:t>
      </w:r>
      <w:r>
        <w:rPr>
          <w:rFonts w:ascii="Arial" w:hAnsi="Arial" w:cs="Arial"/>
        </w:rPr>
        <w:t>reports personal fees from Daiichi Sankyo, Personal fees from Leo Pharma, personal fees from Bayer, outside the submitted work.</w:t>
      </w:r>
      <w:r w:rsidRPr="00B20404">
        <w:rPr>
          <w:rFonts w:ascii="Arial" w:hAnsi="Arial" w:cs="Arial"/>
        </w:rPr>
        <w:t>. E</w:t>
      </w:r>
      <w:r>
        <w:rPr>
          <w:rFonts w:ascii="Arial" w:hAnsi="Arial" w:cs="Arial"/>
        </w:rPr>
        <w:t>A</w:t>
      </w:r>
      <w:r w:rsidRPr="00B20404">
        <w:rPr>
          <w:rFonts w:ascii="Arial" w:hAnsi="Arial" w:cs="Arial"/>
        </w:rPr>
        <w:t xml:space="preserve">A </w:t>
      </w:r>
      <w:r>
        <w:rPr>
          <w:rFonts w:ascii="Arial" w:hAnsi="Arial" w:cs="Arial"/>
        </w:rPr>
        <w:t>reports having published a systematic review on the same topic</w:t>
      </w:r>
      <w:r w:rsidRPr="00B20404">
        <w:rPr>
          <w:rFonts w:ascii="Arial" w:hAnsi="Arial" w:cs="Arial"/>
        </w:rPr>
        <w:t>. None of the other authors report any conflicts of interest.</w:t>
      </w:r>
    </w:p>
    <w:p w14:paraId="3BBEF7AD" w14:textId="77777777" w:rsidR="0064223B" w:rsidRDefault="0064223B" w:rsidP="009E59F2">
      <w:pPr>
        <w:rPr>
          <w:b/>
        </w:rPr>
      </w:pPr>
    </w:p>
    <w:p w14:paraId="28307699" w14:textId="77777777" w:rsidR="0064223B" w:rsidRDefault="0064223B" w:rsidP="009E59F2"/>
    <w:p w14:paraId="6642A1BF" w14:textId="77777777" w:rsidR="0064223B" w:rsidRDefault="0064223B" w:rsidP="009E59F2">
      <w:pPr>
        <w:rPr>
          <w:b/>
        </w:rPr>
      </w:pPr>
    </w:p>
    <w:p w14:paraId="2544183F" w14:textId="77777777" w:rsidR="0064223B" w:rsidRPr="00BC780D" w:rsidRDefault="0064223B" w:rsidP="00EF42BF">
      <w:pPr>
        <w:pStyle w:val="Heading1"/>
        <w:spacing w:line="480" w:lineRule="auto"/>
        <w:rPr>
          <w:rFonts w:ascii="Arial" w:hAnsi="Arial" w:cs="Arial"/>
        </w:rPr>
      </w:pPr>
      <w:r w:rsidRPr="00DD53FA">
        <w:rPr>
          <w:rFonts w:ascii="Arial" w:hAnsi="Arial" w:cs="Arial"/>
        </w:rPr>
        <w:lastRenderedPageBreak/>
        <w:t>References</w:t>
      </w:r>
    </w:p>
    <w:p w14:paraId="4062E607" w14:textId="77777777" w:rsidR="0064223B" w:rsidRPr="0041590C" w:rsidRDefault="0064223B" w:rsidP="0041590C">
      <w:pPr>
        <w:pStyle w:val="EndNoteBibliography"/>
        <w:spacing w:after="0"/>
      </w:pPr>
      <w:bookmarkStart w:id="18" w:name="_ENREF_1"/>
      <w:r w:rsidRPr="0041590C">
        <w:t>1.</w:t>
      </w:r>
      <w:r w:rsidRPr="0041590C">
        <w:tab/>
        <w:t xml:space="preserve">International Agency for Research on Cancer, World Health Organization. GLOBOCAN 2012: Estimated cancer incidence, mortality and prevalence worlwide in 2012: Online analysis prediction 2017 [Available from: </w:t>
      </w:r>
      <w:r w:rsidRPr="0064223B">
        <w:t>http://globocan.iarc.fr/Pages/burden_sel.aspx</w:t>
      </w:r>
      <w:r w:rsidRPr="0041590C">
        <w:t>.</w:t>
      </w:r>
      <w:bookmarkEnd w:id="18"/>
    </w:p>
    <w:p w14:paraId="2D1F7CC7" w14:textId="77777777" w:rsidR="0064223B" w:rsidRPr="0041590C" w:rsidRDefault="0064223B" w:rsidP="0041590C">
      <w:pPr>
        <w:pStyle w:val="EndNoteBibliography"/>
        <w:spacing w:after="0"/>
      </w:pPr>
      <w:bookmarkStart w:id="19" w:name="_ENREF_2"/>
      <w:r w:rsidRPr="0041590C">
        <w:t>2.</w:t>
      </w:r>
      <w:r w:rsidRPr="0041590C">
        <w:tab/>
        <w:t>Kahn SR, Lim W, Dunn AS, Cushman M, Dentali F, Akl EA, et al. Prevention of VTE in nonsurgical patients: Antithrombotic Therapy and Prevention of Thrombosis, 9th ed: American College of Chest Physicians Evidence-Based Clinical Practice Guidelines. Chest. 2012;141(2 Suppl):e195S-226S.</w:t>
      </w:r>
      <w:bookmarkEnd w:id="19"/>
    </w:p>
    <w:p w14:paraId="2C0296CA" w14:textId="77777777" w:rsidR="0064223B" w:rsidRPr="0041590C" w:rsidRDefault="0064223B" w:rsidP="0041590C">
      <w:pPr>
        <w:pStyle w:val="EndNoteBibliography"/>
        <w:spacing w:after="0"/>
      </w:pPr>
      <w:bookmarkStart w:id="20" w:name="_ENREF_3"/>
      <w:r w:rsidRPr="0041590C">
        <w:t>3.</w:t>
      </w:r>
      <w:r w:rsidRPr="0041590C">
        <w:tab/>
        <w:t>Kucher N, Koo S, Quiroz R, Cooper JM, Paterno MD, Soukonnikov B, et al. Electronic alerts to prevent venous thromboembolism among hospitalized patients. N Engl J Med. 2005;352(10):969-77.</w:t>
      </w:r>
      <w:bookmarkEnd w:id="20"/>
    </w:p>
    <w:p w14:paraId="7A5F9B92" w14:textId="77777777" w:rsidR="0064223B" w:rsidRPr="0041590C" w:rsidRDefault="0064223B" w:rsidP="0041590C">
      <w:pPr>
        <w:pStyle w:val="EndNoteBibliography"/>
        <w:spacing w:after="0"/>
      </w:pPr>
      <w:bookmarkStart w:id="21" w:name="_ENREF_4"/>
      <w:r w:rsidRPr="0041590C">
        <w:t>4.</w:t>
      </w:r>
      <w:r w:rsidRPr="0041590C">
        <w:tab/>
        <w:t>Akl EA, Kahale LA, Hakoum MB, Matar CF, Sperati F, Barba M, et al. Parenteral anticoagulation in ambulatory patients with cancer. Cochrane Database Syst Rev. 2017;9:CD006652.</w:t>
      </w:r>
      <w:bookmarkEnd w:id="21"/>
    </w:p>
    <w:p w14:paraId="40E02839" w14:textId="77777777" w:rsidR="0064223B" w:rsidRPr="0041590C" w:rsidRDefault="0064223B" w:rsidP="0041590C">
      <w:pPr>
        <w:pStyle w:val="EndNoteBibliography"/>
        <w:spacing w:after="0"/>
      </w:pPr>
      <w:bookmarkStart w:id="22" w:name="_ENREF_5"/>
      <w:r w:rsidRPr="0041590C">
        <w:t>5.</w:t>
      </w:r>
      <w:r w:rsidRPr="0041590C">
        <w:tab/>
        <w:t>Anthony M. Nursing assessment of deep vein thrombosis. Medsurg nursing : official journal of the Academy of Medical-Surgical Nurses. 2013;22(2):95-8, 123.</w:t>
      </w:r>
      <w:bookmarkEnd w:id="22"/>
    </w:p>
    <w:p w14:paraId="7273FA08" w14:textId="77777777" w:rsidR="0064223B" w:rsidRPr="0041590C" w:rsidRDefault="0064223B" w:rsidP="0041590C">
      <w:pPr>
        <w:pStyle w:val="EndNoteBibliography"/>
        <w:spacing w:after="0"/>
      </w:pPr>
      <w:bookmarkStart w:id="23" w:name="_ENREF_6"/>
      <w:r w:rsidRPr="0041590C">
        <w:t>6.</w:t>
      </w:r>
      <w:r w:rsidRPr="0041590C">
        <w:tab/>
        <w:t>Hirsh J. Low molecular weight heparin. Thromb Haemost. 1993;70(1):204-7.</w:t>
      </w:r>
      <w:bookmarkEnd w:id="23"/>
    </w:p>
    <w:p w14:paraId="664BF140" w14:textId="77777777" w:rsidR="0064223B" w:rsidRPr="0041590C" w:rsidRDefault="0064223B" w:rsidP="0041590C">
      <w:pPr>
        <w:pStyle w:val="EndNoteBibliography"/>
        <w:spacing w:after="0"/>
      </w:pPr>
      <w:bookmarkStart w:id="24" w:name="_ENREF_7"/>
      <w:r w:rsidRPr="0041590C">
        <w:t>7.</w:t>
      </w:r>
      <w:r w:rsidRPr="0041590C">
        <w:tab/>
        <w:t>Thodiyil P, Kakkar AK. Can low-molecular-weight heparins improve outcome in patients with cancer? Cancer Treat Rev. 2002;28(3):151-5.</w:t>
      </w:r>
      <w:bookmarkEnd w:id="24"/>
    </w:p>
    <w:p w14:paraId="0A731745" w14:textId="77777777" w:rsidR="0064223B" w:rsidRPr="0041590C" w:rsidRDefault="0064223B" w:rsidP="0041590C">
      <w:pPr>
        <w:pStyle w:val="EndNoteBibliography"/>
        <w:spacing w:after="0"/>
      </w:pPr>
      <w:bookmarkStart w:id="25" w:name="_ENREF_8"/>
      <w:r w:rsidRPr="0041590C">
        <w:t>8.</w:t>
      </w:r>
      <w:r w:rsidRPr="0041590C">
        <w:tab/>
        <w:t>Borsig L. Heparin as an Inhibitor of Cancer Progression. Prog Mol Biol Transl. 2010;93:335-49.</w:t>
      </w:r>
      <w:bookmarkEnd w:id="25"/>
    </w:p>
    <w:p w14:paraId="7C505E92" w14:textId="77777777" w:rsidR="0064223B" w:rsidRPr="0041590C" w:rsidRDefault="0064223B" w:rsidP="0041590C">
      <w:pPr>
        <w:pStyle w:val="EndNoteBibliography"/>
        <w:spacing w:after="0"/>
      </w:pPr>
      <w:bookmarkStart w:id="26" w:name="_ENREF_9"/>
      <w:r w:rsidRPr="0041590C">
        <w:t>9.</w:t>
      </w:r>
      <w:r w:rsidRPr="0041590C">
        <w:tab/>
        <w:t>Girolami B, Girolami A. Heparin-induced thrombocytopenia: A review. Semin Thromb Hemost. 2006;32(8):803-9.</w:t>
      </w:r>
      <w:bookmarkEnd w:id="26"/>
    </w:p>
    <w:p w14:paraId="32490332" w14:textId="77777777" w:rsidR="0064223B" w:rsidRPr="0041590C" w:rsidRDefault="0064223B" w:rsidP="0041590C">
      <w:pPr>
        <w:pStyle w:val="EndNoteBibliography"/>
        <w:spacing w:after="0"/>
      </w:pPr>
      <w:bookmarkStart w:id="27" w:name="_ENREF_10"/>
      <w:r w:rsidRPr="0041590C">
        <w:t>10.</w:t>
      </w:r>
      <w:r w:rsidRPr="0041590C">
        <w:tab/>
        <w:t>Geerts WH, Bergqvist D, Pineo GF, Heit JA, Samama CM, Lassen MR, et al. Prevention of venous thromboembolism: American College of Chest Physicians Evidence-Based Clinical Practice Guidelines (8th Edition). Chest. 2008;133(6 Suppl):381S-453S.</w:t>
      </w:r>
      <w:bookmarkEnd w:id="27"/>
    </w:p>
    <w:p w14:paraId="360C6E41" w14:textId="77777777" w:rsidR="0064223B" w:rsidRPr="0041590C" w:rsidRDefault="0064223B" w:rsidP="0041590C">
      <w:pPr>
        <w:pStyle w:val="EndNoteBibliography"/>
        <w:spacing w:after="0"/>
      </w:pPr>
      <w:bookmarkStart w:id="28" w:name="_ENREF_11"/>
      <w:r w:rsidRPr="0041590C">
        <w:t>11.</w:t>
      </w:r>
      <w:r w:rsidRPr="0041590C">
        <w:tab/>
        <w:t>Geerts WH, Pineo GF, Heit JA, Bergqvist D, Lassen MR, Colwell CW, et al. Prevention of venous thromboembolism: the Seventh ACCP Conference on Antithrombotic and Thrombolytic Therapy. Chest. 2004;126(3 Suppl):338S-400S.</w:t>
      </w:r>
      <w:bookmarkEnd w:id="28"/>
    </w:p>
    <w:p w14:paraId="15EE8C55" w14:textId="77777777" w:rsidR="0064223B" w:rsidRPr="0041590C" w:rsidRDefault="0064223B" w:rsidP="0041590C">
      <w:pPr>
        <w:pStyle w:val="EndNoteBibliography"/>
        <w:spacing w:after="0"/>
      </w:pPr>
      <w:bookmarkStart w:id="29" w:name="_ENREF_12"/>
      <w:r w:rsidRPr="0041590C">
        <w:t>12.</w:t>
      </w:r>
      <w:r w:rsidRPr="0041590C">
        <w:tab/>
        <w:t>Kahale LA, Hakoum MB, Tsolakian IG, Matar CF, Terrenato I, Sperati F, et al. Anticoagulation for the long-term treatment of venous thromboembolism in people with cancer. Cochrane Database Syst Rev. 2018;6:CD006650.</w:t>
      </w:r>
      <w:bookmarkEnd w:id="29"/>
    </w:p>
    <w:p w14:paraId="7B8A4EC0" w14:textId="77777777" w:rsidR="0064223B" w:rsidRPr="0041590C" w:rsidRDefault="0064223B" w:rsidP="0041590C">
      <w:pPr>
        <w:pStyle w:val="EndNoteBibliography"/>
        <w:spacing w:after="0"/>
      </w:pPr>
      <w:bookmarkStart w:id="30" w:name="_ENREF_13"/>
      <w:r w:rsidRPr="0041590C">
        <w:t>13.</w:t>
      </w:r>
      <w:r w:rsidRPr="0041590C">
        <w:tab/>
        <w:t>Akl EA, Kahale L, Barba M, Neumann I, Labedi N, Terrenato I, et al. Anticoagulation for the long-term treatment of venous thromboembolism in patients with cancer. Cochrane Database Syst Rev. 2014(7):CD006650.</w:t>
      </w:r>
      <w:bookmarkEnd w:id="30"/>
    </w:p>
    <w:p w14:paraId="03FC0C99" w14:textId="77777777" w:rsidR="0064223B" w:rsidRPr="0041590C" w:rsidRDefault="0064223B" w:rsidP="0041590C">
      <w:pPr>
        <w:pStyle w:val="EndNoteBibliography"/>
        <w:spacing w:after="0"/>
      </w:pPr>
      <w:bookmarkStart w:id="31" w:name="_ENREF_14"/>
      <w:r w:rsidRPr="0041590C">
        <w:t>14.</w:t>
      </w:r>
      <w:r w:rsidRPr="0041590C">
        <w:tab/>
        <w:t>Akl EA, Labedi N, Barba M, Terrenato I, Sperati F, Muti P, et al. Anticoagulation for the long-term treatment of venous thromboembolism in patients with cancer. Cochrane Database Syst Rev. 2011(6):CD006650.</w:t>
      </w:r>
      <w:bookmarkEnd w:id="31"/>
    </w:p>
    <w:p w14:paraId="777BEBF9" w14:textId="77777777" w:rsidR="0064223B" w:rsidRPr="0041590C" w:rsidRDefault="0064223B" w:rsidP="0041590C">
      <w:pPr>
        <w:pStyle w:val="EndNoteBibliography"/>
        <w:spacing w:after="0"/>
      </w:pPr>
      <w:bookmarkStart w:id="32" w:name="_ENREF_15"/>
      <w:r w:rsidRPr="0041590C">
        <w:t>15.</w:t>
      </w:r>
      <w:r w:rsidRPr="0041590C">
        <w:tab/>
        <w:t>Akl EA, Barba M, Rohilla S, Terrenato I, Sperati F, Muti P, et al. Anticoagulation for the long term treatment of venous thromboembolism in patients with cancer. Cochrane Database Syst Rev. 2008(2):CD006650.</w:t>
      </w:r>
      <w:bookmarkEnd w:id="32"/>
    </w:p>
    <w:p w14:paraId="6818979B" w14:textId="77777777" w:rsidR="0064223B" w:rsidRPr="0041590C" w:rsidRDefault="0064223B" w:rsidP="0041590C">
      <w:pPr>
        <w:pStyle w:val="EndNoteBibliography"/>
        <w:spacing w:after="0"/>
      </w:pPr>
      <w:bookmarkStart w:id="33" w:name="_ENREF_16"/>
      <w:r w:rsidRPr="0041590C">
        <w:t>16.</w:t>
      </w:r>
      <w:r w:rsidRPr="0041590C">
        <w:tab/>
        <w:t>Akl EA, Schunemann HJ. Routine heparin for patients with cancer? One answer, more questions. N Engl J Med. 2012;366(7):661-2.</w:t>
      </w:r>
      <w:bookmarkEnd w:id="33"/>
    </w:p>
    <w:p w14:paraId="127D01BC" w14:textId="77777777" w:rsidR="0064223B" w:rsidRPr="0041590C" w:rsidRDefault="0064223B" w:rsidP="0041590C">
      <w:pPr>
        <w:pStyle w:val="EndNoteBibliography"/>
        <w:spacing w:after="0"/>
      </w:pPr>
      <w:bookmarkStart w:id="34" w:name="_ENREF_17"/>
      <w:r w:rsidRPr="0041590C">
        <w:t>17.</w:t>
      </w:r>
      <w:r w:rsidRPr="0041590C">
        <w:tab/>
        <w:t xml:space="preserve">Higgins JPT, Green S (editors). Cochrane Handbook for Systematic Reviews of Interventions Version 5.1.0 [updated March 2011]: The Cochrane Collaboration; 2011. Available from: </w:t>
      </w:r>
      <w:r w:rsidRPr="0064223B">
        <w:t>www.cochrane-handbook.org</w:t>
      </w:r>
      <w:r w:rsidRPr="0041590C">
        <w:t>.</w:t>
      </w:r>
      <w:bookmarkEnd w:id="34"/>
    </w:p>
    <w:p w14:paraId="60B83667" w14:textId="77777777" w:rsidR="0064223B" w:rsidRPr="0041590C" w:rsidRDefault="0064223B" w:rsidP="0041590C">
      <w:pPr>
        <w:pStyle w:val="EndNoteBibliography"/>
        <w:spacing w:after="0"/>
      </w:pPr>
      <w:bookmarkStart w:id="35" w:name="_ENREF_18"/>
      <w:r w:rsidRPr="0041590C">
        <w:t>18.</w:t>
      </w:r>
      <w:r w:rsidRPr="0041590C">
        <w:tab/>
        <w:t>Stewart LA, Clarke M, Rovers M, Riley RD, Simmonds M, Stewart G, et al. Preferred Reporting Items for Systematic Review and Meta-Analyses of individual participant data: the PRISMA-IPD Statement. Jama. 2015;313(16):1657-65.</w:t>
      </w:r>
      <w:bookmarkEnd w:id="35"/>
    </w:p>
    <w:p w14:paraId="160BF499" w14:textId="77777777" w:rsidR="0064223B" w:rsidRPr="0041590C" w:rsidRDefault="0064223B" w:rsidP="0041590C">
      <w:pPr>
        <w:pStyle w:val="EndNoteBibliography"/>
        <w:spacing w:after="0"/>
      </w:pPr>
      <w:bookmarkStart w:id="36" w:name="_ENREF_19"/>
      <w:r w:rsidRPr="0041590C">
        <w:lastRenderedPageBreak/>
        <w:t>19.</w:t>
      </w:r>
      <w:r w:rsidRPr="0041590C">
        <w:tab/>
        <w:t>Schunemann HJ, Ventresca M, Crowther M, Briel M, Zhou Q, Garcia D, et al. Use of heparins in patients with cancer: individual participant data meta-analysis of randomised trials study protocol. BMJ Open. 2016;6(4):e010569.</w:t>
      </w:r>
      <w:bookmarkEnd w:id="36"/>
    </w:p>
    <w:p w14:paraId="63B349A0" w14:textId="77777777" w:rsidR="0064223B" w:rsidRPr="0041590C" w:rsidRDefault="0064223B" w:rsidP="0041590C">
      <w:pPr>
        <w:pStyle w:val="EndNoteBibliography"/>
        <w:spacing w:after="0"/>
      </w:pPr>
      <w:bookmarkStart w:id="37" w:name="_ENREF_20"/>
      <w:r w:rsidRPr="0041590C">
        <w:t>20.</w:t>
      </w:r>
      <w:r w:rsidRPr="0041590C">
        <w:tab/>
        <w:t>McGinn T, Wyer PC, Newman TB, Keitz S, Leipzig R, For GG, et al. Tips for learners of evidence-based medicine: 3. Measures of observer variability (kappa statistic). CMAJ : Canadian Medical Association journal = journal de l'Association medicale canadienne. 2004;171(11):1369-73.</w:t>
      </w:r>
      <w:bookmarkEnd w:id="37"/>
    </w:p>
    <w:p w14:paraId="701C7A3B" w14:textId="77777777" w:rsidR="0064223B" w:rsidRPr="0041590C" w:rsidRDefault="0064223B" w:rsidP="0041590C">
      <w:pPr>
        <w:pStyle w:val="EndNoteBibliography"/>
        <w:spacing w:after="0"/>
      </w:pPr>
      <w:bookmarkStart w:id="38" w:name="_ENREF_21"/>
      <w:r w:rsidRPr="0041590C">
        <w:t>21.</w:t>
      </w:r>
      <w:r w:rsidRPr="0041590C">
        <w:tab/>
        <w:t>Guyatt G, Oxman AD, Akl EA, Kunz R, Vist G, Brozek J, et al. GRADE guidelines: 1. Introduction-GRADE evidence profiles and summary of findings tables. Journal of clinical epidemiology. 2011;64(4):383-94.</w:t>
      </w:r>
      <w:bookmarkEnd w:id="38"/>
    </w:p>
    <w:p w14:paraId="0F8A13FC" w14:textId="77777777" w:rsidR="0064223B" w:rsidRPr="0041590C" w:rsidRDefault="0064223B" w:rsidP="0041590C">
      <w:pPr>
        <w:pStyle w:val="EndNoteBibliography"/>
        <w:spacing w:after="0"/>
      </w:pPr>
      <w:bookmarkStart w:id="39" w:name="_ENREF_22"/>
      <w:r w:rsidRPr="0041590C">
        <w:t>22.</w:t>
      </w:r>
      <w:r w:rsidRPr="0041590C">
        <w:tab/>
        <w:t xml:space="preserve">Holger Schünemann, Jan Brożek, Gordon Guyatt, Andrew Oxman, editors. GRADE handbook: Handbook for grading the quality of evidence and the strength of recommendations using the GRADE approach.: The GRADE working group; Updated October 2013 [Available from: </w:t>
      </w:r>
      <w:r w:rsidRPr="0064223B">
        <w:t>http://gdt.guidelinedevelopment.org/app/handbook/handbook.html</w:t>
      </w:r>
      <w:r w:rsidRPr="0041590C">
        <w:t>.</w:t>
      </w:r>
      <w:bookmarkEnd w:id="39"/>
    </w:p>
    <w:p w14:paraId="3F2D6969" w14:textId="77777777" w:rsidR="0064223B" w:rsidRPr="0041590C" w:rsidRDefault="0064223B" w:rsidP="0041590C">
      <w:pPr>
        <w:pStyle w:val="EndNoteBibliography"/>
        <w:spacing w:after="0"/>
      </w:pPr>
      <w:bookmarkStart w:id="40" w:name="_ENREF_23"/>
      <w:r w:rsidRPr="0041590C">
        <w:t>23.</w:t>
      </w:r>
      <w:r w:rsidRPr="0041590C">
        <w:tab/>
        <w:t>GRADEpro GDT: GRADEpro Guideline Development Tool [Software]. Available from gradepro.orgMcMaster University, 2015 (developed by Evidence Prime, Inc.).</w:t>
      </w:r>
      <w:bookmarkEnd w:id="40"/>
    </w:p>
    <w:p w14:paraId="4C31CA32" w14:textId="77777777" w:rsidR="0064223B" w:rsidRPr="0041590C" w:rsidRDefault="0064223B" w:rsidP="0041590C">
      <w:pPr>
        <w:pStyle w:val="EndNoteBibliography"/>
        <w:spacing w:after="0"/>
      </w:pPr>
      <w:bookmarkStart w:id="41" w:name="_ENREF_24"/>
      <w:r w:rsidRPr="0041590C">
        <w:t>24.</w:t>
      </w:r>
      <w:r w:rsidRPr="0041590C">
        <w:tab/>
        <w:t>Simmonds MC HJ, Stewart LA, Tierney JF, Clarke MJ, Thompson SG. . Meta-analysis of individual patient data from randomized trials: a review of methods used in practice. Clin Trials 2005;2(3):209-17.</w:t>
      </w:r>
      <w:bookmarkEnd w:id="41"/>
    </w:p>
    <w:p w14:paraId="2D26ACF8" w14:textId="77777777" w:rsidR="0064223B" w:rsidRPr="0041590C" w:rsidRDefault="0064223B" w:rsidP="0041590C">
      <w:pPr>
        <w:pStyle w:val="EndNoteBibliography"/>
        <w:spacing w:after="0"/>
      </w:pPr>
      <w:bookmarkStart w:id="42" w:name="_ENREF_25"/>
      <w:r w:rsidRPr="0041590C">
        <w:t>25.</w:t>
      </w:r>
      <w:r w:rsidRPr="0041590C">
        <w:tab/>
        <w:t>Thompson SG TR, Warn DE. . Multilevel models for meta-analysis, and their application to absolute risk differences.  . Stat Methods Med Res. 2001;10(6):375-92.</w:t>
      </w:r>
      <w:bookmarkEnd w:id="42"/>
    </w:p>
    <w:p w14:paraId="3FC6608A" w14:textId="77777777" w:rsidR="0064223B" w:rsidRPr="0041590C" w:rsidRDefault="0064223B" w:rsidP="0041590C">
      <w:pPr>
        <w:pStyle w:val="EndNoteBibliography"/>
        <w:spacing w:after="0"/>
      </w:pPr>
      <w:bookmarkStart w:id="43" w:name="_ENREF_26"/>
      <w:r w:rsidRPr="0041590C">
        <w:t>26.</w:t>
      </w:r>
      <w:r w:rsidRPr="0041590C">
        <w:tab/>
        <w:t>Turner RM, Omar RZ, Yang M, Goldstein H, Thompson SG. A multilevel model framework for meta-analysis of clinical trials with binary outcomes. Stat Med. 2000;19(24):3417-32.</w:t>
      </w:r>
      <w:bookmarkEnd w:id="43"/>
    </w:p>
    <w:p w14:paraId="38725BAF" w14:textId="77777777" w:rsidR="0064223B" w:rsidRPr="0041590C" w:rsidRDefault="0064223B" w:rsidP="0041590C">
      <w:pPr>
        <w:pStyle w:val="EndNoteBibliography"/>
        <w:spacing w:after="0"/>
      </w:pPr>
      <w:bookmarkStart w:id="44" w:name="_ENREF_27"/>
      <w:r w:rsidRPr="0041590C">
        <w:t>27.</w:t>
      </w:r>
      <w:r w:rsidRPr="0041590C">
        <w:tab/>
        <w:t>Federico Campigotto, Donna Neuberg, Zwicker JI. Accounting for death as a competing risk in cancer-associated thrombosis studies. Thrombosis Research. 2012;129(Supplement 1):S85-S7.</w:t>
      </w:r>
      <w:bookmarkEnd w:id="44"/>
    </w:p>
    <w:p w14:paraId="16342257" w14:textId="77777777" w:rsidR="0064223B" w:rsidRPr="0041590C" w:rsidRDefault="0064223B" w:rsidP="0041590C">
      <w:pPr>
        <w:pStyle w:val="EndNoteBibliography"/>
        <w:spacing w:after="0"/>
      </w:pPr>
      <w:bookmarkStart w:id="45" w:name="_ENREF_28"/>
      <w:r w:rsidRPr="0041590C">
        <w:t>28.</w:t>
      </w:r>
      <w:r w:rsidRPr="0041590C">
        <w:tab/>
        <w:t>Campigotto F, Neuberg D, JI Z. Biased estimation of thrombosis rates in cancer studies using the method of Kaplan and Meier. J Thromb Haemost. 2012;10(7):1449-51.</w:t>
      </w:r>
      <w:bookmarkEnd w:id="45"/>
    </w:p>
    <w:p w14:paraId="69162E4F" w14:textId="77777777" w:rsidR="0064223B" w:rsidRPr="0041590C" w:rsidRDefault="0064223B" w:rsidP="0041590C">
      <w:pPr>
        <w:pStyle w:val="EndNoteBibliography"/>
        <w:spacing w:after="0"/>
      </w:pPr>
      <w:bookmarkStart w:id="46" w:name="_ENREF_29"/>
      <w:r w:rsidRPr="0041590C">
        <w:t>29.</w:t>
      </w:r>
      <w:r w:rsidRPr="0041590C">
        <w:tab/>
        <w:t>van Es N, Le Gal G, Otten HM, Robin P, Piccioli A, Lecumberri R, et al. Screening for cancer in patients with unprovoked venous thromboembolism: protocol for a systematic review and individual patient data meta-analysis. BMJ Open. 2017;7(6):e015562.</w:t>
      </w:r>
      <w:bookmarkEnd w:id="46"/>
    </w:p>
    <w:p w14:paraId="12FB6A36" w14:textId="77777777" w:rsidR="0064223B" w:rsidRPr="0041590C" w:rsidRDefault="0064223B" w:rsidP="0041590C">
      <w:pPr>
        <w:pStyle w:val="EndNoteBibliography"/>
        <w:spacing w:after="0"/>
      </w:pPr>
      <w:bookmarkStart w:id="47" w:name="_ENREF_30"/>
      <w:r w:rsidRPr="0041590C">
        <w:t>30.</w:t>
      </w:r>
      <w:r w:rsidRPr="0041590C">
        <w:tab/>
        <w:t>Assmann SF, Pocock SJ, Enos LE, Kasten LE. Subgroup analysis and other (mis)uses of baseline data in clinical trials. Lancet. 2000;355(9209):1064-9.</w:t>
      </w:r>
      <w:bookmarkEnd w:id="47"/>
    </w:p>
    <w:p w14:paraId="52266778" w14:textId="77777777" w:rsidR="0064223B" w:rsidRPr="0041590C" w:rsidRDefault="0064223B" w:rsidP="0041590C">
      <w:pPr>
        <w:pStyle w:val="EndNoteBibliography"/>
        <w:spacing w:after="0"/>
      </w:pPr>
      <w:bookmarkStart w:id="48" w:name="_ENREF_31"/>
      <w:r w:rsidRPr="0041590C">
        <w:t>31.</w:t>
      </w:r>
      <w:r w:rsidRPr="0041590C">
        <w:tab/>
        <w:t>Brookes ST, Whitely E, Egger M, Smith GD, Mulheran PA, Peters TJ. Subgroup analyses in randomized trials: risks of subgroup-specific analyses; power and sample size for the interaction test. J Clin Epidemiol. 2004;57(3):229-36.</w:t>
      </w:r>
      <w:bookmarkEnd w:id="48"/>
    </w:p>
    <w:p w14:paraId="265C35DF" w14:textId="77777777" w:rsidR="0064223B" w:rsidRPr="0041590C" w:rsidRDefault="0064223B" w:rsidP="0041590C">
      <w:pPr>
        <w:pStyle w:val="EndNoteBibliography"/>
        <w:spacing w:after="0"/>
      </w:pPr>
      <w:bookmarkStart w:id="49" w:name="_ENREF_32"/>
      <w:r w:rsidRPr="0041590C">
        <w:t>32.</w:t>
      </w:r>
      <w:r w:rsidRPr="0041590C">
        <w:tab/>
        <w:t xml:space="preserve">MDCalc. Eastern Cooperative Oncology Group (ECOG) Performance Status 2019 [Available from: </w:t>
      </w:r>
      <w:r w:rsidRPr="0064223B">
        <w:t>https://www.mdcalc.com/eastern-cooperative-oncology-group-ecog-performance-status</w:t>
      </w:r>
      <w:r w:rsidRPr="0041590C">
        <w:t>.</w:t>
      </w:r>
      <w:bookmarkEnd w:id="49"/>
    </w:p>
    <w:p w14:paraId="3A8B663B" w14:textId="77777777" w:rsidR="0064223B" w:rsidRPr="0041590C" w:rsidRDefault="0064223B" w:rsidP="0041590C">
      <w:pPr>
        <w:pStyle w:val="EndNoteBibliography"/>
        <w:spacing w:after="0"/>
      </w:pPr>
      <w:bookmarkStart w:id="50" w:name="_ENREF_33"/>
      <w:r w:rsidRPr="0041590C">
        <w:t>33.</w:t>
      </w:r>
      <w:r w:rsidRPr="0041590C">
        <w:tab/>
        <w:t>Agnelli G, George DJ, Kakkar AK, Fisher W, Lassen MR, Mismetti P, et al. Semuloparin for thromboprophylaxis in patients receiving chemotherapy for cancer. N Engl J Med. 2012;366(7):601-9.</w:t>
      </w:r>
      <w:bookmarkEnd w:id="50"/>
    </w:p>
    <w:p w14:paraId="10DDC472" w14:textId="77777777" w:rsidR="0064223B" w:rsidRPr="0041590C" w:rsidRDefault="0064223B" w:rsidP="0041590C">
      <w:pPr>
        <w:pStyle w:val="EndNoteBibliography"/>
        <w:spacing w:after="0"/>
      </w:pPr>
      <w:bookmarkStart w:id="51" w:name="_ENREF_34"/>
      <w:r w:rsidRPr="0041590C">
        <w:t>34.</w:t>
      </w:r>
      <w:r w:rsidRPr="0041590C">
        <w:tab/>
        <w:t>Altinbas M, Coskun HS, Er O, Ozkan M, Eser B, Unal A, et al. A randomized clinical trial of combination chemotherapy with and without low-molecular-weight heparin in small cell lung cancer. J Thromb Haemost. 2004;2(8):1266-71.</w:t>
      </w:r>
      <w:bookmarkEnd w:id="51"/>
    </w:p>
    <w:p w14:paraId="26C6092E" w14:textId="77777777" w:rsidR="0064223B" w:rsidRPr="0041590C" w:rsidRDefault="0064223B" w:rsidP="0041590C">
      <w:pPr>
        <w:pStyle w:val="EndNoteBibliography"/>
        <w:spacing w:after="0"/>
      </w:pPr>
      <w:bookmarkStart w:id="52" w:name="_ENREF_35"/>
      <w:r w:rsidRPr="0041590C">
        <w:t>35.</w:t>
      </w:r>
      <w:r w:rsidRPr="0041590C">
        <w:tab/>
        <w:t>Haas SK, Freund M, Heigener D, Heilmann L, Kemkes-Matthes B, von Tempelhoff GF, et al. Low-Molecular-Weight Heparin Versus Placebo for the Prevention of Venous Thromboembolism in Metastatic Breast Cancer or Stage III/IV Lung Cancer. Clin Appl Thromb-Hem. 2012;18(2):159-65.</w:t>
      </w:r>
      <w:bookmarkEnd w:id="52"/>
    </w:p>
    <w:p w14:paraId="165AF34B" w14:textId="77777777" w:rsidR="0064223B" w:rsidRPr="0041590C" w:rsidRDefault="0064223B" w:rsidP="0041590C">
      <w:pPr>
        <w:pStyle w:val="EndNoteBibliography"/>
        <w:spacing w:after="0"/>
      </w:pPr>
      <w:bookmarkStart w:id="53" w:name="_ENREF_36"/>
      <w:r w:rsidRPr="0041590C">
        <w:t>36.</w:t>
      </w:r>
      <w:r w:rsidRPr="0041590C">
        <w:tab/>
        <w:t>Klerk CPW, Smorenburg SM, Otten HM, Lensing AWA, Prins MH, Piovella F, et al. The effect of low molecular weight heparin on survival in patients with advanced malignancy. Journal of Clinical Oncology. 2005;23(10):2130-5.</w:t>
      </w:r>
      <w:bookmarkEnd w:id="53"/>
    </w:p>
    <w:p w14:paraId="3A3445F5" w14:textId="77777777" w:rsidR="0064223B" w:rsidRPr="0041590C" w:rsidRDefault="0064223B" w:rsidP="0041590C">
      <w:pPr>
        <w:pStyle w:val="EndNoteBibliography"/>
        <w:spacing w:after="0"/>
      </w:pPr>
      <w:bookmarkStart w:id="54" w:name="_ENREF_37"/>
      <w:r w:rsidRPr="0041590C">
        <w:lastRenderedPageBreak/>
        <w:t>37.</w:t>
      </w:r>
      <w:r w:rsidRPr="0041590C">
        <w:tab/>
        <w:t>Lebeau B, Chastang C, Brechot JM, Capron F, Dautzenberg B, Delaisements C, et al. Subcutaneous heparin treatment increases survival in small cell lung cancer. "Petites Cellules" Group. Cancer. 1994;74(1):38-45.</w:t>
      </w:r>
      <w:bookmarkEnd w:id="54"/>
    </w:p>
    <w:p w14:paraId="026CAD50" w14:textId="77777777" w:rsidR="0064223B" w:rsidRPr="0041590C" w:rsidRDefault="0064223B" w:rsidP="0041590C">
      <w:pPr>
        <w:pStyle w:val="EndNoteBibliography"/>
        <w:spacing w:after="0"/>
      </w:pPr>
      <w:bookmarkStart w:id="55" w:name="_ENREF_38"/>
      <w:r w:rsidRPr="0041590C">
        <w:t>38.</w:t>
      </w:r>
      <w:r w:rsidRPr="0041590C">
        <w:tab/>
        <w:t>Lecumberri R, Lopez Vivanco G, Font A, Gonzalez Billalabeitia E, Gurpide A, Gomez Codina J, et al. Adjuvant therapy with bemiparin in patients with limited-stage small cell lung cancer: results from the ABEL study. Thromb Res. 2013;132(6):666-70.</w:t>
      </w:r>
      <w:bookmarkEnd w:id="55"/>
    </w:p>
    <w:p w14:paraId="1E41795B" w14:textId="77777777" w:rsidR="0064223B" w:rsidRPr="0041590C" w:rsidRDefault="0064223B" w:rsidP="0041590C">
      <w:pPr>
        <w:pStyle w:val="EndNoteBibliography"/>
        <w:spacing w:after="0"/>
      </w:pPr>
      <w:bookmarkStart w:id="56" w:name="_ENREF_39"/>
      <w:r w:rsidRPr="0041590C">
        <w:t>39.</w:t>
      </w:r>
      <w:r w:rsidRPr="0041590C">
        <w:tab/>
        <w:t>Macbeth F, Noble S, Evans J, Ahmed S, Cohen D, Hood K, et al. Randomized Phase III Trial of Standard Therapy Plus Low Molecular Weight Heparin in Patients With Lung Cancer: FRAGMATIC Trial. J Clin Oncol. 2016;34(5):488-94.</w:t>
      </w:r>
      <w:bookmarkEnd w:id="56"/>
    </w:p>
    <w:p w14:paraId="50D960BE" w14:textId="77777777" w:rsidR="0064223B" w:rsidRPr="0041590C" w:rsidRDefault="0064223B" w:rsidP="0041590C">
      <w:pPr>
        <w:pStyle w:val="EndNoteBibliography"/>
        <w:spacing w:after="0"/>
      </w:pPr>
      <w:bookmarkStart w:id="57" w:name="_ENREF_40"/>
      <w:r w:rsidRPr="0041590C">
        <w:t>40.</w:t>
      </w:r>
      <w:r w:rsidRPr="0041590C">
        <w:tab/>
        <w:t>Maraveyas A, Waters J, Roy R, Fyfe D, Propper D, Lofts F, et al. Gemcitabine versus gemcitabine plus dalteparin thromboprophylaxis in pancreatic cancer. Eur J Cancer. 2012;48(9):1283-92.</w:t>
      </w:r>
      <w:bookmarkEnd w:id="57"/>
    </w:p>
    <w:p w14:paraId="3E612AD8" w14:textId="77777777" w:rsidR="0064223B" w:rsidRPr="0041590C" w:rsidRDefault="0064223B" w:rsidP="0041590C">
      <w:pPr>
        <w:pStyle w:val="EndNoteBibliography"/>
        <w:spacing w:after="0"/>
      </w:pPr>
      <w:bookmarkStart w:id="58" w:name="_ENREF_41"/>
      <w:r w:rsidRPr="0041590C">
        <w:t>41.</w:t>
      </w:r>
      <w:r w:rsidRPr="0041590C">
        <w:tab/>
        <w:t>Pelzer U, Opitz B, Deutschinoff G, Stauch M, Reitzig PC, Hahnfeld S, et al. Efficacy of Prophylactic Low-Molecular Weight Heparin for Ambulatory Patients With Advanced Pancreatic Cancer: Outcomes From the CONKO-004 Trial. J Clin Oncol. 2015;33(18):2028-34.</w:t>
      </w:r>
      <w:bookmarkEnd w:id="58"/>
    </w:p>
    <w:p w14:paraId="30B587CC" w14:textId="77777777" w:rsidR="0064223B" w:rsidRPr="0041590C" w:rsidRDefault="0064223B" w:rsidP="0041590C">
      <w:pPr>
        <w:pStyle w:val="EndNoteBibliography"/>
        <w:spacing w:after="0"/>
      </w:pPr>
      <w:bookmarkStart w:id="59" w:name="_ENREF_42"/>
      <w:r w:rsidRPr="0041590C">
        <w:t>42.</w:t>
      </w:r>
      <w:r w:rsidRPr="0041590C">
        <w:tab/>
        <w:t>Perry JR, Julian JA, Laperriere NJ, Geerts W, Agnelli G, Rogers LR, et al. PRODIGE: a randomized placebo-controlled trial of dalteparin low-molecular-weight heparin thromboprophylaxis in patients with newly diagnosed malignant glioma. Journal of Thrombosis and Haemostasis. 2010;8(9):1959-65.</w:t>
      </w:r>
      <w:bookmarkEnd w:id="59"/>
    </w:p>
    <w:p w14:paraId="3F276318" w14:textId="77777777" w:rsidR="0064223B" w:rsidRPr="0041590C" w:rsidRDefault="0064223B" w:rsidP="0041590C">
      <w:pPr>
        <w:pStyle w:val="EndNoteBibliography"/>
        <w:spacing w:after="0"/>
      </w:pPr>
      <w:bookmarkStart w:id="60" w:name="_ENREF_43"/>
      <w:r w:rsidRPr="0041590C">
        <w:t>43.</w:t>
      </w:r>
      <w:r w:rsidRPr="0041590C">
        <w:tab/>
        <w:t>Sideras K, Schaefer PL, Okuno SH, Sloan JA, Kutteh L, Fitch TR, et al. Low-molecular-weight heparin in patients with advanced cancer: A phase 3 clinical trial. Mayo Clin Proc. 2006;81(6):758-67.</w:t>
      </w:r>
      <w:bookmarkEnd w:id="60"/>
    </w:p>
    <w:p w14:paraId="65115C38" w14:textId="77777777" w:rsidR="0064223B" w:rsidRPr="0041590C" w:rsidRDefault="0064223B" w:rsidP="0041590C">
      <w:pPr>
        <w:pStyle w:val="EndNoteBibliography"/>
        <w:spacing w:after="0"/>
      </w:pPr>
      <w:bookmarkStart w:id="61" w:name="_ENREF_44"/>
      <w:r w:rsidRPr="0041590C">
        <w:t>44.</w:t>
      </w:r>
      <w:r w:rsidRPr="0041590C">
        <w:tab/>
        <w:t>van Doormaal FF, Di Nisio M, Otten HM, Richel DJ, Prins M, Buller HR. Randomized trial of the effect of the low molecular weight heparin nadroparin on survival in patients with cancer. J Clin Oncol. 2011;29(15):2071-6.</w:t>
      </w:r>
      <w:bookmarkEnd w:id="61"/>
    </w:p>
    <w:p w14:paraId="660BBBA4" w14:textId="77777777" w:rsidR="0064223B" w:rsidRPr="0041590C" w:rsidRDefault="0064223B" w:rsidP="0041590C">
      <w:pPr>
        <w:pStyle w:val="EndNoteBibliography"/>
        <w:spacing w:after="0"/>
      </w:pPr>
      <w:bookmarkStart w:id="62" w:name="_ENREF_45"/>
      <w:r w:rsidRPr="0041590C">
        <w:t>45.</w:t>
      </w:r>
      <w:r w:rsidRPr="0041590C">
        <w:tab/>
        <w:t>Weber C, Merminod T, Herrmann FR, Zulian GB. Prophylactic anti-coagulation in cancer palliative care: a prospective randomised study. Support Care Cancer. 2008;16(7):847-52.</w:t>
      </w:r>
      <w:bookmarkEnd w:id="62"/>
    </w:p>
    <w:p w14:paraId="6B2A609C" w14:textId="77777777" w:rsidR="0064223B" w:rsidRPr="0041590C" w:rsidRDefault="0064223B" w:rsidP="0041590C">
      <w:pPr>
        <w:pStyle w:val="EndNoteBibliography"/>
        <w:spacing w:after="0"/>
      </w:pPr>
      <w:bookmarkStart w:id="63" w:name="_ENREF_46"/>
      <w:r w:rsidRPr="0041590C">
        <w:t>46.</w:t>
      </w:r>
      <w:r w:rsidRPr="0041590C">
        <w:tab/>
        <w:t>Kakkar AK, Levine MN, Kadziola Z, Lemoine NR, Low V, Patel HK, et al. Low molecular weight heparin, therapy with dalteparin, and survival in advanced cancer: the fragmin advanced malignancy outcome study (FAMOUS). J Clin Oncol. 2004;22(10):1944-8.</w:t>
      </w:r>
      <w:bookmarkEnd w:id="63"/>
    </w:p>
    <w:p w14:paraId="53C93F4D" w14:textId="77777777" w:rsidR="0064223B" w:rsidRPr="0041590C" w:rsidRDefault="0064223B" w:rsidP="0041590C">
      <w:pPr>
        <w:pStyle w:val="EndNoteBibliography"/>
        <w:spacing w:after="0"/>
      </w:pPr>
      <w:bookmarkStart w:id="64" w:name="_ENREF_47"/>
      <w:r w:rsidRPr="0041590C">
        <w:t>47.</w:t>
      </w:r>
      <w:r w:rsidRPr="0041590C">
        <w:tab/>
        <w:t>Agnelli G, Gussoni G, Bianchini C, Verso M, Mandala M, Cavanna L, et al. Nadroparin for the prevention of thromboembolic events in ambulatory patients with metastatic or locally advanced solid cancer receiving chemotherapy: a randomised, placebo-controlled, double-blind study. Lancet Oncol. 2009;10(10):943-9.</w:t>
      </w:r>
      <w:bookmarkEnd w:id="64"/>
    </w:p>
    <w:p w14:paraId="6A8E45E9" w14:textId="77777777" w:rsidR="0064223B" w:rsidRPr="0041590C" w:rsidRDefault="0064223B" w:rsidP="0041590C">
      <w:pPr>
        <w:pStyle w:val="EndNoteBibliography"/>
        <w:spacing w:after="0"/>
      </w:pPr>
      <w:bookmarkStart w:id="65" w:name="_ENREF_48"/>
      <w:r w:rsidRPr="0041590C">
        <w:t>48.</w:t>
      </w:r>
      <w:r w:rsidRPr="0041590C">
        <w:tab/>
        <w:t>Khorana AA, Francis CW, Kuderer N, Carrier M, Ortel TL, Wun T, et al. Dalteparin Thromboprophylaxis in Cancer Patients at High Risk for Venous Thromboembolism: A Randomized Trial. Blood. 2015;126(23).</w:t>
      </w:r>
      <w:bookmarkEnd w:id="65"/>
    </w:p>
    <w:p w14:paraId="6F1CECC9" w14:textId="77777777" w:rsidR="0064223B" w:rsidRPr="0041590C" w:rsidRDefault="0064223B" w:rsidP="0041590C">
      <w:pPr>
        <w:pStyle w:val="EndNoteBibliography"/>
        <w:spacing w:after="0"/>
      </w:pPr>
      <w:bookmarkStart w:id="66" w:name="_ENREF_49"/>
      <w:r w:rsidRPr="0041590C">
        <w:t>49.</w:t>
      </w:r>
      <w:r w:rsidRPr="0041590C">
        <w:tab/>
        <w:t>Zwicker J, Liebman HA, Bauer KA, Caughey T, Rosovsky R, Mantha S, et al. A randomized-controlled phase II trial of primary thromboprophylaxis with enoxaparin in cancer patients with elevated tissue factor bearing microparticles (the microtec study). Journal of Thrombosis and Haemostasis. 2013;11:6-.</w:t>
      </w:r>
      <w:bookmarkEnd w:id="66"/>
    </w:p>
    <w:p w14:paraId="43B4BF80" w14:textId="77777777" w:rsidR="0064223B" w:rsidRPr="0041590C" w:rsidRDefault="0064223B" w:rsidP="0041590C">
      <w:pPr>
        <w:pStyle w:val="EndNoteBibliography"/>
        <w:spacing w:after="0"/>
      </w:pPr>
      <w:bookmarkStart w:id="67" w:name="_ENREF_50"/>
      <w:r w:rsidRPr="0041590C">
        <w:t>50.</w:t>
      </w:r>
      <w:r w:rsidRPr="0041590C">
        <w:tab/>
        <w:t>Raj SV, Zhou X, Varadhachary GR, Milind J, Fogelman D, Shroff R, et al. Randomized Controlled Trial Of Dalteparin For Primary Thromboprophylaxis For Venous Thromboembolism (VTE) In Patients With Advanced Pancreatic Cancer (APC): Risk Factors Predictive Of VTE. Blood. 2013;122(21).</w:t>
      </w:r>
      <w:bookmarkEnd w:id="67"/>
    </w:p>
    <w:p w14:paraId="08235B4F" w14:textId="77777777" w:rsidR="0064223B" w:rsidRPr="0041590C" w:rsidRDefault="0064223B" w:rsidP="0041590C">
      <w:pPr>
        <w:pStyle w:val="EndNoteBibliography"/>
        <w:spacing w:after="0"/>
      </w:pPr>
      <w:bookmarkStart w:id="68" w:name="_ENREF_51"/>
      <w:r w:rsidRPr="0041590C">
        <w:t>51.</w:t>
      </w:r>
      <w:r w:rsidRPr="0041590C">
        <w:tab/>
        <w:t>Ek L, Gezelius E, Bergman B, Bendahl PO, Anderson H, Sundberg J, et al. Randomized phase III trial of low-molecular-weight heparin enoxaparin in addition to standard treatment in small-cell lung cancer: the RASTEN trial. Ann Oncol. 2018;29(2):398-404.</w:t>
      </w:r>
      <w:bookmarkEnd w:id="68"/>
    </w:p>
    <w:p w14:paraId="4F7295F4" w14:textId="77777777" w:rsidR="0064223B" w:rsidRPr="0041590C" w:rsidRDefault="0064223B" w:rsidP="0041590C">
      <w:pPr>
        <w:pStyle w:val="EndNoteBibliography"/>
        <w:spacing w:after="0"/>
      </w:pPr>
      <w:bookmarkStart w:id="69" w:name="_ENREF_52"/>
      <w:r w:rsidRPr="0041590C">
        <w:t>52.</w:t>
      </w:r>
      <w:r w:rsidRPr="0041590C">
        <w:tab/>
        <w:t>Meyer G, Besse B, Doubre H, Charles-Nelson A, Aquilanti S, Izadifar A, et al. Anti-tumour effect of low molecular weight heparin in localised lung cancer: a phase III clinical trial. Eur Respir J. 2018;52(4).</w:t>
      </w:r>
      <w:bookmarkEnd w:id="69"/>
    </w:p>
    <w:p w14:paraId="79EF8A94" w14:textId="77777777" w:rsidR="0064223B" w:rsidRPr="0041590C" w:rsidRDefault="0064223B" w:rsidP="0041590C">
      <w:pPr>
        <w:pStyle w:val="EndNoteBibliography"/>
        <w:spacing w:after="0"/>
      </w:pPr>
      <w:bookmarkStart w:id="70" w:name="_ENREF_53"/>
      <w:r w:rsidRPr="0041590C">
        <w:lastRenderedPageBreak/>
        <w:t>53.</w:t>
      </w:r>
      <w:r w:rsidRPr="0041590C">
        <w:tab/>
        <w:t>van Es N, Ventresca M, Di Nisio M, Zhou Q, Noble S, Crowther M, et al. The Khorana score for prediction of venous thromboembolism in cancer patients: an individual patient data meta-analysis. J Thromb Haemost. 2020.</w:t>
      </w:r>
      <w:bookmarkEnd w:id="70"/>
    </w:p>
    <w:p w14:paraId="75A440E8" w14:textId="77777777" w:rsidR="0064223B" w:rsidRPr="0041590C" w:rsidRDefault="0064223B" w:rsidP="0041590C">
      <w:pPr>
        <w:pStyle w:val="EndNoteBibliography"/>
        <w:spacing w:after="0"/>
      </w:pPr>
      <w:bookmarkStart w:id="71" w:name="_ENREF_54"/>
      <w:r w:rsidRPr="0041590C">
        <w:t>54.</w:t>
      </w:r>
      <w:r w:rsidRPr="0041590C">
        <w:tab/>
        <w:t xml:space="preserve">American Society of Hematology. ASH Clinical Practice Guidelines on Venous Thromboembolism: American Society of Hematology; 2018 [Available from: </w:t>
      </w:r>
      <w:r w:rsidRPr="0064223B">
        <w:t>http://www.hematology.org/Clinicians/Guidelines-Quality/8743.aspx</w:t>
      </w:r>
      <w:r w:rsidRPr="0041590C">
        <w:t>.</w:t>
      </w:r>
      <w:bookmarkEnd w:id="71"/>
    </w:p>
    <w:p w14:paraId="395AE8E9" w14:textId="77777777" w:rsidR="0064223B" w:rsidRPr="0041590C" w:rsidRDefault="0064223B" w:rsidP="0041590C">
      <w:pPr>
        <w:pStyle w:val="EndNoteBibliography"/>
        <w:spacing w:after="0"/>
      </w:pPr>
      <w:bookmarkStart w:id="72" w:name="_ENREF_55"/>
      <w:r w:rsidRPr="0041590C">
        <w:t>55.</w:t>
      </w:r>
      <w:r w:rsidRPr="0041590C">
        <w:tab/>
        <w:t>Farge D, Frere C, Connors JM, Ay C, Khorana AA, Munoz A, et al. 2019 international clinical practice guidelines for the treatment and prophylaxis of venous thromboembolism in patients with cancer. Lancet Oncol. 2019;20(10):e566-e81.</w:t>
      </w:r>
      <w:bookmarkEnd w:id="72"/>
    </w:p>
    <w:p w14:paraId="6FA60A62" w14:textId="77777777" w:rsidR="0064223B" w:rsidRPr="0041590C" w:rsidRDefault="0064223B" w:rsidP="0041590C">
      <w:pPr>
        <w:pStyle w:val="EndNoteBibliography"/>
        <w:spacing w:after="0"/>
      </w:pPr>
      <w:bookmarkStart w:id="73" w:name="_ENREF_56"/>
      <w:r w:rsidRPr="0041590C">
        <w:t>56.</w:t>
      </w:r>
      <w:r w:rsidRPr="0041590C">
        <w:tab/>
        <w:t>Key NS, Khorana AA, Kuderer NM, Bohlke K, Lee AYY, Arcelus JI, et al. Venous Thromboembolism Prophylaxis and Treatment in Patients With Cancer: ASCO Clinical Practice Guideline Update. J Clin Oncol. 2020;38(5):496-520.</w:t>
      </w:r>
      <w:bookmarkEnd w:id="73"/>
    </w:p>
    <w:p w14:paraId="4FE94657" w14:textId="77777777" w:rsidR="0064223B" w:rsidRPr="0041590C" w:rsidRDefault="0064223B" w:rsidP="0041590C">
      <w:pPr>
        <w:pStyle w:val="EndNoteBibliography"/>
        <w:spacing w:after="0"/>
      </w:pPr>
      <w:bookmarkStart w:id="74" w:name="_ENREF_57"/>
      <w:r w:rsidRPr="0041590C">
        <w:t>57.</w:t>
      </w:r>
      <w:r w:rsidRPr="0041590C">
        <w:tab/>
        <w:t>Khorana AA, Soff GA, Kakkar AK, Vadhan-Raj S, Riess H, Wun T, et al. Rivaroxaban for Thromboprophylaxis in High-Risk Ambulatory Patients with Cancer. N Engl J Med. 2019;380(8):720-8.</w:t>
      </w:r>
      <w:bookmarkEnd w:id="74"/>
    </w:p>
    <w:p w14:paraId="433C5172" w14:textId="77777777" w:rsidR="0064223B" w:rsidRPr="0041590C" w:rsidRDefault="0064223B" w:rsidP="0041590C">
      <w:pPr>
        <w:pStyle w:val="EndNoteBibliography"/>
        <w:spacing w:after="0"/>
      </w:pPr>
      <w:bookmarkStart w:id="75" w:name="_ENREF_58"/>
      <w:r w:rsidRPr="0041590C">
        <w:t>58.</w:t>
      </w:r>
      <w:r w:rsidRPr="0041590C">
        <w:tab/>
        <w:t>Carrier M, Abou-Nassar K, Mallick R, Tagalakis V, Shivakumar S, Schattner A, et al. Apixaban to Prevent Venous Thromboembolism in Patients with Cancer. N Engl J Med. 2019;380(8):711-9.</w:t>
      </w:r>
      <w:bookmarkEnd w:id="75"/>
    </w:p>
    <w:p w14:paraId="7C0D5415" w14:textId="77777777" w:rsidR="0064223B" w:rsidRPr="0041590C" w:rsidRDefault="0064223B" w:rsidP="0041590C">
      <w:pPr>
        <w:pStyle w:val="EndNoteBibliography"/>
      </w:pPr>
      <w:bookmarkStart w:id="76" w:name="_ENREF_59"/>
      <w:r w:rsidRPr="0041590C">
        <w:t>59.</w:t>
      </w:r>
      <w:r w:rsidRPr="0041590C">
        <w:tab/>
        <w:t>Alonso-Coello P, Schunemann HJ, Moberg J, Brignardello-Petersen R, Akl EA, Davoli M, et al. GRADE Evidence to Decision (EtD) frameworks: a systematic and transparent approach to making well informed healthcare choices. 1: Introduction. BMJ. 2016;353:i2016.</w:t>
      </w:r>
      <w:bookmarkEnd w:id="76"/>
    </w:p>
    <w:p w14:paraId="265FA962" w14:textId="77777777" w:rsidR="0064223B" w:rsidRDefault="0064223B" w:rsidP="00B20404">
      <w:pPr>
        <w:spacing w:line="480" w:lineRule="auto"/>
        <w:rPr>
          <w:rFonts w:ascii="Arial" w:hAnsi="Arial" w:cs="Arial"/>
        </w:rPr>
        <w:sectPr w:rsidR="0064223B" w:rsidSect="00090838">
          <w:pgSz w:w="12240" w:h="15840"/>
          <w:pgMar w:top="1440" w:right="1440" w:bottom="1440" w:left="1440" w:header="708" w:footer="708" w:gutter="0"/>
          <w:cols w:space="708"/>
          <w:docGrid w:linePitch="360"/>
        </w:sectPr>
      </w:pPr>
    </w:p>
    <w:p w14:paraId="3C7B8BED" w14:textId="77777777" w:rsidR="0064223B" w:rsidRDefault="0064223B" w:rsidP="0096568E">
      <w:pPr>
        <w:spacing w:after="0" w:line="240" w:lineRule="auto"/>
        <w:rPr>
          <w:rFonts w:ascii="Arial" w:hAnsi="Arial" w:cs="Arial"/>
        </w:rPr>
        <w:sectPr w:rsidR="0064223B" w:rsidSect="0096568E">
          <w:headerReference w:type="default" r:id="rId7"/>
          <w:footerReference w:type="even" r:id="rId8"/>
          <w:footerReference w:type="default" r:id="rId9"/>
          <w:pgSz w:w="16838" w:h="11906" w:orient="landscape"/>
          <w:pgMar w:top="1440" w:right="1440" w:bottom="1440" w:left="1440" w:header="708" w:footer="708" w:gutter="0"/>
          <w:cols w:space="708"/>
          <w:docGrid w:linePitch="360"/>
        </w:sectPr>
      </w:pPr>
    </w:p>
    <w:p w14:paraId="5E286682" w14:textId="77777777" w:rsidR="0064223B" w:rsidRDefault="0064223B" w:rsidP="006E5393">
      <w:pPr>
        <w:tabs>
          <w:tab w:val="left" w:pos="6555"/>
        </w:tabs>
        <w:spacing w:after="0" w:line="240" w:lineRule="auto"/>
        <w:sectPr w:rsidR="0064223B" w:rsidSect="00AE167D">
          <w:headerReference w:type="default" r:id="rId10"/>
          <w:footerReference w:type="even" r:id="rId11"/>
          <w:footerReference w:type="default" r:id="rId12"/>
          <w:pgSz w:w="16838" w:h="11906" w:orient="landscape"/>
          <w:pgMar w:top="1440" w:right="1122" w:bottom="1440" w:left="1440" w:header="708" w:footer="708" w:gutter="0"/>
          <w:cols w:space="708"/>
          <w:docGrid w:linePitch="360"/>
        </w:sectPr>
      </w:pPr>
    </w:p>
    <w:p w14:paraId="4EF176C5" w14:textId="77777777" w:rsidR="0064223B" w:rsidRDefault="0064223B" w:rsidP="006E5393">
      <w:pPr>
        <w:tabs>
          <w:tab w:val="left" w:pos="6555"/>
        </w:tabs>
        <w:spacing w:after="0" w:line="240" w:lineRule="auto"/>
      </w:pPr>
    </w:p>
    <w:p w14:paraId="206652D6" w14:textId="77777777" w:rsidR="0064223B" w:rsidRDefault="0064223B" w:rsidP="006E5393">
      <w:pPr>
        <w:tabs>
          <w:tab w:val="left" w:pos="6555"/>
        </w:tabs>
        <w:spacing w:after="0" w:line="240" w:lineRule="auto"/>
      </w:pPr>
    </w:p>
    <w:p w14:paraId="1084AB78" w14:textId="77777777" w:rsidR="0064223B" w:rsidRDefault="0064223B" w:rsidP="006E5393">
      <w:pPr>
        <w:tabs>
          <w:tab w:val="left" w:pos="6555"/>
        </w:tabs>
        <w:spacing w:after="0" w:line="240" w:lineRule="auto"/>
      </w:pPr>
    </w:p>
    <w:p w14:paraId="4CB2D842" w14:textId="77777777" w:rsidR="0064223B" w:rsidRDefault="0064223B" w:rsidP="006E5393">
      <w:pPr>
        <w:tabs>
          <w:tab w:val="left" w:pos="6555"/>
        </w:tabs>
        <w:spacing w:after="0" w:line="240" w:lineRule="auto"/>
      </w:pPr>
    </w:p>
    <w:p w14:paraId="041F48A0" w14:textId="77777777" w:rsidR="0064223B" w:rsidRDefault="0064223B">
      <w:pPr>
        <w:rPr>
          <w:rFonts w:ascii="Arial" w:hAnsi="Arial" w:cs="Arial"/>
          <w:b/>
          <w:i/>
          <w:u w:val="single"/>
        </w:rPr>
      </w:pPr>
      <w:r>
        <w:rPr>
          <w:rFonts w:ascii="Arial" w:hAnsi="Arial" w:cs="Arial"/>
        </w:rPr>
        <w:br w:type="page"/>
      </w:r>
    </w:p>
    <w:p w14:paraId="3F31E423" w14:textId="77777777" w:rsidR="0064223B" w:rsidRPr="008D2D71" w:rsidRDefault="0064223B" w:rsidP="001E5779">
      <w:pPr>
        <w:pStyle w:val="Heading1"/>
        <w:spacing w:line="480" w:lineRule="auto"/>
        <w:rPr>
          <w:rFonts w:ascii="Arial" w:hAnsi="Arial" w:cs="Arial"/>
        </w:rPr>
      </w:pPr>
      <w:bookmarkStart w:id="77" w:name="_Hlk42333353"/>
      <w:r w:rsidRPr="008D2D71">
        <w:rPr>
          <w:rFonts w:ascii="Arial" w:hAnsi="Arial" w:cs="Arial"/>
        </w:rPr>
        <w:lastRenderedPageBreak/>
        <w:t>Figure 1 – PRISMA-IPD study selection flow diagram</w:t>
      </w:r>
    </w:p>
    <w:p w14:paraId="7809ED86" w14:textId="77777777" w:rsidR="0064223B" w:rsidRPr="008D2D71" w:rsidRDefault="0064223B" w:rsidP="001E5779">
      <w:pPr>
        <w:rPr>
          <w:rFonts w:ascii="Arial" w:hAnsi="Arial" w:cs="Arial"/>
        </w:rPr>
      </w:pPr>
      <w:r w:rsidRPr="008D2D71">
        <w:rPr>
          <w:rFonts w:ascii="Arial" w:hAnsi="Arial" w:cs="Arial"/>
          <w:noProof/>
          <w:sz w:val="24"/>
          <w:szCs w:val="24"/>
          <w:lang w:val="en-US" w:eastAsia="zh-CN"/>
        </w:rPr>
        <mc:AlternateContent>
          <mc:Choice Requires="wps">
            <w:drawing>
              <wp:anchor distT="0" distB="0" distL="114300" distR="114300" simplePos="0" relativeHeight="251685888" behindDoc="0" locked="0" layoutInCell="1" allowOverlap="1" wp14:anchorId="7B4E98A6" wp14:editId="114313CA">
                <wp:simplePos x="0" y="0"/>
                <wp:positionH relativeFrom="column">
                  <wp:posOffset>3357245</wp:posOffset>
                </wp:positionH>
                <wp:positionV relativeFrom="paragraph">
                  <wp:posOffset>24765</wp:posOffset>
                </wp:positionV>
                <wp:extent cx="2755900" cy="504825"/>
                <wp:effectExtent l="0" t="0" r="25400"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0" cy="504825"/>
                        </a:xfrm>
                        <a:prstGeom prst="rect">
                          <a:avLst/>
                        </a:prstGeom>
                        <a:solidFill>
                          <a:srgbClr val="FFFFFF"/>
                        </a:solidFill>
                        <a:ln w="9525">
                          <a:solidFill>
                            <a:srgbClr val="000000"/>
                          </a:solidFill>
                          <a:miter lim="800000"/>
                          <a:headEnd/>
                          <a:tailEnd/>
                        </a:ln>
                      </wps:spPr>
                      <wps:txbx>
                        <w:txbxContent>
                          <w:p w14:paraId="61CD53DF" w14:textId="77777777" w:rsidR="0064223B" w:rsidRPr="003037E5" w:rsidRDefault="0064223B" w:rsidP="001E5779">
                            <w:pPr>
                              <w:spacing w:after="0" w:line="240" w:lineRule="auto"/>
                              <w:jc w:val="center"/>
                              <w:rPr>
                                <w:rFonts w:ascii="Calibri" w:hAnsi="Calibri"/>
                                <w:color w:val="808080" w:themeColor="background1" w:themeShade="80"/>
                                <w:sz w:val="20"/>
                                <w:szCs w:val="20"/>
                              </w:rPr>
                            </w:pPr>
                            <w:r>
                              <w:rPr>
                                <w:rFonts w:ascii="Calibri" w:hAnsi="Calibri"/>
                                <w:sz w:val="20"/>
                                <w:szCs w:val="20"/>
                              </w:rPr>
                              <w:t>Additional studies identified through other sources including contact with researchers (n=81)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E98A6" id="Rectangle 2" o:spid="_x0000_s1026" style="position:absolute;margin-left:264.35pt;margin-top:1.95pt;width:217pt;height:3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">
                <v:textbox inset=",7.2pt,,7.2pt">
                  <w:txbxContent>
                    <w:p w14:paraId="61CD53DF" w14:textId="77777777" w:rsidR="0064223B" w:rsidRPr="003037E5" w:rsidRDefault="0064223B" w:rsidP="001E5779">
                      <w:pPr>
                        <w:spacing w:after="0" w:line="240" w:lineRule="auto"/>
                        <w:jc w:val="center"/>
                        <w:rPr>
                          <w:rFonts w:ascii="Calibri" w:hAnsi="Calibri"/>
                          <w:color w:val="808080" w:themeColor="background1" w:themeShade="80"/>
                          <w:sz w:val="20"/>
                          <w:szCs w:val="20"/>
                        </w:rPr>
                      </w:pPr>
                      <w:r>
                        <w:rPr>
                          <w:rFonts w:ascii="Calibri" w:hAnsi="Calibri"/>
                          <w:sz w:val="20"/>
                          <w:szCs w:val="20"/>
                        </w:rPr>
                        <w:t>Additional studies identified through other sources including contact with researchers (n=81)</w:t>
                      </w:r>
                    </w:p>
                  </w:txbxContent>
                </v:textbox>
              </v:rect>
            </w:pict>
          </mc:Fallback>
        </mc:AlternateContent>
      </w:r>
      <w:r w:rsidRPr="008D2D71">
        <w:rPr>
          <w:rFonts w:ascii="Arial" w:hAnsi="Arial" w:cs="Arial"/>
          <w:noProof/>
          <w:sz w:val="24"/>
          <w:szCs w:val="24"/>
          <w:lang w:val="en-US" w:eastAsia="zh-CN"/>
        </w:rPr>
        <mc:AlternateContent>
          <mc:Choice Requires="wps">
            <w:drawing>
              <wp:anchor distT="0" distB="0" distL="114300" distR="114300" simplePos="0" relativeHeight="251680768" behindDoc="0" locked="0" layoutInCell="1" allowOverlap="1" wp14:anchorId="555AED0C" wp14:editId="1C44B5D6">
                <wp:simplePos x="0" y="0"/>
                <wp:positionH relativeFrom="column">
                  <wp:posOffset>47625</wp:posOffset>
                </wp:positionH>
                <wp:positionV relativeFrom="paragraph">
                  <wp:posOffset>15240</wp:posOffset>
                </wp:positionV>
                <wp:extent cx="2755900" cy="504825"/>
                <wp:effectExtent l="0" t="0" r="25400" b="28575"/>
                <wp:wrapNone/>
                <wp:docPr id="8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0" cy="504825"/>
                        </a:xfrm>
                        <a:prstGeom prst="rect">
                          <a:avLst/>
                        </a:prstGeom>
                        <a:solidFill>
                          <a:srgbClr val="FFFFFF"/>
                        </a:solidFill>
                        <a:ln w="9525">
                          <a:solidFill>
                            <a:srgbClr val="000000"/>
                          </a:solidFill>
                          <a:miter lim="800000"/>
                          <a:headEnd/>
                          <a:tailEnd/>
                        </a:ln>
                      </wps:spPr>
                      <wps:txbx>
                        <w:txbxContent>
                          <w:p w14:paraId="296B7B05" w14:textId="77777777" w:rsidR="0064223B" w:rsidRDefault="0064223B" w:rsidP="001E5779">
                            <w:pPr>
                              <w:spacing w:after="0" w:line="240" w:lineRule="auto"/>
                              <w:jc w:val="center"/>
                              <w:rPr>
                                <w:rFonts w:ascii="Calibri" w:hAnsi="Calibri"/>
                                <w:sz w:val="20"/>
                                <w:szCs w:val="20"/>
                              </w:rPr>
                            </w:pPr>
                            <w:r>
                              <w:rPr>
                                <w:rFonts w:ascii="Calibri" w:hAnsi="Calibri"/>
                                <w:sz w:val="20"/>
                                <w:szCs w:val="20"/>
                              </w:rPr>
                              <w:t>Number of s</w:t>
                            </w:r>
                            <w:r w:rsidRPr="009B4053">
                              <w:rPr>
                                <w:rFonts w:ascii="Calibri" w:hAnsi="Calibri"/>
                                <w:sz w:val="20"/>
                                <w:szCs w:val="20"/>
                              </w:rPr>
                              <w:t>tudies identified throug</w:t>
                            </w:r>
                            <w:r>
                              <w:rPr>
                                <w:rFonts w:ascii="Calibri" w:hAnsi="Calibri"/>
                                <w:sz w:val="20"/>
                                <w:szCs w:val="20"/>
                              </w:rPr>
                              <w:t>h database searching (n=8,307)</w:t>
                            </w:r>
                          </w:p>
                          <w:p w14:paraId="1B5B3D45" w14:textId="77777777" w:rsidR="0064223B" w:rsidRPr="003037E5" w:rsidRDefault="0064223B" w:rsidP="001E5779">
                            <w:pPr>
                              <w:spacing w:after="0" w:line="240" w:lineRule="auto"/>
                              <w:jc w:val="center"/>
                              <w:rPr>
                                <w:rFonts w:ascii="Calibri" w:hAnsi="Calibri"/>
                                <w:color w:val="808080" w:themeColor="background1" w:themeShade="80"/>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AED0C" id="_x0000_s1027" style="position:absolute;margin-left:3.75pt;margin-top:1.2pt;width:217pt;height:3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">
                <v:textbox inset=",7.2pt,,7.2pt">
                  <w:txbxContent>
                    <w:p w14:paraId="296B7B05" w14:textId="77777777" w:rsidR="0064223B" w:rsidRDefault="0064223B" w:rsidP="001E5779">
                      <w:pPr>
                        <w:spacing w:after="0" w:line="240" w:lineRule="auto"/>
                        <w:jc w:val="center"/>
                        <w:rPr>
                          <w:rFonts w:ascii="Calibri" w:hAnsi="Calibri"/>
                          <w:sz w:val="20"/>
                          <w:szCs w:val="20"/>
                        </w:rPr>
                      </w:pPr>
                      <w:r>
                        <w:rPr>
                          <w:rFonts w:ascii="Calibri" w:hAnsi="Calibri"/>
                          <w:sz w:val="20"/>
                          <w:szCs w:val="20"/>
                        </w:rPr>
                        <w:t>Number of s</w:t>
                      </w:r>
                      <w:r w:rsidRPr="009B4053">
                        <w:rPr>
                          <w:rFonts w:ascii="Calibri" w:hAnsi="Calibri"/>
                          <w:sz w:val="20"/>
                          <w:szCs w:val="20"/>
                        </w:rPr>
                        <w:t>tudies identified throug</w:t>
                      </w:r>
                      <w:r>
                        <w:rPr>
                          <w:rFonts w:ascii="Calibri" w:hAnsi="Calibri"/>
                          <w:sz w:val="20"/>
                          <w:szCs w:val="20"/>
                        </w:rPr>
                        <w:t>h database searching (n=8,307)</w:t>
                      </w:r>
                    </w:p>
                    <w:p w14:paraId="1B5B3D45" w14:textId="77777777" w:rsidR="0064223B" w:rsidRPr="003037E5" w:rsidRDefault="0064223B" w:rsidP="001E5779">
                      <w:pPr>
                        <w:spacing w:after="0" w:line="240" w:lineRule="auto"/>
                        <w:jc w:val="center"/>
                        <w:rPr>
                          <w:rFonts w:ascii="Calibri" w:hAnsi="Calibri"/>
                          <w:color w:val="808080" w:themeColor="background1" w:themeShade="80"/>
                          <w:sz w:val="20"/>
                          <w:szCs w:val="20"/>
                        </w:rPr>
                      </w:pPr>
                    </w:p>
                  </w:txbxContent>
                </v:textbox>
              </v:rect>
            </w:pict>
          </mc:Fallback>
        </mc:AlternateContent>
      </w:r>
      <w:r w:rsidRPr="008D2D71">
        <w:rPr>
          <w:rFonts w:ascii="Arial" w:hAnsi="Arial" w:cs="Arial"/>
          <w:noProof/>
          <w:sz w:val="24"/>
          <w:szCs w:val="24"/>
          <w:lang w:val="en-US" w:eastAsia="zh-CN"/>
        </w:rPr>
        <mc:AlternateContent>
          <mc:Choice Requires="wps">
            <w:drawing>
              <wp:anchor distT="0" distB="0" distL="114300" distR="114300" simplePos="0" relativeHeight="251681792" behindDoc="0" locked="0" layoutInCell="1" allowOverlap="1" wp14:anchorId="1300895E" wp14:editId="16A29E96">
                <wp:simplePos x="0" y="0"/>
                <wp:positionH relativeFrom="column">
                  <wp:posOffset>-783306</wp:posOffset>
                </wp:positionH>
                <wp:positionV relativeFrom="paragraph">
                  <wp:posOffset>303744</wp:posOffset>
                </wp:positionV>
                <wp:extent cx="923440" cy="197816"/>
                <wp:effectExtent l="952" t="0" r="11113" b="11112"/>
                <wp:wrapNone/>
                <wp:docPr id="8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23440" cy="197816"/>
                        </a:xfrm>
                        <a:prstGeom prst="roundRect">
                          <a:avLst>
                            <a:gd name="adj" fmla="val 16667"/>
                          </a:avLst>
                        </a:prstGeom>
                        <a:solidFill>
                          <a:srgbClr val="CCECFF"/>
                        </a:solidFill>
                        <a:ln w="9525">
                          <a:solidFill>
                            <a:srgbClr val="000000"/>
                          </a:solidFill>
                          <a:round/>
                          <a:headEnd/>
                          <a:tailEnd/>
                        </a:ln>
                      </wps:spPr>
                      <wps:txbx>
                        <w:txbxContent>
                          <w:p w14:paraId="38ADC166" w14:textId="77777777" w:rsidR="0064223B" w:rsidRPr="009B4053" w:rsidRDefault="0064223B" w:rsidP="001E5779">
                            <w:pPr>
                              <w:pStyle w:val="Heading2"/>
                            </w:pPr>
                            <w:r w:rsidRPr="0096375F">
                              <w:rPr>
                                <w:sz w:val="20"/>
                              </w:rPr>
                              <w:t>Identification</w:t>
                            </w:r>
                          </w:p>
                        </w:txbxContent>
                      </wps:txbx>
                      <wps:bodyPr rot="0" vert="vert270"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00895E" id="AutoShape 8" o:spid="_x0000_s1028" style="position:absolute;margin-left:-61.7pt;margin-top:23.9pt;width:72.7pt;height:15.6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" fillcolor="#ccecff">
                <v:textbox style="layout-flow:vertical;mso-layout-flow-alt:bottom-to-top" inset="3.6pt,0,3.6pt,0">
                  <w:txbxContent>
                    <w:p w14:paraId="38ADC166" w14:textId="77777777" w:rsidR="0064223B" w:rsidRPr="009B4053" w:rsidRDefault="0064223B" w:rsidP="001E5779">
                      <w:pPr>
                        <w:pStyle w:val="Heading2"/>
                      </w:pPr>
                      <w:r w:rsidRPr="0096375F">
                        <w:rPr>
                          <w:sz w:val="20"/>
                        </w:rPr>
                        <w:t>Identification</w:t>
                      </w:r>
                    </w:p>
                  </w:txbxContent>
                </v:textbox>
              </v:roundrect>
            </w:pict>
          </mc:Fallback>
        </mc:AlternateContent>
      </w:r>
    </w:p>
    <w:p w14:paraId="2FEA3394" w14:textId="77777777" w:rsidR="0064223B" w:rsidRPr="008D2D71" w:rsidRDefault="0064223B" w:rsidP="001E5779">
      <w:pPr>
        <w:rPr>
          <w:rFonts w:ascii="Arial" w:hAnsi="Arial" w:cs="Arial"/>
        </w:rPr>
      </w:pPr>
      <w:r w:rsidRPr="008D2D71">
        <w:rPr>
          <w:rFonts w:ascii="Arial" w:hAnsi="Arial" w:cs="Arial"/>
          <w:noProof/>
          <w:sz w:val="24"/>
          <w:szCs w:val="24"/>
          <w:lang w:val="en-US" w:eastAsia="zh-CN"/>
        </w:rPr>
        <mc:AlternateContent>
          <mc:Choice Requires="wps">
            <w:drawing>
              <wp:anchor distT="0" distB="0" distL="114300" distR="114300" simplePos="0" relativeHeight="251683840" behindDoc="0" locked="0" layoutInCell="1" allowOverlap="1" wp14:anchorId="77AAA63F" wp14:editId="68B8C335">
                <wp:simplePos x="0" y="0"/>
                <wp:positionH relativeFrom="margin">
                  <wp:posOffset>1381125</wp:posOffset>
                </wp:positionH>
                <wp:positionV relativeFrom="paragraph">
                  <wp:posOffset>253364</wp:posOffset>
                </wp:positionV>
                <wp:extent cx="3339465" cy="153671"/>
                <wp:effectExtent l="38100" t="0" r="32385" b="93980"/>
                <wp:wrapNone/>
                <wp:docPr id="89" name="Straight Arrow Connector 25"/>
                <wp:cNvGraphicFramePr/>
                <a:graphic xmlns:a="http://schemas.openxmlformats.org/drawingml/2006/main">
                  <a:graphicData uri="http://schemas.microsoft.com/office/word/2010/wordprocessingShape">
                    <wps:wsp>
                      <wps:cNvCnPr/>
                      <wps:spPr>
                        <a:xfrm rot="10800000" flipV="1">
                          <a:off x="0" y="0"/>
                          <a:ext cx="3339465" cy="153671"/>
                        </a:xfrm>
                        <a:prstGeom prst="bentConnector3">
                          <a:avLst>
                            <a:gd name="adj1" fmla="val -161"/>
                          </a:avLst>
                        </a:prstGeom>
                        <a:ln w="6350">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0C7B8A"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5" o:spid="_x0000_s1026" type="#_x0000_t34" style="position:absolute;margin-left:108.75pt;margin-top:19.95pt;width:262.95pt;height:12.1pt;rotation:180;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" adj="-35" strokecolor="#4f81bd [3204]" strokeweight=".5pt">
                <v:stroke endarrow="block"/>
                <v:shadow on="t" color="black" opacity="24903f" origin=",.5" offset="0,.55556mm"/>
                <w10:wrap anchorx="margin"/>
              </v:shape>
            </w:pict>
          </mc:Fallback>
        </mc:AlternateContent>
      </w:r>
      <w:r w:rsidRPr="008D2D71">
        <w:rPr>
          <w:rFonts w:ascii="Arial" w:hAnsi="Arial" w:cs="Arial"/>
          <w:noProof/>
          <w:lang w:val="en-US" w:eastAsia="zh-CN"/>
        </w:rPr>
        <mc:AlternateContent>
          <mc:Choice Requires="wps">
            <w:drawing>
              <wp:anchor distT="0" distB="0" distL="114300" distR="114300" simplePos="0" relativeHeight="251684864" behindDoc="0" locked="0" layoutInCell="1" allowOverlap="1" wp14:anchorId="1325C011" wp14:editId="2A4610A9">
                <wp:simplePos x="0" y="0"/>
                <wp:positionH relativeFrom="column">
                  <wp:posOffset>1371600</wp:posOffset>
                </wp:positionH>
                <wp:positionV relativeFrom="paragraph">
                  <wp:posOffset>233680</wp:posOffset>
                </wp:positionV>
                <wp:extent cx="0" cy="447675"/>
                <wp:effectExtent l="76200" t="0" r="57150" b="47625"/>
                <wp:wrapNone/>
                <wp:docPr id="90" name="Straight Arrow Connector 90"/>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2226AB" id="_x0000_t32" coordsize="21600,21600" o:spt="32" o:oned="t" path="m,l21600,21600e" filled="f">
                <v:path arrowok="t" fillok="f" o:connecttype="none"/>
                <o:lock v:ext="edit" shapetype="t"/>
              </v:shapetype>
              <v:shape id="Straight Arrow Connector 90" o:spid="_x0000_s1026" type="#_x0000_t32" style="position:absolute;margin-left:108pt;margin-top:18.4pt;width:0;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" strokecolor="#4579b8 [3044]">
                <v:stroke endarrow="block"/>
              </v:shape>
            </w:pict>
          </mc:Fallback>
        </mc:AlternateContent>
      </w:r>
    </w:p>
    <w:p w14:paraId="46C97F05" w14:textId="77777777" w:rsidR="0064223B" w:rsidRPr="008D2D71" w:rsidRDefault="0064223B" w:rsidP="001E5779">
      <w:pPr>
        <w:rPr>
          <w:rFonts w:ascii="Arial" w:hAnsi="Arial" w:cs="Arial"/>
        </w:rPr>
      </w:pPr>
      <w:r w:rsidRPr="008D2D71">
        <w:rPr>
          <w:rFonts w:ascii="Arial" w:hAnsi="Arial" w:cs="Arial"/>
        </w:rPr>
        <w:tab/>
      </w:r>
    </w:p>
    <w:p w14:paraId="3B1ABCE1" w14:textId="77777777" w:rsidR="0064223B" w:rsidRPr="008D2D71" w:rsidRDefault="0064223B" w:rsidP="001E5779">
      <w:pPr>
        <w:rPr>
          <w:rFonts w:ascii="Arial" w:hAnsi="Arial" w:cs="Arial"/>
        </w:rPr>
        <w:sectPr w:rsidR="0064223B" w:rsidRPr="008D2D71" w:rsidSect="002D251C">
          <w:pgSz w:w="11906" w:h="16838"/>
          <w:pgMar w:top="1122" w:right="1440" w:bottom="1440" w:left="1440" w:header="708" w:footer="708" w:gutter="0"/>
          <w:cols w:space="708"/>
          <w:docGrid w:linePitch="360"/>
        </w:sectPr>
      </w:pPr>
      <w:r w:rsidRPr="008D2D71">
        <w:rPr>
          <w:rFonts w:ascii="Arial" w:hAnsi="Arial" w:cs="Arial"/>
          <w:noProof/>
          <w:sz w:val="24"/>
          <w:szCs w:val="24"/>
          <w:lang w:val="en-US" w:eastAsia="zh-CN"/>
        </w:rPr>
        <mc:AlternateContent>
          <mc:Choice Requires="wps">
            <w:drawing>
              <wp:anchor distT="0" distB="0" distL="114300" distR="114300" simplePos="0" relativeHeight="251667456" behindDoc="0" locked="0" layoutInCell="1" allowOverlap="1" wp14:anchorId="5CF9FDFB" wp14:editId="7D91772C">
                <wp:simplePos x="0" y="0"/>
                <wp:positionH relativeFrom="margin">
                  <wp:posOffset>57150</wp:posOffset>
                </wp:positionH>
                <wp:positionV relativeFrom="paragraph">
                  <wp:posOffset>3894455</wp:posOffset>
                </wp:positionV>
                <wp:extent cx="2711450" cy="4070350"/>
                <wp:effectExtent l="0" t="0" r="19050" b="19050"/>
                <wp:wrapNone/>
                <wp:docPr id="9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4070350"/>
                        </a:xfrm>
                        <a:prstGeom prst="rect">
                          <a:avLst/>
                        </a:prstGeom>
                        <a:solidFill>
                          <a:srgbClr val="FFFFFF"/>
                        </a:solidFill>
                        <a:ln w="9525">
                          <a:solidFill>
                            <a:srgbClr val="000000"/>
                          </a:solidFill>
                          <a:miter lim="800000"/>
                          <a:headEnd/>
                          <a:tailEnd/>
                        </a:ln>
                      </wps:spPr>
                      <wps:txbx>
                        <w:txbxContent>
                          <w:p w14:paraId="699657C4" w14:textId="77777777" w:rsidR="0064223B" w:rsidRPr="00665AE4" w:rsidRDefault="0064223B" w:rsidP="001E5779">
                            <w:pPr>
                              <w:spacing w:after="120" w:line="240" w:lineRule="auto"/>
                              <w:rPr>
                                <w:rFonts w:ascii="Calibri" w:hAnsi="Calibri"/>
                                <w:sz w:val="20"/>
                                <w:szCs w:val="20"/>
                              </w:rPr>
                            </w:pPr>
                            <w:r w:rsidRPr="00665AE4">
                              <w:rPr>
                                <w:rFonts w:ascii="Calibri" w:hAnsi="Calibri"/>
                                <w:sz w:val="20"/>
                                <w:szCs w:val="20"/>
                              </w:rPr>
                              <w:t xml:space="preserve">Number of studies included in </w:t>
                            </w:r>
                            <w:r>
                              <w:rPr>
                                <w:rFonts w:ascii="Calibri" w:hAnsi="Calibri"/>
                                <w:sz w:val="20"/>
                                <w:szCs w:val="20"/>
                              </w:rPr>
                              <w:t xml:space="preserve">IPD </w:t>
                            </w:r>
                            <w:r w:rsidRPr="00665AE4">
                              <w:rPr>
                                <w:rFonts w:ascii="Calibri" w:hAnsi="Calibri"/>
                                <w:sz w:val="20"/>
                                <w:szCs w:val="20"/>
                              </w:rPr>
                              <w:t>analysis:</w:t>
                            </w:r>
                          </w:p>
                          <w:p w14:paraId="47B1DED5" w14:textId="77777777" w:rsidR="0064223B" w:rsidRPr="00665AE4" w:rsidRDefault="0064223B" w:rsidP="001E5779">
                            <w:pPr>
                              <w:spacing w:after="0" w:line="240" w:lineRule="auto"/>
                              <w:rPr>
                                <w:rFonts w:ascii="Calibri" w:hAnsi="Calibri"/>
                                <w:sz w:val="20"/>
                                <w:szCs w:val="20"/>
                              </w:rPr>
                            </w:pPr>
                            <w:r w:rsidRPr="00665AE4">
                              <w:rPr>
                                <w:rFonts w:ascii="Calibri" w:hAnsi="Calibri"/>
                                <w:sz w:val="20"/>
                                <w:szCs w:val="20"/>
                              </w:rPr>
                              <w:t xml:space="preserve">Mortality </w:t>
                            </w:r>
                            <w:r>
                              <w:rPr>
                                <w:rFonts w:ascii="Calibri" w:hAnsi="Calibri"/>
                                <w:sz w:val="20"/>
                                <w:szCs w:val="20"/>
                              </w:rPr>
                              <w:t>throughout study duration</w:t>
                            </w:r>
                          </w:p>
                          <w:p w14:paraId="0DBE690C" w14:textId="77777777" w:rsidR="0064223B" w:rsidRPr="00665AE4" w:rsidRDefault="0064223B" w:rsidP="001E5779">
                            <w:pPr>
                              <w:spacing w:after="0" w:line="240" w:lineRule="auto"/>
                              <w:ind w:left="142"/>
                              <w:rPr>
                                <w:rFonts w:ascii="Calibri" w:hAnsi="Calibri"/>
                                <w:sz w:val="20"/>
                                <w:szCs w:val="20"/>
                              </w:rPr>
                            </w:pPr>
                            <w:r>
                              <w:rPr>
                                <w:rFonts w:ascii="Calibri" w:hAnsi="Calibri"/>
                                <w:sz w:val="20"/>
                                <w:szCs w:val="20"/>
                              </w:rPr>
                              <w:t>Total studies included (n=14</w:t>
                            </w:r>
                            <w:r w:rsidRPr="00665AE4">
                              <w:rPr>
                                <w:rFonts w:ascii="Calibri" w:hAnsi="Calibri"/>
                                <w:sz w:val="20"/>
                                <w:szCs w:val="20"/>
                              </w:rPr>
                              <w:t>)</w:t>
                            </w:r>
                          </w:p>
                          <w:p w14:paraId="5CD0B8C4" w14:textId="77777777" w:rsidR="0064223B" w:rsidRPr="00665AE4" w:rsidRDefault="0064223B" w:rsidP="001E5779">
                            <w:pPr>
                              <w:spacing w:after="0" w:line="240" w:lineRule="auto"/>
                              <w:ind w:left="142"/>
                              <w:rPr>
                                <w:rFonts w:ascii="Calibri" w:hAnsi="Calibri"/>
                                <w:sz w:val="20"/>
                                <w:szCs w:val="20"/>
                              </w:rPr>
                            </w:pPr>
                            <w:r w:rsidRPr="00665AE4">
                              <w:rPr>
                                <w:rFonts w:ascii="Calibri" w:hAnsi="Calibri"/>
                                <w:sz w:val="20"/>
                                <w:szCs w:val="20"/>
                              </w:rPr>
                              <w:t>Tot</w:t>
                            </w:r>
                            <w:r>
                              <w:rPr>
                                <w:rFonts w:ascii="Calibri" w:hAnsi="Calibri"/>
                                <w:sz w:val="20"/>
                                <w:szCs w:val="20"/>
                              </w:rPr>
                              <w:t>al participants (n=8,278</w:t>
                            </w:r>
                            <w:r w:rsidRPr="00665AE4">
                              <w:rPr>
                                <w:rFonts w:ascii="Calibri" w:hAnsi="Calibri"/>
                                <w:sz w:val="20"/>
                                <w:szCs w:val="20"/>
                              </w:rPr>
                              <w:t>)</w:t>
                            </w:r>
                          </w:p>
                          <w:p w14:paraId="4E4D1503" w14:textId="77777777" w:rsidR="0064223B" w:rsidRDefault="0064223B" w:rsidP="001E5779">
                            <w:pPr>
                              <w:spacing w:after="0" w:line="240" w:lineRule="auto"/>
                              <w:rPr>
                                <w:rFonts w:ascii="Calibri" w:hAnsi="Calibri"/>
                                <w:sz w:val="20"/>
                                <w:szCs w:val="20"/>
                              </w:rPr>
                            </w:pPr>
                          </w:p>
                          <w:p w14:paraId="7E2BFDCF" w14:textId="77777777" w:rsidR="0064223B" w:rsidRPr="00665AE4" w:rsidRDefault="0064223B" w:rsidP="001E5779">
                            <w:pPr>
                              <w:spacing w:after="0" w:line="240" w:lineRule="auto"/>
                              <w:rPr>
                                <w:rFonts w:ascii="Calibri" w:hAnsi="Calibri"/>
                                <w:sz w:val="20"/>
                                <w:szCs w:val="20"/>
                              </w:rPr>
                            </w:pPr>
                            <w:r w:rsidRPr="00665AE4">
                              <w:rPr>
                                <w:rFonts w:ascii="Calibri" w:hAnsi="Calibri"/>
                                <w:sz w:val="20"/>
                                <w:szCs w:val="20"/>
                              </w:rPr>
                              <w:t xml:space="preserve">Mortality </w:t>
                            </w:r>
                            <w:r>
                              <w:rPr>
                                <w:rFonts w:ascii="Calibri" w:hAnsi="Calibri"/>
                                <w:sz w:val="20"/>
                                <w:szCs w:val="20"/>
                              </w:rPr>
                              <w:t>within 1 year</w:t>
                            </w:r>
                          </w:p>
                          <w:p w14:paraId="78B4F9B6" w14:textId="77777777" w:rsidR="0064223B" w:rsidRPr="00665AE4" w:rsidRDefault="0064223B" w:rsidP="001E5779">
                            <w:pPr>
                              <w:spacing w:after="0" w:line="240" w:lineRule="auto"/>
                              <w:ind w:left="142"/>
                              <w:rPr>
                                <w:rFonts w:ascii="Calibri" w:hAnsi="Calibri"/>
                                <w:sz w:val="20"/>
                                <w:szCs w:val="20"/>
                              </w:rPr>
                            </w:pPr>
                            <w:r>
                              <w:rPr>
                                <w:rFonts w:ascii="Calibri" w:hAnsi="Calibri"/>
                                <w:sz w:val="20"/>
                                <w:szCs w:val="20"/>
                              </w:rPr>
                              <w:t>Total studies included (n=14</w:t>
                            </w:r>
                            <w:r w:rsidRPr="00665AE4">
                              <w:rPr>
                                <w:rFonts w:ascii="Calibri" w:hAnsi="Calibri"/>
                                <w:sz w:val="20"/>
                                <w:szCs w:val="20"/>
                              </w:rPr>
                              <w:t>)</w:t>
                            </w:r>
                          </w:p>
                          <w:p w14:paraId="51DCC3B6" w14:textId="77777777" w:rsidR="0064223B" w:rsidRPr="00665AE4" w:rsidRDefault="0064223B" w:rsidP="001E5779">
                            <w:pPr>
                              <w:spacing w:after="0" w:line="240" w:lineRule="auto"/>
                              <w:ind w:left="142"/>
                              <w:rPr>
                                <w:rFonts w:ascii="Calibri" w:hAnsi="Calibri"/>
                                <w:sz w:val="20"/>
                                <w:szCs w:val="20"/>
                              </w:rPr>
                            </w:pPr>
                            <w:r w:rsidRPr="00665AE4">
                              <w:rPr>
                                <w:rFonts w:ascii="Calibri" w:hAnsi="Calibri"/>
                                <w:sz w:val="20"/>
                                <w:szCs w:val="20"/>
                              </w:rPr>
                              <w:t>Tot</w:t>
                            </w:r>
                            <w:r>
                              <w:rPr>
                                <w:rFonts w:ascii="Calibri" w:hAnsi="Calibri"/>
                                <w:sz w:val="20"/>
                                <w:szCs w:val="20"/>
                              </w:rPr>
                              <w:t>al participants (n=6,898</w:t>
                            </w:r>
                            <w:r w:rsidRPr="00665AE4">
                              <w:rPr>
                                <w:rFonts w:ascii="Calibri" w:hAnsi="Calibri"/>
                                <w:sz w:val="20"/>
                                <w:szCs w:val="20"/>
                              </w:rPr>
                              <w:t>)</w:t>
                            </w:r>
                          </w:p>
                          <w:p w14:paraId="1D4CFC0E" w14:textId="77777777" w:rsidR="0064223B" w:rsidRPr="00665AE4" w:rsidRDefault="0064223B" w:rsidP="001E5779">
                            <w:pPr>
                              <w:spacing w:after="0" w:line="240" w:lineRule="auto"/>
                              <w:ind w:left="142"/>
                              <w:rPr>
                                <w:rFonts w:ascii="Calibri" w:hAnsi="Calibri"/>
                                <w:sz w:val="20"/>
                                <w:szCs w:val="20"/>
                              </w:rPr>
                            </w:pPr>
                          </w:p>
                          <w:p w14:paraId="2D6E5DE2" w14:textId="77777777" w:rsidR="0064223B" w:rsidRPr="00665AE4" w:rsidRDefault="0064223B" w:rsidP="001E5779">
                            <w:pPr>
                              <w:spacing w:after="0" w:line="240" w:lineRule="auto"/>
                              <w:rPr>
                                <w:rFonts w:ascii="Calibri" w:hAnsi="Calibri"/>
                                <w:sz w:val="20"/>
                                <w:szCs w:val="20"/>
                              </w:rPr>
                            </w:pPr>
                            <w:r>
                              <w:rPr>
                                <w:rFonts w:ascii="Calibri" w:hAnsi="Calibri"/>
                                <w:sz w:val="20"/>
                                <w:szCs w:val="20"/>
                              </w:rPr>
                              <w:t>Venous thromboembolism</w:t>
                            </w:r>
                          </w:p>
                          <w:p w14:paraId="7E1474CC" w14:textId="77777777" w:rsidR="0064223B" w:rsidRPr="00665AE4" w:rsidRDefault="0064223B" w:rsidP="001E5779">
                            <w:pPr>
                              <w:spacing w:after="0" w:line="240" w:lineRule="auto"/>
                              <w:ind w:left="142"/>
                              <w:rPr>
                                <w:rFonts w:ascii="Calibri" w:hAnsi="Calibri"/>
                                <w:sz w:val="20"/>
                                <w:szCs w:val="20"/>
                              </w:rPr>
                            </w:pPr>
                            <w:r>
                              <w:rPr>
                                <w:rFonts w:ascii="Calibri" w:hAnsi="Calibri"/>
                                <w:sz w:val="20"/>
                                <w:szCs w:val="20"/>
                              </w:rPr>
                              <w:t>Total studies included (n=12</w:t>
                            </w:r>
                            <w:r w:rsidRPr="00665AE4">
                              <w:rPr>
                                <w:rFonts w:ascii="Calibri" w:hAnsi="Calibri"/>
                                <w:sz w:val="20"/>
                                <w:szCs w:val="20"/>
                              </w:rPr>
                              <w:t>)</w:t>
                            </w:r>
                          </w:p>
                          <w:p w14:paraId="71D1C42C" w14:textId="77777777" w:rsidR="0064223B" w:rsidRPr="00665AE4" w:rsidRDefault="0064223B" w:rsidP="001E5779">
                            <w:pPr>
                              <w:spacing w:after="0" w:line="240" w:lineRule="auto"/>
                              <w:ind w:left="142"/>
                              <w:rPr>
                                <w:rFonts w:ascii="Calibri" w:hAnsi="Calibri"/>
                                <w:sz w:val="20"/>
                                <w:szCs w:val="20"/>
                              </w:rPr>
                            </w:pPr>
                            <w:r w:rsidRPr="00665AE4">
                              <w:rPr>
                                <w:rFonts w:ascii="Calibri" w:hAnsi="Calibri"/>
                                <w:sz w:val="20"/>
                                <w:szCs w:val="20"/>
                              </w:rPr>
                              <w:t>To</w:t>
                            </w:r>
                            <w:r>
                              <w:rPr>
                                <w:rFonts w:ascii="Calibri" w:hAnsi="Calibri"/>
                                <w:sz w:val="20"/>
                                <w:szCs w:val="20"/>
                              </w:rPr>
                              <w:t>tal participants (n=7,</w:t>
                            </w:r>
                            <w:r w:rsidRPr="00665AE4">
                              <w:rPr>
                                <w:rFonts w:ascii="Calibri" w:hAnsi="Calibri"/>
                                <w:sz w:val="20"/>
                                <w:szCs w:val="20"/>
                              </w:rPr>
                              <w:t>9</w:t>
                            </w:r>
                            <w:r>
                              <w:rPr>
                                <w:rFonts w:ascii="Calibri" w:hAnsi="Calibri"/>
                                <w:sz w:val="20"/>
                                <w:szCs w:val="20"/>
                              </w:rPr>
                              <w:t>1</w:t>
                            </w:r>
                            <w:r w:rsidRPr="00665AE4">
                              <w:rPr>
                                <w:rFonts w:ascii="Calibri" w:hAnsi="Calibri"/>
                                <w:sz w:val="20"/>
                                <w:szCs w:val="20"/>
                              </w:rPr>
                              <w:t>5)</w:t>
                            </w:r>
                          </w:p>
                          <w:p w14:paraId="175FB4D0" w14:textId="77777777" w:rsidR="0064223B" w:rsidRPr="00665AE4" w:rsidRDefault="0064223B" w:rsidP="001E5779">
                            <w:pPr>
                              <w:spacing w:after="0" w:line="240" w:lineRule="auto"/>
                              <w:rPr>
                                <w:rFonts w:ascii="Calibri" w:hAnsi="Calibri"/>
                                <w:sz w:val="20"/>
                                <w:szCs w:val="20"/>
                              </w:rPr>
                            </w:pPr>
                          </w:p>
                          <w:p w14:paraId="4DA84789" w14:textId="77777777" w:rsidR="0064223B" w:rsidRPr="00665AE4" w:rsidRDefault="0064223B" w:rsidP="001E5779">
                            <w:pPr>
                              <w:spacing w:after="0" w:line="240" w:lineRule="auto"/>
                              <w:rPr>
                                <w:rFonts w:ascii="Calibri" w:hAnsi="Calibri"/>
                                <w:sz w:val="20"/>
                                <w:szCs w:val="20"/>
                              </w:rPr>
                            </w:pPr>
                            <w:r>
                              <w:rPr>
                                <w:rFonts w:ascii="Calibri" w:hAnsi="Calibri"/>
                                <w:sz w:val="20"/>
                                <w:szCs w:val="20"/>
                              </w:rPr>
                              <w:t>Major b</w:t>
                            </w:r>
                            <w:r w:rsidRPr="00665AE4">
                              <w:rPr>
                                <w:rFonts w:ascii="Calibri" w:hAnsi="Calibri"/>
                                <w:sz w:val="20"/>
                                <w:szCs w:val="20"/>
                              </w:rPr>
                              <w:t>leeding</w:t>
                            </w:r>
                          </w:p>
                          <w:p w14:paraId="4BCD208B" w14:textId="77777777" w:rsidR="0064223B" w:rsidRPr="00665AE4" w:rsidRDefault="0064223B" w:rsidP="001E5779">
                            <w:pPr>
                              <w:spacing w:after="0" w:line="240" w:lineRule="auto"/>
                              <w:ind w:left="142"/>
                              <w:rPr>
                                <w:rFonts w:ascii="Calibri" w:hAnsi="Calibri"/>
                                <w:sz w:val="20"/>
                                <w:szCs w:val="20"/>
                              </w:rPr>
                            </w:pPr>
                            <w:r>
                              <w:rPr>
                                <w:rFonts w:ascii="Calibri" w:hAnsi="Calibri"/>
                                <w:sz w:val="20"/>
                                <w:szCs w:val="20"/>
                              </w:rPr>
                              <w:t>Total studies included (n=14</w:t>
                            </w:r>
                            <w:r w:rsidRPr="00665AE4">
                              <w:rPr>
                                <w:rFonts w:ascii="Calibri" w:hAnsi="Calibri"/>
                                <w:sz w:val="20"/>
                                <w:szCs w:val="20"/>
                              </w:rPr>
                              <w:t>)</w:t>
                            </w:r>
                          </w:p>
                          <w:p w14:paraId="1766632B" w14:textId="77777777" w:rsidR="0064223B" w:rsidRDefault="0064223B" w:rsidP="001E5779">
                            <w:pPr>
                              <w:spacing w:after="0" w:line="240" w:lineRule="auto"/>
                              <w:ind w:left="142"/>
                              <w:rPr>
                                <w:rFonts w:ascii="Calibri" w:hAnsi="Calibri"/>
                                <w:sz w:val="20"/>
                                <w:szCs w:val="20"/>
                              </w:rPr>
                            </w:pPr>
                            <w:r w:rsidRPr="00665AE4">
                              <w:rPr>
                                <w:rFonts w:ascii="Calibri" w:hAnsi="Calibri"/>
                                <w:sz w:val="20"/>
                                <w:szCs w:val="20"/>
                              </w:rPr>
                              <w:t>Total participants (n=8,274)</w:t>
                            </w:r>
                          </w:p>
                          <w:p w14:paraId="4DF726F6" w14:textId="77777777" w:rsidR="0064223B" w:rsidRDefault="0064223B" w:rsidP="001E5779">
                            <w:pPr>
                              <w:spacing w:after="0" w:line="240" w:lineRule="auto"/>
                              <w:ind w:left="142"/>
                              <w:rPr>
                                <w:rFonts w:ascii="Calibri" w:hAnsi="Calibri"/>
                                <w:sz w:val="20"/>
                                <w:szCs w:val="20"/>
                              </w:rPr>
                            </w:pPr>
                          </w:p>
                          <w:p w14:paraId="1D9E8A01" w14:textId="77777777" w:rsidR="0064223B" w:rsidRPr="00665AE4" w:rsidRDefault="0064223B" w:rsidP="002D251C">
                            <w:pPr>
                              <w:spacing w:after="0" w:line="240" w:lineRule="auto"/>
                              <w:rPr>
                                <w:rFonts w:ascii="Calibri" w:hAnsi="Calibri"/>
                                <w:sz w:val="20"/>
                                <w:szCs w:val="20"/>
                              </w:rPr>
                            </w:pPr>
                            <w:r>
                              <w:rPr>
                                <w:rFonts w:ascii="Calibri" w:hAnsi="Calibri"/>
                                <w:sz w:val="20"/>
                                <w:szCs w:val="20"/>
                              </w:rPr>
                              <w:t>Minor bleeding</w:t>
                            </w:r>
                          </w:p>
                          <w:p w14:paraId="66210BA6" w14:textId="77777777" w:rsidR="0064223B" w:rsidRPr="00665AE4" w:rsidRDefault="0064223B" w:rsidP="009107CE">
                            <w:pPr>
                              <w:spacing w:after="0" w:line="240" w:lineRule="auto"/>
                              <w:ind w:left="142"/>
                              <w:rPr>
                                <w:rFonts w:ascii="Calibri" w:hAnsi="Calibri"/>
                                <w:sz w:val="20"/>
                                <w:szCs w:val="20"/>
                              </w:rPr>
                            </w:pPr>
                            <w:r>
                              <w:rPr>
                                <w:rFonts w:ascii="Calibri" w:hAnsi="Calibri"/>
                                <w:sz w:val="20"/>
                                <w:szCs w:val="20"/>
                              </w:rPr>
                              <w:t>Total studies included (n=12</w:t>
                            </w:r>
                            <w:r w:rsidRPr="00665AE4">
                              <w:rPr>
                                <w:rFonts w:ascii="Calibri" w:hAnsi="Calibri"/>
                                <w:sz w:val="20"/>
                                <w:szCs w:val="20"/>
                              </w:rPr>
                              <w:t>)</w:t>
                            </w:r>
                          </w:p>
                          <w:p w14:paraId="1CC8BD7E" w14:textId="77777777" w:rsidR="0064223B" w:rsidRDefault="0064223B" w:rsidP="00D5755B">
                            <w:pPr>
                              <w:spacing w:after="0" w:line="240" w:lineRule="auto"/>
                              <w:ind w:firstLine="142"/>
                              <w:rPr>
                                <w:rFonts w:ascii="Calibri" w:hAnsi="Calibri"/>
                                <w:sz w:val="20"/>
                                <w:szCs w:val="20"/>
                              </w:rPr>
                            </w:pPr>
                            <w:r w:rsidRPr="00665AE4">
                              <w:rPr>
                                <w:rFonts w:ascii="Calibri" w:hAnsi="Calibri"/>
                                <w:sz w:val="20"/>
                                <w:szCs w:val="20"/>
                              </w:rPr>
                              <w:t>Total participants (n=</w:t>
                            </w:r>
                            <w:r>
                              <w:rPr>
                                <w:rFonts w:ascii="Calibri" w:hAnsi="Calibri"/>
                                <w:sz w:val="20"/>
                                <w:szCs w:val="20"/>
                              </w:rPr>
                              <w:t>7,882</w:t>
                            </w:r>
                            <w:r w:rsidRPr="00665AE4">
                              <w:rPr>
                                <w:rFonts w:ascii="Calibri" w:hAnsi="Calibri"/>
                                <w:sz w:val="20"/>
                                <w:szCs w:val="20"/>
                              </w:rPr>
                              <w:t>)</w:t>
                            </w:r>
                          </w:p>
                          <w:p w14:paraId="5C1A4A9C" w14:textId="77777777" w:rsidR="0064223B" w:rsidRPr="00665AE4" w:rsidRDefault="0064223B" w:rsidP="002D251C">
                            <w:pPr>
                              <w:spacing w:after="0" w:line="240" w:lineRule="auto"/>
                              <w:ind w:firstLine="142"/>
                              <w:rPr>
                                <w:rFonts w:ascii="Calibri" w:hAnsi="Calibri"/>
                                <w:sz w:val="20"/>
                                <w:szCs w:val="20"/>
                              </w:rPr>
                            </w:pPr>
                          </w:p>
                          <w:p w14:paraId="77AD3994" w14:textId="77777777" w:rsidR="0064223B" w:rsidRPr="00665AE4" w:rsidRDefault="0064223B" w:rsidP="001E5779">
                            <w:pPr>
                              <w:spacing w:after="0" w:line="240" w:lineRule="auto"/>
                              <w:rPr>
                                <w:rFonts w:ascii="Calibri" w:hAnsi="Calibri"/>
                                <w:sz w:val="20"/>
                                <w:szCs w:val="20"/>
                              </w:rPr>
                            </w:pPr>
                            <w:r w:rsidRPr="00665AE4">
                              <w:rPr>
                                <w:rFonts w:ascii="Calibri" w:hAnsi="Calibri"/>
                                <w:sz w:val="20"/>
                                <w:szCs w:val="20"/>
                              </w:rPr>
                              <w:t>Thrombocytopenia</w:t>
                            </w:r>
                          </w:p>
                          <w:p w14:paraId="4B86ED15" w14:textId="77777777" w:rsidR="0064223B" w:rsidRPr="00665AE4" w:rsidRDefault="0064223B" w:rsidP="001E5779">
                            <w:pPr>
                              <w:spacing w:after="0" w:line="240" w:lineRule="auto"/>
                              <w:ind w:left="142"/>
                              <w:rPr>
                                <w:rFonts w:ascii="Calibri" w:hAnsi="Calibri"/>
                                <w:sz w:val="20"/>
                                <w:szCs w:val="20"/>
                              </w:rPr>
                            </w:pPr>
                            <w:r>
                              <w:rPr>
                                <w:rFonts w:ascii="Calibri" w:hAnsi="Calibri"/>
                                <w:sz w:val="20"/>
                                <w:szCs w:val="20"/>
                              </w:rPr>
                              <w:t>Total studies included (n=11</w:t>
                            </w:r>
                            <w:r w:rsidRPr="00665AE4">
                              <w:rPr>
                                <w:rFonts w:ascii="Calibri" w:hAnsi="Calibri"/>
                                <w:sz w:val="20"/>
                                <w:szCs w:val="20"/>
                              </w:rPr>
                              <w:t>)</w:t>
                            </w:r>
                          </w:p>
                          <w:p w14:paraId="12422476" w14:textId="77777777" w:rsidR="0064223B" w:rsidRPr="00665AE4" w:rsidRDefault="0064223B" w:rsidP="001E5779">
                            <w:pPr>
                              <w:spacing w:after="0" w:line="240" w:lineRule="auto"/>
                              <w:ind w:left="142"/>
                              <w:rPr>
                                <w:rFonts w:ascii="Calibri" w:hAnsi="Calibri"/>
                                <w:sz w:val="20"/>
                                <w:szCs w:val="20"/>
                              </w:rPr>
                            </w:pPr>
                            <w:r w:rsidRPr="00665AE4">
                              <w:rPr>
                                <w:rFonts w:ascii="Calibri" w:hAnsi="Calibri"/>
                                <w:sz w:val="20"/>
                                <w:szCs w:val="20"/>
                              </w:rPr>
                              <w:t>Total participants (n=5,641)</w:t>
                            </w:r>
                          </w:p>
                          <w:p w14:paraId="0E7D7094" w14:textId="77777777" w:rsidR="0064223B" w:rsidRDefault="0064223B" w:rsidP="001E5779">
                            <w:pPr>
                              <w:spacing w:after="0" w:line="240" w:lineRule="auto"/>
                              <w:rPr>
                                <w:rFonts w:ascii="Calibri" w:hAnsi="Calibri"/>
                                <w:sz w:val="20"/>
                                <w:szCs w:val="20"/>
                              </w:rPr>
                            </w:pPr>
                          </w:p>
                          <w:p w14:paraId="7D548998" w14:textId="77777777" w:rsidR="0064223B" w:rsidRDefault="0064223B" w:rsidP="001E5779">
                            <w:pPr>
                              <w:spacing w:after="0" w:line="240" w:lineRule="auto"/>
                              <w:jc w:val="center"/>
                              <w:rPr>
                                <w:rFonts w:ascii="Calibri" w:hAnsi="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9FDFB" id="Rectangle 15" o:spid="_x0000_s1029" style="position:absolute;margin-left:4.5pt;margin-top:306.65pt;width:213.5pt;height:32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">
                <v:textbox inset=",7.2pt,,7.2pt">
                  <w:txbxContent>
                    <w:p w14:paraId="699657C4" w14:textId="77777777" w:rsidR="0064223B" w:rsidRPr="00665AE4" w:rsidRDefault="0064223B" w:rsidP="001E5779">
                      <w:pPr>
                        <w:spacing w:after="120" w:line="240" w:lineRule="auto"/>
                        <w:rPr>
                          <w:rFonts w:ascii="Calibri" w:hAnsi="Calibri"/>
                          <w:sz w:val="20"/>
                          <w:szCs w:val="20"/>
                        </w:rPr>
                      </w:pPr>
                      <w:r w:rsidRPr="00665AE4">
                        <w:rPr>
                          <w:rFonts w:ascii="Calibri" w:hAnsi="Calibri"/>
                          <w:sz w:val="20"/>
                          <w:szCs w:val="20"/>
                        </w:rPr>
                        <w:t xml:space="preserve">Number of studies included in </w:t>
                      </w:r>
                      <w:r>
                        <w:rPr>
                          <w:rFonts w:ascii="Calibri" w:hAnsi="Calibri"/>
                          <w:sz w:val="20"/>
                          <w:szCs w:val="20"/>
                        </w:rPr>
                        <w:t xml:space="preserve">IPD </w:t>
                      </w:r>
                      <w:r w:rsidRPr="00665AE4">
                        <w:rPr>
                          <w:rFonts w:ascii="Calibri" w:hAnsi="Calibri"/>
                          <w:sz w:val="20"/>
                          <w:szCs w:val="20"/>
                        </w:rPr>
                        <w:t>analysis:</w:t>
                      </w:r>
                    </w:p>
                    <w:p w14:paraId="47B1DED5" w14:textId="77777777" w:rsidR="0064223B" w:rsidRPr="00665AE4" w:rsidRDefault="0064223B" w:rsidP="001E5779">
                      <w:pPr>
                        <w:spacing w:after="0" w:line="240" w:lineRule="auto"/>
                        <w:rPr>
                          <w:rFonts w:ascii="Calibri" w:hAnsi="Calibri"/>
                          <w:sz w:val="20"/>
                          <w:szCs w:val="20"/>
                        </w:rPr>
                      </w:pPr>
                      <w:r w:rsidRPr="00665AE4">
                        <w:rPr>
                          <w:rFonts w:ascii="Calibri" w:hAnsi="Calibri"/>
                          <w:sz w:val="20"/>
                          <w:szCs w:val="20"/>
                        </w:rPr>
                        <w:t xml:space="preserve">Mortality </w:t>
                      </w:r>
                      <w:r>
                        <w:rPr>
                          <w:rFonts w:ascii="Calibri" w:hAnsi="Calibri"/>
                          <w:sz w:val="20"/>
                          <w:szCs w:val="20"/>
                        </w:rPr>
                        <w:t>throughout study duration</w:t>
                      </w:r>
                    </w:p>
                    <w:p w14:paraId="0DBE690C" w14:textId="77777777" w:rsidR="0064223B" w:rsidRPr="00665AE4" w:rsidRDefault="0064223B" w:rsidP="001E5779">
                      <w:pPr>
                        <w:spacing w:after="0" w:line="240" w:lineRule="auto"/>
                        <w:ind w:left="142"/>
                        <w:rPr>
                          <w:rFonts w:ascii="Calibri" w:hAnsi="Calibri"/>
                          <w:sz w:val="20"/>
                          <w:szCs w:val="20"/>
                        </w:rPr>
                      </w:pPr>
                      <w:r>
                        <w:rPr>
                          <w:rFonts w:ascii="Calibri" w:hAnsi="Calibri"/>
                          <w:sz w:val="20"/>
                          <w:szCs w:val="20"/>
                        </w:rPr>
                        <w:t>Total studies included (n=14</w:t>
                      </w:r>
                      <w:r w:rsidRPr="00665AE4">
                        <w:rPr>
                          <w:rFonts w:ascii="Calibri" w:hAnsi="Calibri"/>
                          <w:sz w:val="20"/>
                          <w:szCs w:val="20"/>
                        </w:rPr>
                        <w:t>)</w:t>
                      </w:r>
                    </w:p>
                    <w:p w14:paraId="5CD0B8C4" w14:textId="77777777" w:rsidR="0064223B" w:rsidRPr="00665AE4" w:rsidRDefault="0064223B" w:rsidP="001E5779">
                      <w:pPr>
                        <w:spacing w:after="0" w:line="240" w:lineRule="auto"/>
                        <w:ind w:left="142"/>
                        <w:rPr>
                          <w:rFonts w:ascii="Calibri" w:hAnsi="Calibri"/>
                          <w:sz w:val="20"/>
                          <w:szCs w:val="20"/>
                        </w:rPr>
                      </w:pPr>
                      <w:r w:rsidRPr="00665AE4">
                        <w:rPr>
                          <w:rFonts w:ascii="Calibri" w:hAnsi="Calibri"/>
                          <w:sz w:val="20"/>
                          <w:szCs w:val="20"/>
                        </w:rPr>
                        <w:t>Tot</w:t>
                      </w:r>
                      <w:r>
                        <w:rPr>
                          <w:rFonts w:ascii="Calibri" w:hAnsi="Calibri"/>
                          <w:sz w:val="20"/>
                          <w:szCs w:val="20"/>
                        </w:rPr>
                        <w:t>al participants (n=8,278</w:t>
                      </w:r>
                      <w:r w:rsidRPr="00665AE4">
                        <w:rPr>
                          <w:rFonts w:ascii="Calibri" w:hAnsi="Calibri"/>
                          <w:sz w:val="20"/>
                          <w:szCs w:val="20"/>
                        </w:rPr>
                        <w:t>)</w:t>
                      </w:r>
                    </w:p>
                    <w:p w14:paraId="4E4D1503" w14:textId="77777777" w:rsidR="0064223B" w:rsidRDefault="0064223B" w:rsidP="001E5779">
                      <w:pPr>
                        <w:spacing w:after="0" w:line="240" w:lineRule="auto"/>
                        <w:rPr>
                          <w:rFonts w:ascii="Calibri" w:hAnsi="Calibri"/>
                          <w:sz w:val="20"/>
                          <w:szCs w:val="20"/>
                        </w:rPr>
                      </w:pPr>
                    </w:p>
                    <w:p w14:paraId="7E2BFDCF" w14:textId="77777777" w:rsidR="0064223B" w:rsidRPr="00665AE4" w:rsidRDefault="0064223B" w:rsidP="001E5779">
                      <w:pPr>
                        <w:spacing w:after="0" w:line="240" w:lineRule="auto"/>
                        <w:rPr>
                          <w:rFonts w:ascii="Calibri" w:hAnsi="Calibri"/>
                          <w:sz w:val="20"/>
                          <w:szCs w:val="20"/>
                        </w:rPr>
                      </w:pPr>
                      <w:r w:rsidRPr="00665AE4">
                        <w:rPr>
                          <w:rFonts w:ascii="Calibri" w:hAnsi="Calibri"/>
                          <w:sz w:val="20"/>
                          <w:szCs w:val="20"/>
                        </w:rPr>
                        <w:t xml:space="preserve">Mortality </w:t>
                      </w:r>
                      <w:r>
                        <w:rPr>
                          <w:rFonts w:ascii="Calibri" w:hAnsi="Calibri"/>
                          <w:sz w:val="20"/>
                          <w:szCs w:val="20"/>
                        </w:rPr>
                        <w:t>within 1 year</w:t>
                      </w:r>
                    </w:p>
                    <w:p w14:paraId="78B4F9B6" w14:textId="77777777" w:rsidR="0064223B" w:rsidRPr="00665AE4" w:rsidRDefault="0064223B" w:rsidP="001E5779">
                      <w:pPr>
                        <w:spacing w:after="0" w:line="240" w:lineRule="auto"/>
                        <w:ind w:left="142"/>
                        <w:rPr>
                          <w:rFonts w:ascii="Calibri" w:hAnsi="Calibri"/>
                          <w:sz w:val="20"/>
                          <w:szCs w:val="20"/>
                        </w:rPr>
                      </w:pPr>
                      <w:r>
                        <w:rPr>
                          <w:rFonts w:ascii="Calibri" w:hAnsi="Calibri"/>
                          <w:sz w:val="20"/>
                          <w:szCs w:val="20"/>
                        </w:rPr>
                        <w:t>Total studies included (n=14</w:t>
                      </w:r>
                      <w:r w:rsidRPr="00665AE4">
                        <w:rPr>
                          <w:rFonts w:ascii="Calibri" w:hAnsi="Calibri"/>
                          <w:sz w:val="20"/>
                          <w:szCs w:val="20"/>
                        </w:rPr>
                        <w:t>)</w:t>
                      </w:r>
                    </w:p>
                    <w:p w14:paraId="51DCC3B6" w14:textId="77777777" w:rsidR="0064223B" w:rsidRPr="00665AE4" w:rsidRDefault="0064223B" w:rsidP="001E5779">
                      <w:pPr>
                        <w:spacing w:after="0" w:line="240" w:lineRule="auto"/>
                        <w:ind w:left="142"/>
                        <w:rPr>
                          <w:rFonts w:ascii="Calibri" w:hAnsi="Calibri"/>
                          <w:sz w:val="20"/>
                          <w:szCs w:val="20"/>
                        </w:rPr>
                      </w:pPr>
                      <w:r w:rsidRPr="00665AE4">
                        <w:rPr>
                          <w:rFonts w:ascii="Calibri" w:hAnsi="Calibri"/>
                          <w:sz w:val="20"/>
                          <w:szCs w:val="20"/>
                        </w:rPr>
                        <w:t>Tot</w:t>
                      </w:r>
                      <w:r>
                        <w:rPr>
                          <w:rFonts w:ascii="Calibri" w:hAnsi="Calibri"/>
                          <w:sz w:val="20"/>
                          <w:szCs w:val="20"/>
                        </w:rPr>
                        <w:t>al participants (n=6,898</w:t>
                      </w:r>
                      <w:r w:rsidRPr="00665AE4">
                        <w:rPr>
                          <w:rFonts w:ascii="Calibri" w:hAnsi="Calibri"/>
                          <w:sz w:val="20"/>
                          <w:szCs w:val="20"/>
                        </w:rPr>
                        <w:t>)</w:t>
                      </w:r>
                    </w:p>
                    <w:p w14:paraId="1D4CFC0E" w14:textId="77777777" w:rsidR="0064223B" w:rsidRPr="00665AE4" w:rsidRDefault="0064223B" w:rsidP="001E5779">
                      <w:pPr>
                        <w:spacing w:after="0" w:line="240" w:lineRule="auto"/>
                        <w:ind w:left="142"/>
                        <w:rPr>
                          <w:rFonts w:ascii="Calibri" w:hAnsi="Calibri"/>
                          <w:sz w:val="20"/>
                          <w:szCs w:val="20"/>
                        </w:rPr>
                      </w:pPr>
                    </w:p>
                    <w:p w14:paraId="2D6E5DE2" w14:textId="77777777" w:rsidR="0064223B" w:rsidRPr="00665AE4" w:rsidRDefault="0064223B" w:rsidP="001E5779">
                      <w:pPr>
                        <w:spacing w:after="0" w:line="240" w:lineRule="auto"/>
                        <w:rPr>
                          <w:rFonts w:ascii="Calibri" w:hAnsi="Calibri"/>
                          <w:sz w:val="20"/>
                          <w:szCs w:val="20"/>
                        </w:rPr>
                      </w:pPr>
                      <w:r>
                        <w:rPr>
                          <w:rFonts w:ascii="Calibri" w:hAnsi="Calibri"/>
                          <w:sz w:val="20"/>
                          <w:szCs w:val="20"/>
                        </w:rPr>
                        <w:t>Venous thromboembolism</w:t>
                      </w:r>
                    </w:p>
                    <w:p w14:paraId="7E1474CC" w14:textId="77777777" w:rsidR="0064223B" w:rsidRPr="00665AE4" w:rsidRDefault="0064223B" w:rsidP="001E5779">
                      <w:pPr>
                        <w:spacing w:after="0" w:line="240" w:lineRule="auto"/>
                        <w:ind w:left="142"/>
                        <w:rPr>
                          <w:rFonts w:ascii="Calibri" w:hAnsi="Calibri"/>
                          <w:sz w:val="20"/>
                          <w:szCs w:val="20"/>
                        </w:rPr>
                      </w:pPr>
                      <w:r>
                        <w:rPr>
                          <w:rFonts w:ascii="Calibri" w:hAnsi="Calibri"/>
                          <w:sz w:val="20"/>
                          <w:szCs w:val="20"/>
                        </w:rPr>
                        <w:t>Total studies included (n=12</w:t>
                      </w:r>
                      <w:r w:rsidRPr="00665AE4">
                        <w:rPr>
                          <w:rFonts w:ascii="Calibri" w:hAnsi="Calibri"/>
                          <w:sz w:val="20"/>
                          <w:szCs w:val="20"/>
                        </w:rPr>
                        <w:t>)</w:t>
                      </w:r>
                    </w:p>
                    <w:p w14:paraId="71D1C42C" w14:textId="77777777" w:rsidR="0064223B" w:rsidRPr="00665AE4" w:rsidRDefault="0064223B" w:rsidP="001E5779">
                      <w:pPr>
                        <w:spacing w:after="0" w:line="240" w:lineRule="auto"/>
                        <w:ind w:left="142"/>
                        <w:rPr>
                          <w:rFonts w:ascii="Calibri" w:hAnsi="Calibri"/>
                          <w:sz w:val="20"/>
                          <w:szCs w:val="20"/>
                        </w:rPr>
                      </w:pPr>
                      <w:r w:rsidRPr="00665AE4">
                        <w:rPr>
                          <w:rFonts w:ascii="Calibri" w:hAnsi="Calibri"/>
                          <w:sz w:val="20"/>
                          <w:szCs w:val="20"/>
                        </w:rPr>
                        <w:t>To</w:t>
                      </w:r>
                      <w:r>
                        <w:rPr>
                          <w:rFonts w:ascii="Calibri" w:hAnsi="Calibri"/>
                          <w:sz w:val="20"/>
                          <w:szCs w:val="20"/>
                        </w:rPr>
                        <w:t>tal participants (n=7,</w:t>
                      </w:r>
                      <w:r w:rsidRPr="00665AE4">
                        <w:rPr>
                          <w:rFonts w:ascii="Calibri" w:hAnsi="Calibri"/>
                          <w:sz w:val="20"/>
                          <w:szCs w:val="20"/>
                        </w:rPr>
                        <w:t>9</w:t>
                      </w:r>
                      <w:r>
                        <w:rPr>
                          <w:rFonts w:ascii="Calibri" w:hAnsi="Calibri"/>
                          <w:sz w:val="20"/>
                          <w:szCs w:val="20"/>
                        </w:rPr>
                        <w:t>1</w:t>
                      </w:r>
                      <w:r w:rsidRPr="00665AE4">
                        <w:rPr>
                          <w:rFonts w:ascii="Calibri" w:hAnsi="Calibri"/>
                          <w:sz w:val="20"/>
                          <w:szCs w:val="20"/>
                        </w:rPr>
                        <w:t>5)</w:t>
                      </w:r>
                    </w:p>
                    <w:p w14:paraId="175FB4D0" w14:textId="77777777" w:rsidR="0064223B" w:rsidRPr="00665AE4" w:rsidRDefault="0064223B" w:rsidP="001E5779">
                      <w:pPr>
                        <w:spacing w:after="0" w:line="240" w:lineRule="auto"/>
                        <w:rPr>
                          <w:rFonts w:ascii="Calibri" w:hAnsi="Calibri"/>
                          <w:sz w:val="20"/>
                          <w:szCs w:val="20"/>
                        </w:rPr>
                      </w:pPr>
                    </w:p>
                    <w:p w14:paraId="4DA84789" w14:textId="77777777" w:rsidR="0064223B" w:rsidRPr="00665AE4" w:rsidRDefault="0064223B" w:rsidP="001E5779">
                      <w:pPr>
                        <w:spacing w:after="0" w:line="240" w:lineRule="auto"/>
                        <w:rPr>
                          <w:rFonts w:ascii="Calibri" w:hAnsi="Calibri"/>
                          <w:sz w:val="20"/>
                          <w:szCs w:val="20"/>
                        </w:rPr>
                      </w:pPr>
                      <w:r>
                        <w:rPr>
                          <w:rFonts w:ascii="Calibri" w:hAnsi="Calibri"/>
                          <w:sz w:val="20"/>
                          <w:szCs w:val="20"/>
                        </w:rPr>
                        <w:t>Major b</w:t>
                      </w:r>
                      <w:r w:rsidRPr="00665AE4">
                        <w:rPr>
                          <w:rFonts w:ascii="Calibri" w:hAnsi="Calibri"/>
                          <w:sz w:val="20"/>
                          <w:szCs w:val="20"/>
                        </w:rPr>
                        <w:t>leeding</w:t>
                      </w:r>
                    </w:p>
                    <w:p w14:paraId="4BCD208B" w14:textId="77777777" w:rsidR="0064223B" w:rsidRPr="00665AE4" w:rsidRDefault="0064223B" w:rsidP="001E5779">
                      <w:pPr>
                        <w:spacing w:after="0" w:line="240" w:lineRule="auto"/>
                        <w:ind w:left="142"/>
                        <w:rPr>
                          <w:rFonts w:ascii="Calibri" w:hAnsi="Calibri"/>
                          <w:sz w:val="20"/>
                          <w:szCs w:val="20"/>
                        </w:rPr>
                      </w:pPr>
                      <w:r>
                        <w:rPr>
                          <w:rFonts w:ascii="Calibri" w:hAnsi="Calibri"/>
                          <w:sz w:val="20"/>
                          <w:szCs w:val="20"/>
                        </w:rPr>
                        <w:t>Total studies included (n=14</w:t>
                      </w:r>
                      <w:r w:rsidRPr="00665AE4">
                        <w:rPr>
                          <w:rFonts w:ascii="Calibri" w:hAnsi="Calibri"/>
                          <w:sz w:val="20"/>
                          <w:szCs w:val="20"/>
                        </w:rPr>
                        <w:t>)</w:t>
                      </w:r>
                    </w:p>
                    <w:p w14:paraId="1766632B" w14:textId="77777777" w:rsidR="0064223B" w:rsidRDefault="0064223B" w:rsidP="001E5779">
                      <w:pPr>
                        <w:spacing w:after="0" w:line="240" w:lineRule="auto"/>
                        <w:ind w:left="142"/>
                        <w:rPr>
                          <w:rFonts w:ascii="Calibri" w:hAnsi="Calibri"/>
                          <w:sz w:val="20"/>
                          <w:szCs w:val="20"/>
                        </w:rPr>
                      </w:pPr>
                      <w:r w:rsidRPr="00665AE4">
                        <w:rPr>
                          <w:rFonts w:ascii="Calibri" w:hAnsi="Calibri"/>
                          <w:sz w:val="20"/>
                          <w:szCs w:val="20"/>
                        </w:rPr>
                        <w:t>Total participants (n=8,274)</w:t>
                      </w:r>
                    </w:p>
                    <w:p w14:paraId="4DF726F6" w14:textId="77777777" w:rsidR="0064223B" w:rsidRDefault="0064223B" w:rsidP="001E5779">
                      <w:pPr>
                        <w:spacing w:after="0" w:line="240" w:lineRule="auto"/>
                        <w:ind w:left="142"/>
                        <w:rPr>
                          <w:rFonts w:ascii="Calibri" w:hAnsi="Calibri"/>
                          <w:sz w:val="20"/>
                          <w:szCs w:val="20"/>
                        </w:rPr>
                      </w:pPr>
                    </w:p>
                    <w:p w14:paraId="1D9E8A01" w14:textId="77777777" w:rsidR="0064223B" w:rsidRPr="00665AE4" w:rsidRDefault="0064223B" w:rsidP="002D251C">
                      <w:pPr>
                        <w:spacing w:after="0" w:line="240" w:lineRule="auto"/>
                        <w:rPr>
                          <w:rFonts w:ascii="Calibri" w:hAnsi="Calibri"/>
                          <w:sz w:val="20"/>
                          <w:szCs w:val="20"/>
                        </w:rPr>
                      </w:pPr>
                      <w:r>
                        <w:rPr>
                          <w:rFonts w:ascii="Calibri" w:hAnsi="Calibri"/>
                          <w:sz w:val="20"/>
                          <w:szCs w:val="20"/>
                        </w:rPr>
                        <w:t>Minor bleeding</w:t>
                      </w:r>
                    </w:p>
                    <w:p w14:paraId="66210BA6" w14:textId="77777777" w:rsidR="0064223B" w:rsidRPr="00665AE4" w:rsidRDefault="0064223B" w:rsidP="009107CE">
                      <w:pPr>
                        <w:spacing w:after="0" w:line="240" w:lineRule="auto"/>
                        <w:ind w:left="142"/>
                        <w:rPr>
                          <w:rFonts w:ascii="Calibri" w:hAnsi="Calibri"/>
                          <w:sz w:val="20"/>
                          <w:szCs w:val="20"/>
                        </w:rPr>
                      </w:pPr>
                      <w:r>
                        <w:rPr>
                          <w:rFonts w:ascii="Calibri" w:hAnsi="Calibri"/>
                          <w:sz w:val="20"/>
                          <w:szCs w:val="20"/>
                        </w:rPr>
                        <w:t>Total studies included (n=12</w:t>
                      </w:r>
                      <w:r w:rsidRPr="00665AE4">
                        <w:rPr>
                          <w:rFonts w:ascii="Calibri" w:hAnsi="Calibri"/>
                          <w:sz w:val="20"/>
                          <w:szCs w:val="20"/>
                        </w:rPr>
                        <w:t>)</w:t>
                      </w:r>
                    </w:p>
                    <w:p w14:paraId="1CC8BD7E" w14:textId="77777777" w:rsidR="0064223B" w:rsidRDefault="0064223B" w:rsidP="00D5755B">
                      <w:pPr>
                        <w:spacing w:after="0" w:line="240" w:lineRule="auto"/>
                        <w:ind w:firstLine="142"/>
                        <w:rPr>
                          <w:rFonts w:ascii="Calibri" w:hAnsi="Calibri"/>
                          <w:sz w:val="20"/>
                          <w:szCs w:val="20"/>
                        </w:rPr>
                      </w:pPr>
                      <w:r w:rsidRPr="00665AE4">
                        <w:rPr>
                          <w:rFonts w:ascii="Calibri" w:hAnsi="Calibri"/>
                          <w:sz w:val="20"/>
                          <w:szCs w:val="20"/>
                        </w:rPr>
                        <w:t>Total participants (n=</w:t>
                      </w:r>
                      <w:r>
                        <w:rPr>
                          <w:rFonts w:ascii="Calibri" w:hAnsi="Calibri"/>
                          <w:sz w:val="20"/>
                          <w:szCs w:val="20"/>
                        </w:rPr>
                        <w:t>7,882</w:t>
                      </w:r>
                      <w:r w:rsidRPr="00665AE4">
                        <w:rPr>
                          <w:rFonts w:ascii="Calibri" w:hAnsi="Calibri"/>
                          <w:sz w:val="20"/>
                          <w:szCs w:val="20"/>
                        </w:rPr>
                        <w:t>)</w:t>
                      </w:r>
                    </w:p>
                    <w:p w14:paraId="5C1A4A9C" w14:textId="77777777" w:rsidR="0064223B" w:rsidRPr="00665AE4" w:rsidRDefault="0064223B" w:rsidP="002D251C">
                      <w:pPr>
                        <w:spacing w:after="0" w:line="240" w:lineRule="auto"/>
                        <w:ind w:firstLine="142"/>
                        <w:rPr>
                          <w:rFonts w:ascii="Calibri" w:hAnsi="Calibri"/>
                          <w:sz w:val="20"/>
                          <w:szCs w:val="20"/>
                        </w:rPr>
                      </w:pPr>
                    </w:p>
                    <w:p w14:paraId="77AD3994" w14:textId="77777777" w:rsidR="0064223B" w:rsidRPr="00665AE4" w:rsidRDefault="0064223B" w:rsidP="001E5779">
                      <w:pPr>
                        <w:spacing w:after="0" w:line="240" w:lineRule="auto"/>
                        <w:rPr>
                          <w:rFonts w:ascii="Calibri" w:hAnsi="Calibri"/>
                          <w:sz w:val="20"/>
                          <w:szCs w:val="20"/>
                        </w:rPr>
                      </w:pPr>
                      <w:r w:rsidRPr="00665AE4">
                        <w:rPr>
                          <w:rFonts w:ascii="Calibri" w:hAnsi="Calibri"/>
                          <w:sz w:val="20"/>
                          <w:szCs w:val="20"/>
                        </w:rPr>
                        <w:t>Thrombocytopenia</w:t>
                      </w:r>
                    </w:p>
                    <w:p w14:paraId="4B86ED15" w14:textId="77777777" w:rsidR="0064223B" w:rsidRPr="00665AE4" w:rsidRDefault="0064223B" w:rsidP="001E5779">
                      <w:pPr>
                        <w:spacing w:after="0" w:line="240" w:lineRule="auto"/>
                        <w:ind w:left="142"/>
                        <w:rPr>
                          <w:rFonts w:ascii="Calibri" w:hAnsi="Calibri"/>
                          <w:sz w:val="20"/>
                          <w:szCs w:val="20"/>
                        </w:rPr>
                      </w:pPr>
                      <w:r>
                        <w:rPr>
                          <w:rFonts w:ascii="Calibri" w:hAnsi="Calibri"/>
                          <w:sz w:val="20"/>
                          <w:szCs w:val="20"/>
                        </w:rPr>
                        <w:t>Total studies included (n=11</w:t>
                      </w:r>
                      <w:r w:rsidRPr="00665AE4">
                        <w:rPr>
                          <w:rFonts w:ascii="Calibri" w:hAnsi="Calibri"/>
                          <w:sz w:val="20"/>
                          <w:szCs w:val="20"/>
                        </w:rPr>
                        <w:t>)</w:t>
                      </w:r>
                    </w:p>
                    <w:p w14:paraId="12422476" w14:textId="77777777" w:rsidR="0064223B" w:rsidRPr="00665AE4" w:rsidRDefault="0064223B" w:rsidP="001E5779">
                      <w:pPr>
                        <w:spacing w:after="0" w:line="240" w:lineRule="auto"/>
                        <w:ind w:left="142"/>
                        <w:rPr>
                          <w:rFonts w:ascii="Calibri" w:hAnsi="Calibri"/>
                          <w:sz w:val="20"/>
                          <w:szCs w:val="20"/>
                        </w:rPr>
                      </w:pPr>
                      <w:r w:rsidRPr="00665AE4">
                        <w:rPr>
                          <w:rFonts w:ascii="Calibri" w:hAnsi="Calibri"/>
                          <w:sz w:val="20"/>
                          <w:szCs w:val="20"/>
                        </w:rPr>
                        <w:t>Total participants (n=5,641)</w:t>
                      </w:r>
                    </w:p>
                    <w:p w14:paraId="0E7D7094" w14:textId="77777777" w:rsidR="0064223B" w:rsidRDefault="0064223B" w:rsidP="001E5779">
                      <w:pPr>
                        <w:spacing w:after="0" w:line="240" w:lineRule="auto"/>
                        <w:rPr>
                          <w:rFonts w:ascii="Calibri" w:hAnsi="Calibri"/>
                          <w:sz w:val="20"/>
                          <w:szCs w:val="20"/>
                        </w:rPr>
                      </w:pPr>
                    </w:p>
                    <w:p w14:paraId="7D548998" w14:textId="77777777" w:rsidR="0064223B" w:rsidRDefault="0064223B" w:rsidP="001E5779">
                      <w:pPr>
                        <w:spacing w:after="0" w:line="240" w:lineRule="auto"/>
                        <w:jc w:val="center"/>
                        <w:rPr>
                          <w:rFonts w:ascii="Calibri" w:hAnsi="Calibri"/>
                        </w:rPr>
                      </w:pPr>
                    </w:p>
                  </w:txbxContent>
                </v:textbox>
                <w10:wrap anchorx="margin"/>
              </v:rect>
            </w:pict>
          </mc:Fallback>
        </mc:AlternateContent>
      </w:r>
      <w:r w:rsidRPr="008D2D71">
        <w:rPr>
          <w:rFonts w:ascii="Arial" w:hAnsi="Arial" w:cs="Arial"/>
          <w:noProof/>
          <w:sz w:val="24"/>
          <w:szCs w:val="24"/>
          <w:lang w:val="en-US" w:eastAsia="zh-CN"/>
        </w:rPr>
        <mc:AlternateContent>
          <mc:Choice Requires="wps">
            <w:drawing>
              <wp:anchor distT="0" distB="0" distL="114300" distR="114300" simplePos="0" relativeHeight="251674624" behindDoc="0" locked="0" layoutInCell="1" allowOverlap="1" wp14:anchorId="5095CFE4" wp14:editId="1E552FE1">
                <wp:simplePos x="0" y="0"/>
                <wp:positionH relativeFrom="column">
                  <wp:posOffset>1367155</wp:posOffset>
                </wp:positionH>
                <wp:positionV relativeFrom="paragraph">
                  <wp:posOffset>1712015</wp:posOffset>
                </wp:positionV>
                <wp:extent cx="1958754" cy="0"/>
                <wp:effectExtent l="0" t="76200" r="22860" b="95250"/>
                <wp:wrapNone/>
                <wp:docPr id="91" name="Straight Arrow Connector 91"/>
                <wp:cNvGraphicFramePr/>
                <a:graphic xmlns:a="http://schemas.openxmlformats.org/drawingml/2006/main">
                  <a:graphicData uri="http://schemas.microsoft.com/office/word/2010/wordprocessingShape">
                    <wps:wsp>
                      <wps:cNvCnPr/>
                      <wps:spPr>
                        <a:xfrm>
                          <a:off x="0" y="0"/>
                          <a:ext cx="1958754" cy="0"/>
                        </a:xfrm>
                        <a:prstGeom prst="straightConnector1">
                          <a:avLst/>
                        </a:prstGeom>
                        <a:ln w="6350">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E98E96" id="Straight Arrow Connector 91" o:spid="_x0000_s1026" type="#_x0000_t32" style="position:absolute;margin-left:107.65pt;margin-top:134.8pt;width:154.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" strokecolor="#4f81bd [3204]" strokeweight=".5pt">
                <v:stroke endarrow="block"/>
                <v:shadow on="t" color="black" opacity="24903f" origin=",.5" offset="0,.55556mm"/>
              </v:shape>
            </w:pict>
          </mc:Fallback>
        </mc:AlternateContent>
      </w:r>
      <w:r w:rsidRPr="008D2D71">
        <w:rPr>
          <w:rFonts w:ascii="Arial" w:hAnsi="Arial" w:cs="Arial"/>
          <w:noProof/>
          <w:sz w:val="24"/>
          <w:szCs w:val="24"/>
          <w:lang w:val="en-US" w:eastAsia="zh-CN"/>
        </w:rPr>
        <mc:AlternateContent>
          <mc:Choice Requires="wps">
            <w:drawing>
              <wp:anchor distT="0" distB="0" distL="114300" distR="114300" simplePos="0" relativeHeight="251668480" behindDoc="0" locked="0" layoutInCell="1" allowOverlap="1" wp14:anchorId="451A7A3E" wp14:editId="23D07C82">
                <wp:simplePos x="0" y="0"/>
                <wp:positionH relativeFrom="column">
                  <wp:posOffset>1377315</wp:posOffset>
                </wp:positionH>
                <wp:positionV relativeFrom="paragraph">
                  <wp:posOffset>1494790</wp:posOffset>
                </wp:positionV>
                <wp:extent cx="0" cy="380834"/>
                <wp:effectExtent l="76200" t="0" r="95250" b="57785"/>
                <wp:wrapNone/>
                <wp:docPr id="92" name="Straight Arrow Connector 92"/>
                <wp:cNvGraphicFramePr/>
                <a:graphic xmlns:a="http://schemas.openxmlformats.org/drawingml/2006/main">
                  <a:graphicData uri="http://schemas.microsoft.com/office/word/2010/wordprocessingShape">
                    <wps:wsp>
                      <wps:cNvCnPr/>
                      <wps:spPr>
                        <a:xfrm>
                          <a:off x="0" y="0"/>
                          <a:ext cx="0" cy="380834"/>
                        </a:xfrm>
                        <a:prstGeom prst="straightConnector1">
                          <a:avLst/>
                        </a:prstGeom>
                        <a:ln w="6350">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A8BD50" id="Straight Arrow Connector 92" o:spid="_x0000_s1026" type="#_x0000_t32" style="position:absolute;margin-left:108.45pt;margin-top:117.7pt;width:0;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" strokecolor="#4f81bd [3204]" strokeweight=".5pt">
                <v:stroke endarrow="block"/>
                <v:shadow on="t" color="black" opacity="24903f" origin=",.5" offset="0,.55556mm"/>
              </v:shape>
            </w:pict>
          </mc:Fallback>
        </mc:AlternateContent>
      </w:r>
      <w:r w:rsidRPr="008D2D71">
        <w:rPr>
          <w:rFonts w:ascii="Arial" w:hAnsi="Arial" w:cs="Arial"/>
          <w:noProof/>
          <w:sz w:val="24"/>
          <w:szCs w:val="24"/>
          <w:lang w:val="en-US" w:eastAsia="zh-CN"/>
        </w:rPr>
        <mc:AlternateContent>
          <mc:Choice Requires="wps">
            <w:drawing>
              <wp:anchor distT="0" distB="0" distL="114300" distR="114300" simplePos="0" relativeHeight="251660288" behindDoc="0" locked="0" layoutInCell="1" allowOverlap="1" wp14:anchorId="104554DB" wp14:editId="4ED50FED">
                <wp:simplePos x="0" y="0"/>
                <wp:positionH relativeFrom="column">
                  <wp:posOffset>55659</wp:posOffset>
                </wp:positionH>
                <wp:positionV relativeFrom="paragraph">
                  <wp:posOffset>1002444</wp:posOffset>
                </wp:positionV>
                <wp:extent cx="2726690" cy="492981"/>
                <wp:effectExtent l="0" t="0" r="16510" b="21590"/>
                <wp:wrapNone/>
                <wp:docPr id="9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690" cy="492981"/>
                        </a:xfrm>
                        <a:prstGeom prst="rect">
                          <a:avLst/>
                        </a:prstGeom>
                        <a:solidFill>
                          <a:srgbClr val="FFFFFF"/>
                        </a:solidFill>
                        <a:ln w="9525">
                          <a:solidFill>
                            <a:srgbClr val="000000"/>
                          </a:solidFill>
                          <a:miter lim="800000"/>
                          <a:headEnd/>
                          <a:tailEnd/>
                        </a:ln>
                      </wps:spPr>
                      <wps:txbx>
                        <w:txbxContent>
                          <w:p w14:paraId="4FA92BB5" w14:textId="77777777" w:rsidR="0064223B" w:rsidRDefault="0064223B" w:rsidP="001E5779">
                            <w:pPr>
                              <w:spacing w:after="0" w:line="240" w:lineRule="auto"/>
                              <w:jc w:val="center"/>
                              <w:rPr>
                                <w:rFonts w:ascii="Calibri" w:hAnsi="Calibri"/>
                                <w:sz w:val="20"/>
                                <w:szCs w:val="20"/>
                              </w:rPr>
                            </w:pPr>
                            <w:r>
                              <w:rPr>
                                <w:rFonts w:ascii="Calibri" w:hAnsi="Calibri"/>
                                <w:sz w:val="20"/>
                                <w:szCs w:val="20"/>
                              </w:rPr>
                              <w:t>P</w:t>
                            </w:r>
                            <w:r w:rsidRPr="00BF600D">
                              <w:rPr>
                                <w:rFonts w:ascii="Calibri" w:hAnsi="Calibri"/>
                                <w:sz w:val="20"/>
                                <w:szCs w:val="20"/>
                              </w:rPr>
                              <w:t>ublications screened for eligibility</w:t>
                            </w:r>
                            <w:r>
                              <w:rPr>
                                <w:rFonts w:ascii="Calibri" w:hAnsi="Calibri"/>
                                <w:sz w:val="20"/>
                                <w:szCs w:val="20"/>
                              </w:rPr>
                              <w:t xml:space="preserve"> </w:t>
                            </w:r>
                            <w:r w:rsidRPr="00BF600D">
                              <w:rPr>
                                <w:rFonts w:ascii="Calibri" w:hAnsi="Calibri"/>
                                <w:sz w:val="20"/>
                                <w:szCs w:val="20"/>
                              </w:rPr>
                              <w:t>(n=186)</w:t>
                            </w:r>
                          </w:p>
                          <w:p w14:paraId="27FE8D21" w14:textId="77777777" w:rsidR="0064223B" w:rsidRPr="00F94CBE" w:rsidRDefault="0064223B" w:rsidP="001E5779">
                            <w:pPr>
                              <w:spacing w:after="0" w:line="240" w:lineRule="auto"/>
                              <w:jc w:val="center"/>
                              <w:rPr>
                                <w:rFonts w:ascii="Calibri" w:hAnsi="Calibri"/>
                                <w:sz w:val="20"/>
                                <w:szCs w:val="20"/>
                              </w:rPr>
                            </w:pPr>
                            <w:r w:rsidRPr="00734420">
                              <w:rPr>
                                <w:rFonts w:ascii="Calibri" w:hAnsi="Calibri"/>
                                <w:sz w:val="20"/>
                                <w:szCs w:val="20"/>
                              </w:rPr>
                              <w:t>Eligible for IPDMA (56</w:t>
                            </w:r>
                            <w:r w:rsidRPr="00F94CBE">
                              <w:rPr>
                                <w:rFonts w:ascii="Calibri" w:hAnsi="Calibri"/>
                                <w:sz w:val="20"/>
                                <w:szCs w:val="20"/>
                              </w:rPr>
                              <w:t xml:space="preserve"> reports of 19 RCTs)</w:t>
                            </w:r>
                          </w:p>
                          <w:p w14:paraId="6B7904AD" w14:textId="77777777" w:rsidR="0064223B" w:rsidRPr="009B4053" w:rsidRDefault="0064223B" w:rsidP="001E5779">
                            <w:pPr>
                              <w:spacing w:after="0" w:line="240" w:lineRule="auto"/>
                              <w:jc w:val="center"/>
                              <w:rPr>
                                <w:rFonts w:ascii="Calibri" w:hAnsi="Calibri"/>
                                <w:sz w:val="20"/>
                                <w:szCs w:val="20"/>
                              </w:rPr>
                            </w:pP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554DB" id="Rectangle 11" o:spid="_x0000_s1030" style="position:absolute;margin-left:4.4pt;margin-top:78.95pt;width:214.7pt;height:3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">
                <v:textbox inset="0,7.2pt,0,7.2pt">
                  <w:txbxContent>
                    <w:p w14:paraId="4FA92BB5" w14:textId="77777777" w:rsidR="0064223B" w:rsidRDefault="0064223B" w:rsidP="001E5779">
                      <w:pPr>
                        <w:spacing w:after="0" w:line="240" w:lineRule="auto"/>
                        <w:jc w:val="center"/>
                        <w:rPr>
                          <w:rFonts w:ascii="Calibri" w:hAnsi="Calibri"/>
                          <w:sz w:val="20"/>
                          <w:szCs w:val="20"/>
                        </w:rPr>
                      </w:pPr>
                      <w:r>
                        <w:rPr>
                          <w:rFonts w:ascii="Calibri" w:hAnsi="Calibri"/>
                          <w:sz w:val="20"/>
                          <w:szCs w:val="20"/>
                        </w:rPr>
                        <w:t>P</w:t>
                      </w:r>
                      <w:r w:rsidRPr="00BF600D">
                        <w:rPr>
                          <w:rFonts w:ascii="Calibri" w:hAnsi="Calibri"/>
                          <w:sz w:val="20"/>
                          <w:szCs w:val="20"/>
                        </w:rPr>
                        <w:t>ublications screened for eligibility</w:t>
                      </w:r>
                      <w:r>
                        <w:rPr>
                          <w:rFonts w:ascii="Calibri" w:hAnsi="Calibri"/>
                          <w:sz w:val="20"/>
                          <w:szCs w:val="20"/>
                        </w:rPr>
                        <w:t xml:space="preserve"> </w:t>
                      </w:r>
                      <w:r w:rsidRPr="00BF600D">
                        <w:rPr>
                          <w:rFonts w:ascii="Calibri" w:hAnsi="Calibri"/>
                          <w:sz w:val="20"/>
                          <w:szCs w:val="20"/>
                        </w:rPr>
                        <w:t>(n=186)</w:t>
                      </w:r>
                    </w:p>
                    <w:p w14:paraId="27FE8D21" w14:textId="77777777" w:rsidR="0064223B" w:rsidRPr="00F94CBE" w:rsidRDefault="0064223B" w:rsidP="001E5779">
                      <w:pPr>
                        <w:spacing w:after="0" w:line="240" w:lineRule="auto"/>
                        <w:jc w:val="center"/>
                        <w:rPr>
                          <w:rFonts w:ascii="Calibri" w:hAnsi="Calibri"/>
                          <w:sz w:val="20"/>
                          <w:szCs w:val="20"/>
                        </w:rPr>
                      </w:pPr>
                      <w:r w:rsidRPr="00734420">
                        <w:rPr>
                          <w:rFonts w:ascii="Calibri" w:hAnsi="Calibri"/>
                          <w:sz w:val="20"/>
                          <w:szCs w:val="20"/>
                        </w:rPr>
                        <w:t>Eligible for IPDMA (56</w:t>
                      </w:r>
                      <w:r w:rsidRPr="00F94CBE">
                        <w:rPr>
                          <w:rFonts w:ascii="Calibri" w:hAnsi="Calibri"/>
                          <w:sz w:val="20"/>
                          <w:szCs w:val="20"/>
                        </w:rPr>
                        <w:t xml:space="preserve"> reports of 19 RCTs)</w:t>
                      </w:r>
                    </w:p>
                    <w:p w14:paraId="6B7904AD" w14:textId="77777777" w:rsidR="0064223B" w:rsidRPr="009B4053" w:rsidRDefault="0064223B" w:rsidP="001E5779">
                      <w:pPr>
                        <w:spacing w:after="0" w:line="240" w:lineRule="auto"/>
                        <w:jc w:val="center"/>
                        <w:rPr>
                          <w:rFonts w:ascii="Calibri" w:hAnsi="Calibri"/>
                          <w:sz w:val="20"/>
                          <w:szCs w:val="20"/>
                        </w:rPr>
                      </w:pPr>
                    </w:p>
                  </w:txbxContent>
                </v:textbox>
              </v:rect>
            </w:pict>
          </mc:Fallback>
        </mc:AlternateContent>
      </w:r>
      <w:r w:rsidRPr="008D2D71">
        <w:rPr>
          <w:rFonts w:ascii="Arial" w:hAnsi="Arial" w:cs="Arial"/>
          <w:noProof/>
          <w:sz w:val="24"/>
          <w:szCs w:val="24"/>
          <w:lang w:val="en-US" w:eastAsia="zh-CN"/>
        </w:rPr>
        <mc:AlternateContent>
          <mc:Choice Requires="wps">
            <w:drawing>
              <wp:anchor distT="0" distB="0" distL="114300" distR="114300" simplePos="0" relativeHeight="251670528" behindDoc="0" locked="0" layoutInCell="1" allowOverlap="1" wp14:anchorId="5ED0E40B" wp14:editId="0EC957E2">
                <wp:simplePos x="0" y="0"/>
                <wp:positionH relativeFrom="column">
                  <wp:posOffset>-1442403</wp:posOffset>
                </wp:positionH>
                <wp:positionV relativeFrom="paragraph">
                  <wp:posOffset>5452745</wp:posOffset>
                </wp:positionV>
                <wp:extent cx="2322830" cy="275607"/>
                <wp:effectExtent l="0" t="5080" r="15240" b="15240"/>
                <wp:wrapNone/>
                <wp:docPr id="9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22830" cy="275607"/>
                        </a:xfrm>
                        <a:prstGeom prst="roundRect">
                          <a:avLst>
                            <a:gd name="adj" fmla="val 16667"/>
                          </a:avLst>
                        </a:prstGeom>
                        <a:solidFill>
                          <a:srgbClr val="CCECFF"/>
                        </a:solidFill>
                        <a:ln w="9525">
                          <a:solidFill>
                            <a:srgbClr val="000000"/>
                          </a:solidFill>
                          <a:round/>
                          <a:headEnd/>
                          <a:tailEnd/>
                        </a:ln>
                      </wps:spPr>
                      <wps:txbx>
                        <w:txbxContent>
                          <w:p w14:paraId="7209078B" w14:textId="77777777" w:rsidR="0064223B" w:rsidRPr="0096375F" w:rsidRDefault="0064223B" w:rsidP="001E5779">
                            <w:pPr>
                              <w:pStyle w:val="Heading2"/>
                              <w:jc w:val="center"/>
                              <w:rPr>
                                <w:sz w:val="20"/>
                              </w:rPr>
                            </w:pPr>
                            <w:r w:rsidRPr="0096375F">
                              <w:rPr>
                                <w:sz w:val="20"/>
                              </w:rPr>
                              <w:t>Analysed data</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0E40B" id="AutoShape 4" o:spid="_x0000_s1031" style="position:absolute;margin-left:-113.6pt;margin-top:429.35pt;width:182.9pt;height:21.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" fillcolor="#ccecff">
                <v:textbox style="layout-flow:vertical;mso-layout-flow-alt:bottom-to-top" inset="3.6pt,,3.6pt">
                  <w:txbxContent>
                    <w:p w14:paraId="7209078B" w14:textId="77777777" w:rsidR="0064223B" w:rsidRPr="0096375F" w:rsidRDefault="0064223B" w:rsidP="001E5779">
                      <w:pPr>
                        <w:pStyle w:val="Heading2"/>
                        <w:jc w:val="center"/>
                        <w:rPr>
                          <w:sz w:val="20"/>
                        </w:rPr>
                      </w:pPr>
                      <w:r w:rsidRPr="0096375F">
                        <w:rPr>
                          <w:sz w:val="20"/>
                        </w:rPr>
                        <w:t>Analysed data</w:t>
                      </w:r>
                    </w:p>
                  </w:txbxContent>
                </v:textbox>
              </v:roundrect>
            </w:pict>
          </mc:Fallback>
        </mc:AlternateContent>
      </w:r>
      <w:r w:rsidRPr="008D2D71">
        <w:rPr>
          <w:rFonts w:ascii="Arial" w:hAnsi="Arial" w:cs="Arial"/>
          <w:noProof/>
          <w:sz w:val="24"/>
          <w:szCs w:val="24"/>
          <w:lang w:val="en-US" w:eastAsia="zh-CN"/>
        </w:rPr>
        <mc:AlternateContent>
          <mc:Choice Requires="wps">
            <w:drawing>
              <wp:anchor distT="0" distB="0" distL="114300" distR="114300" simplePos="0" relativeHeight="251672576" behindDoc="0" locked="0" layoutInCell="1" allowOverlap="1" wp14:anchorId="5D3D436E" wp14:editId="1250B3FF">
                <wp:simplePos x="0" y="0"/>
                <wp:positionH relativeFrom="column">
                  <wp:posOffset>1419225</wp:posOffset>
                </wp:positionH>
                <wp:positionV relativeFrom="paragraph">
                  <wp:posOffset>2511425</wp:posOffset>
                </wp:positionV>
                <wp:extent cx="3335655" cy="226060"/>
                <wp:effectExtent l="0" t="0" r="74295" b="59690"/>
                <wp:wrapNone/>
                <wp:docPr id="96" name="Straight Connector 47"/>
                <wp:cNvGraphicFramePr/>
                <a:graphic xmlns:a="http://schemas.openxmlformats.org/drawingml/2006/main">
                  <a:graphicData uri="http://schemas.microsoft.com/office/word/2010/wordprocessingShape">
                    <wps:wsp>
                      <wps:cNvCnPr/>
                      <wps:spPr>
                        <a:xfrm>
                          <a:off x="0" y="0"/>
                          <a:ext cx="3335655" cy="226060"/>
                        </a:xfrm>
                        <a:prstGeom prst="bentConnector3">
                          <a:avLst>
                            <a:gd name="adj1" fmla="val 99915"/>
                          </a:avLst>
                        </a:prstGeom>
                        <a:ln w="6350">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F32AFE" id="Straight Connector 47" o:spid="_x0000_s1026" type="#_x0000_t34" style="position:absolute;margin-left:111.75pt;margin-top:197.75pt;width:262.65pt;height:1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" adj="21582" strokecolor="#4f81bd [3204]" strokeweight=".5pt">
                <v:stroke endarrow="block"/>
                <v:shadow on="t" color="black" opacity="24903f" origin=",.5" offset="0,.55556mm"/>
              </v:shape>
            </w:pict>
          </mc:Fallback>
        </mc:AlternateContent>
      </w:r>
      <w:r w:rsidRPr="008D2D71">
        <w:rPr>
          <w:rFonts w:ascii="Arial" w:hAnsi="Arial" w:cs="Arial"/>
          <w:noProof/>
          <w:sz w:val="24"/>
          <w:szCs w:val="24"/>
          <w:lang w:val="en-US" w:eastAsia="zh-CN"/>
        </w:rPr>
        <mc:AlternateContent>
          <mc:Choice Requires="wps">
            <w:drawing>
              <wp:anchor distT="0" distB="0" distL="114300" distR="114300" simplePos="0" relativeHeight="251665408" behindDoc="0" locked="0" layoutInCell="1" allowOverlap="1" wp14:anchorId="3D15F9BB" wp14:editId="0F1A4856">
                <wp:simplePos x="0" y="0"/>
                <wp:positionH relativeFrom="column">
                  <wp:posOffset>3357673</wp:posOffset>
                </wp:positionH>
                <wp:positionV relativeFrom="paragraph">
                  <wp:posOffset>2740896</wp:posOffset>
                </wp:positionV>
                <wp:extent cx="2771775" cy="800100"/>
                <wp:effectExtent l="0" t="0" r="28575" b="19050"/>
                <wp:wrapNone/>
                <wp:docPr id="9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800100"/>
                        </a:xfrm>
                        <a:prstGeom prst="rect">
                          <a:avLst/>
                        </a:prstGeom>
                        <a:solidFill>
                          <a:srgbClr val="FFFFFF"/>
                        </a:solidFill>
                        <a:ln w="9525">
                          <a:solidFill>
                            <a:srgbClr val="000000"/>
                          </a:solidFill>
                          <a:miter lim="800000"/>
                          <a:headEnd/>
                          <a:tailEnd/>
                        </a:ln>
                      </wps:spPr>
                      <wps:txbx>
                        <w:txbxContent>
                          <w:p w14:paraId="6650DD30" w14:textId="77777777" w:rsidR="0064223B" w:rsidRDefault="0064223B" w:rsidP="001E5779">
                            <w:pPr>
                              <w:spacing w:after="0" w:line="240" w:lineRule="auto"/>
                              <w:jc w:val="center"/>
                              <w:rPr>
                                <w:rFonts w:ascii="Calibri" w:hAnsi="Calibri"/>
                                <w:sz w:val="20"/>
                                <w:szCs w:val="20"/>
                              </w:rPr>
                            </w:pPr>
                            <w:r>
                              <w:rPr>
                                <w:rFonts w:ascii="Calibri" w:hAnsi="Calibri"/>
                                <w:sz w:val="20"/>
                                <w:szCs w:val="20"/>
                              </w:rPr>
                              <w:t>RCTs</w:t>
                            </w:r>
                            <w:r w:rsidRPr="009B4053">
                              <w:rPr>
                                <w:rFonts w:ascii="Calibri" w:hAnsi="Calibri"/>
                                <w:sz w:val="20"/>
                                <w:szCs w:val="20"/>
                              </w:rPr>
                              <w:t xml:space="preserve"> for whi</w:t>
                            </w:r>
                            <w:r>
                              <w:rPr>
                                <w:rFonts w:ascii="Calibri" w:hAnsi="Calibri"/>
                                <w:sz w:val="20"/>
                                <w:szCs w:val="20"/>
                              </w:rPr>
                              <w:t>ch IPD were not provided (n=2)</w:t>
                            </w:r>
                          </w:p>
                          <w:p w14:paraId="47425733" w14:textId="77777777" w:rsidR="0064223B" w:rsidRPr="0032187E" w:rsidRDefault="0064223B" w:rsidP="001E5779">
                            <w:pPr>
                              <w:spacing w:after="0" w:line="240" w:lineRule="auto"/>
                              <w:jc w:val="center"/>
                              <w:rPr>
                                <w:rFonts w:ascii="Calibri" w:hAnsi="Calibri"/>
                                <w:sz w:val="20"/>
                                <w:szCs w:val="20"/>
                              </w:rPr>
                            </w:pPr>
                            <w:r w:rsidRPr="0032187E">
                              <w:rPr>
                                <w:rFonts w:ascii="Calibri" w:hAnsi="Calibri"/>
                                <w:sz w:val="20"/>
                                <w:szCs w:val="20"/>
                              </w:rPr>
                              <w:t>Did not agree to share data (n=1)                  Unable to transfer data to shareable format (n=1)</w:t>
                            </w:r>
                          </w:p>
                          <w:p w14:paraId="5718146C" w14:textId="77777777" w:rsidR="0064223B" w:rsidRPr="00734420" w:rsidRDefault="0064223B" w:rsidP="001E5779">
                            <w:pPr>
                              <w:spacing w:after="0" w:line="240" w:lineRule="auto"/>
                              <w:jc w:val="center"/>
                              <w:rPr>
                                <w:rFonts w:ascii="Calibri" w:hAnsi="Calibri"/>
                                <w:sz w:val="20"/>
                                <w:szCs w:val="20"/>
                              </w:rPr>
                            </w:pPr>
                            <w:r w:rsidRPr="0032187E">
                              <w:rPr>
                                <w:rFonts w:ascii="Calibri" w:hAnsi="Calibri"/>
                                <w:sz w:val="20"/>
                                <w:szCs w:val="20"/>
                              </w:rPr>
                              <w:t>Excluded participants (n=1,763</w:t>
                            </w:r>
                            <w:r w:rsidRPr="00734420">
                              <w:rPr>
                                <w:rFonts w:ascii="Calibri" w:hAnsi="Calibri"/>
                                <w:sz w:val="20"/>
                                <w:szCs w:val="20"/>
                              </w:rPr>
                              <w:t>)</w:t>
                            </w:r>
                          </w:p>
                          <w:p w14:paraId="51D4455B" w14:textId="77777777" w:rsidR="0064223B" w:rsidRDefault="0064223B" w:rsidP="001E5779">
                            <w:pPr>
                              <w:spacing w:after="0" w:line="240" w:lineRule="auto"/>
                              <w:jc w:val="center"/>
                              <w:rPr>
                                <w:rFonts w:ascii="Calibri" w:hAnsi="Calibri"/>
                                <w:sz w:val="20"/>
                                <w:szCs w:val="20"/>
                              </w:rPr>
                            </w:pPr>
                          </w:p>
                          <w:p w14:paraId="577590E5" w14:textId="77777777" w:rsidR="0064223B" w:rsidRPr="00C95FC0" w:rsidRDefault="0064223B" w:rsidP="001E5779">
                            <w:pPr>
                              <w:spacing w:after="0" w:line="240" w:lineRule="auto"/>
                              <w:jc w:val="center"/>
                              <w:rPr>
                                <w:rFonts w:ascii="Calibri" w:hAnsi="Calibri"/>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5F9BB" id="Rectangle 25" o:spid="_x0000_s1032" style="position:absolute;margin-left:264.4pt;margin-top:215.8pt;width:218.25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">
                <v:textbox inset=",7.2pt,,7.2pt">
                  <w:txbxContent>
                    <w:p w14:paraId="6650DD30" w14:textId="77777777" w:rsidR="0064223B" w:rsidRDefault="0064223B" w:rsidP="001E5779">
                      <w:pPr>
                        <w:spacing w:after="0" w:line="240" w:lineRule="auto"/>
                        <w:jc w:val="center"/>
                        <w:rPr>
                          <w:rFonts w:ascii="Calibri" w:hAnsi="Calibri"/>
                          <w:sz w:val="20"/>
                          <w:szCs w:val="20"/>
                        </w:rPr>
                      </w:pPr>
                      <w:r>
                        <w:rPr>
                          <w:rFonts w:ascii="Calibri" w:hAnsi="Calibri"/>
                          <w:sz w:val="20"/>
                          <w:szCs w:val="20"/>
                        </w:rPr>
                        <w:t>RCTs</w:t>
                      </w:r>
                      <w:r w:rsidRPr="009B4053">
                        <w:rPr>
                          <w:rFonts w:ascii="Calibri" w:hAnsi="Calibri"/>
                          <w:sz w:val="20"/>
                          <w:szCs w:val="20"/>
                        </w:rPr>
                        <w:t xml:space="preserve"> for whi</w:t>
                      </w:r>
                      <w:r>
                        <w:rPr>
                          <w:rFonts w:ascii="Calibri" w:hAnsi="Calibri"/>
                          <w:sz w:val="20"/>
                          <w:szCs w:val="20"/>
                        </w:rPr>
                        <w:t>ch IPD were not provided (n=2)</w:t>
                      </w:r>
                    </w:p>
                    <w:p w14:paraId="47425733" w14:textId="77777777" w:rsidR="0064223B" w:rsidRPr="0032187E" w:rsidRDefault="0064223B" w:rsidP="001E5779">
                      <w:pPr>
                        <w:spacing w:after="0" w:line="240" w:lineRule="auto"/>
                        <w:jc w:val="center"/>
                        <w:rPr>
                          <w:rFonts w:ascii="Calibri" w:hAnsi="Calibri"/>
                          <w:sz w:val="20"/>
                          <w:szCs w:val="20"/>
                        </w:rPr>
                      </w:pPr>
                      <w:r w:rsidRPr="0032187E">
                        <w:rPr>
                          <w:rFonts w:ascii="Calibri" w:hAnsi="Calibri"/>
                          <w:sz w:val="20"/>
                          <w:szCs w:val="20"/>
                        </w:rPr>
                        <w:t>Did not agree to share data (n=1)                  Unable to transfer data to shareable format (n=1)</w:t>
                      </w:r>
                    </w:p>
                    <w:p w14:paraId="5718146C" w14:textId="77777777" w:rsidR="0064223B" w:rsidRPr="00734420" w:rsidRDefault="0064223B" w:rsidP="001E5779">
                      <w:pPr>
                        <w:spacing w:after="0" w:line="240" w:lineRule="auto"/>
                        <w:jc w:val="center"/>
                        <w:rPr>
                          <w:rFonts w:ascii="Calibri" w:hAnsi="Calibri"/>
                          <w:sz w:val="20"/>
                          <w:szCs w:val="20"/>
                        </w:rPr>
                      </w:pPr>
                      <w:r w:rsidRPr="0032187E">
                        <w:rPr>
                          <w:rFonts w:ascii="Calibri" w:hAnsi="Calibri"/>
                          <w:sz w:val="20"/>
                          <w:szCs w:val="20"/>
                        </w:rPr>
                        <w:t>Excluded participants (n=1,763</w:t>
                      </w:r>
                      <w:r w:rsidRPr="00734420">
                        <w:rPr>
                          <w:rFonts w:ascii="Calibri" w:hAnsi="Calibri"/>
                          <w:sz w:val="20"/>
                          <w:szCs w:val="20"/>
                        </w:rPr>
                        <w:t>)</w:t>
                      </w:r>
                    </w:p>
                    <w:p w14:paraId="51D4455B" w14:textId="77777777" w:rsidR="0064223B" w:rsidRDefault="0064223B" w:rsidP="001E5779">
                      <w:pPr>
                        <w:spacing w:after="0" w:line="240" w:lineRule="auto"/>
                        <w:jc w:val="center"/>
                        <w:rPr>
                          <w:rFonts w:ascii="Calibri" w:hAnsi="Calibri"/>
                          <w:sz w:val="20"/>
                          <w:szCs w:val="20"/>
                        </w:rPr>
                      </w:pPr>
                    </w:p>
                    <w:p w14:paraId="577590E5" w14:textId="77777777" w:rsidR="0064223B" w:rsidRPr="00C95FC0" w:rsidRDefault="0064223B" w:rsidP="001E5779">
                      <w:pPr>
                        <w:spacing w:after="0" w:line="240" w:lineRule="auto"/>
                        <w:jc w:val="center"/>
                        <w:rPr>
                          <w:rFonts w:ascii="Calibri" w:hAnsi="Calibri"/>
                          <w:sz w:val="20"/>
                          <w:szCs w:val="20"/>
                        </w:rPr>
                      </w:pPr>
                    </w:p>
                  </w:txbxContent>
                </v:textbox>
              </v:rect>
            </w:pict>
          </mc:Fallback>
        </mc:AlternateContent>
      </w:r>
      <w:r w:rsidRPr="008D2D71">
        <w:rPr>
          <w:rFonts w:ascii="Arial" w:hAnsi="Arial" w:cs="Arial"/>
          <w:noProof/>
          <w:sz w:val="24"/>
          <w:szCs w:val="24"/>
          <w:lang w:val="en-US" w:eastAsia="zh-CN"/>
        </w:rPr>
        <mc:AlternateContent>
          <mc:Choice Requires="wps">
            <w:drawing>
              <wp:anchor distT="0" distB="0" distL="114300" distR="114300" simplePos="0" relativeHeight="251673600" behindDoc="0" locked="0" layoutInCell="1" allowOverlap="1" wp14:anchorId="7E55D711" wp14:editId="3E28A07C">
                <wp:simplePos x="0" y="0"/>
                <wp:positionH relativeFrom="column">
                  <wp:posOffset>1431585</wp:posOffset>
                </wp:positionH>
                <wp:positionV relativeFrom="paragraph">
                  <wp:posOffset>3432175</wp:posOffset>
                </wp:positionV>
                <wp:extent cx="0" cy="465972"/>
                <wp:effectExtent l="76200" t="0" r="57150" b="48895"/>
                <wp:wrapNone/>
                <wp:docPr id="98" name="Straight Arrow Connector 98"/>
                <wp:cNvGraphicFramePr/>
                <a:graphic xmlns:a="http://schemas.openxmlformats.org/drawingml/2006/main">
                  <a:graphicData uri="http://schemas.microsoft.com/office/word/2010/wordprocessingShape">
                    <wps:wsp>
                      <wps:cNvCnPr/>
                      <wps:spPr>
                        <a:xfrm>
                          <a:off x="0" y="0"/>
                          <a:ext cx="0" cy="465972"/>
                        </a:xfrm>
                        <a:prstGeom prst="straightConnector1">
                          <a:avLst/>
                        </a:prstGeom>
                        <a:ln w="6350">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913341" id="Straight Arrow Connector 98" o:spid="_x0000_s1026" type="#_x0000_t32" style="position:absolute;margin-left:112.7pt;margin-top:270.25pt;width:0;height:3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" strokecolor="#4f81bd [3204]" strokeweight=".5pt">
                <v:stroke endarrow="block"/>
                <v:shadow on="t" color="black" opacity="24903f" origin=",.5" offset="0,.55556mm"/>
              </v:shape>
            </w:pict>
          </mc:Fallback>
        </mc:AlternateContent>
      </w:r>
      <w:r w:rsidRPr="008D2D71">
        <w:rPr>
          <w:rFonts w:ascii="Arial" w:hAnsi="Arial" w:cs="Arial"/>
          <w:noProof/>
          <w:sz w:val="24"/>
          <w:szCs w:val="24"/>
          <w:lang w:val="en-US" w:eastAsia="zh-CN"/>
        </w:rPr>
        <mc:AlternateContent>
          <mc:Choice Requires="wps">
            <w:drawing>
              <wp:anchor distT="0" distB="0" distL="114300" distR="114300" simplePos="0" relativeHeight="251664384" behindDoc="0" locked="0" layoutInCell="1" allowOverlap="1" wp14:anchorId="37A191E2" wp14:editId="4C6666F7">
                <wp:simplePos x="0" y="0"/>
                <wp:positionH relativeFrom="column">
                  <wp:posOffset>42530</wp:posOffset>
                </wp:positionH>
                <wp:positionV relativeFrom="paragraph">
                  <wp:posOffset>2739582</wp:posOffset>
                </wp:positionV>
                <wp:extent cx="2711450" cy="693228"/>
                <wp:effectExtent l="0" t="0" r="12700" b="12065"/>
                <wp:wrapNone/>
                <wp:docPr id="9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693228"/>
                        </a:xfrm>
                        <a:prstGeom prst="rect">
                          <a:avLst/>
                        </a:prstGeom>
                        <a:solidFill>
                          <a:srgbClr val="FFFFFF"/>
                        </a:solidFill>
                        <a:ln w="9525">
                          <a:solidFill>
                            <a:srgbClr val="000000"/>
                          </a:solidFill>
                          <a:miter lim="800000"/>
                          <a:headEnd/>
                          <a:tailEnd/>
                        </a:ln>
                      </wps:spPr>
                      <wps:txbx>
                        <w:txbxContent>
                          <w:p w14:paraId="627E5016" w14:textId="77777777" w:rsidR="0064223B" w:rsidRDefault="0064223B" w:rsidP="001E5779">
                            <w:pPr>
                              <w:spacing w:after="0" w:line="240" w:lineRule="auto"/>
                              <w:jc w:val="center"/>
                              <w:rPr>
                                <w:rFonts w:ascii="Calibri" w:hAnsi="Calibri"/>
                                <w:sz w:val="20"/>
                                <w:szCs w:val="20"/>
                              </w:rPr>
                            </w:pPr>
                            <w:r>
                              <w:rPr>
                                <w:rFonts w:ascii="Calibri" w:hAnsi="Calibri"/>
                                <w:sz w:val="20"/>
                                <w:szCs w:val="20"/>
                              </w:rPr>
                              <w:t>Number of RCTs</w:t>
                            </w:r>
                            <w:r w:rsidRPr="009B4053">
                              <w:rPr>
                                <w:rFonts w:ascii="Calibri" w:hAnsi="Calibri"/>
                                <w:sz w:val="20"/>
                                <w:szCs w:val="20"/>
                              </w:rPr>
                              <w:t xml:space="preserve"> for</w:t>
                            </w:r>
                            <w:r>
                              <w:rPr>
                                <w:rFonts w:ascii="Calibri" w:hAnsi="Calibri"/>
                                <w:sz w:val="20"/>
                                <w:szCs w:val="20"/>
                              </w:rPr>
                              <w:t xml:space="preserve"> which IPD were provided (n=14)</w:t>
                            </w:r>
                          </w:p>
                          <w:p w14:paraId="22D33935" w14:textId="77777777" w:rsidR="0064223B" w:rsidRPr="0032187E" w:rsidRDefault="0064223B" w:rsidP="001E5779">
                            <w:pPr>
                              <w:spacing w:after="0" w:line="240" w:lineRule="auto"/>
                              <w:jc w:val="center"/>
                              <w:rPr>
                                <w:rFonts w:ascii="Calibri" w:hAnsi="Calibri"/>
                                <w:sz w:val="20"/>
                                <w:szCs w:val="20"/>
                              </w:rPr>
                            </w:pPr>
                            <w:r w:rsidRPr="0032187E">
                              <w:rPr>
                                <w:rFonts w:ascii="Calibri" w:hAnsi="Calibri"/>
                                <w:sz w:val="20"/>
                                <w:szCs w:val="20"/>
                              </w:rPr>
                              <w:t>Total participants (n=8,278)</w:t>
                            </w:r>
                          </w:p>
                          <w:p w14:paraId="1C46583C" w14:textId="77777777" w:rsidR="0064223B" w:rsidRDefault="0064223B" w:rsidP="001E5779">
                            <w:pPr>
                              <w:spacing w:after="0" w:line="240" w:lineRule="auto"/>
                              <w:jc w:val="center"/>
                              <w:rPr>
                                <w:rFonts w:ascii="Calibri" w:hAnsi="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191E2" id="_x0000_s1033" style="position:absolute;margin-left:3.35pt;margin-top:215.7pt;width:213.5pt;height:5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">
                <v:textbox inset=",7.2pt,,7.2pt">
                  <w:txbxContent>
                    <w:p w14:paraId="627E5016" w14:textId="77777777" w:rsidR="0064223B" w:rsidRDefault="0064223B" w:rsidP="001E5779">
                      <w:pPr>
                        <w:spacing w:after="0" w:line="240" w:lineRule="auto"/>
                        <w:jc w:val="center"/>
                        <w:rPr>
                          <w:rFonts w:ascii="Calibri" w:hAnsi="Calibri"/>
                          <w:sz w:val="20"/>
                          <w:szCs w:val="20"/>
                        </w:rPr>
                      </w:pPr>
                      <w:r>
                        <w:rPr>
                          <w:rFonts w:ascii="Calibri" w:hAnsi="Calibri"/>
                          <w:sz w:val="20"/>
                          <w:szCs w:val="20"/>
                        </w:rPr>
                        <w:t>Number of RCTs</w:t>
                      </w:r>
                      <w:r w:rsidRPr="009B4053">
                        <w:rPr>
                          <w:rFonts w:ascii="Calibri" w:hAnsi="Calibri"/>
                          <w:sz w:val="20"/>
                          <w:szCs w:val="20"/>
                        </w:rPr>
                        <w:t xml:space="preserve"> for</w:t>
                      </w:r>
                      <w:r>
                        <w:rPr>
                          <w:rFonts w:ascii="Calibri" w:hAnsi="Calibri"/>
                          <w:sz w:val="20"/>
                          <w:szCs w:val="20"/>
                        </w:rPr>
                        <w:t xml:space="preserve"> which IPD were provided (n=14)</w:t>
                      </w:r>
                    </w:p>
                    <w:p w14:paraId="22D33935" w14:textId="77777777" w:rsidR="0064223B" w:rsidRPr="0032187E" w:rsidRDefault="0064223B" w:rsidP="001E5779">
                      <w:pPr>
                        <w:spacing w:after="0" w:line="240" w:lineRule="auto"/>
                        <w:jc w:val="center"/>
                        <w:rPr>
                          <w:rFonts w:ascii="Calibri" w:hAnsi="Calibri"/>
                          <w:sz w:val="20"/>
                          <w:szCs w:val="20"/>
                        </w:rPr>
                      </w:pPr>
                      <w:r w:rsidRPr="0032187E">
                        <w:rPr>
                          <w:rFonts w:ascii="Calibri" w:hAnsi="Calibri"/>
                          <w:sz w:val="20"/>
                          <w:szCs w:val="20"/>
                        </w:rPr>
                        <w:t>Total participants (n=8,278)</w:t>
                      </w:r>
                    </w:p>
                    <w:p w14:paraId="1C46583C" w14:textId="77777777" w:rsidR="0064223B" w:rsidRDefault="0064223B" w:rsidP="001E5779">
                      <w:pPr>
                        <w:spacing w:after="0" w:line="240" w:lineRule="auto"/>
                        <w:jc w:val="center"/>
                        <w:rPr>
                          <w:rFonts w:ascii="Calibri" w:hAnsi="Calibri"/>
                        </w:rPr>
                      </w:pPr>
                    </w:p>
                  </w:txbxContent>
                </v:textbox>
              </v:rect>
            </w:pict>
          </mc:Fallback>
        </mc:AlternateContent>
      </w:r>
      <w:r w:rsidRPr="008D2D71">
        <w:rPr>
          <w:rFonts w:ascii="Arial" w:hAnsi="Arial" w:cs="Arial"/>
          <w:noProof/>
          <w:sz w:val="24"/>
          <w:szCs w:val="24"/>
          <w:lang w:val="en-US" w:eastAsia="zh-CN"/>
        </w:rPr>
        <mc:AlternateContent>
          <mc:Choice Requires="wps">
            <w:drawing>
              <wp:anchor distT="0" distB="0" distL="114300" distR="114300" simplePos="0" relativeHeight="251669504" behindDoc="0" locked="0" layoutInCell="1" allowOverlap="1" wp14:anchorId="0F88DFBC" wp14:editId="10FBE626">
                <wp:simplePos x="0" y="0"/>
                <wp:positionH relativeFrom="column">
                  <wp:posOffset>1413510</wp:posOffset>
                </wp:positionH>
                <wp:positionV relativeFrom="paragraph">
                  <wp:posOffset>2367280</wp:posOffset>
                </wp:positionV>
                <wp:extent cx="0" cy="372140"/>
                <wp:effectExtent l="76200" t="0" r="95250" b="66040"/>
                <wp:wrapNone/>
                <wp:docPr id="100" name="Straight Arrow Connector 100"/>
                <wp:cNvGraphicFramePr/>
                <a:graphic xmlns:a="http://schemas.openxmlformats.org/drawingml/2006/main">
                  <a:graphicData uri="http://schemas.microsoft.com/office/word/2010/wordprocessingShape">
                    <wps:wsp>
                      <wps:cNvCnPr/>
                      <wps:spPr>
                        <a:xfrm>
                          <a:off x="0" y="0"/>
                          <a:ext cx="0" cy="372140"/>
                        </a:xfrm>
                        <a:prstGeom prst="straightConnector1">
                          <a:avLst/>
                        </a:prstGeom>
                        <a:ln w="6350">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763B91" id="Straight Arrow Connector 100" o:spid="_x0000_s1026" type="#_x0000_t32" style="position:absolute;margin-left:111.3pt;margin-top:186.4pt;width:0;height:2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" strokecolor="#4f81bd [3204]" strokeweight=".5pt">
                <v:stroke endarrow="block"/>
                <v:shadow on="t" color="black" opacity="24903f" origin=",.5" offset="0,.55556mm"/>
              </v:shape>
            </w:pict>
          </mc:Fallback>
        </mc:AlternateContent>
      </w:r>
      <w:r w:rsidRPr="008D2D71">
        <w:rPr>
          <w:rFonts w:ascii="Arial" w:hAnsi="Arial" w:cs="Arial"/>
          <w:noProof/>
          <w:sz w:val="24"/>
          <w:szCs w:val="24"/>
          <w:lang w:val="en-US" w:eastAsia="zh-CN"/>
        </w:rPr>
        <mc:AlternateContent>
          <mc:Choice Requires="wps">
            <w:drawing>
              <wp:anchor distT="0" distB="0" distL="114300" distR="114300" simplePos="0" relativeHeight="251666432" behindDoc="0" locked="0" layoutInCell="1" allowOverlap="1" wp14:anchorId="2AB8F1C9" wp14:editId="1420656B">
                <wp:simplePos x="0" y="0"/>
                <wp:positionH relativeFrom="column">
                  <wp:posOffset>-817746</wp:posOffset>
                </wp:positionH>
                <wp:positionV relativeFrom="paragraph">
                  <wp:posOffset>2972538</wp:posOffset>
                </wp:positionV>
                <wp:extent cx="1082468" cy="297815"/>
                <wp:effectExtent l="0" t="7938" r="14923" b="14922"/>
                <wp:wrapNone/>
                <wp:docPr id="10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82468" cy="297815"/>
                        </a:xfrm>
                        <a:prstGeom prst="roundRect">
                          <a:avLst>
                            <a:gd name="adj" fmla="val 16667"/>
                          </a:avLst>
                        </a:prstGeom>
                        <a:solidFill>
                          <a:srgbClr val="CCECFF"/>
                        </a:solidFill>
                        <a:ln w="9525">
                          <a:solidFill>
                            <a:srgbClr val="000000"/>
                          </a:solidFill>
                          <a:round/>
                          <a:headEnd/>
                          <a:tailEnd/>
                        </a:ln>
                      </wps:spPr>
                      <wps:txbx>
                        <w:txbxContent>
                          <w:p w14:paraId="7554C9E2" w14:textId="77777777" w:rsidR="0064223B" w:rsidRPr="0096375F" w:rsidRDefault="0064223B" w:rsidP="001E5779">
                            <w:pPr>
                              <w:pStyle w:val="Heading2"/>
                              <w:jc w:val="center"/>
                              <w:rPr>
                                <w:sz w:val="20"/>
                              </w:rPr>
                            </w:pPr>
                            <w:r w:rsidRPr="0096375F">
                              <w:rPr>
                                <w:sz w:val="20"/>
                              </w:rPr>
                              <w:t>Available data</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B8F1C9" id="_x0000_s1034" style="position:absolute;margin-left:-64.4pt;margin-top:234.05pt;width:85.25pt;height:23.4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" fillcolor="#ccecff">
                <v:textbox style="layout-flow:vertical;mso-layout-flow-alt:bottom-to-top" inset="3.6pt,,3.6pt">
                  <w:txbxContent>
                    <w:p w14:paraId="7554C9E2" w14:textId="77777777" w:rsidR="0064223B" w:rsidRPr="0096375F" w:rsidRDefault="0064223B" w:rsidP="001E5779">
                      <w:pPr>
                        <w:pStyle w:val="Heading2"/>
                        <w:jc w:val="center"/>
                        <w:rPr>
                          <w:sz w:val="20"/>
                        </w:rPr>
                      </w:pPr>
                      <w:r w:rsidRPr="0096375F">
                        <w:rPr>
                          <w:sz w:val="20"/>
                        </w:rPr>
                        <w:t>Available data</w:t>
                      </w:r>
                    </w:p>
                  </w:txbxContent>
                </v:textbox>
              </v:roundrect>
            </w:pict>
          </mc:Fallback>
        </mc:AlternateContent>
      </w:r>
      <w:r w:rsidRPr="008D2D71">
        <w:rPr>
          <w:rFonts w:ascii="Arial" w:hAnsi="Arial" w:cs="Arial"/>
          <w:noProof/>
          <w:sz w:val="24"/>
          <w:szCs w:val="24"/>
          <w:lang w:val="en-US" w:eastAsia="zh-CN"/>
        </w:rPr>
        <mc:AlternateContent>
          <mc:Choice Requires="wps">
            <w:drawing>
              <wp:anchor distT="0" distB="0" distL="114300" distR="114300" simplePos="0" relativeHeight="251661312" behindDoc="0" locked="0" layoutInCell="1" allowOverlap="1" wp14:anchorId="39DF7298" wp14:editId="4C3BF7F3">
                <wp:simplePos x="0" y="0"/>
                <wp:positionH relativeFrom="margin">
                  <wp:posOffset>3501390</wp:posOffset>
                </wp:positionH>
                <wp:positionV relativeFrom="paragraph">
                  <wp:posOffset>1038225</wp:posOffset>
                </wp:positionV>
                <wp:extent cx="2524125" cy="361950"/>
                <wp:effectExtent l="0" t="0" r="28575" b="19050"/>
                <wp:wrapNone/>
                <wp:docPr id="10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361950"/>
                        </a:xfrm>
                        <a:prstGeom prst="rect">
                          <a:avLst/>
                        </a:prstGeom>
                        <a:solidFill>
                          <a:srgbClr val="FFFFFF"/>
                        </a:solidFill>
                        <a:ln w="9525">
                          <a:solidFill>
                            <a:srgbClr val="000000"/>
                          </a:solidFill>
                          <a:miter lim="800000"/>
                          <a:headEnd/>
                          <a:tailEnd/>
                        </a:ln>
                      </wps:spPr>
                      <wps:txbx>
                        <w:txbxContent>
                          <w:p w14:paraId="1C2CF9FD" w14:textId="77777777" w:rsidR="0064223B" w:rsidRDefault="0064223B" w:rsidP="001E5779">
                            <w:pPr>
                              <w:spacing w:after="0" w:line="240" w:lineRule="auto"/>
                              <w:jc w:val="center"/>
                              <w:rPr>
                                <w:rFonts w:ascii="Calibri" w:hAnsi="Calibri"/>
                                <w:sz w:val="20"/>
                                <w:szCs w:val="20"/>
                              </w:rPr>
                            </w:pPr>
                            <w:r>
                              <w:rPr>
                                <w:rFonts w:ascii="Calibri" w:hAnsi="Calibri"/>
                                <w:sz w:val="20"/>
                                <w:szCs w:val="20"/>
                              </w:rPr>
                              <w:t>Number of excluded studies (n=130)</w:t>
                            </w:r>
                          </w:p>
                          <w:p w14:paraId="047F2100" w14:textId="77777777" w:rsidR="0064223B" w:rsidRPr="00731BB7" w:rsidRDefault="0064223B" w:rsidP="001E5779">
                            <w:pPr>
                              <w:spacing w:after="0" w:line="240" w:lineRule="auto"/>
                              <w:jc w:val="center"/>
                              <w:rPr>
                                <w:rFonts w:ascii="Calibri" w:hAnsi="Calibri"/>
                                <w:color w:val="808080" w:themeColor="background1" w:themeShade="80"/>
                                <w:sz w:val="20"/>
                                <w:szCs w:val="20"/>
                              </w:rPr>
                            </w:pPr>
                          </w:p>
                          <w:p w14:paraId="1C21B86C" w14:textId="77777777" w:rsidR="0064223B" w:rsidRPr="009B4053" w:rsidRDefault="0064223B" w:rsidP="001E5779">
                            <w:pPr>
                              <w:spacing w:after="0" w:line="240" w:lineRule="auto"/>
                              <w:jc w:val="center"/>
                              <w:rPr>
                                <w:rFonts w:ascii="Calibri" w:hAnsi="Calibri"/>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F7298" id="Rectangle 12" o:spid="_x0000_s1035" style="position:absolute;margin-left:275.7pt;margin-top:81.75pt;width:198.75pt;height:2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">
                <v:textbox inset=",7.2pt,,7.2pt">
                  <w:txbxContent>
                    <w:p w14:paraId="1C2CF9FD" w14:textId="77777777" w:rsidR="0064223B" w:rsidRDefault="0064223B" w:rsidP="001E5779">
                      <w:pPr>
                        <w:spacing w:after="0" w:line="240" w:lineRule="auto"/>
                        <w:jc w:val="center"/>
                        <w:rPr>
                          <w:rFonts w:ascii="Calibri" w:hAnsi="Calibri"/>
                          <w:sz w:val="20"/>
                          <w:szCs w:val="20"/>
                        </w:rPr>
                      </w:pPr>
                      <w:r>
                        <w:rPr>
                          <w:rFonts w:ascii="Calibri" w:hAnsi="Calibri"/>
                          <w:sz w:val="20"/>
                          <w:szCs w:val="20"/>
                        </w:rPr>
                        <w:t>Number of excluded studies (n=130)</w:t>
                      </w:r>
                    </w:p>
                    <w:p w14:paraId="047F2100" w14:textId="77777777" w:rsidR="0064223B" w:rsidRPr="00731BB7" w:rsidRDefault="0064223B" w:rsidP="001E5779">
                      <w:pPr>
                        <w:spacing w:after="0" w:line="240" w:lineRule="auto"/>
                        <w:jc w:val="center"/>
                        <w:rPr>
                          <w:rFonts w:ascii="Calibri" w:hAnsi="Calibri"/>
                          <w:color w:val="808080" w:themeColor="background1" w:themeShade="80"/>
                          <w:sz w:val="20"/>
                          <w:szCs w:val="20"/>
                        </w:rPr>
                      </w:pPr>
                    </w:p>
                    <w:p w14:paraId="1C21B86C" w14:textId="77777777" w:rsidR="0064223B" w:rsidRPr="009B4053" w:rsidRDefault="0064223B" w:rsidP="001E5779">
                      <w:pPr>
                        <w:spacing w:after="0" w:line="240" w:lineRule="auto"/>
                        <w:jc w:val="center"/>
                        <w:rPr>
                          <w:rFonts w:ascii="Calibri" w:hAnsi="Calibri"/>
                          <w:sz w:val="20"/>
                          <w:szCs w:val="20"/>
                        </w:rPr>
                      </w:pPr>
                    </w:p>
                  </w:txbxContent>
                </v:textbox>
                <w10:wrap anchorx="margin"/>
              </v:rect>
            </w:pict>
          </mc:Fallback>
        </mc:AlternateContent>
      </w:r>
      <w:r w:rsidRPr="008D2D71">
        <w:rPr>
          <w:rFonts w:ascii="Arial" w:hAnsi="Arial" w:cs="Arial"/>
          <w:noProof/>
          <w:sz w:val="24"/>
          <w:szCs w:val="24"/>
          <w:lang w:val="en-US" w:eastAsia="zh-CN"/>
        </w:rPr>
        <mc:AlternateContent>
          <mc:Choice Requires="wps">
            <w:drawing>
              <wp:anchor distT="0" distB="0" distL="114300" distR="114300" simplePos="0" relativeHeight="251671552" behindDoc="0" locked="0" layoutInCell="1" allowOverlap="1" wp14:anchorId="33A4111A" wp14:editId="3830D488">
                <wp:simplePos x="0" y="0"/>
                <wp:positionH relativeFrom="column">
                  <wp:posOffset>2774950</wp:posOffset>
                </wp:positionH>
                <wp:positionV relativeFrom="paragraph">
                  <wp:posOffset>1250950</wp:posOffset>
                </wp:positionV>
                <wp:extent cx="712381" cy="0"/>
                <wp:effectExtent l="0" t="76200" r="12065" b="95250"/>
                <wp:wrapNone/>
                <wp:docPr id="103" name="Straight Arrow Connector 103"/>
                <wp:cNvGraphicFramePr/>
                <a:graphic xmlns:a="http://schemas.openxmlformats.org/drawingml/2006/main">
                  <a:graphicData uri="http://schemas.microsoft.com/office/word/2010/wordprocessingShape">
                    <wps:wsp>
                      <wps:cNvCnPr/>
                      <wps:spPr>
                        <a:xfrm>
                          <a:off x="0" y="0"/>
                          <a:ext cx="712381" cy="0"/>
                        </a:xfrm>
                        <a:prstGeom prst="straightConnector1">
                          <a:avLst/>
                        </a:prstGeom>
                        <a:ln w="6350">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0993D8" id="Straight Arrow Connector 103" o:spid="_x0000_s1026" type="#_x0000_t32" style="position:absolute;margin-left:218.5pt;margin-top:98.5pt;width:56.1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" strokecolor="#4f81bd [3204]" strokeweight=".5pt">
                <v:stroke endarrow="block"/>
                <v:shadow on="t" color="black" opacity="24903f" origin=",.5" offset="0,.55556mm"/>
              </v:shape>
            </w:pict>
          </mc:Fallback>
        </mc:AlternateContent>
      </w:r>
      <w:r w:rsidRPr="008D2D71">
        <w:rPr>
          <w:rFonts w:ascii="Arial" w:hAnsi="Arial" w:cs="Arial"/>
          <w:noProof/>
          <w:sz w:val="24"/>
          <w:szCs w:val="24"/>
          <w:lang w:val="en-US" w:eastAsia="zh-CN"/>
        </w:rPr>
        <mc:AlternateContent>
          <mc:Choice Requires="wps">
            <w:drawing>
              <wp:anchor distT="0" distB="0" distL="114300" distR="114300" simplePos="0" relativeHeight="251663360" behindDoc="0" locked="0" layoutInCell="1" allowOverlap="1" wp14:anchorId="44564730" wp14:editId="3CF5D7DA">
                <wp:simplePos x="0" y="0"/>
                <wp:positionH relativeFrom="column">
                  <wp:posOffset>3304023</wp:posOffset>
                </wp:positionH>
                <wp:positionV relativeFrom="paragraph">
                  <wp:posOffset>1609090</wp:posOffset>
                </wp:positionV>
                <wp:extent cx="2867025" cy="647700"/>
                <wp:effectExtent l="0" t="0" r="28575" b="19050"/>
                <wp:wrapNone/>
                <wp:docPr id="10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647700"/>
                        </a:xfrm>
                        <a:prstGeom prst="rect">
                          <a:avLst/>
                        </a:prstGeom>
                        <a:solidFill>
                          <a:srgbClr val="FFFFFF"/>
                        </a:solidFill>
                        <a:ln w="9525">
                          <a:solidFill>
                            <a:srgbClr val="000000"/>
                          </a:solidFill>
                          <a:miter lim="800000"/>
                          <a:headEnd/>
                          <a:tailEnd/>
                        </a:ln>
                      </wps:spPr>
                      <wps:txbx>
                        <w:txbxContent>
                          <w:p w14:paraId="01C00714" w14:textId="77777777" w:rsidR="0064223B" w:rsidRDefault="0064223B" w:rsidP="001E5779">
                            <w:pPr>
                              <w:spacing w:after="0"/>
                              <w:jc w:val="center"/>
                              <w:rPr>
                                <w:rFonts w:ascii="Calibri" w:hAnsi="Calibri"/>
                                <w:sz w:val="20"/>
                                <w:szCs w:val="20"/>
                              </w:rPr>
                            </w:pPr>
                            <w:r>
                              <w:rPr>
                                <w:rFonts w:ascii="Calibri" w:hAnsi="Calibri"/>
                                <w:sz w:val="20"/>
                                <w:szCs w:val="20"/>
                              </w:rPr>
                              <w:t>E</w:t>
                            </w:r>
                            <w:r w:rsidRPr="00853678">
                              <w:rPr>
                                <w:rFonts w:ascii="Calibri" w:hAnsi="Calibri"/>
                                <w:sz w:val="20"/>
                                <w:szCs w:val="20"/>
                              </w:rPr>
                              <w:t xml:space="preserve">ligible </w:t>
                            </w:r>
                            <w:r>
                              <w:rPr>
                                <w:rFonts w:ascii="Calibri" w:hAnsi="Calibri"/>
                                <w:sz w:val="20"/>
                                <w:szCs w:val="20"/>
                              </w:rPr>
                              <w:t>RCTs for which IPD were not sought</w:t>
                            </w:r>
                          </w:p>
                          <w:p w14:paraId="3EDC337A" w14:textId="77777777" w:rsidR="0064223B" w:rsidRPr="0032187E" w:rsidRDefault="0064223B" w:rsidP="001E5779">
                            <w:pPr>
                              <w:spacing w:after="0" w:line="240" w:lineRule="auto"/>
                              <w:jc w:val="center"/>
                              <w:rPr>
                                <w:rFonts w:ascii="Calibri" w:hAnsi="Calibri"/>
                                <w:sz w:val="20"/>
                                <w:szCs w:val="20"/>
                              </w:rPr>
                            </w:pPr>
                            <w:r w:rsidRPr="0032187E">
                              <w:rPr>
                                <w:rFonts w:ascii="Calibri" w:hAnsi="Calibri"/>
                                <w:sz w:val="20"/>
                                <w:szCs w:val="20"/>
                              </w:rPr>
                              <w:t>Timeline restrictions (n=3)</w:t>
                            </w:r>
                          </w:p>
                          <w:p w14:paraId="20AFA56B" w14:textId="77777777" w:rsidR="0064223B" w:rsidRPr="0032187E" w:rsidRDefault="0064223B" w:rsidP="001E5779">
                            <w:pPr>
                              <w:jc w:val="center"/>
                              <w:rPr>
                                <w:rFonts w:ascii="Calibri" w:hAnsi="Calibri"/>
                                <w:sz w:val="20"/>
                                <w:szCs w:val="20"/>
                              </w:rPr>
                            </w:pPr>
                            <w:r w:rsidRPr="0032187E">
                              <w:rPr>
                                <w:rFonts w:ascii="Calibri" w:hAnsi="Calibri"/>
                                <w:sz w:val="20"/>
                                <w:szCs w:val="20"/>
                              </w:rPr>
                              <w:t>Excluded participants (n=239)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64730" id="Rectangle 14" o:spid="_x0000_s1036" style="position:absolute;margin-left:260.15pt;margin-top:126.7pt;width:225.75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">
                <v:textbox inset=",7.2pt,,7.2pt">
                  <w:txbxContent>
                    <w:p w14:paraId="01C00714" w14:textId="77777777" w:rsidR="0064223B" w:rsidRDefault="0064223B" w:rsidP="001E5779">
                      <w:pPr>
                        <w:spacing w:after="0"/>
                        <w:jc w:val="center"/>
                        <w:rPr>
                          <w:rFonts w:ascii="Calibri" w:hAnsi="Calibri"/>
                          <w:sz w:val="20"/>
                          <w:szCs w:val="20"/>
                        </w:rPr>
                      </w:pPr>
                      <w:r>
                        <w:rPr>
                          <w:rFonts w:ascii="Calibri" w:hAnsi="Calibri"/>
                          <w:sz w:val="20"/>
                          <w:szCs w:val="20"/>
                        </w:rPr>
                        <w:t>E</w:t>
                      </w:r>
                      <w:r w:rsidRPr="00853678">
                        <w:rPr>
                          <w:rFonts w:ascii="Calibri" w:hAnsi="Calibri"/>
                          <w:sz w:val="20"/>
                          <w:szCs w:val="20"/>
                        </w:rPr>
                        <w:t xml:space="preserve">ligible </w:t>
                      </w:r>
                      <w:r>
                        <w:rPr>
                          <w:rFonts w:ascii="Calibri" w:hAnsi="Calibri"/>
                          <w:sz w:val="20"/>
                          <w:szCs w:val="20"/>
                        </w:rPr>
                        <w:t>RCTs for which IPD were not sought</w:t>
                      </w:r>
                    </w:p>
                    <w:p w14:paraId="3EDC337A" w14:textId="77777777" w:rsidR="0064223B" w:rsidRPr="0032187E" w:rsidRDefault="0064223B" w:rsidP="001E5779">
                      <w:pPr>
                        <w:spacing w:after="0" w:line="240" w:lineRule="auto"/>
                        <w:jc w:val="center"/>
                        <w:rPr>
                          <w:rFonts w:ascii="Calibri" w:hAnsi="Calibri"/>
                          <w:sz w:val="20"/>
                          <w:szCs w:val="20"/>
                        </w:rPr>
                      </w:pPr>
                      <w:r w:rsidRPr="0032187E">
                        <w:rPr>
                          <w:rFonts w:ascii="Calibri" w:hAnsi="Calibri"/>
                          <w:sz w:val="20"/>
                          <w:szCs w:val="20"/>
                        </w:rPr>
                        <w:t>Timeline restrictions (n=3)</w:t>
                      </w:r>
                    </w:p>
                    <w:p w14:paraId="20AFA56B" w14:textId="77777777" w:rsidR="0064223B" w:rsidRPr="0032187E" w:rsidRDefault="0064223B" w:rsidP="001E5779">
                      <w:pPr>
                        <w:jc w:val="center"/>
                        <w:rPr>
                          <w:rFonts w:ascii="Calibri" w:hAnsi="Calibri"/>
                          <w:sz w:val="20"/>
                          <w:szCs w:val="20"/>
                        </w:rPr>
                      </w:pPr>
                      <w:r w:rsidRPr="0032187E">
                        <w:rPr>
                          <w:rFonts w:ascii="Calibri" w:hAnsi="Calibri"/>
                          <w:sz w:val="20"/>
                          <w:szCs w:val="20"/>
                        </w:rPr>
                        <w:t>Excluded participants (n=239)</w:t>
                      </w:r>
                    </w:p>
                  </w:txbxContent>
                </v:textbox>
              </v:rect>
            </w:pict>
          </mc:Fallback>
        </mc:AlternateContent>
      </w:r>
      <w:r w:rsidRPr="008D2D71">
        <w:rPr>
          <w:rFonts w:ascii="Arial" w:hAnsi="Arial" w:cs="Arial"/>
          <w:noProof/>
          <w:lang w:val="en-US" w:eastAsia="zh-CN"/>
        </w:rPr>
        <mc:AlternateContent>
          <mc:Choice Requires="wps">
            <w:drawing>
              <wp:anchor distT="0" distB="0" distL="114300" distR="114300" simplePos="0" relativeHeight="251675648" behindDoc="0" locked="0" layoutInCell="1" allowOverlap="1" wp14:anchorId="3E6690C0" wp14:editId="7FCBE552">
                <wp:simplePos x="0" y="0"/>
                <wp:positionH relativeFrom="column">
                  <wp:posOffset>1381760</wp:posOffset>
                </wp:positionH>
                <wp:positionV relativeFrom="paragraph">
                  <wp:posOffset>612775</wp:posOffset>
                </wp:positionV>
                <wp:extent cx="0" cy="393405"/>
                <wp:effectExtent l="76200" t="0" r="57150" b="64135"/>
                <wp:wrapNone/>
                <wp:docPr id="105" name="Straight Arrow Connector 105"/>
                <wp:cNvGraphicFramePr/>
                <a:graphic xmlns:a="http://schemas.openxmlformats.org/drawingml/2006/main">
                  <a:graphicData uri="http://schemas.microsoft.com/office/word/2010/wordprocessingShape">
                    <wps:wsp>
                      <wps:cNvCnPr/>
                      <wps:spPr>
                        <a:xfrm>
                          <a:off x="0" y="0"/>
                          <a:ext cx="0" cy="3934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976607" id="Straight Arrow Connector 105" o:spid="_x0000_s1026" type="#_x0000_t32" style="position:absolute;margin-left:108.8pt;margin-top:48.25pt;width:0;height: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" strokecolor="#4579b8 [3044]">
                <v:stroke endarrow="block"/>
              </v:shape>
            </w:pict>
          </mc:Fallback>
        </mc:AlternateContent>
      </w:r>
      <w:r w:rsidRPr="008D2D71">
        <w:rPr>
          <w:rFonts w:ascii="Arial" w:hAnsi="Arial" w:cs="Arial"/>
          <w:noProof/>
          <w:sz w:val="24"/>
          <w:szCs w:val="24"/>
          <w:lang w:val="en-US" w:eastAsia="zh-CN"/>
        </w:rPr>
        <mc:AlternateContent>
          <mc:Choice Requires="wps">
            <w:drawing>
              <wp:anchor distT="0" distB="0" distL="114300" distR="114300" simplePos="0" relativeHeight="251676672" behindDoc="0" locked="0" layoutInCell="1" allowOverlap="1" wp14:anchorId="4C29773F" wp14:editId="6DD07A7C">
                <wp:simplePos x="0" y="0"/>
                <wp:positionH relativeFrom="column">
                  <wp:posOffset>2775053</wp:posOffset>
                </wp:positionH>
                <wp:positionV relativeFrom="paragraph">
                  <wp:posOffset>326139</wp:posOffset>
                </wp:positionV>
                <wp:extent cx="616688" cy="0"/>
                <wp:effectExtent l="0" t="76200" r="12065" b="95250"/>
                <wp:wrapNone/>
                <wp:docPr id="106" name="Straight Arrow Connector 106"/>
                <wp:cNvGraphicFramePr/>
                <a:graphic xmlns:a="http://schemas.openxmlformats.org/drawingml/2006/main">
                  <a:graphicData uri="http://schemas.microsoft.com/office/word/2010/wordprocessingShape">
                    <wps:wsp>
                      <wps:cNvCnPr/>
                      <wps:spPr>
                        <a:xfrm flipV="1">
                          <a:off x="0" y="0"/>
                          <a:ext cx="616688" cy="0"/>
                        </a:xfrm>
                        <a:prstGeom prst="straightConnector1">
                          <a:avLst/>
                        </a:prstGeom>
                        <a:ln w="6350">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AB57D" id="Straight Arrow Connector 106" o:spid="_x0000_s1026" type="#_x0000_t32" style="position:absolute;margin-left:218.5pt;margin-top:25.7pt;width:48.55pt;height: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" strokecolor="#4f81bd [3204]" strokeweight=".5pt">
                <v:stroke endarrow="block"/>
                <v:shadow on="t" color="black" opacity="24903f" origin=",.5" offset="0,.55556mm"/>
              </v:shape>
            </w:pict>
          </mc:Fallback>
        </mc:AlternateContent>
      </w:r>
      <w:r w:rsidRPr="008D2D71">
        <w:rPr>
          <w:rFonts w:ascii="Arial" w:hAnsi="Arial" w:cs="Arial"/>
          <w:noProof/>
          <w:sz w:val="24"/>
          <w:szCs w:val="24"/>
          <w:lang w:val="en-US" w:eastAsia="zh-CN"/>
        </w:rPr>
        <mc:AlternateContent>
          <mc:Choice Requires="wps">
            <w:drawing>
              <wp:anchor distT="0" distB="0" distL="114300" distR="114300" simplePos="0" relativeHeight="251677696" behindDoc="0" locked="0" layoutInCell="1" allowOverlap="1" wp14:anchorId="71F7D5A3" wp14:editId="4BCBD250">
                <wp:simplePos x="0" y="0"/>
                <wp:positionH relativeFrom="column">
                  <wp:posOffset>3395832</wp:posOffset>
                </wp:positionH>
                <wp:positionV relativeFrom="paragraph">
                  <wp:posOffset>114935</wp:posOffset>
                </wp:positionV>
                <wp:extent cx="2692400" cy="504825"/>
                <wp:effectExtent l="0" t="0" r="12700" b="28575"/>
                <wp:wrapNone/>
                <wp:docPr id="10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0" cy="504825"/>
                        </a:xfrm>
                        <a:prstGeom prst="rect">
                          <a:avLst/>
                        </a:prstGeom>
                        <a:solidFill>
                          <a:srgbClr val="FFFFFF"/>
                        </a:solidFill>
                        <a:ln w="9525">
                          <a:solidFill>
                            <a:srgbClr val="000000"/>
                          </a:solidFill>
                          <a:miter lim="800000"/>
                          <a:headEnd/>
                          <a:tailEnd/>
                        </a:ln>
                      </wps:spPr>
                      <wps:txbx>
                        <w:txbxContent>
                          <w:p w14:paraId="2BEC6CD5" w14:textId="77777777" w:rsidR="0064223B" w:rsidRDefault="0064223B" w:rsidP="001E5779">
                            <w:pPr>
                              <w:spacing w:after="0" w:line="240" w:lineRule="auto"/>
                              <w:jc w:val="center"/>
                              <w:rPr>
                                <w:rFonts w:ascii="Calibri" w:hAnsi="Calibri"/>
                                <w:sz w:val="20"/>
                                <w:szCs w:val="20"/>
                              </w:rPr>
                            </w:pPr>
                            <w:r>
                              <w:rPr>
                                <w:rFonts w:ascii="Calibri" w:hAnsi="Calibri"/>
                                <w:sz w:val="20"/>
                                <w:szCs w:val="20"/>
                              </w:rPr>
                              <w:t>Number of studies excluded after screening (n=6,761)</w:t>
                            </w:r>
                          </w:p>
                          <w:p w14:paraId="2817E3B3" w14:textId="77777777" w:rsidR="0064223B" w:rsidRPr="009B4053" w:rsidRDefault="0064223B" w:rsidP="001E5779">
                            <w:pPr>
                              <w:spacing w:after="0" w:line="240" w:lineRule="auto"/>
                              <w:jc w:val="center"/>
                              <w:rPr>
                                <w:rFonts w:ascii="Calibri" w:hAnsi="Calibri"/>
                                <w:sz w:val="20"/>
                                <w:szCs w:val="20"/>
                              </w:rPr>
                            </w:pPr>
                            <w:r>
                              <w:rPr>
                                <w:rFonts w:ascii="Calibri" w:hAnsi="Calibri"/>
                                <w:sz w:val="20"/>
                                <w:szCs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7D5A3" id="Rectangle 10" o:spid="_x0000_s1037" style="position:absolute;margin-left:267.4pt;margin-top:9.05pt;width:212pt;height:3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">
                <v:textbox inset=",7.2pt,,7.2pt">
                  <w:txbxContent>
                    <w:p w14:paraId="2BEC6CD5" w14:textId="77777777" w:rsidR="0064223B" w:rsidRDefault="0064223B" w:rsidP="001E5779">
                      <w:pPr>
                        <w:spacing w:after="0" w:line="240" w:lineRule="auto"/>
                        <w:jc w:val="center"/>
                        <w:rPr>
                          <w:rFonts w:ascii="Calibri" w:hAnsi="Calibri"/>
                          <w:sz w:val="20"/>
                          <w:szCs w:val="20"/>
                        </w:rPr>
                      </w:pPr>
                      <w:r>
                        <w:rPr>
                          <w:rFonts w:ascii="Calibri" w:hAnsi="Calibri"/>
                          <w:sz w:val="20"/>
                          <w:szCs w:val="20"/>
                        </w:rPr>
                        <w:t>Number of studies excluded after screening (n=6,761)</w:t>
                      </w:r>
                    </w:p>
                    <w:p w14:paraId="2817E3B3" w14:textId="77777777" w:rsidR="0064223B" w:rsidRPr="009B4053" w:rsidRDefault="0064223B" w:rsidP="001E5779">
                      <w:pPr>
                        <w:spacing w:after="0" w:line="240" w:lineRule="auto"/>
                        <w:jc w:val="center"/>
                        <w:rPr>
                          <w:rFonts w:ascii="Calibri" w:hAnsi="Calibri"/>
                          <w:sz w:val="20"/>
                          <w:szCs w:val="20"/>
                        </w:rPr>
                      </w:pPr>
                      <w:r>
                        <w:rPr>
                          <w:rFonts w:ascii="Calibri" w:hAnsi="Calibri"/>
                          <w:sz w:val="20"/>
                          <w:szCs w:val="20"/>
                        </w:rPr>
                        <w:t>(</w:t>
                      </w:r>
                    </w:p>
                  </w:txbxContent>
                </v:textbox>
              </v:rect>
            </w:pict>
          </mc:Fallback>
        </mc:AlternateContent>
      </w:r>
      <w:r w:rsidRPr="008D2D71">
        <w:rPr>
          <w:rFonts w:ascii="Arial" w:hAnsi="Arial" w:cs="Arial"/>
          <w:noProof/>
          <w:sz w:val="24"/>
          <w:szCs w:val="24"/>
          <w:lang w:val="en-US" w:eastAsia="zh-CN"/>
        </w:rPr>
        <mc:AlternateContent>
          <mc:Choice Requires="wps">
            <w:drawing>
              <wp:anchor distT="0" distB="0" distL="114300" distR="114300" simplePos="0" relativeHeight="251659264" behindDoc="0" locked="0" layoutInCell="1" allowOverlap="1" wp14:anchorId="655029E4" wp14:editId="4F640012">
                <wp:simplePos x="0" y="0"/>
                <wp:positionH relativeFrom="column">
                  <wp:posOffset>77470</wp:posOffset>
                </wp:positionH>
                <wp:positionV relativeFrom="paragraph">
                  <wp:posOffset>107950</wp:posOffset>
                </wp:positionV>
                <wp:extent cx="2692400" cy="504825"/>
                <wp:effectExtent l="0" t="0" r="12700" b="28575"/>
                <wp:wrapNone/>
                <wp:docPr id="10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0" cy="504825"/>
                        </a:xfrm>
                        <a:prstGeom prst="rect">
                          <a:avLst/>
                        </a:prstGeom>
                        <a:solidFill>
                          <a:srgbClr val="FFFFFF"/>
                        </a:solidFill>
                        <a:ln w="9525">
                          <a:solidFill>
                            <a:srgbClr val="000000"/>
                          </a:solidFill>
                          <a:miter lim="800000"/>
                          <a:headEnd/>
                          <a:tailEnd/>
                        </a:ln>
                      </wps:spPr>
                      <wps:txbx>
                        <w:txbxContent>
                          <w:p w14:paraId="51FCE0EC" w14:textId="77777777" w:rsidR="0064223B" w:rsidRDefault="0064223B" w:rsidP="001E5779">
                            <w:pPr>
                              <w:spacing w:after="0" w:line="240" w:lineRule="auto"/>
                              <w:jc w:val="center"/>
                              <w:rPr>
                                <w:rFonts w:ascii="Calibri" w:hAnsi="Calibri"/>
                                <w:sz w:val="20"/>
                                <w:szCs w:val="20"/>
                              </w:rPr>
                            </w:pPr>
                            <w:r>
                              <w:rPr>
                                <w:rFonts w:ascii="Calibri" w:hAnsi="Calibri"/>
                                <w:sz w:val="20"/>
                                <w:szCs w:val="20"/>
                              </w:rPr>
                              <w:t>Total studies after duplicates removed (n=6,947)</w:t>
                            </w:r>
                          </w:p>
                          <w:p w14:paraId="6D4D91CD" w14:textId="77777777" w:rsidR="0064223B" w:rsidRPr="009B4053" w:rsidRDefault="0064223B" w:rsidP="001E5779">
                            <w:pPr>
                              <w:spacing w:after="0" w:line="240" w:lineRule="auto"/>
                              <w:jc w:val="center"/>
                              <w:rPr>
                                <w:rFonts w:ascii="Calibri" w:hAnsi="Calibri"/>
                                <w:sz w:val="20"/>
                                <w:szCs w:val="20"/>
                              </w:rPr>
                            </w:pPr>
                            <w:r>
                              <w:rPr>
                                <w:rFonts w:ascii="Calibri" w:hAnsi="Calibri"/>
                                <w:sz w:val="20"/>
                                <w:szCs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029E4" id="_x0000_s1038" style="position:absolute;margin-left:6.1pt;margin-top:8.5pt;width:212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">
                <v:textbox inset=",7.2pt,,7.2pt">
                  <w:txbxContent>
                    <w:p w14:paraId="51FCE0EC" w14:textId="77777777" w:rsidR="0064223B" w:rsidRDefault="0064223B" w:rsidP="001E5779">
                      <w:pPr>
                        <w:spacing w:after="0" w:line="240" w:lineRule="auto"/>
                        <w:jc w:val="center"/>
                        <w:rPr>
                          <w:rFonts w:ascii="Calibri" w:hAnsi="Calibri"/>
                          <w:sz w:val="20"/>
                          <w:szCs w:val="20"/>
                        </w:rPr>
                      </w:pPr>
                      <w:r>
                        <w:rPr>
                          <w:rFonts w:ascii="Calibri" w:hAnsi="Calibri"/>
                          <w:sz w:val="20"/>
                          <w:szCs w:val="20"/>
                        </w:rPr>
                        <w:t>Total studies after duplicates removed (n=6,947)</w:t>
                      </w:r>
                    </w:p>
                    <w:p w14:paraId="6D4D91CD" w14:textId="77777777" w:rsidR="0064223B" w:rsidRPr="009B4053" w:rsidRDefault="0064223B" w:rsidP="001E5779">
                      <w:pPr>
                        <w:spacing w:after="0" w:line="240" w:lineRule="auto"/>
                        <w:jc w:val="center"/>
                        <w:rPr>
                          <w:rFonts w:ascii="Calibri" w:hAnsi="Calibri"/>
                          <w:sz w:val="20"/>
                          <w:szCs w:val="20"/>
                        </w:rPr>
                      </w:pPr>
                      <w:r>
                        <w:rPr>
                          <w:rFonts w:ascii="Calibri" w:hAnsi="Calibri"/>
                          <w:sz w:val="20"/>
                          <w:szCs w:val="20"/>
                        </w:rPr>
                        <w:t>(</w:t>
                      </w:r>
                    </w:p>
                  </w:txbxContent>
                </v:textbox>
              </v:rect>
            </w:pict>
          </mc:Fallback>
        </mc:AlternateContent>
      </w:r>
      <w:r w:rsidRPr="008D2D71">
        <w:rPr>
          <w:rFonts w:ascii="Arial" w:hAnsi="Arial" w:cs="Arial"/>
          <w:noProof/>
          <w:sz w:val="24"/>
          <w:szCs w:val="24"/>
          <w:lang w:val="en-US" w:eastAsia="zh-CN"/>
        </w:rPr>
        <mc:AlternateContent>
          <mc:Choice Requires="wps">
            <w:drawing>
              <wp:anchor distT="0" distB="0" distL="114300" distR="114300" simplePos="0" relativeHeight="251662336" behindDoc="0" locked="0" layoutInCell="1" allowOverlap="1" wp14:anchorId="4A639020" wp14:editId="689CF071">
                <wp:simplePos x="0" y="0"/>
                <wp:positionH relativeFrom="column">
                  <wp:posOffset>57150</wp:posOffset>
                </wp:positionH>
                <wp:positionV relativeFrom="paragraph">
                  <wp:posOffset>1882775</wp:posOffset>
                </wp:positionV>
                <wp:extent cx="2707005" cy="483235"/>
                <wp:effectExtent l="0" t="0" r="17145" b="12065"/>
                <wp:wrapNone/>
                <wp:docPr id="10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005" cy="483235"/>
                        </a:xfrm>
                        <a:prstGeom prst="rect">
                          <a:avLst/>
                        </a:prstGeom>
                        <a:solidFill>
                          <a:srgbClr val="FFFFFF"/>
                        </a:solidFill>
                        <a:ln w="9525">
                          <a:solidFill>
                            <a:srgbClr val="000000"/>
                          </a:solidFill>
                          <a:miter lim="800000"/>
                          <a:headEnd/>
                          <a:tailEnd/>
                        </a:ln>
                      </wps:spPr>
                      <wps:txbx>
                        <w:txbxContent>
                          <w:p w14:paraId="3B273CC9" w14:textId="77777777" w:rsidR="0064223B" w:rsidRDefault="0064223B" w:rsidP="001E5779">
                            <w:pPr>
                              <w:spacing w:after="0" w:line="240" w:lineRule="auto"/>
                              <w:jc w:val="center"/>
                              <w:rPr>
                                <w:rFonts w:ascii="Calibri" w:hAnsi="Calibri"/>
                                <w:sz w:val="20"/>
                                <w:szCs w:val="20"/>
                              </w:rPr>
                            </w:pPr>
                            <w:r>
                              <w:rPr>
                                <w:rFonts w:ascii="Calibri" w:hAnsi="Calibri"/>
                                <w:sz w:val="20"/>
                                <w:szCs w:val="20"/>
                              </w:rPr>
                              <w:t>S</w:t>
                            </w:r>
                            <w:r w:rsidRPr="009B4053">
                              <w:rPr>
                                <w:rFonts w:ascii="Calibri" w:hAnsi="Calibri"/>
                                <w:sz w:val="20"/>
                                <w:szCs w:val="20"/>
                              </w:rPr>
                              <w:t>t</w:t>
                            </w:r>
                            <w:r>
                              <w:rPr>
                                <w:rFonts w:ascii="Calibri" w:hAnsi="Calibri"/>
                                <w:sz w:val="20"/>
                                <w:szCs w:val="20"/>
                              </w:rPr>
                              <w:t xml:space="preserve">udies for which IPD were sought </w:t>
                            </w:r>
                          </w:p>
                          <w:p w14:paraId="6B53C9BA" w14:textId="77777777" w:rsidR="0064223B" w:rsidRDefault="0064223B" w:rsidP="001E5779">
                            <w:pPr>
                              <w:spacing w:after="0" w:line="240" w:lineRule="auto"/>
                              <w:jc w:val="center"/>
                              <w:rPr>
                                <w:rFonts w:ascii="Calibri" w:hAnsi="Calibri"/>
                                <w:sz w:val="20"/>
                                <w:szCs w:val="20"/>
                              </w:rPr>
                            </w:pPr>
                            <w:r>
                              <w:rPr>
                                <w:rFonts w:ascii="Calibri" w:hAnsi="Calibri"/>
                                <w:sz w:val="20"/>
                                <w:szCs w:val="20"/>
                              </w:rPr>
                              <w:t>(n=16)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39020" id="Rectangle 13" o:spid="_x0000_s1039" style="position:absolute;margin-left:4.5pt;margin-top:148.25pt;width:213.15pt;height:3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">
                <v:textbox inset=",7.2pt,,7.2pt">
                  <w:txbxContent>
                    <w:p w14:paraId="3B273CC9" w14:textId="77777777" w:rsidR="0064223B" w:rsidRDefault="0064223B" w:rsidP="001E5779">
                      <w:pPr>
                        <w:spacing w:after="0" w:line="240" w:lineRule="auto"/>
                        <w:jc w:val="center"/>
                        <w:rPr>
                          <w:rFonts w:ascii="Calibri" w:hAnsi="Calibri"/>
                          <w:sz w:val="20"/>
                          <w:szCs w:val="20"/>
                        </w:rPr>
                      </w:pPr>
                      <w:r>
                        <w:rPr>
                          <w:rFonts w:ascii="Calibri" w:hAnsi="Calibri"/>
                          <w:sz w:val="20"/>
                          <w:szCs w:val="20"/>
                        </w:rPr>
                        <w:t>S</w:t>
                      </w:r>
                      <w:r w:rsidRPr="009B4053">
                        <w:rPr>
                          <w:rFonts w:ascii="Calibri" w:hAnsi="Calibri"/>
                          <w:sz w:val="20"/>
                          <w:szCs w:val="20"/>
                        </w:rPr>
                        <w:t>t</w:t>
                      </w:r>
                      <w:r>
                        <w:rPr>
                          <w:rFonts w:ascii="Calibri" w:hAnsi="Calibri"/>
                          <w:sz w:val="20"/>
                          <w:szCs w:val="20"/>
                        </w:rPr>
                        <w:t xml:space="preserve">udies for which IPD were sought </w:t>
                      </w:r>
                    </w:p>
                    <w:p w14:paraId="6B53C9BA" w14:textId="77777777" w:rsidR="0064223B" w:rsidRDefault="0064223B" w:rsidP="001E5779">
                      <w:pPr>
                        <w:spacing w:after="0" w:line="240" w:lineRule="auto"/>
                        <w:jc w:val="center"/>
                        <w:rPr>
                          <w:rFonts w:ascii="Calibri" w:hAnsi="Calibri"/>
                          <w:sz w:val="20"/>
                          <w:szCs w:val="20"/>
                        </w:rPr>
                      </w:pPr>
                      <w:r>
                        <w:rPr>
                          <w:rFonts w:ascii="Calibri" w:hAnsi="Calibri"/>
                          <w:sz w:val="20"/>
                          <w:szCs w:val="20"/>
                        </w:rPr>
                        <w:t>(n=16)</w:t>
                      </w:r>
                    </w:p>
                  </w:txbxContent>
                </v:textbox>
              </v:rect>
            </w:pict>
          </mc:Fallback>
        </mc:AlternateContent>
      </w:r>
      <w:r w:rsidRPr="008D2D71">
        <w:rPr>
          <w:rFonts w:ascii="Arial" w:hAnsi="Arial" w:cs="Arial"/>
          <w:noProof/>
          <w:sz w:val="24"/>
          <w:szCs w:val="24"/>
          <w:lang w:val="en-US" w:eastAsia="zh-CN"/>
        </w:rPr>
        <mc:AlternateContent>
          <mc:Choice Requires="wps">
            <w:drawing>
              <wp:anchor distT="0" distB="0" distL="114300" distR="114300" simplePos="0" relativeHeight="251682816" behindDoc="0" locked="0" layoutInCell="1" allowOverlap="1" wp14:anchorId="67C11091" wp14:editId="74A56BA1">
                <wp:simplePos x="0" y="0"/>
                <wp:positionH relativeFrom="leftMargin">
                  <wp:posOffset>270524</wp:posOffset>
                </wp:positionH>
                <wp:positionV relativeFrom="paragraph">
                  <wp:posOffset>1899823</wp:posOffset>
                </wp:positionV>
                <wp:extent cx="748362" cy="332989"/>
                <wp:effectExtent l="0" t="1905" r="12065" b="12065"/>
                <wp:wrapNone/>
                <wp:docPr id="1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8362" cy="332989"/>
                        </a:xfrm>
                        <a:prstGeom prst="roundRect">
                          <a:avLst>
                            <a:gd name="adj" fmla="val 16667"/>
                          </a:avLst>
                        </a:prstGeom>
                        <a:solidFill>
                          <a:srgbClr val="CCECFF"/>
                        </a:solidFill>
                        <a:ln w="9525">
                          <a:solidFill>
                            <a:srgbClr val="000000"/>
                          </a:solidFill>
                          <a:round/>
                          <a:headEnd/>
                          <a:tailEnd/>
                        </a:ln>
                      </wps:spPr>
                      <wps:txbx>
                        <w:txbxContent>
                          <w:p w14:paraId="1EF56C94" w14:textId="77777777" w:rsidR="0064223B" w:rsidRPr="0096375F" w:rsidRDefault="0064223B" w:rsidP="001E5779">
                            <w:pPr>
                              <w:pStyle w:val="Heading2"/>
                              <w:jc w:val="center"/>
                              <w:rPr>
                                <w:sz w:val="20"/>
                              </w:rPr>
                            </w:pPr>
                            <w:r w:rsidRPr="0096375F">
                              <w:rPr>
                                <w:sz w:val="20"/>
                              </w:rPr>
                              <w:t>Obtaining data</w:t>
                            </w:r>
                          </w:p>
                        </w:txbxContent>
                      </wps:txbx>
                      <wps:bodyPr rot="0" vert="vert270"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C11091" id="AutoShape 5" o:spid="_x0000_s1040" style="position:absolute;margin-left:21.3pt;margin-top:149.6pt;width:58.95pt;height:26.2pt;rotation:-90;z-index:251682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" fillcolor="#ccecff">
                <v:textbox style="layout-flow:vertical;mso-layout-flow-alt:bottom-to-top" inset="3.6pt,0,3.6pt,0">
                  <w:txbxContent>
                    <w:p w14:paraId="1EF56C94" w14:textId="77777777" w:rsidR="0064223B" w:rsidRPr="0096375F" w:rsidRDefault="0064223B" w:rsidP="001E5779">
                      <w:pPr>
                        <w:pStyle w:val="Heading2"/>
                        <w:jc w:val="center"/>
                        <w:rPr>
                          <w:sz w:val="20"/>
                        </w:rPr>
                      </w:pPr>
                      <w:r w:rsidRPr="0096375F">
                        <w:rPr>
                          <w:sz w:val="20"/>
                        </w:rPr>
                        <w:t>Obtaining data</w:t>
                      </w:r>
                    </w:p>
                  </w:txbxContent>
                </v:textbox>
                <w10:wrap anchorx="margin"/>
              </v:roundrect>
            </w:pict>
          </mc:Fallback>
        </mc:AlternateContent>
      </w:r>
      <w:r w:rsidRPr="008D2D71">
        <w:rPr>
          <w:rFonts w:ascii="Arial" w:hAnsi="Arial" w:cs="Arial"/>
          <w:noProof/>
          <w:lang w:val="en-US" w:eastAsia="zh-CN"/>
        </w:rPr>
        <mc:AlternateContent>
          <mc:Choice Requires="wps">
            <w:drawing>
              <wp:anchor distT="0" distB="0" distL="114300" distR="114300" simplePos="0" relativeHeight="251679744" behindDoc="0" locked="0" layoutInCell="1" allowOverlap="1" wp14:anchorId="091F0158" wp14:editId="05833835">
                <wp:simplePos x="0" y="0"/>
                <wp:positionH relativeFrom="column">
                  <wp:posOffset>-646402</wp:posOffset>
                </wp:positionH>
                <wp:positionV relativeFrom="paragraph">
                  <wp:posOffset>1157853</wp:posOffset>
                </wp:positionV>
                <wp:extent cx="683936" cy="184152"/>
                <wp:effectExtent l="2223" t="0" r="23177" b="23178"/>
                <wp:wrapNone/>
                <wp:docPr id="1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3936" cy="184152"/>
                        </a:xfrm>
                        <a:prstGeom prst="roundRect">
                          <a:avLst>
                            <a:gd name="adj" fmla="val 16667"/>
                          </a:avLst>
                        </a:prstGeom>
                        <a:solidFill>
                          <a:srgbClr val="CCECFF"/>
                        </a:solidFill>
                        <a:ln w="9525">
                          <a:solidFill>
                            <a:srgbClr val="000000"/>
                          </a:solidFill>
                          <a:round/>
                          <a:headEnd/>
                          <a:tailEnd/>
                        </a:ln>
                      </wps:spPr>
                      <wps:txbx>
                        <w:txbxContent>
                          <w:p w14:paraId="3A89A32F" w14:textId="77777777" w:rsidR="0064223B" w:rsidRPr="0096375F" w:rsidRDefault="0064223B" w:rsidP="001E5779">
                            <w:pPr>
                              <w:pStyle w:val="Heading2"/>
                              <w:rPr>
                                <w:sz w:val="20"/>
                              </w:rPr>
                            </w:pPr>
                            <w:r w:rsidRPr="0096375F">
                              <w:rPr>
                                <w:sz w:val="20"/>
                              </w:rPr>
                              <w:t>Eligibility</w:t>
                            </w:r>
                          </w:p>
                        </w:txbxContent>
                      </wps:txbx>
                      <wps:bodyPr rot="0" vert="vert270"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1F0158" id="_x0000_s1041" style="position:absolute;margin-left:-50.9pt;margin-top:91.15pt;width:53.85pt;height:14.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" fillcolor="#ccecff">
                <v:textbox style="layout-flow:vertical;mso-layout-flow-alt:bottom-to-top" inset="3.6pt,0,3.6pt,0">
                  <w:txbxContent>
                    <w:p w14:paraId="3A89A32F" w14:textId="77777777" w:rsidR="0064223B" w:rsidRPr="0096375F" w:rsidRDefault="0064223B" w:rsidP="001E5779">
                      <w:pPr>
                        <w:pStyle w:val="Heading2"/>
                        <w:rPr>
                          <w:sz w:val="20"/>
                        </w:rPr>
                      </w:pPr>
                      <w:r w:rsidRPr="0096375F">
                        <w:rPr>
                          <w:sz w:val="20"/>
                        </w:rPr>
                        <w:t>Eligibility</w:t>
                      </w:r>
                    </w:p>
                  </w:txbxContent>
                </v:textbox>
              </v:roundrect>
            </w:pict>
          </mc:Fallback>
        </mc:AlternateContent>
      </w:r>
      <w:r w:rsidRPr="008D2D71">
        <w:rPr>
          <w:rFonts w:ascii="Arial" w:hAnsi="Arial" w:cs="Arial"/>
          <w:noProof/>
          <w:sz w:val="24"/>
          <w:szCs w:val="24"/>
          <w:lang w:val="en-US" w:eastAsia="zh-CN"/>
        </w:rPr>
        <mc:AlternateContent>
          <mc:Choice Requires="wps">
            <w:drawing>
              <wp:anchor distT="0" distB="0" distL="114300" distR="114300" simplePos="0" relativeHeight="251678720" behindDoc="0" locked="0" layoutInCell="1" allowOverlap="1" wp14:anchorId="160FF551" wp14:editId="7D42D068">
                <wp:simplePos x="0" y="0"/>
                <wp:positionH relativeFrom="column">
                  <wp:posOffset>-690881</wp:posOffset>
                </wp:positionH>
                <wp:positionV relativeFrom="paragraph">
                  <wp:posOffset>365401</wp:posOffset>
                </wp:positionV>
                <wp:extent cx="746551" cy="191205"/>
                <wp:effectExtent l="0" t="8255" r="26670" b="26670"/>
                <wp:wrapNone/>
                <wp:docPr id="1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6551" cy="191205"/>
                        </a:xfrm>
                        <a:prstGeom prst="roundRect">
                          <a:avLst>
                            <a:gd name="adj" fmla="val 16667"/>
                          </a:avLst>
                        </a:prstGeom>
                        <a:solidFill>
                          <a:srgbClr val="CCECFF"/>
                        </a:solidFill>
                        <a:ln w="9525">
                          <a:solidFill>
                            <a:srgbClr val="000000"/>
                          </a:solidFill>
                          <a:round/>
                          <a:headEnd/>
                          <a:tailEnd/>
                        </a:ln>
                      </wps:spPr>
                      <wps:txbx>
                        <w:txbxContent>
                          <w:p w14:paraId="1425A324" w14:textId="77777777" w:rsidR="0064223B" w:rsidRPr="000759E4" w:rsidRDefault="0064223B" w:rsidP="001E5779">
                            <w:pPr>
                              <w:pStyle w:val="Heading2"/>
                            </w:pPr>
                            <w:r w:rsidRPr="0096375F">
                              <w:rPr>
                                <w:sz w:val="20"/>
                              </w:rPr>
                              <w:t>Screening</w:t>
                            </w:r>
                          </w:p>
                        </w:txbxContent>
                      </wps:txbx>
                      <wps:bodyPr rot="0" vert="vert270"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FF551" id="AutoShape 3" o:spid="_x0000_s1042" style="position:absolute;margin-left:-54.4pt;margin-top:28.75pt;width:58.8pt;height:15.0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" fillcolor="#ccecff">
                <v:textbox style="layout-flow:vertical;mso-layout-flow-alt:bottom-to-top" inset="3.6pt,0,3.6pt,0">
                  <w:txbxContent>
                    <w:p w14:paraId="1425A324" w14:textId="77777777" w:rsidR="0064223B" w:rsidRPr="000759E4" w:rsidRDefault="0064223B" w:rsidP="001E5779">
                      <w:pPr>
                        <w:pStyle w:val="Heading2"/>
                      </w:pPr>
                      <w:r w:rsidRPr="0096375F">
                        <w:rPr>
                          <w:sz w:val="20"/>
                        </w:rPr>
                        <w:t>Screening</w:t>
                      </w:r>
                    </w:p>
                  </w:txbxContent>
                </v:textbox>
              </v:roundrect>
            </w:pict>
          </mc:Fallback>
        </mc:AlternateContent>
      </w:r>
    </w:p>
    <w:bookmarkEnd w:id="77"/>
    <w:p w14:paraId="49731B7D" w14:textId="77777777" w:rsidR="0064223B" w:rsidRDefault="0064223B">
      <w:pPr>
        <w:rPr>
          <w:b/>
          <w:i/>
          <w:u w:val="single"/>
        </w:rPr>
      </w:pPr>
      <w:r>
        <w:lastRenderedPageBreak/>
        <w:br w:type="page"/>
      </w:r>
    </w:p>
    <w:p w14:paraId="5FF271F6" w14:textId="3B76C228" w:rsidR="0064223B" w:rsidRDefault="0064223B" w:rsidP="006F5649">
      <w:pPr>
        <w:pStyle w:val="Heading1"/>
      </w:pPr>
      <w:bookmarkStart w:id="78" w:name="_Hlk42333366"/>
      <w:r>
        <w:lastRenderedPageBreak/>
        <w:t>Figure 2. Time-to-event, any asymptomatic or symptomatic venous thromboembolism</w:t>
      </w:r>
    </w:p>
    <w:p w14:paraId="730AC541" w14:textId="77777777" w:rsidR="0064223B" w:rsidRDefault="0064223B" w:rsidP="006F5649">
      <w:pPr>
        <w:tabs>
          <w:tab w:val="left" w:pos="3718"/>
        </w:tabs>
        <w:autoSpaceDE w:val="0"/>
        <w:autoSpaceDN w:val="0"/>
        <w:adjustRightInd w:val="0"/>
        <w:spacing w:after="0" w:line="480" w:lineRule="auto"/>
        <w:rPr>
          <w:rFonts w:ascii="Arial" w:hAnsi="Arial" w:cs="Arial"/>
        </w:rPr>
      </w:pPr>
      <w:r>
        <w:rPr>
          <w:rFonts w:ascii="Arial" w:hAnsi="Arial" w:cs="Arial"/>
        </w:rPr>
        <w:tab/>
      </w:r>
    </w:p>
    <w:p w14:paraId="7F3E351D" w14:textId="77777777" w:rsidR="0064223B" w:rsidRDefault="0064223B">
      <w:pPr>
        <w:autoSpaceDE w:val="0"/>
        <w:autoSpaceDN w:val="0"/>
        <w:adjustRightInd w:val="0"/>
        <w:spacing w:after="0" w:line="480" w:lineRule="auto"/>
        <w:rPr>
          <w:rFonts w:ascii="Arial" w:hAnsi="Arial" w:cs="Arial"/>
        </w:rPr>
      </w:pPr>
      <w:r w:rsidRPr="00EF4858">
        <w:rPr>
          <w:noProof/>
        </w:rPr>
        <w:t xml:space="preserve"> </w:t>
      </w:r>
      <w:r w:rsidRPr="002D251C">
        <w:rPr>
          <w:rFonts w:ascii="Arial" w:hAnsi="Arial" w:cs="Arial"/>
          <w:noProof/>
          <w:lang w:val="en-US" w:eastAsia="zh-CN"/>
        </w:rPr>
        <w:drawing>
          <wp:inline distT="0" distB="0" distL="0" distR="0" wp14:anchorId="7EC35693" wp14:editId="26DD362C">
            <wp:extent cx="5194300" cy="3860800"/>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4300" cy="3860800"/>
                    </a:xfrm>
                    <a:prstGeom prst="rect">
                      <a:avLst/>
                    </a:prstGeom>
                  </pic:spPr>
                </pic:pic>
              </a:graphicData>
            </a:graphic>
          </wp:inline>
        </w:drawing>
      </w:r>
    </w:p>
    <w:p w14:paraId="108885F6" w14:textId="77777777" w:rsidR="0064223B" w:rsidRDefault="0064223B">
      <w:pPr>
        <w:autoSpaceDE w:val="0"/>
        <w:autoSpaceDN w:val="0"/>
        <w:adjustRightInd w:val="0"/>
        <w:spacing w:after="0" w:line="480" w:lineRule="auto"/>
        <w:rPr>
          <w:rFonts w:ascii="Arial" w:hAnsi="Arial" w:cs="Arial"/>
        </w:rPr>
      </w:pPr>
    </w:p>
    <w:p w14:paraId="6087DB8C" w14:textId="77777777" w:rsidR="0064223B" w:rsidRDefault="0064223B">
      <w:pPr>
        <w:autoSpaceDE w:val="0"/>
        <w:autoSpaceDN w:val="0"/>
        <w:adjustRightInd w:val="0"/>
        <w:spacing w:after="0" w:line="480" w:lineRule="auto"/>
        <w:rPr>
          <w:rFonts w:ascii="Arial" w:hAnsi="Arial" w:cs="Arial"/>
        </w:rPr>
      </w:pPr>
      <w:r>
        <w:rPr>
          <w:rFonts w:ascii="Arial" w:hAnsi="Arial" w:cs="Arial"/>
        </w:rPr>
        <w:t xml:space="preserve">Legend. Cumulative Incidence functions for venous thromboembolism in cancer patients on LMWH and no LMWH. Please note that the axis represents a risk from 0 to 30%. </w:t>
      </w:r>
      <w:bookmarkEnd w:id="78"/>
    </w:p>
    <w:p w14:paraId="56FE7801" w14:textId="77777777" w:rsidR="001F08B4" w:rsidRDefault="001F08B4"/>
    <w:sectPr w:rsidR="001F08B4">
      <w:headerReference w:type="default" r:id="rId14"/>
      <w:footerReference w:type="even" r:id="rId15"/>
      <w:footerReference w:type="default" r:id="rId1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calaLancetPro">
    <w:altName w:val="MS Gothic"/>
    <w:panose1 w:val="020B0604020202020204"/>
    <w:charset w:val="80"/>
    <w:family w:val="roman"/>
    <w:notTrueType/>
    <w:pitch w:val="default"/>
    <w:sig w:usb0="00000001" w:usb1="08070000" w:usb2="00000010" w:usb3="00000000" w:csb0="00020000" w:csb1="00000000"/>
  </w:font>
  <w:font w:name="OTNEJMQuadraat">
    <w:altName w:val="Times New Roman"/>
    <w:panose1 w:val="020B0604020202020204"/>
    <w:charset w:val="A3"/>
    <w:family w:val="roman"/>
    <w:notTrueType/>
    <w:pitch w:val="default"/>
    <w:sig w:usb0="20000001" w:usb1="00000000" w:usb2="00000000" w:usb3="00000000" w:csb0="00000100"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7090D" w14:textId="77777777" w:rsidR="00D22E70" w:rsidRDefault="00AE167D" w:rsidP="00AA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A3262B" w14:textId="77777777" w:rsidR="00D22E70" w:rsidRDefault="00AE167D" w:rsidP="00AA2A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5632551"/>
      <w:docPartObj>
        <w:docPartGallery w:val="Page Numbers (Bottom of Page)"/>
        <w:docPartUnique/>
      </w:docPartObj>
    </w:sdtPr>
    <w:sdtEndPr>
      <w:rPr>
        <w:noProof/>
      </w:rPr>
    </w:sdtEndPr>
    <w:sdtContent>
      <w:p w14:paraId="69EE269C" w14:textId="77777777" w:rsidR="00D22E70" w:rsidRDefault="00AE167D">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14:paraId="704C0EF4" w14:textId="77777777" w:rsidR="00D22E70" w:rsidRDefault="00AE167D" w:rsidP="00AA2A9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C5062" w14:textId="77777777" w:rsidR="00D22E70" w:rsidRDefault="00AE167D" w:rsidP="00AA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64843D" w14:textId="77777777" w:rsidR="00D22E70" w:rsidRDefault="00AE167D" w:rsidP="00AA2A9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326622"/>
      <w:docPartObj>
        <w:docPartGallery w:val="Page Numbers (Bottom of Page)"/>
        <w:docPartUnique/>
      </w:docPartObj>
    </w:sdtPr>
    <w:sdtEndPr>
      <w:rPr>
        <w:noProof/>
      </w:rPr>
    </w:sdtEndPr>
    <w:sdtContent>
      <w:p w14:paraId="7A916489" w14:textId="77777777" w:rsidR="00D22E70" w:rsidRDefault="00AE167D">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p w14:paraId="36CAD96D" w14:textId="77777777" w:rsidR="00D22E70" w:rsidRDefault="00AE167D" w:rsidP="00AA2A9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2C9B6" w14:textId="77777777" w:rsidR="00D22E70" w:rsidRDefault="00AE167D" w:rsidP="00AA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014AF2" w14:textId="77777777" w:rsidR="00D22E70" w:rsidRDefault="00AE167D" w:rsidP="00AA2A9E">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5456535"/>
      <w:docPartObj>
        <w:docPartGallery w:val="Page Numbers (Bottom of Page)"/>
        <w:docPartUnique/>
      </w:docPartObj>
    </w:sdtPr>
    <w:sdtEndPr>
      <w:rPr>
        <w:noProof/>
      </w:rPr>
    </w:sdtEndPr>
    <w:sdtContent>
      <w:p w14:paraId="5647E88B" w14:textId="77777777" w:rsidR="00D22E70" w:rsidRDefault="00AE167D">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p w14:paraId="1FB106F9" w14:textId="77777777" w:rsidR="00D22E70" w:rsidRDefault="00AE167D" w:rsidP="00AA2A9E">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4C8F9" w14:textId="77777777" w:rsidR="00D22E70" w:rsidRDefault="00AE167D" w:rsidP="00AA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3EEF98" w14:textId="77777777" w:rsidR="00D22E70" w:rsidRDefault="00AE167D" w:rsidP="00AA2A9E">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3592035"/>
      <w:docPartObj>
        <w:docPartGallery w:val="Page Numbers (Bottom of Page)"/>
        <w:docPartUnique/>
      </w:docPartObj>
    </w:sdtPr>
    <w:sdtEndPr>
      <w:rPr>
        <w:noProof/>
      </w:rPr>
    </w:sdtEndPr>
    <w:sdtContent>
      <w:p w14:paraId="1EAF418A" w14:textId="77777777" w:rsidR="00D22E70" w:rsidRDefault="00AE167D">
        <w:pPr>
          <w:pStyle w:val="Footer"/>
          <w:jc w:val="center"/>
        </w:pPr>
        <w:r>
          <w:fldChar w:fldCharType="begin"/>
        </w:r>
        <w:r>
          <w:instrText xml:space="preserve"> PAGE   \* MERGEFORMAT </w:instrText>
        </w:r>
        <w:r>
          <w:fldChar w:fldCharType="separate"/>
        </w:r>
        <w:r>
          <w:rPr>
            <w:noProof/>
          </w:rPr>
          <w:t>39</w:t>
        </w:r>
        <w:r>
          <w:rPr>
            <w:noProof/>
          </w:rPr>
          <w:fldChar w:fldCharType="end"/>
        </w:r>
      </w:p>
    </w:sdtContent>
  </w:sdt>
  <w:p w14:paraId="44720A26" w14:textId="77777777" w:rsidR="00D22E70" w:rsidRDefault="00AE167D" w:rsidP="00AA2A9E">
    <w:pPr>
      <w:pStyle w:val="Footer"/>
      <w:ind w:right="36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48554" w14:textId="77777777" w:rsidR="00D22E70" w:rsidRPr="00F447AE" w:rsidRDefault="00AE167D">
    <w:pPr>
      <w:pStyle w:val="Header"/>
      <w:rPr>
        <w:rFonts w:ascii="Arial" w:hAnsi="Arial" w:cs="Arial"/>
        <w:color w:val="000000" w:themeColor="text1"/>
        <w:sz w:val="22"/>
      </w:rPr>
    </w:pPr>
    <w:r>
      <w:rPr>
        <w:rFonts w:ascii="Arial" w:hAnsi="Arial" w:cs="Arial"/>
        <w:color w:val="000000" w:themeColor="text1"/>
        <w:sz w:val="22"/>
      </w:rPr>
      <w:t>H</w:t>
    </w:r>
    <w:r w:rsidRPr="00F447AE">
      <w:rPr>
        <w:rFonts w:ascii="Arial" w:hAnsi="Arial" w:cs="Arial"/>
        <w:color w:val="000000" w:themeColor="text1"/>
        <w:sz w:val="22"/>
      </w:rPr>
      <w:t>eparin u</w:t>
    </w:r>
    <w:r w:rsidRPr="00F447AE">
      <w:rPr>
        <w:rFonts w:ascii="Arial" w:hAnsi="Arial" w:cs="Arial"/>
        <w:color w:val="000000" w:themeColor="text1"/>
        <w:sz w:val="22"/>
      </w:rPr>
      <w:t>se in oncologic patients</w:t>
    </w:r>
    <w:r>
      <w:rPr>
        <w:rFonts w:ascii="Arial" w:hAnsi="Arial" w:cs="Arial"/>
        <w:color w:val="000000" w:themeColor="text1"/>
        <w:sz w:val="22"/>
      </w:rPr>
      <w:t xml:space="preserve"> IPDMA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1E7F7" w14:textId="77777777" w:rsidR="00D22E70" w:rsidRPr="00F447AE" w:rsidRDefault="00AE167D">
    <w:pPr>
      <w:pStyle w:val="Header"/>
      <w:rPr>
        <w:rFonts w:ascii="Arial" w:hAnsi="Arial" w:cs="Arial"/>
        <w:color w:val="000000" w:themeColor="text1"/>
        <w:sz w:val="22"/>
      </w:rPr>
    </w:pPr>
    <w:r>
      <w:rPr>
        <w:rFonts w:ascii="Arial" w:hAnsi="Arial" w:cs="Arial"/>
        <w:color w:val="000000" w:themeColor="text1"/>
        <w:sz w:val="22"/>
      </w:rPr>
      <w:t>H</w:t>
    </w:r>
    <w:r w:rsidRPr="00F447AE">
      <w:rPr>
        <w:rFonts w:ascii="Arial" w:hAnsi="Arial" w:cs="Arial"/>
        <w:color w:val="000000" w:themeColor="text1"/>
        <w:sz w:val="22"/>
      </w:rPr>
      <w:t xml:space="preserve">eparin use in </w:t>
    </w:r>
    <w:r w:rsidRPr="00F447AE">
      <w:rPr>
        <w:rFonts w:ascii="Arial" w:hAnsi="Arial" w:cs="Arial"/>
        <w:color w:val="000000" w:themeColor="text1"/>
        <w:sz w:val="22"/>
      </w:rPr>
      <w:t>oncologic patients</w:t>
    </w:r>
    <w:r>
      <w:rPr>
        <w:rFonts w:ascii="Arial" w:hAnsi="Arial" w:cs="Arial"/>
        <w:color w:val="000000" w:themeColor="text1"/>
        <w:sz w:val="22"/>
      </w:rPr>
      <w:t xml:space="preserve"> IPDMA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D481F" w14:textId="77777777" w:rsidR="00D22E70" w:rsidRPr="00F447AE" w:rsidRDefault="00AE167D">
    <w:pPr>
      <w:pStyle w:val="Header"/>
      <w:rPr>
        <w:rFonts w:ascii="Arial" w:hAnsi="Arial" w:cs="Arial"/>
        <w:color w:val="000000" w:themeColor="text1"/>
        <w:sz w:val="22"/>
      </w:rPr>
    </w:pPr>
    <w:r>
      <w:rPr>
        <w:rFonts w:ascii="Arial" w:hAnsi="Arial" w:cs="Arial"/>
        <w:color w:val="000000" w:themeColor="text1"/>
        <w:sz w:val="22"/>
      </w:rPr>
      <w:t>H</w:t>
    </w:r>
    <w:r w:rsidRPr="00F447AE">
      <w:rPr>
        <w:rFonts w:ascii="Arial" w:hAnsi="Arial" w:cs="Arial"/>
        <w:color w:val="000000" w:themeColor="text1"/>
        <w:sz w:val="22"/>
      </w:rPr>
      <w:t>eparin use in oncologic patients</w:t>
    </w:r>
    <w:r>
      <w:rPr>
        <w:rFonts w:ascii="Arial" w:hAnsi="Arial" w:cs="Arial"/>
        <w:color w:val="000000" w:themeColor="text1"/>
        <w:sz w:val="22"/>
      </w:rPr>
      <w:t xml:space="preserve"> IPDMA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4630"/>
    <w:multiLevelType w:val="hybridMultilevel"/>
    <w:tmpl w:val="7B8E6420"/>
    <w:lvl w:ilvl="0" w:tplc="2588551C">
      <w:start w:val="3"/>
      <w:numFmt w:val="bullet"/>
      <w:lvlText w:val=""/>
      <w:lvlJc w:val="left"/>
      <w:pPr>
        <w:ind w:left="720" w:hanging="360"/>
      </w:pPr>
      <w:rPr>
        <w:rFonts w:ascii="Wingdings" w:eastAsiaTheme="minorHAnsi"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7B79BC"/>
    <w:multiLevelType w:val="hybridMultilevel"/>
    <w:tmpl w:val="2632CE60"/>
    <w:lvl w:ilvl="0" w:tplc="2C22691E">
      <w:numFmt w:val="bullet"/>
      <w:lvlText w:val="-"/>
      <w:lvlJc w:val="left"/>
      <w:pPr>
        <w:ind w:left="72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990DA0"/>
    <w:multiLevelType w:val="hybridMultilevel"/>
    <w:tmpl w:val="3C34FED4"/>
    <w:lvl w:ilvl="0" w:tplc="C35AE574">
      <w:numFmt w:val="bullet"/>
      <w:lvlText w:val="-"/>
      <w:lvlJc w:val="left"/>
      <w:pPr>
        <w:ind w:left="405" w:hanging="360"/>
      </w:pPr>
      <w:rPr>
        <w:rFonts w:ascii="Calibri" w:eastAsiaTheme="minorHAnsi" w:hAnsi="Calibri" w:cs="Calibri" w:hint="default"/>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3" w15:restartNumberingAfterBreak="0">
    <w:nsid w:val="0E4B1297"/>
    <w:multiLevelType w:val="hybridMultilevel"/>
    <w:tmpl w:val="24C4E596"/>
    <w:lvl w:ilvl="0" w:tplc="A5EA92C6">
      <w:start w:val="43"/>
      <w:numFmt w:val="bullet"/>
      <w:lvlText w:val=""/>
      <w:lvlJc w:val="left"/>
      <w:pPr>
        <w:ind w:left="720" w:hanging="360"/>
      </w:pPr>
      <w:rPr>
        <w:rFonts w:ascii="Symbol" w:eastAsia="SimSun"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301492E"/>
    <w:multiLevelType w:val="hybridMultilevel"/>
    <w:tmpl w:val="9F1C6438"/>
    <w:lvl w:ilvl="0" w:tplc="532C508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3D46FD1"/>
    <w:multiLevelType w:val="hybridMultilevel"/>
    <w:tmpl w:val="F3D4BB26"/>
    <w:lvl w:ilvl="0" w:tplc="F49CC43E">
      <w:start w:val="52"/>
      <w:numFmt w:val="bullet"/>
      <w:lvlText w:val=""/>
      <w:lvlJc w:val="left"/>
      <w:pPr>
        <w:ind w:left="720" w:hanging="360"/>
      </w:pPr>
      <w:rPr>
        <w:rFonts w:ascii="Symbol" w:eastAsia="SimSu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6A3BDE"/>
    <w:multiLevelType w:val="multilevel"/>
    <w:tmpl w:val="F5344E4E"/>
    <w:lvl w:ilvl="0">
      <w:start w:val="1"/>
      <w:numFmt w:val="decimal"/>
      <w:lvlText w:val="%1"/>
      <w:lvlJc w:val="left"/>
      <w:pPr>
        <w:ind w:left="492" w:hanging="492"/>
      </w:pPr>
      <w:rPr>
        <w:rFonts w:hint="default"/>
      </w:rPr>
    </w:lvl>
    <w:lvl w:ilvl="1">
      <w:start w:val="1"/>
      <w:numFmt w:val="decimalZero"/>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035C4C"/>
    <w:multiLevelType w:val="hybridMultilevel"/>
    <w:tmpl w:val="E3908DBC"/>
    <w:lvl w:ilvl="0" w:tplc="04847BAE">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AD53A4"/>
    <w:multiLevelType w:val="hybridMultilevel"/>
    <w:tmpl w:val="B4EC702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F5E7DC6"/>
    <w:multiLevelType w:val="multilevel"/>
    <w:tmpl w:val="BCB4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0A768C"/>
    <w:multiLevelType w:val="hybridMultilevel"/>
    <w:tmpl w:val="54EC62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B130A94"/>
    <w:multiLevelType w:val="hybridMultilevel"/>
    <w:tmpl w:val="C6F8A5B6"/>
    <w:lvl w:ilvl="0" w:tplc="0A7A48A8">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DE66D28"/>
    <w:multiLevelType w:val="hybridMultilevel"/>
    <w:tmpl w:val="239C6040"/>
    <w:lvl w:ilvl="0" w:tplc="8A70948C">
      <w:start w:val="2"/>
      <w:numFmt w:val="bullet"/>
      <w:lvlText w:val="-"/>
      <w:lvlJc w:val="left"/>
      <w:pPr>
        <w:ind w:left="72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F6F4285"/>
    <w:multiLevelType w:val="hybridMultilevel"/>
    <w:tmpl w:val="D02E2F5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33D33AE"/>
    <w:multiLevelType w:val="hybridMultilevel"/>
    <w:tmpl w:val="BDA4BF1A"/>
    <w:lvl w:ilvl="0" w:tplc="4DA4F0CE">
      <w:start w:val="1"/>
      <w:numFmt w:val="bullet"/>
      <w:lvlText w:val="-"/>
      <w:lvlJc w:val="left"/>
      <w:pPr>
        <w:ind w:left="360" w:hanging="360"/>
      </w:pPr>
      <w:rPr>
        <w:rFonts w:ascii="Calibri" w:eastAsia="SimSu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465A2855"/>
    <w:multiLevelType w:val="hybridMultilevel"/>
    <w:tmpl w:val="E4E84402"/>
    <w:lvl w:ilvl="0" w:tplc="4BCC23CE">
      <w:start w:val="2"/>
      <w:numFmt w:val="bullet"/>
      <w:lvlText w:val="-"/>
      <w:lvlJc w:val="left"/>
      <w:pPr>
        <w:ind w:left="72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7763F05"/>
    <w:multiLevelType w:val="hybridMultilevel"/>
    <w:tmpl w:val="DE18C534"/>
    <w:lvl w:ilvl="0" w:tplc="E7A8BFE8">
      <w:numFmt w:val="bullet"/>
      <w:lvlText w:val="-"/>
      <w:lvlJc w:val="left"/>
      <w:pPr>
        <w:ind w:left="720" w:hanging="360"/>
      </w:pPr>
      <w:rPr>
        <w:rFonts w:ascii="Arial" w:eastAsia="ScalaLancetPro"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9AA53AD"/>
    <w:multiLevelType w:val="hybridMultilevel"/>
    <w:tmpl w:val="D160D594"/>
    <w:lvl w:ilvl="0" w:tplc="174ACE96">
      <w:start w:val="1"/>
      <w:numFmt w:val="decimal"/>
      <w:lvlText w:val="%1."/>
      <w:lvlJc w:val="left"/>
      <w:pPr>
        <w:ind w:left="719" w:hanging="360"/>
      </w:pPr>
      <w:rPr>
        <w:rFonts w:hint="default"/>
      </w:rPr>
    </w:lvl>
    <w:lvl w:ilvl="1" w:tplc="10090019" w:tentative="1">
      <w:start w:val="1"/>
      <w:numFmt w:val="lowerLetter"/>
      <w:lvlText w:val="%2."/>
      <w:lvlJc w:val="left"/>
      <w:pPr>
        <w:ind w:left="1439" w:hanging="360"/>
      </w:pPr>
    </w:lvl>
    <w:lvl w:ilvl="2" w:tplc="1009001B" w:tentative="1">
      <w:start w:val="1"/>
      <w:numFmt w:val="lowerRoman"/>
      <w:lvlText w:val="%3."/>
      <w:lvlJc w:val="right"/>
      <w:pPr>
        <w:ind w:left="2159" w:hanging="180"/>
      </w:pPr>
    </w:lvl>
    <w:lvl w:ilvl="3" w:tplc="1009000F" w:tentative="1">
      <w:start w:val="1"/>
      <w:numFmt w:val="decimal"/>
      <w:lvlText w:val="%4."/>
      <w:lvlJc w:val="left"/>
      <w:pPr>
        <w:ind w:left="2879" w:hanging="360"/>
      </w:pPr>
    </w:lvl>
    <w:lvl w:ilvl="4" w:tplc="10090019" w:tentative="1">
      <w:start w:val="1"/>
      <w:numFmt w:val="lowerLetter"/>
      <w:lvlText w:val="%5."/>
      <w:lvlJc w:val="left"/>
      <w:pPr>
        <w:ind w:left="3599" w:hanging="360"/>
      </w:pPr>
    </w:lvl>
    <w:lvl w:ilvl="5" w:tplc="1009001B" w:tentative="1">
      <w:start w:val="1"/>
      <w:numFmt w:val="lowerRoman"/>
      <w:lvlText w:val="%6."/>
      <w:lvlJc w:val="right"/>
      <w:pPr>
        <w:ind w:left="4319" w:hanging="180"/>
      </w:pPr>
    </w:lvl>
    <w:lvl w:ilvl="6" w:tplc="1009000F" w:tentative="1">
      <w:start w:val="1"/>
      <w:numFmt w:val="decimal"/>
      <w:lvlText w:val="%7."/>
      <w:lvlJc w:val="left"/>
      <w:pPr>
        <w:ind w:left="5039" w:hanging="360"/>
      </w:pPr>
    </w:lvl>
    <w:lvl w:ilvl="7" w:tplc="10090019" w:tentative="1">
      <w:start w:val="1"/>
      <w:numFmt w:val="lowerLetter"/>
      <w:lvlText w:val="%8."/>
      <w:lvlJc w:val="left"/>
      <w:pPr>
        <w:ind w:left="5759" w:hanging="360"/>
      </w:pPr>
    </w:lvl>
    <w:lvl w:ilvl="8" w:tplc="1009001B" w:tentative="1">
      <w:start w:val="1"/>
      <w:numFmt w:val="lowerRoman"/>
      <w:lvlText w:val="%9."/>
      <w:lvlJc w:val="right"/>
      <w:pPr>
        <w:ind w:left="6479" w:hanging="180"/>
      </w:pPr>
    </w:lvl>
  </w:abstractNum>
  <w:abstractNum w:abstractNumId="18" w15:restartNumberingAfterBreak="0">
    <w:nsid w:val="57034387"/>
    <w:multiLevelType w:val="hybridMultilevel"/>
    <w:tmpl w:val="87ECD822"/>
    <w:lvl w:ilvl="0" w:tplc="67D82B1E">
      <w:start w:val="1"/>
      <w:numFmt w:val="bullet"/>
      <w:lvlText w:val="-"/>
      <w:lvlJc w:val="left"/>
      <w:pPr>
        <w:ind w:left="720" w:hanging="360"/>
      </w:pPr>
      <w:rPr>
        <w:rFonts w:ascii="Arial" w:eastAsiaTheme="minorEastAsia" w:hAnsi="Arial" w:cs="Aria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0F60F32"/>
    <w:multiLevelType w:val="hybridMultilevel"/>
    <w:tmpl w:val="801C259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EBC75E8"/>
    <w:multiLevelType w:val="hybridMultilevel"/>
    <w:tmpl w:val="D100AA3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74C32EBF"/>
    <w:multiLevelType w:val="hybridMultilevel"/>
    <w:tmpl w:val="31EEFB2A"/>
    <w:lvl w:ilvl="0" w:tplc="C308A3A4">
      <w:start w:val="3"/>
      <w:numFmt w:val="bullet"/>
      <w:lvlText w:val="-"/>
      <w:lvlJc w:val="left"/>
      <w:pPr>
        <w:ind w:left="720" w:hanging="360"/>
      </w:pPr>
      <w:rPr>
        <w:rFonts w:ascii="OTNEJMQuadraat" w:eastAsiaTheme="minorEastAsia" w:hAnsi="OTNEJMQuadraat" w:cs="OTNEJMQuadraa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7C50A99"/>
    <w:multiLevelType w:val="hybridMultilevel"/>
    <w:tmpl w:val="81121E5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C297B05"/>
    <w:multiLevelType w:val="hybridMultilevel"/>
    <w:tmpl w:val="52F63D3A"/>
    <w:lvl w:ilvl="0" w:tplc="7D082BA8">
      <w:start w:val="1"/>
      <w:numFmt w:val="lowerLetter"/>
      <w:lvlText w:val="%1."/>
      <w:lvlJc w:val="left"/>
      <w:pPr>
        <w:ind w:left="-396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num w:numId="1">
    <w:abstractNumId w:val="23"/>
  </w:num>
  <w:num w:numId="2">
    <w:abstractNumId w:val="20"/>
  </w:num>
  <w:num w:numId="3">
    <w:abstractNumId w:val="8"/>
  </w:num>
  <w:num w:numId="4">
    <w:abstractNumId w:val="4"/>
  </w:num>
  <w:num w:numId="5">
    <w:abstractNumId w:val="19"/>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7"/>
  </w:num>
  <w:num w:numId="9">
    <w:abstractNumId w:val="6"/>
  </w:num>
  <w:num w:numId="10">
    <w:abstractNumId w:val="11"/>
  </w:num>
  <w:num w:numId="11">
    <w:abstractNumId w:val="2"/>
  </w:num>
  <w:num w:numId="12">
    <w:abstractNumId w:val="21"/>
  </w:num>
  <w:num w:numId="13">
    <w:abstractNumId w:val="1"/>
  </w:num>
  <w:num w:numId="14">
    <w:abstractNumId w:val="22"/>
  </w:num>
  <w:num w:numId="15">
    <w:abstractNumId w:val="17"/>
  </w:num>
  <w:num w:numId="16">
    <w:abstractNumId w:val="12"/>
  </w:num>
  <w:num w:numId="17">
    <w:abstractNumId w:val="15"/>
  </w:num>
  <w:num w:numId="18">
    <w:abstractNumId w:val="0"/>
  </w:num>
  <w:num w:numId="19">
    <w:abstractNumId w:val="14"/>
  </w:num>
  <w:num w:numId="20">
    <w:abstractNumId w:val="18"/>
  </w:num>
  <w:num w:numId="21">
    <w:abstractNumId w:val="3"/>
  </w:num>
  <w:num w:numId="22">
    <w:abstractNumId w:val="5"/>
  </w:num>
  <w:num w:numId="23">
    <w:abstractNumId w:val="13"/>
  </w:num>
  <w:num w:numId="24">
    <w:abstractNumId w:val="16"/>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64223B"/>
    <w:rsid w:val="00001124"/>
    <w:rsid w:val="0000361D"/>
    <w:rsid w:val="000067E1"/>
    <w:rsid w:val="000112AB"/>
    <w:rsid w:val="00016289"/>
    <w:rsid w:val="000474A9"/>
    <w:rsid w:val="000847A3"/>
    <w:rsid w:val="00090C22"/>
    <w:rsid w:val="00095477"/>
    <w:rsid w:val="000A17D3"/>
    <w:rsid w:val="000A504C"/>
    <w:rsid w:val="000B2867"/>
    <w:rsid w:val="000B604F"/>
    <w:rsid w:val="000E2D51"/>
    <w:rsid w:val="000E4140"/>
    <w:rsid w:val="000E5FD1"/>
    <w:rsid w:val="00110D07"/>
    <w:rsid w:val="00114B00"/>
    <w:rsid w:val="00130D10"/>
    <w:rsid w:val="00146FF0"/>
    <w:rsid w:val="001478F4"/>
    <w:rsid w:val="00164352"/>
    <w:rsid w:val="001713CA"/>
    <w:rsid w:val="00173333"/>
    <w:rsid w:val="001B2876"/>
    <w:rsid w:val="001B2F99"/>
    <w:rsid w:val="001B3124"/>
    <w:rsid w:val="001B633F"/>
    <w:rsid w:val="001B67F0"/>
    <w:rsid w:val="001D6A0F"/>
    <w:rsid w:val="001E674E"/>
    <w:rsid w:val="001F08B4"/>
    <w:rsid w:val="001F5AE8"/>
    <w:rsid w:val="00203966"/>
    <w:rsid w:val="00211879"/>
    <w:rsid w:val="00216CFE"/>
    <w:rsid w:val="002206BB"/>
    <w:rsid w:val="00236363"/>
    <w:rsid w:val="002543D3"/>
    <w:rsid w:val="002609FB"/>
    <w:rsid w:val="00265035"/>
    <w:rsid w:val="00274CFB"/>
    <w:rsid w:val="00276CC5"/>
    <w:rsid w:val="002771BC"/>
    <w:rsid w:val="00291EE4"/>
    <w:rsid w:val="00294040"/>
    <w:rsid w:val="00294234"/>
    <w:rsid w:val="002A6E92"/>
    <w:rsid w:val="002C5801"/>
    <w:rsid w:val="002F4DEB"/>
    <w:rsid w:val="002F712C"/>
    <w:rsid w:val="00302B5B"/>
    <w:rsid w:val="00305722"/>
    <w:rsid w:val="003154EA"/>
    <w:rsid w:val="00316196"/>
    <w:rsid w:val="00320F5E"/>
    <w:rsid w:val="00322BD3"/>
    <w:rsid w:val="00331ABD"/>
    <w:rsid w:val="0033560A"/>
    <w:rsid w:val="003421ED"/>
    <w:rsid w:val="00343F7C"/>
    <w:rsid w:val="00352C51"/>
    <w:rsid w:val="0036193B"/>
    <w:rsid w:val="00365261"/>
    <w:rsid w:val="00371B59"/>
    <w:rsid w:val="0037424F"/>
    <w:rsid w:val="003774F2"/>
    <w:rsid w:val="00380E80"/>
    <w:rsid w:val="00382935"/>
    <w:rsid w:val="003871EB"/>
    <w:rsid w:val="00393FB9"/>
    <w:rsid w:val="003A2A0C"/>
    <w:rsid w:val="003B4A01"/>
    <w:rsid w:val="003B7B23"/>
    <w:rsid w:val="003D1981"/>
    <w:rsid w:val="003D24DA"/>
    <w:rsid w:val="003D66E9"/>
    <w:rsid w:val="003E3BF8"/>
    <w:rsid w:val="003F6557"/>
    <w:rsid w:val="003F734F"/>
    <w:rsid w:val="00411A3E"/>
    <w:rsid w:val="00426981"/>
    <w:rsid w:val="00446260"/>
    <w:rsid w:val="0045177D"/>
    <w:rsid w:val="00451FCD"/>
    <w:rsid w:val="00455914"/>
    <w:rsid w:val="0046231F"/>
    <w:rsid w:val="00466770"/>
    <w:rsid w:val="00476A21"/>
    <w:rsid w:val="00480556"/>
    <w:rsid w:val="00482BC4"/>
    <w:rsid w:val="004B1045"/>
    <w:rsid w:val="004B5E49"/>
    <w:rsid w:val="004C07FC"/>
    <w:rsid w:val="004C2584"/>
    <w:rsid w:val="004C470C"/>
    <w:rsid w:val="004C4E64"/>
    <w:rsid w:val="004E6860"/>
    <w:rsid w:val="004F1D0F"/>
    <w:rsid w:val="004F71A7"/>
    <w:rsid w:val="0050452D"/>
    <w:rsid w:val="00514B48"/>
    <w:rsid w:val="005158CD"/>
    <w:rsid w:val="005179B2"/>
    <w:rsid w:val="00521E79"/>
    <w:rsid w:val="00552BD0"/>
    <w:rsid w:val="0056531D"/>
    <w:rsid w:val="00571417"/>
    <w:rsid w:val="00576871"/>
    <w:rsid w:val="00586C38"/>
    <w:rsid w:val="005A4A56"/>
    <w:rsid w:val="005A5659"/>
    <w:rsid w:val="005B645D"/>
    <w:rsid w:val="005C22A6"/>
    <w:rsid w:val="005C4531"/>
    <w:rsid w:val="005C574B"/>
    <w:rsid w:val="005D4231"/>
    <w:rsid w:val="005E35D9"/>
    <w:rsid w:val="005F07B4"/>
    <w:rsid w:val="006079A5"/>
    <w:rsid w:val="00607A31"/>
    <w:rsid w:val="00610463"/>
    <w:rsid w:val="00611B20"/>
    <w:rsid w:val="0063270B"/>
    <w:rsid w:val="00632BE7"/>
    <w:rsid w:val="0063404C"/>
    <w:rsid w:val="00636701"/>
    <w:rsid w:val="0064166F"/>
    <w:rsid w:val="006416EA"/>
    <w:rsid w:val="0064223B"/>
    <w:rsid w:val="00643BD9"/>
    <w:rsid w:val="006459BF"/>
    <w:rsid w:val="006612DC"/>
    <w:rsid w:val="006655B4"/>
    <w:rsid w:val="00673C92"/>
    <w:rsid w:val="00676610"/>
    <w:rsid w:val="006770A8"/>
    <w:rsid w:val="00677D64"/>
    <w:rsid w:val="00680DA0"/>
    <w:rsid w:val="006842BC"/>
    <w:rsid w:val="00686BC1"/>
    <w:rsid w:val="006904C5"/>
    <w:rsid w:val="0069438C"/>
    <w:rsid w:val="00695F8A"/>
    <w:rsid w:val="006A18D8"/>
    <w:rsid w:val="006A78D9"/>
    <w:rsid w:val="006B42C5"/>
    <w:rsid w:val="006D000F"/>
    <w:rsid w:val="006E4FFC"/>
    <w:rsid w:val="006E5373"/>
    <w:rsid w:val="006F0097"/>
    <w:rsid w:val="006F20D3"/>
    <w:rsid w:val="00700196"/>
    <w:rsid w:val="007040E0"/>
    <w:rsid w:val="00713F5B"/>
    <w:rsid w:val="00720817"/>
    <w:rsid w:val="007267A4"/>
    <w:rsid w:val="0074761F"/>
    <w:rsid w:val="007532D6"/>
    <w:rsid w:val="0075496F"/>
    <w:rsid w:val="007552D9"/>
    <w:rsid w:val="00776D26"/>
    <w:rsid w:val="007907F6"/>
    <w:rsid w:val="00790CE8"/>
    <w:rsid w:val="007960E6"/>
    <w:rsid w:val="007A0706"/>
    <w:rsid w:val="007A16CC"/>
    <w:rsid w:val="007A615F"/>
    <w:rsid w:val="007A7A8D"/>
    <w:rsid w:val="007B1BB7"/>
    <w:rsid w:val="007B735A"/>
    <w:rsid w:val="007C2007"/>
    <w:rsid w:val="007C3304"/>
    <w:rsid w:val="007D3F9B"/>
    <w:rsid w:val="007E0A1F"/>
    <w:rsid w:val="007E4C61"/>
    <w:rsid w:val="007E5175"/>
    <w:rsid w:val="007E7A53"/>
    <w:rsid w:val="0080309A"/>
    <w:rsid w:val="00812089"/>
    <w:rsid w:val="00813E2A"/>
    <w:rsid w:val="00814580"/>
    <w:rsid w:val="00817A36"/>
    <w:rsid w:val="0083271B"/>
    <w:rsid w:val="008426F6"/>
    <w:rsid w:val="00873789"/>
    <w:rsid w:val="00881C53"/>
    <w:rsid w:val="00883697"/>
    <w:rsid w:val="00892023"/>
    <w:rsid w:val="00894E56"/>
    <w:rsid w:val="008A3407"/>
    <w:rsid w:val="008B04A7"/>
    <w:rsid w:val="008B6C75"/>
    <w:rsid w:val="008D6A59"/>
    <w:rsid w:val="008F22F7"/>
    <w:rsid w:val="009008A3"/>
    <w:rsid w:val="00900E81"/>
    <w:rsid w:val="00913DDA"/>
    <w:rsid w:val="00930EB4"/>
    <w:rsid w:val="00931ACD"/>
    <w:rsid w:val="00944A2C"/>
    <w:rsid w:val="00953C20"/>
    <w:rsid w:val="00980BDB"/>
    <w:rsid w:val="009928CA"/>
    <w:rsid w:val="0099390F"/>
    <w:rsid w:val="009946FB"/>
    <w:rsid w:val="00996246"/>
    <w:rsid w:val="009C5C1B"/>
    <w:rsid w:val="009C6421"/>
    <w:rsid w:val="009E3610"/>
    <w:rsid w:val="009F3648"/>
    <w:rsid w:val="00A11B6E"/>
    <w:rsid w:val="00A26083"/>
    <w:rsid w:val="00A34DD7"/>
    <w:rsid w:val="00A412C8"/>
    <w:rsid w:val="00A432F1"/>
    <w:rsid w:val="00A47FDE"/>
    <w:rsid w:val="00A64FCD"/>
    <w:rsid w:val="00A67AEC"/>
    <w:rsid w:val="00A96697"/>
    <w:rsid w:val="00AA0758"/>
    <w:rsid w:val="00AA1623"/>
    <w:rsid w:val="00AA730C"/>
    <w:rsid w:val="00AA73F1"/>
    <w:rsid w:val="00AB3E74"/>
    <w:rsid w:val="00AC16D3"/>
    <w:rsid w:val="00AD13F1"/>
    <w:rsid w:val="00AD28AF"/>
    <w:rsid w:val="00AE0711"/>
    <w:rsid w:val="00AE1549"/>
    <w:rsid w:val="00AE167D"/>
    <w:rsid w:val="00AE52B6"/>
    <w:rsid w:val="00AE5D33"/>
    <w:rsid w:val="00AE77F7"/>
    <w:rsid w:val="00B02220"/>
    <w:rsid w:val="00B147E2"/>
    <w:rsid w:val="00B14DBF"/>
    <w:rsid w:val="00B152BA"/>
    <w:rsid w:val="00B2157F"/>
    <w:rsid w:val="00B54D9E"/>
    <w:rsid w:val="00B56FF8"/>
    <w:rsid w:val="00B57B8B"/>
    <w:rsid w:val="00B63DF9"/>
    <w:rsid w:val="00B71C15"/>
    <w:rsid w:val="00B85482"/>
    <w:rsid w:val="00B959A3"/>
    <w:rsid w:val="00BA6699"/>
    <w:rsid w:val="00BB29C8"/>
    <w:rsid w:val="00BD48AB"/>
    <w:rsid w:val="00BD75CD"/>
    <w:rsid w:val="00BF0287"/>
    <w:rsid w:val="00BF23D9"/>
    <w:rsid w:val="00BF2B61"/>
    <w:rsid w:val="00C10B27"/>
    <w:rsid w:val="00C14BA1"/>
    <w:rsid w:val="00C21379"/>
    <w:rsid w:val="00C32DF4"/>
    <w:rsid w:val="00C425C6"/>
    <w:rsid w:val="00C42C1E"/>
    <w:rsid w:val="00C47B95"/>
    <w:rsid w:val="00C51B88"/>
    <w:rsid w:val="00C618B3"/>
    <w:rsid w:val="00C741D4"/>
    <w:rsid w:val="00C863C1"/>
    <w:rsid w:val="00C868C1"/>
    <w:rsid w:val="00C92C41"/>
    <w:rsid w:val="00C97D8A"/>
    <w:rsid w:val="00CA246D"/>
    <w:rsid w:val="00CA2F8C"/>
    <w:rsid w:val="00CC4D66"/>
    <w:rsid w:val="00CD0AFA"/>
    <w:rsid w:val="00CD69C2"/>
    <w:rsid w:val="00CE117C"/>
    <w:rsid w:val="00CE1A7A"/>
    <w:rsid w:val="00CE3FD4"/>
    <w:rsid w:val="00CE7C65"/>
    <w:rsid w:val="00CF2336"/>
    <w:rsid w:val="00D0069B"/>
    <w:rsid w:val="00D0443D"/>
    <w:rsid w:val="00D04511"/>
    <w:rsid w:val="00D16F34"/>
    <w:rsid w:val="00D17B50"/>
    <w:rsid w:val="00D2712D"/>
    <w:rsid w:val="00D44558"/>
    <w:rsid w:val="00D473F6"/>
    <w:rsid w:val="00D47794"/>
    <w:rsid w:val="00D7481D"/>
    <w:rsid w:val="00D837D1"/>
    <w:rsid w:val="00D84F03"/>
    <w:rsid w:val="00D9639E"/>
    <w:rsid w:val="00DA1EB8"/>
    <w:rsid w:val="00DA4DD5"/>
    <w:rsid w:val="00DA5C64"/>
    <w:rsid w:val="00DB1217"/>
    <w:rsid w:val="00DC4234"/>
    <w:rsid w:val="00DC6EE2"/>
    <w:rsid w:val="00DD211C"/>
    <w:rsid w:val="00DE1220"/>
    <w:rsid w:val="00DE7085"/>
    <w:rsid w:val="00DE7CD6"/>
    <w:rsid w:val="00E07981"/>
    <w:rsid w:val="00E21620"/>
    <w:rsid w:val="00E257F7"/>
    <w:rsid w:val="00E33CE5"/>
    <w:rsid w:val="00E411A8"/>
    <w:rsid w:val="00E4445A"/>
    <w:rsid w:val="00E57939"/>
    <w:rsid w:val="00E74480"/>
    <w:rsid w:val="00E7562A"/>
    <w:rsid w:val="00E8307E"/>
    <w:rsid w:val="00E83B0F"/>
    <w:rsid w:val="00E94F76"/>
    <w:rsid w:val="00EA11D9"/>
    <w:rsid w:val="00EB1217"/>
    <w:rsid w:val="00EC2491"/>
    <w:rsid w:val="00EC489D"/>
    <w:rsid w:val="00ED5937"/>
    <w:rsid w:val="00EE15B4"/>
    <w:rsid w:val="00EF452F"/>
    <w:rsid w:val="00F01FB2"/>
    <w:rsid w:val="00F220D1"/>
    <w:rsid w:val="00F27F26"/>
    <w:rsid w:val="00F352F0"/>
    <w:rsid w:val="00F5158F"/>
    <w:rsid w:val="00F612A4"/>
    <w:rsid w:val="00F8697C"/>
    <w:rsid w:val="00F93808"/>
    <w:rsid w:val="00F9663A"/>
    <w:rsid w:val="00FA5E79"/>
    <w:rsid w:val="00FA7C2A"/>
    <w:rsid w:val="00FB219B"/>
    <w:rsid w:val="00FC6A91"/>
    <w:rsid w:val="00FF31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8E27346"/>
  <w14:defaultImageDpi w14:val="300"/>
  <w15:chartTrackingRefBased/>
  <w15:docId w15:val="{01583A47-6EE5-8548-91CD-1B8530FF4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4223B"/>
    <w:pPr>
      <w:spacing w:after="160" w:line="259" w:lineRule="auto"/>
    </w:pPr>
    <w:rPr>
      <w:rFonts w:eastAsia="SimSun"/>
      <w:sz w:val="22"/>
      <w:szCs w:val="22"/>
      <w:lang w:val="en-CA"/>
    </w:rPr>
  </w:style>
  <w:style w:type="paragraph" w:styleId="Heading1">
    <w:name w:val="heading 1"/>
    <w:basedOn w:val="Normal"/>
    <w:next w:val="Normal"/>
    <w:link w:val="Heading1Char"/>
    <w:uiPriority w:val="9"/>
    <w:qFormat/>
    <w:rsid w:val="0064223B"/>
    <w:pPr>
      <w:outlineLvl w:val="0"/>
    </w:pPr>
    <w:rPr>
      <w:b/>
      <w:i/>
      <w:u w:val="single"/>
    </w:rPr>
  </w:style>
  <w:style w:type="paragraph" w:styleId="Heading2">
    <w:name w:val="heading 2"/>
    <w:basedOn w:val="Normal"/>
    <w:next w:val="Normal"/>
    <w:link w:val="Heading2Char"/>
    <w:uiPriority w:val="9"/>
    <w:unhideWhenUsed/>
    <w:qFormat/>
    <w:rsid w:val="0064223B"/>
    <w:pPr>
      <w:autoSpaceDE w:val="0"/>
      <w:autoSpaceDN w:val="0"/>
      <w:adjustRightInd w:val="0"/>
      <w:spacing w:after="0" w:line="240" w:lineRule="auto"/>
      <w:outlineLvl w:val="1"/>
    </w:pPr>
    <w:rPr>
      <w:rFonts w:ascii="Arial" w:hAnsi="Arial" w:cs="Arial"/>
      <w:b/>
      <w:color w:val="000000"/>
      <w:szCs w:val="20"/>
    </w:rPr>
  </w:style>
  <w:style w:type="paragraph" w:styleId="Heading3">
    <w:name w:val="heading 3"/>
    <w:basedOn w:val="Normal"/>
    <w:next w:val="Normal"/>
    <w:link w:val="Heading3Char"/>
    <w:uiPriority w:val="9"/>
    <w:unhideWhenUsed/>
    <w:qFormat/>
    <w:rsid w:val="0064223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4223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rsid w:val="0064223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4223B"/>
  </w:style>
  <w:style w:type="paragraph" w:customStyle="1" w:styleId="McMaster-Heading1">
    <w:name w:val="McMaster - Heading 1"/>
    <w:basedOn w:val="Heading1"/>
    <w:next w:val="Heading2"/>
    <w:link w:val="McMaster-Heading1Char"/>
    <w:qFormat/>
    <w:rsid w:val="00480556"/>
    <w:pPr>
      <w:spacing w:before="120"/>
    </w:pPr>
    <w:rPr>
      <w:color w:val="800000"/>
    </w:rPr>
  </w:style>
  <w:style w:type="character" w:customStyle="1" w:styleId="McMaster-Heading1Char">
    <w:name w:val="McMaster - Heading 1 Char"/>
    <w:basedOn w:val="Heading1Char"/>
    <w:link w:val="McMaster-Heading1"/>
    <w:rsid w:val="00480556"/>
    <w:rPr>
      <w:rFonts w:asciiTheme="majorHAnsi" w:eastAsiaTheme="majorEastAsia" w:hAnsiTheme="majorHAnsi" w:cstheme="majorBidi"/>
      <w:b/>
      <w:bCs w:val="0"/>
      <w:i/>
      <w:color w:val="800000"/>
      <w:sz w:val="32"/>
      <w:szCs w:val="32"/>
      <w:u w:val="single"/>
      <w:lang w:val="en-CA"/>
    </w:rPr>
  </w:style>
  <w:style w:type="character" w:customStyle="1" w:styleId="Heading1Char">
    <w:name w:val="Heading 1 Char"/>
    <w:basedOn w:val="DefaultParagraphFont"/>
    <w:link w:val="Heading1"/>
    <w:uiPriority w:val="9"/>
    <w:rsid w:val="0064223B"/>
    <w:rPr>
      <w:rFonts w:eastAsia="SimSun"/>
      <w:b/>
      <w:i/>
      <w:sz w:val="22"/>
      <w:szCs w:val="22"/>
      <w:u w:val="single"/>
      <w:lang w:val="en-CA"/>
    </w:rPr>
  </w:style>
  <w:style w:type="character" w:customStyle="1" w:styleId="Heading2Char">
    <w:name w:val="Heading 2 Char"/>
    <w:basedOn w:val="DefaultParagraphFont"/>
    <w:link w:val="Heading2"/>
    <w:uiPriority w:val="9"/>
    <w:rsid w:val="0064223B"/>
    <w:rPr>
      <w:rFonts w:ascii="Arial" w:eastAsia="SimSun" w:hAnsi="Arial" w:cs="Arial"/>
      <w:b/>
      <w:color w:val="000000"/>
      <w:sz w:val="22"/>
      <w:szCs w:val="20"/>
      <w:lang w:val="en-CA"/>
    </w:rPr>
  </w:style>
  <w:style w:type="paragraph" w:customStyle="1" w:styleId="McMaster-Heading2">
    <w:name w:val="McMaster - Heading 2"/>
    <w:basedOn w:val="Heading2"/>
    <w:next w:val="Normal"/>
    <w:link w:val="McMaster-Heading2Char"/>
    <w:qFormat/>
    <w:rsid w:val="00482BC4"/>
    <w:rPr>
      <w:color w:val="800000"/>
      <w:sz w:val="28"/>
    </w:rPr>
  </w:style>
  <w:style w:type="character" w:customStyle="1" w:styleId="McMaster-Heading2Char">
    <w:name w:val="McMaster - Heading 2 Char"/>
    <w:basedOn w:val="Heading2Char"/>
    <w:link w:val="McMaster-Heading2"/>
    <w:rsid w:val="00482BC4"/>
    <w:rPr>
      <w:rFonts w:asciiTheme="majorHAnsi" w:eastAsiaTheme="majorEastAsia" w:hAnsiTheme="majorHAnsi" w:cstheme="majorBidi"/>
      <w:b/>
      <w:bCs w:val="0"/>
      <w:color w:val="800000"/>
      <w:sz w:val="28"/>
      <w:szCs w:val="26"/>
      <w:lang w:val="en-CA"/>
    </w:rPr>
  </w:style>
  <w:style w:type="paragraph" w:customStyle="1" w:styleId="McMaster-heading3">
    <w:name w:val="McMaster - heading 3"/>
    <w:basedOn w:val="Heading3"/>
    <w:link w:val="McMaster-heading3Char"/>
    <w:qFormat/>
    <w:rsid w:val="00480556"/>
    <w:pPr>
      <w:spacing w:before="0"/>
    </w:pPr>
    <w:rPr>
      <w:color w:val="800000"/>
    </w:rPr>
  </w:style>
  <w:style w:type="character" w:customStyle="1" w:styleId="McMaster-heading3Char">
    <w:name w:val="McMaster - heading 3 Char"/>
    <w:basedOn w:val="Heading3Char"/>
    <w:link w:val="McMaster-heading3"/>
    <w:rsid w:val="00480556"/>
    <w:rPr>
      <w:rFonts w:asciiTheme="majorHAnsi" w:eastAsiaTheme="majorEastAsia" w:hAnsiTheme="majorHAnsi" w:cstheme="majorBidi"/>
      <w:b/>
      <w:bCs/>
      <w:color w:val="800000"/>
      <w:sz w:val="22"/>
      <w:szCs w:val="22"/>
      <w:lang w:val="en-CA"/>
    </w:rPr>
  </w:style>
  <w:style w:type="character" w:customStyle="1" w:styleId="Heading3Char">
    <w:name w:val="Heading 3 Char"/>
    <w:basedOn w:val="DefaultParagraphFont"/>
    <w:link w:val="Heading3"/>
    <w:uiPriority w:val="9"/>
    <w:rsid w:val="0064223B"/>
    <w:rPr>
      <w:rFonts w:asciiTheme="majorHAnsi" w:eastAsiaTheme="majorEastAsia" w:hAnsiTheme="majorHAnsi" w:cstheme="majorBidi"/>
      <w:b/>
      <w:bCs/>
      <w:color w:val="4F81BD" w:themeColor="accent1"/>
      <w:sz w:val="22"/>
      <w:szCs w:val="22"/>
      <w:lang w:val="en-CA"/>
    </w:rPr>
  </w:style>
  <w:style w:type="paragraph" w:styleId="NoSpacing">
    <w:name w:val="No Spacing"/>
    <w:uiPriority w:val="1"/>
    <w:qFormat/>
    <w:rsid w:val="00480556"/>
    <w:rPr>
      <w:rFonts w:asciiTheme="majorHAnsi" w:eastAsia="Times New Roman" w:hAnsiTheme="majorHAnsi" w:cs="Times New Roman"/>
      <w:color w:val="000000"/>
      <w:lang w:val="en-GB" w:eastAsia="en-GB"/>
    </w:rPr>
  </w:style>
  <w:style w:type="paragraph" w:styleId="TOC2">
    <w:name w:val="toc 2"/>
    <w:basedOn w:val="Normal"/>
    <w:next w:val="Normal"/>
    <w:autoRedefine/>
    <w:uiPriority w:val="39"/>
    <w:unhideWhenUsed/>
    <w:rsid w:val="00114B00"/>
  </w:style>
  <w:style w:type="paragraph" w:styleId="TOC3">
    <w:name w:val="toc 3"/>
    <w:basedOn w:val="Normal"/>
    <w:next w:val="Normal"/>
    <w:autoRedefine/>
    <w:uiPriority w:val="39"/>
    <w:unhideWhenUsed/>
    <w:rsid w:val="00114B00"/>
    <w:pPr>
      <w:ind w:left="240"/>
    </w:pPr>
    <w:rPr>
      <w:i/>
      <w:iCs/>
    </w:rPr>
  </w:style>
  <w:style w:type="paragraph" w:styleId="TOC4">
    <w:name w:val="toc 4"/>
    <w:basedOn w:val="Normal"/>
    <w:next w:val="Normal"/>
    <w:autoRedefine/>
    <w:uiPriority w:val="39"/>
    <w:unhideWhenUsed/>
    <w:qFormat/>
    <w:rsid w:val="00114B00"/>
    <w:pPr>
      <w:pBdr>
        <w:between w:val="double" w:sz="6" w:space="0" w:color="auto"/>
      </w:pBdr>
      <w:ind w:left="480"/>
    </w:pPr>
    <w:rPr>
      <w:sz w:val="20"/>
      <w:szCs w:val="20"/>
    </w:rPr>
  </w:style>
  <w:style w:type="paragraph" w:styleId="TOC1">
    <w:name w:val="toc 1"/>
    <w:basedOn w:val="Normal"/>
    <w:next w:val="Normal"/>
    <w:autoRedefine/>
    <w:uiPriority w:val="39"/>
    <w:unhideWhenUsed/>
    <w:qFormat/>
    <w:rsid w:val="00114B00"/>
    <w:pPr>
      <w:spacing w:before="120"/>
    </w:pPr>
    <w:rPr>
      <w:b/>
      <w:bCs/>
      <w:color w:val="943634" w:themeColor="accent2" w:themeShade="BF"/>
    </w:rPr>
  </w:style>
  <w:style w:type="paragraph" w:styleId="BalloonText">
    <w:name w:val="Balloon Text"/>
    <w:basedOn w:val="Normal"/>
    <w:link w:val="BalloonTextChar"/>
    <w:uiPriority w:val="99"/>
    <w:semiHidden/>
    <w:unhideWhenUsed/>
    <w:rsid w:val="006422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23B"/>
    <w:rPr>
      <w:rFonts w:ascii="Segoe UI" w:eastAsia="SimSun" w:hAnsi="Segoe UI" w:cs="Segoe UI"/>
      <w:sz w:val="18"/>
      <w:szCs w:val="18"/>
      <w:lang w:val="en-CA"/>
    </w:rPr>
  </w:style>
  <w:style w:type="character" w:customStyle="1" w:styleId="Heading4Char">
    <w:name w:val="Heading 4 Char"/>
    <w:basedOn w:val="DefaultParagraphFont"/>
    <w:link w:val="Heading4"/>
    <w:uiPriority w:val="9"/>
    <w:semiHidden/>
    <w:rsid w:val="0064223B"/>
    <w:rPr>
      <w:rFonts w:asciiTheme="majorHAnsi" w:eastAsiaTheme="majorEastAsia" w:hAnsiTheme="majorHAnsi" w:cstheme="majorBidi"/>
      <w:i/>
      <w:iCs/>
      <w:color w:val="365F91" w:themeColor="accent1" w:themeShade="BF"/>
      <w:sz w:val="22"/>
      <w:szCs w:val="22"/>
      <w:lang w:val="en-CA"/>
    </w:rPr>
  </w:style>
  <w:style w:type="paragraph" w:customStyle="1" w:styleId="EndNoteBibliographyTitle">
    <w:name w:val="EndNote Bibliography Title"/>
    <w:basedOn w:val="Normal"/>
    <w:link w:val="EndNoteBibliographyTitleChar"/>
    <w:rsid w:val="0064223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4223B"/>
    <w:rPr>
      <w:rFonts w:ascii="Calibri" w:eastAsia="SimSun" w:hAnsi="Calibri" w:cs="Calibri"/>
      <w:noProof/>
      <w:sz w:val="22"/>
      <w:szCs w:val="22"/>
    </w:rPr>
  </w:style>
  <w:style w:type="paragraph" w:customStyle="1" w:styleId="EndNoteBibliography">
    <w:name w:val="EndNote Bibliography"/>
    <w:basedOn w:val="Normal"/>
    <w:link w:val="EndNoteBibliographyChar"/>
    <w:rsid w:val="0064223B"/>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64223B"/>
    <w:rPr>
      <w:rFonts w:ascii="Calibri" w:eastAsia="SimSun" w:hAnsi="Calibri" w:cs="Calibri"/>
      <w:noProof/>
      <w:sz w:val="22"/>
      <w:szCs w:val="22"/>
    </w:rPr>
  </w:style>
  <w:style w:type="paragraph" w:styleId="ListParagraph">
    <w:name w:val="List Paragraph"/>
    <w:basedOn w:val="Normal"/>
    <w:uiPriority w:val="34"/>
    <w:qFormat/>
    <w:rsid w:val="0064223B"/>
    <w:pPr>
      <w:spacing w:after="0" w:line="276" w:lineRule="auto"/>
      <w:ind w:left="720"/>
      <w:contextualSpacing/>
      <w:jc w:val="center"/>
    </w:pPr>
    <w:rPr>
      <w:rFonts w:eastAsiaTheme="minorEastAsia"/>
      <w:lang w:val="en-US"/>
    </w:rPr>
  </w:style>
  <w:style w:type="character" w:styleId="Hyperlink">
    <w:name w:val="Hyperlink"/>
    <w:basedOn w:val="DefaultParagraphFont"/>
    <w:uiPriority w:val="99"/>
    <w:unhideWhenUsed/>
    <w:rsid w:val="0064223B"/>
    <w:rPr>
      <w:color w:val="0000FF" w:themeColor="hyperlink"/>
      <w:u w:val="single"/>
    </w:rPr>
  </w:style>
  <w:style w:type="paragraph" w:styleId="Footer">
    <w:name w:val="footer"/>
    <w:basedOn w:val="Normal"/>
    <w:link w:val="FooterChar"/>
    <w:uiPriority w:val="99"/>
    <w:unhideWhenUsed/>
    <w:rsid w:val="0064223B"/>
    <w:pPr>
      <w:tabs>
        <w:tab w:val="center" w:pos="4320"/>
        <w:tab w:val="right" w:pos="8640"/>
      </w:tabs>
      <w:spacing w:after="0" w:line="240" w:lineRule="auto"/>
    </w:pPr>
    <w:rPr>
      <w:lang w:val="en-GB"/>
    </w:rPr>
  </w:style>
  <w:style w:type="character" w:customStyle="1" w:styleId="FooterChar">
    <w:name w:val="Footer Char"/>
    <w:basedOn w:val="DefaultParagraphFont"/>
    <w:link w:val="Footer"/>
    <w:uiPriority w:val="99"/>
    <w:rsid w:val="0064223B"/>
    <w:rPr>
      <w:rFonts w:eastAsia="SimSun"/>
      <w:sz w:val="22"/>
      <w:szCs w:val="22"/>
      <w:lang w:val="en-GB"/>
    </w:rPr>
  </w:style>
  <w:style w:type="character" w:styleId="PageNumber">
    <w:name w:val="page number"/>
    <w:basedOn w:val="DefaultParagraphFont"/>
    <w:uiPriority w:val="99"/>
    <w:semiHidden/>
    <w:unhideWhenUsed/>
    <w:rsid w:val="0064223B"/>
  </w:style>
  <w:style w:type="paragraph" w:styleId="Header">
    <w:name w:val="header"/>
    <w:basedOn w:val="Normal"/>
    <w:link w:val="HeaderChar"/>
    <w:uiPriority w:val="99"/>
    <w:rsid w:val="0064223B"/>
    <w:pPr>
      <w:tabs>
        <w:tab w:val="center" w:pos="4320"/>
        <w:tab w:val="right" w:pos="8640"/>
      </w:tabs>
      <w:spacing w:after="0" w:line="240" w:lineRule="auto"/>
    </w:pPr>
    <w:rPr>
      <w:rFonts w:ascii="Garamond" w:eastAsia="Times New Roman" w:hAnsi="Garamond" w:cs="Times New Roman"/>
      <w:color w:val="008000"/>
      <w:w w:val="120"/>
      <w:sz w:val="24"/>
      <w:szCs w:val="24"/>
    </w:rPr>
  </w:style>
  <w:style w:type="character" w:customStyle="1" w:styleId="HeaderChar">
    <w:name w:val="Header Char"/>
    <w:basedOn w:val="DefaultParagraphFont"/>
    <w:link w:val="Header"/>
    <w:uiPriority w:val="99"/>
    <w:rsid w:val="0064223B"/>
    <w:rPr>
      <w:rFonts w:ascii="Garamond" w:eastAsia="Times New Roman" w:hAnsi="Garamond" w:cs="Times New Roman"/>
      <w:color w:val="008000"/>
      <w:w w:val="120"/>
      <w:lang w:val="en-CA"/>
    </w:rPr>
  </w:style>
  <w:style w:type="table" w:styleId="TableGrid">
    <w:name w:val="Table Grid"/>
    <w:basedOn w:val="TableNormal"/>
    <w:uiPriority w:val="59"/>
    <w:rsid w:val="0064223B"/>
    <w:pPr>
      <w:jc w:val="center"/>
    </w:pPr>
    <w:rPr>
      <w:rFonts w:eastAsiaTheme="minorEastAsia"/>
      <w:sz w:val="22"/>
      <w:szCs w:val="22"/>
      <w:lang w:val="en-CA"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
    <w:name w:val="name"/>
    <w:basedOn w:val="DefaultParagraphFont"/>
    <w:rsid w:val="0064223B"/>
  </w:style>
  <w:style w:type="character" w:customStyle="1" w:styleId="addr-line">
    <w:name w:val="addr-line"/>
    <w:basedOn w:val="DefaultParagraphFont"/>
    <w:rsid w:val="0064223B"/>
  </w:style>
  <w:style w:type="character" w:customStyle="1" w:styleId="institution">
    <w:name w:val="institution"/>
    <w:basedOn w:val="DefaultParagraphFont"/>
    <w:rsid w:val="0064223B"/>
  </w:style>
  <w:style w:type="paragraph" w:styleId="HTMLAddress">
    <w:name w:val="HTML Address"/>
    <w:basedOn w:val="Normal"/>
    <w:link w:val="HTMLAddressChar"/>
    <w:uiPriority w:val="99"/>
    <w:unhideWhenUsed/>
    <w:rsid w:val="0064223B"/>
    <w:pPr>
      <w:spacing w:after="0" w:line="240" w:lineRule="auto"/>
    </w:pPr>
    <w:rPr>
      <w:rFonts w:ascii="Times New Roman" w:eastAsia="Times New Roman" w:hAnsi="Times New Roman" w:cs="Times New Roman"/>
      <w:i/>
      <w:iCs/>
      <w:sz w:val="24"/>
      <w:szCs w:val="24"/>
      <w:lang w:eastAsia="en-CA"/>
    </w:rPr>
  </w:style>
  <w:style w:type="character" w:customStyle="1" w:styleId="HTMLAddressChar">
    <w:name w:val="HTML Address Char"/>
    <w:basedOn w:val="DefaultParagraphFont"/>
    <w:link w:val="HTMLAddress"/>
    <w:uiPriority w:val="99"/>
    <w:rsid w:val="0064223B"/>
    <w:rPr>
      <w:rFonts w:ascii="Times New Roman" w:eastAsia="Times New Roman" w:hAnsi="Times New Roman" w:cs="Times New Roman"/>
      <w:i/>
      <w:iCs/>
      <w:lang w:val="en-CA" w:eastAsia="en-CA"/>
    </w:rPr>
  </w:style>
  <w:style w:type="character" w:styleId="CommentReference">
    <w:name w:val="annotation reference"/>
    <w:basedOn w:val="DefaultParagraphFont"/>
    <w:uiPriority w:val="99"/>
    <w:semiHidden/>
    <w:unhideWhenUsed/>
    <w:rsid w:val="0064223B"/>
    <w:rPr>
      <w:sz w:val="16"/>
      <w:szCs w:val="16"/>
    </w:rPr>
  </w:style>
  <w:style w:type="paragraph" w:styleId="CommentText">
    <w:name w:val="annotation text"/>
    <w:basedOn w:val="Normal"/>
    <w:link w:val="CommentTextChar"/>
    <w:uiPriority w:val="99"/>
    <w:semiHidden/>
    <w:unhideWhenUsed/>
    <w:rsid w:val="0064223B"/>
    <w:pPr>
      <w:spacing w:line="240" w:lineRule="auto"/>
    </w:pPr>
    <w:rPr>
      <w:sz w:val="20"/>
      <w:szCs w:val="20"/>
    </w:rPr>
  </w:style>
  <w:style w:type="character" w:customStyle="1" w:styleId="CommentTextChar">
    <w:name w:val="Comment Text Char"/>
    <w:basedOn w:val="DefaultParagraphFont"/>
    <w:link w:val="CommentText"/>
    <w:uiPriority w:val="99"/>
    <w:semiHidden/>
    <w:rsid w:val="0064223B"/>
    <w:rPr>
      <w:rFonts w:eastAsia="SimSun"/>
      <w:sz w:val="20"/>
      <w:szCs w:val="20"/>
      <w:lang w:val="en-CA"/>
    </w:rPr>
  </w:style>
  <w:style w:type="paragraph" w:styleId="CommentSubject">
    <w:name w:val="annotation subject"/>
    <w:basedOn w:val="CommentText"/>
    <w:next w:val="CommentText"/>
    <w:link w:val="CommentSubjectChar"/>
    <w:uiPriority w:val="99"/>
    <w:semiHidden/>
    <w:unhideWhenUsed/>
    <w:rsid w:val="0064223B"/>
    <w:rPr>
      <w:b/>
      <w:bCs/>
    </w:rPr>
  </w:style>
  <w:style w:type="character" w:customStyle="1" w:styleId="CommentSubjectChar">
    <w:name w:val="Comment Subject Char"/>
    <w:basedOn w:val="CommentTextChar"/>
    <w:link w:val="CommentSubject"/>
    <w:uiPriority w:val="99"/>
    <w:semiHidden/>
    <w:rsid w:val="0064223B"/>
    <w:rPr>
      <w:rFonts w:eastAsia="SimSun"/>
      <w:b/>
      <w:bCs/>
      <w:sz w:val="20"/>
      <w:szCs w:val="20"/>
      <w:lang w:val="en-CA"/>
    </w:rPr>
  </w:style>
  <w:style w:type="paragraph" w:styleId="NormalWeb">
    <w:name w:val="Normal (Web)"/>
    <w:basedOn w:val="Normal"/>
    <w:uiPriority w:val="99"/>
    <w:unhideWhenUsed/>
    <w:rsid w:val="0064223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64223B"/>
    <w:rPr>
      <w:color w:val="800080"/>
      <w:u w:val="single"/>
    </w:rPr>
  </w:style>
  <w:style w:type="paragraph" w:customStyle="1" w:styleId="xl65">
    <w:name w:val="xl65"/>
    <w:basedOn w:val="Normal"/>
    <w:rsid w:val="0064223B"/>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6">
    <w:name w:val="xl66"/>
    <w:basedOn w:val="Normal"/>
    <w:rsid w:val="0064223B"/>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7">
    <w:name w:val="xl67"/>
    <w:basedOn w:val="Normal"/>
    <w:rsid w:val="00642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68">
    <w:name w:val="xl68"/>
    <w:basedOn w:val="Normal"/>
    <w:rsid w:val="00642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69">
    <w:name w:val="xl69"/>
    <w:basedOn w:val="Normal"/>
    <w:rsid w:val="00642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4"/>
      <w:szCs w:val="24"/>
      <w:lang w:val="en-US"/>
    </w:rPr>
  </w:style>
  <w:style w:type="paragraph" w:customStyle="1" w:styleId="xl70">
    <w:name w:val="xl70"/>
    <w:basedOn w:val="Normal"/>
    <w:rsid w:val="00642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4"/>
      <w:szCs w:val="24"/>
      <w:lang w:val="en-US"/>
    </w:rPr>
  </w:style>
  <w:style w:type="paragraph" w:customStyle="1" w:styleId="xl71">
    <w:name w:val="xl71"/>
    <w:basedOn w:val="Normal"/>
    <w:rsid w:val="00642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4"/>
      <w:szCs w:val="24"/>
      <w:lang w:val="en-US"/>
    </w:rPr>
  </w:style>
  <w:style w:type="paragraph" w:customStyle="1" w:styleId="xl72">
    <w:name w:val="xl72"/>
    <w:basedOn w:val="Normal"/>
    <w:rsid w:val="00642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4"/>
      <w:szCs w:val="24"/>
      <w:lang w:val="en-US"/>
    </w:rPr>
  </w:style>
  <w:style w:type="paragraph" w:styleId="Revision">
    <w:name w:val="Revision"/>
    <w:hidden/>
    <w:uiPriority w:val="99"/>
    <w:semiHidden/>
    <w:rsid w:val="0064223B"/>
    <w:rPr>
      <w:rFonts w:eastAsia="SimSun"/>
      <w:sz w:val="22"/>
      <w:szCs w:val="22"/>
      <w:lang w:val="en-CA"/>
    </w:rPr>
  </w:style>
  <w:style w:type="character" w:customStyle="1" w:styleId="UnresolvedMention1">
    <w:name w:val="Unresolved Mention1"/>
    <w:basedOn w:val="DefaultParagraphFont"/>
    <w:uiPriority w:val="99"/>
    <w:rsid w:val="0064223B"/>
    <w:rPr>
      <w:color w:val="605E5C"/>
      <w:shd w:val="clear" w:color="auto" w:fill="E1DFDD"/>
    </w:rPr>
  </w:style>
  <w:style w:type="paragraph" w:customStyle="1" w:styleId="sof-title">
    <w:name w:val="sof-title"/>
    <w:basedOn w:val="Normal"/>
    <w:rsid w:val="0064223B"/>
    <w:pPr>
      <w:spacing w:before="100" w:beforeAutospacing="1" w:after="100" w:afterAutospacing="1" w:line="240" w:lineRule="auto"/>
    </w:pPr>
    <w:rPr>
      <w:rFonts w:ascii="Times New Roman" w:eastAsiaTheme="minorEastAsia" w:hAnsi="Times New Roman" w:cs="Times New Roman"/>
      <w:sz w:val="24"/>
      <w:szCs w:val="24"/>
      <w:lang w:eastAsia="en-CA"/>
    </w:rPr>
  </w:style>
  <w:style w:type="character" w:customStyle="1" w:styleId="label">
    <w:name w:val="label"/>
    <w:basedOn w:val="DefaultParagraphFont"/>
    <w:rsid w:val="0064223B"/>
  </w:style>
  <w:style w:type="character" w:customStyle="1" w:styleId="cell">
    <w:name w:val="cell"/>
    <w:basedOn w:val="DefaultParagraphFont"/>
    <w:rsid w:val="0064223B"/>
  </w:style>
  <w:style w:type="character" w:customStyle="1" w:styleId="block">
    <w:name w:val="block"/>
    <w:basedOn w:val="DefaultParagraphFont"/>
    <w:rsid w:val="0064223B"/>
  </w:style>
  <w:style w:type="character" w:customStyle="1" w:styleId="cell-value">
    <w:name w:val="cell-value"/>
    <w:basedOn w:val="DefaultParagraphFont"/>
    <w:rsid w:val="0064223B"/>
  </w:style>
  <w:style w:type="character" w:customStyle="1" w:styleId="quality-sign">
    <w:name w:val="quality-sign"/>
    <w:basedOn w:val="DefaultParagraphFont"/>
    <w:rsid w:val="0064223B"/>
  </w:style>
  <w:style w:type="character" w:customStyle="1" w:styleId="quality-text">
    <w:name w:val="quality-text"/>
    <w:basedOn w:val="DefaultParagraphFont"/>
    <w:rsid w:val="0064223B"/>
  </w:style>
  <w:style w:type="character" w:styleId="Emphasis">
    <w:name w:val="Emphasis"/>
    <w:basedOn w:val="DefaultParagraphFont"/>
    <w:uiPriority w:val="20"/>
    <w:qFormat/>
    <w:rsid w:val="0064223B"/>
    <w:rPr>
      <w:i/>
      <w:iCs/>
    </w:rPr>
  </w:style>
  <w:style w:type="character" w:customStyle="1" w:styleId="UnresolvedMention2">
    <w:name w:val="Unresolved Mention2"/>
    <w:basedOn w:val="DefaultParagraphFont"/>
    <w:uiPriority w:val="99"/>
    <w:semiHidden/>
    <w:unhideWhenUsed/>
    <w:rsid w:val="0064223B"/>
    <w:rPr>
      <w:color w:val="605E5C"/>
      <w:shd w:val="clear" w:color="auto" w:fill="E1DFDD"/>
    </w:rPr>
  </w:style>
  <w:style w:type="character" w:customStyle="1" w:styleId="UnresolvedMention3">
    <w:name w:val="Unresolved Mention3"/>
    <w:basedOn w:val="DefaultParagraphFont"/>
    <w:uiPriority w:val="99"/>
    <w:semiHidden/>
    <w:unhideWhenUsed/>
    <w:rsid w:val="0064223B"/>
    <w:rPr>
      <w:color w:val="605E5C"/>
      <w:shd w:val="clear" w:color="auto" w:fill="E1DFDD"/>
    </w:rPr>
  </w:style>
  <w:style w:type="character" w:styleId="UnresolvedMention">
    <w:name w:val="Unresolved Mention"/>
    <w:basedOn w:val="DefaultParagraphFont"/>
    <w:uiPriority w:val="99"/>
    <w:unhideWhenUsed/>
    <w:rsid w:val="006422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1.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6.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footer" Target="footer5.xml"/><Relationship Id="rId5" Type="http://schemas.openxmlformats.org/officeDocument/2006/relationships/footer" Target="footer1.xml"/><Relationship Id="rId15" Type="http://schemas.openxmlformats.org/officeDocument/2006/relationships/footer" Target="footer7.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4.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8307</Words>
  <Characters>47356</Characters>
  <Application>Microsoft Office Word</Application>
  <DocSecurity>0</DocSecurity>
  <Lines>394</Lines>
  <Paragraphs>111</Paragraphs>
  <ScaleCrop>false</ScaleCrop>
  <Company/>
  <LinksUpToDate>false</LinksUpToDate>
  <CharactersWithSpaces>55552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Holger J Schunemann</dc:creator>
  <cp:keywords/>
  <dc:description/>
  <cp:lastModifiedBy>Holger J Schunemann</cp:lastModifiedBy>
  <cp:revision>3</cp:revision>
  <dcterms:created xsi:type="dcterms:W3CDTF">2020-06-11T19:11:00Z</dcterms:created>
  <dcterms:modified xsi:type="dcterms:W3CDTF">2020-06-11T19:11:00Z</dcterms:modified>
</cp:coreProperties>
</file>