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EDD26A" w14:textId="67BFAC14" w:rsidR="009D6AFC" w:rsidRPr="004C253B" w:rsidRDefault="009D6AFC" w:rsidP="009D6AFC">
      <w:pPr>
        <w:jc w:val="right"/>
        <w:rPr>
          <w:i/>
        </w:rPr>
      </w:pPr>
      <w:proofErr w:type="spellStart"/>
      <w:r w:rsidRPr="004C253B">
        <w:rPr>
          <w:i/>
        </w:rPr>
        <w:t>Dmab</w:t>
      </w:r>
      <w:proofErr w:type="spellEnd"/>
      <w:r w:rsidRPr="004C253B">
        <w:rPr>
          <w:i/>
        </w:rPr>
        <w:t xml:space="preserve"> </w:t>
      </w:r>
      <w:r w:rsidR="00A121B6">
        <w:rPr>
          <w:i/>
        </w:rPr>
        <w:t xml:space="preserve">utilities </w:t>
      </w:r>
      <w:r w:rsidR="006A3ABA">
        <w:rPr>
          <w:i/>
        </w:rPr>
        <w:t>v</w:t>
      </w:r>
      <w:r w:rsidR="004C6C5F">
        <w:rPr>
          <w:i/>
        </w:rPr>
        <w:t>2</w:t>
      </w:r>
      <w:r w:rsidR="008E4EF4" w:rsidRPr="004C253B">
        <w:rPr>
          <w:i/>
        </w:rPr>
        <w:t xml:space="preserve"> </w:t>
      </w:r>
      <w:r w:rsidR="00F92550">
        <w:rPr>
          <w:i/>
        </w:rPr>
        <w:t>May</w:t>
      </w:r>
      <w:r w:rsidR="008E4EF4" w:rsidRPr="004C253B">
        <w:rPr>
          <w:i/>
        </w:rPr>
        <w:t xml:space="preserve"> </w:t>
      </w:r>
      <w:r w:rsidRPr="004C253B">
        <w:rPr>
          <w:i/>
        </w:rPr>
        <w:t>20</w:t>
      </w:r>
      <w:r w:rsidR="00267463">
        <w:rPr>
          <w:i/>
        </w:rPr>
        <w:t>20</w:t>
      </w:r>
    </w:p>
    <w:p w14:paraId="26ADEE39" w14:textId="77777777" w:rsidR="004C253B" w:rsidRPr="004C253B" w:rsidRDefault="004C253B" w:rsidP="004C253B">
      <w:pPr>
        <w:spacing w:after="0" w:line="240" w:lineRule="auto"/>
        <w:jc w:val="center"/>
        <w:rPr>
          <w:rFonts w:ascii="Calibri" w:eastAsia="Times New Roman" w:hAnsi="Calibri" w:cs="Times New Roman"/>
          <w:b/>
          <w:sz w:val="28"/>
          <w:szCs w:val="28"/>
        </w:rPr>
      </w:pPr>
    </w:p>
    <w:p w14:paraId="7998BFA5" w14:textId="77777777" w:rsidR="004C253B" w:rsidRPr="004C253B" w:rsidRDefault="004C253B" w:rsidP="004C253B">
      <w:pPr>
        <w:spacing w:after="0" w:line="240" w:lineRule="auto"/>
        <w:jc w:val="center"/>
        <w:rPr>
          <w:rFonts w:ascii="Calibri" w:eastAsia="Times New Roman" w:hAnsi="Calibri" w:cs="Times New Roman"/>
          <w:b/>
          <w:sz w:val="28"/>
          <w:szCs w:val="28"/>
        </w:rPr>
      </w:pPr>
    </w:p>
    <w:p w14:paraId="73FD0CF5" w14:textId="77777777" w:rsidR="004C253B" w:rsidRPr="004C253B" w:rsidRDefault="004C253B" w:rsidP="004E17FF">
      <w:pPr>
        <w:spacing w:after="0" w:line="360" w:lineRule="auto"/>
        <w:jc w:val="center"/>
        <w:rPr>
          <w:rFonts w:ascii="Calibri" w:eastAsia="Times New Roman" w:hAnsi="Calibri" w:cs="Times New Roman"/>
          <w:b/>
          <w:sz w:val="28"/>
          <w:szCs w:val="28"/>
        </w:rPr>
      </w:pPr>
      <w:r w:rsidRPr="004C253B">
        <w:rPr>
          <w:rFonts w:ascii="Calibri" w:eastAsia="Times New Roman" w:hAnsi="Calibri" w:cs="Times New Roman"/>
          <w:b/>
          <w:sz w:val="28"/>
          <w:szCs w:val="28"/>
        </w:rPr>
        <w:t>Combining fracture outcomes in phase 3 trials of osteoporosis:  An analysis of the effects of denosumab in postmenopausal women.</w:t>
      </w:r>
    </w:p>
    <w:p w14:paraId="4DE7021F" w14:textId="77777777" w:rsidR="009D6AFC" w:rsidRPr="004C253B" w:rsidRDefault="009D6AFC" w:rsidP="009D6AFC">
      <w:pPr>
        <w:rPr>
          <w:b/>
        </w:rPr>
      </w:pPr>
    </w:p>
    <w:p w14:paraId="40485349" w14:textId="77777777" w:rsidR="004C253B" w:rsidRPr="004C253B" w:rsidRDefault="004C253B" w:rsidP="004C253B">
      <w:pPr>
        <w:jc w:val="center"/>
        <w:rPr>
          <w:b/>
        </w:rPr>
      </w:pPr>
    </w:p>
    <w:p w14:paraId="2736D280" w14:textId="62EDE794" w:rsidR="00113C8E" w:rsidRPr="00113C8E" w:rsidRDefault="00113C8E" w:rsidP="00113C8E">
      <w:pPr>
        <w:spacing w:after="200" w:line="276" w:lineRule="auto"/>
        <w:rPr>
          <w:rFonts w:ascii="Calibri" w:eastAsia="Calibri" w:hAnsi="Calibri" w:cs="Calibri"/>
          <w:b/>
          <w:sz w:val="24"/>
          <w:szCs w:val="24"/>
        </w:rPr>
      </w:pPr>
      <w:r w:rsidRPr="00E3642C">
        <w:rPr>
          <w:rFonts w:ascii="Calibri" w:eastAsia="MS Mincho" w:hAnsi="Calibri" w:cs="Times New Roman"/>
          <w:sz w:val="24"/>
          <w:szCs w:val="24"/>
          <w:lang w:eastAsia="ja-JP"/>
        </w:rPr>
        <w:t>John A Kanis</w:t>
      </w:r>
      <w:r w:rsidRPr="00E3642C">
        <w:rPr>
          <w:rFonts w:ascii="Calibri" w:eastAsia="MS Mincho" w:hAnsi="Calibri" w:cs="Times New Roman"/>
          <w:sz w:val="24"/>
          <w:szCs w:val="24"/>
          <w:vertAlign w:val="superscript"/>
          <w:lang w:eastAsia="ja-JP"/>
        </w:rPr>
        <w:t>1,2</w:t>
      </w:r>
      <w:r w:rsidR="00FF292D" w:rsidRPr="00E3642C">
        <w:rPr>
          <w:rFonts w:ascii="Calibri" w:eastAsia="MS Mincho" w:hAnsi="Calibri" w:cs="Times New Roman"/>
          <w:sz w:val="24"/>
          <w:szCs w:val="24"/>
          <w:vertAlign w:val="superscript"/>
          <w:lang w:eastAsia="ja-JP"/>
        </w:rPr>
        <w:t xml:space="preserve"> </w:t>
      </w:r>
      <w:r w:rsidR="00FF292D" w:rsidRPr="00E3642C">
        <w:rPr>
          <w:rFonts w:ascii="Calibri" w:eastAsia="MS Mincho" w:hAnsi="Calibri" w:cs="Times New Roman"/>
          <w:sz w:val="24"/>
          <w:szCs w:val="24"/>
          <w:lang w:eastAsia="ja-JP"/>
        </w:rPr>
        <w:t xml:space="preserve">∙ </w:t>
      </w:r>
      <w:r w:rsidRPr="00E3642C">
        <w:rPr>
          <w:rFonts w:ascii="Calibri" w:eastAsia="MS Mincho" w:hAnsi="Calibri" w:cs="Times New Roman"/>
          <w:sz w:val="24"/>
          <w:szCs w:val="24"/>
          <w:lang w:eastAsia="ja-JP"/>
        </w:rPr>
        <w:t>Nicholas C Harvey</w:t>
      </w:r>
      <w:r w:rsidRPr="00E3642C">
        <w:rPr>
          <w:rFonts w:ascii="Calibri" w:eastAsia="MS Mincho" w:hAnsi="Calibri" w:cs="Times New Roman"/>
          <w:sz w:val="24"/>
          <w:szCs w:val="24"/>
          <w:vertAlign w:val="superscript"/>
          <w:lang w:eastAsia="ja-JP"/>
        </w:rPr>
        <w:t>3,</w:t>
      </w:r>
      <w:bookmarkStart w:id="0" w:name="_Hlk38621405"/>
      <w:r w:rsidR="00FF292D" w:rsidRPr="00E3642C">
        <w:rPr>
          <w:rFonts w:ascii="Calibri" w:eastAsia="MS Mincho" w:hAnsi="Calibri" w:cs="Times New Roman"/>
          <w:sz w:val="24"/>
          <w:szCs w:val="24"/>
          <w:vertAlign w:val="superscript"/>
          <w:lang w:eastAsia="ja-JP"/>
        </w:rPr>
        <w:t>4</w:t>
      </w:r>
      <w:r w:rsidR="00FF292D" w:rsidRPr="00E3642C">
        <w:rPr>
          <w:rFonts w:ascii="Calibri" w:eastAsia="MS Mincho" w:hAnsi="Calibri" w:cs="Times New Roman"/>
          <w:sz w:val="24"/>
          <w:szCs w:val="24"/>
          <w:lang w:eastAsia="ja-JP"/>
        </w:rPr>
        <w:t xml:space="preserve"> </w:t>
      </w:r>
      <w:bookmarkStart w:id="1" w:name="_Hlk38749056"/>
      <w:r w:rsidR="00FF292D" w:rsidRPr="00E3642C">
        <w:rPr>
          <w:rFonts w:ascii="Calibri" w:eastAsia="MS Mincho" w:hAnsi="Calibri" w:cs="Times New Roman"/>
          <w:sz w:val="24"/>
          <w:szCs w:val="24"/>
          <w:lang w:eastAsia="ja-JP"/>
        </w:rPr>
        <w:t>∙</w:t>
      </w:r>
      <w:r w:rsidR="00FF292D" w:rsidRPr="00E3642C">
        <w:rPr>
          <w:rFonts w:ascii="Calibri" w:eastAsia="Calibri" w:hAnsi="Calibri" w:cs="Times New Roman"/>
          <w:sz w:val="24"/>
          <w:szCs w:val="24"/>
        </w:rPr>
        <w:t xml:space="preserve"> </w:t>
      </w:r>
      <w:bookmarkEnd w:id="0"/>
      <w:r w:rsidR="00FF292D" w:rsidRPr="00E3642C">
        <w:rPr>
          <w:rFonts w:ascii="Calibri" w:eastAsia="MS Mincho" w:hAnsi="Calibri" w:cs="Times New Roman"/>
          <w:sz w:val="24"/>
          <w:szCs w:val="24"/>
          <w:lang w:eastAsia="ja-JP"/>
        </w:rPr>
        <w:t xml:space="preserve"> </w:t>
      </w:r>
      <w:r w:rsidRPr="00E3642C">
        <w:rPr>
          <w:rFonts w:ascii="Calibri" w:eastAsia="MS Mincho" w:hAnsi="Calibri" w:cs="Times New Roman"/>
          <w:sz w:val="24"/>
          <w:szCs w:val="24"/>
          <w:lang w:eastAsia="ja-JP"/>
        </w:rPr>
        <w:t xml:space="preserve"> </w:t>
      </w:r>
      <w:bookmarkEnd w:id="1"/>
      <w:r w:rsidRPr="00E3642C">
        <w:rPr>
          <w:rFonts w:ascii="Calibri" w:eastAsia="MS Mincho" w:hAnsi="Calibri" w:cs="Times New Roman"/>
          <w:sz w:val="24"/>
          <w:szCs w:val="24"/>
          <w:lang w:eastAsia="ja-JP"/>
        </w:rPr>
        <w:t>Mattias Lorentzon</w:t>
      </w:r>
      <w:r w:rsidRPr="00E3642C">
        <w:rPr>
          <w:rFonts w:ascii="Calibri" w:eastAsia="MS Mincho" w:hAnsi="Calibri" w:cs="Times New Roman"/>
          <w:sz w:val="24"/>
          <w:szCs w:val="24"/>
          <w:vertAlign w:val="superscript"/>
          <w:lang w:eastAsia="ja-JP"/>
        </w:rPr>
        <w:t>1,</w:t>
      </w:r>
      <w:r w:rsidR="002267F2" w:rsidRPr="00E3642C">
        <w:rPr>
          <w:rFonts w:ascii="Calibri" w:eastAsia="MS Mincho" w:hAnsi="Calibri" w:cs="Times New Roman"/>
          <w:sz w:val="24"/>
          <w:szCs w:val="24"/>
          <w:vertAlign w:val="superscript"/>
          <w:lang w:eastAsia="ja-JP"/>
        </w:rPr>
        <w:t>5</w:t>
      </w:r>
      <w:r w:rsidRPr="00E3642C">
        <w:rPr>
          <w:rFonts w:ascii="Calibri" w:eastAsia="MS Mincho" w:hAnsi="Calibri" w:cs="Times New Roman"/>
          <w:sz w:val="24"/>
          <w:szCs w:val="24"/>
          <w:lang w:eastAsia="ja-JP"/>
        </w:rPr>
        <w:t xml:space="preserve"> </w:t>
      </w:r>
      <w:r w:rsidR="00FF292D" w:rsidRPr="00E3642C">
        <w:rPr>
          <w:rFonts w:ascii="Calibri" w:eastAsia="MS Mincho" w:hAnsi="Calibri" w:cs="Times New Roman"/>
          <w:sz w:val="24"/>
          <w:szCs w:val="24"/>
          <w:lang w:eastAsia="ja-JP"/>
        </w:rPr>
        <w:t xml:space="preserve">∙ </w:t>
      </w:r>
      <w:proofErr w:type="spellStart"/>
      <w:r w:rsidRPr="00E3642C">
        <w:rPr>
          <w:rFonts w:ascii="Calibri" w:eastAsia="Calibri" w:hAnsi="Calibri" w:cs="Times New Roman"/>
          <w:sz w:val="24"/>
          <w:szCs w:val="24"/>
        </w:rPr>
        <w:t>Enwu</w:t>
      </w:r>
      <w:proofErr w:type="spellEnd"/>
      <w:r w:rsidRPr="00E3642C">
        <w:rPr>
          <w:rFonts w:ascii="Calibri" w:eastAsia="Calibri" w:hAnsi="Calibri" w:cs="Times New Roman"/>
          <w:sz w:val="24"/>
          <w:szCs w:val="24"/>
        </w:rPr>
        <w:t xml:space="preserve"> Liu</w:t>
      </w:r>
      <w:r w:rsidRPr="00E3642C">
        <w:rPr>
          <w:rFonts w:ascii="Calibri" w:eastAsia="Calibri" w:hAnsi="Calibri" w:cs="Times New Roman"/>
          <w:sz w:val="24"/>
          <w:szCs w:val="24"/>
          <w:vertAlign w:val="superscript"/>
        </w:rPr>
        <w:t>1</w:t>
      </w:r>
      <w:r w:rsidRPr="00E3642C">
        <w:rPr>
          <w:rFonts w:ascii="Calibri" w:eastAsia="Calibri" w:hAnsi="Calibri" w:cs="Times New Roman"/>
          <w:sz w:val="24"/>
          <w:szCs w:val="24"/>
        </w:rPr>
        <w:t xml:space="preserve"> </w:t>
      </w:r>
      <w:bookmarkStart w:id="2" w:name="_Hlk22287265"/>
      <w:r w:rsidRPr="00E3642C">
        <w:rPr>
          <w:rFonts w:ascii="Calibri" w:eastAsia="Calibri" w:hAnsi="Calibri" w:cs="Times New Roman"/>
          <w:sz w:val="24"/>
          <w:szCs w:val="24"/>
        </w:rPr>
        <w:t xml:space="preserve">∙ </w:t>
      </w:r>
      <w:bookmarkEnd w:id="2"/>
      <w:proofErr w:type="spellStart"/>
      <w:r w:rsidRPr="00E3642C">
        <w:rPr>
          <w:rFonts w:ascii="Calibri" w:eastAsia="Calibri" w:hAnsi="Calibri" w:cs="Times New Roman"/>
          <w:sz w:val="24"/>
          <w:szCs w:val="24"/>
        </w:rPr>
        <w:t>Liesbeth</w:t>
      </w:r>
      <w:proofErr w:type="spellEnd"/>
      <w:r w:rsidRPr="00E3642C">
        <w:rPr>
          <w:rFonts w:ascii="Calibri" w:eastAsia="Calibri" w:hAnsi="Calibri" w:cs="Times New Roman"/>
          <w:sz w:val="24"/>
          <w:szCs w:val="24"/>
        </w:rPr>
        <w:t xml:space="preserve"> Vandenput</w:t>
      </w:r>
      <w:r w:rsidRPr="00E3642C">
        <w:rPr>
          <w:rFonts w:ascii="Calibri" w:eastAsia="Calibri" w:hAnsi="Calibri" w:cs="Times New Roman"/>
          <w:sz w:val="24"/>
          <w:szCs w:val="24"/>
          <w:vertAlign w:val="superscript"/>
        </w:rPr>
        <w:t>1,</w:t>
      </w:r>
      <w:r w:rsidR="002267F2" w:rsidRPr="00E3642C">
        <w:rPr>
          <w:rFonts w:ascii="Calibri" w:eastAsia="Calibri" w:hAnsi="Calibri" w:cs="Times New Roman"/>
          <w:sz w:val="24"/>
          <w:szCs w:val="24"/>
          <w:vertAlign w:val="superscript"/>
        </w:rPr>
        <w:t>7</w:t>
      </w:r>
      <w:r w:rsidRPr="00E3642C">
        <w:rPr>
          <w:rFonts w:ascii="Calibri" w:eastAsia="Calibri" w:hAnsi="Calibri" w:cs="Times New Roman"/>
          <w:sz w:val="24"/>
          <w:szCs w:val="24"/>
        </w:rPr>
        <w:t xml:space="preserve"> </w:t>
      </w:r>
      <w:r w:rsidR="00EE4DA6" w:rsidRPr="00E3642C">
        <w:rPr>
          <w:rFonts w:ascii="Calibri" w:eastAsia="Calibri" w:hAnsi="Calibri" w:cs="Times New Roman"/>
          <w:sz w:val="24"/>
          <w:szCs w:val="24"/>
        </w:rPr>
        <w:t xml:space="preserve">∙ </w:t>
      </w:r>
      <w:r w:rsidRPr="00E3642C">
        <w:rPr>
          <w:rFonts w:ascii="Calibri" w:eastAsia="MS Mincho" w:hAnsi="Calibri" w:cs="Times New Roman"/>
          <w:sz w:val="24"/>
          <w:szCs w:val="24"/>
          <w:lang w:eastAsia="ja-JP"/>
        </w:rPr>
        <w:t>Eugene V McCloskey</w:t>
      </w:r>
      <w:r w:rsidRPr="00E3642C">
        <w:rPr>
          <w:rFonts w:ascii="Calibri" w:eastAsia="MS Mincho" w:hAnsi="Calibri" w:cs="Times New Roman"/>
          <w:sz w:val="24"/>
          <w:szCs w:val="24"/>
          <w:vertAlign w:val="superscript"/>
          <w:lang w:eastAsia="ja-JP"/>
        </w:rPr>
        <w:t xml:space="preserve">2, </w:t>
      </w:r>
      <w:bookmarkStart w:id="3" w:name="_Hlk38732963"/>
      <w:r w:rsidR="003A5E42" w:rsidRPr="00E3642C">
        <w:rPr>
          <w:rFonts w:ascii="Calibri" w:eastAsia="MS Mincho" w:hAnsi="Calibri" w:cs="Times New Roman"/>
          <w:sz w:val="24"/>
          <w:szCs w:val="24"/>
          <w:vertAlign w:val="superscript"/>
          <w:lang w:eastAsia="ja-JP"/>
        </w:rPr>
        <w:t>8</w:t>
      </w:r>
      <w:r w:rsidR="00B64E41" w:rsidRPr="00E3642C">
        <w:rPr>
          <w:rFonts w:ascii="Calibri" w:eastAsia="MS Mincho" w:hAnsi="Calibri" w:cs="Times New Roman"/>
          <w:sz w:val="24"/>
          <w:szCs w:val="24"/>
          <w:vertAlign w:val="superscript"/>
          <w:lang w:eastAsia="ja-JP"/>
        </w:rPr>
        <w:t xml:space="preserve"> </w:t>
      </w:r>
      <w:r w:rsidR="00CF3202" w:rsidRPr="00E3642C">
        <w:rPr>
          <w:rFonts w:ascii="Calibri" w:eastAsia="Calibri" w:hAnsi="Calibri" w:cs="Times New Roman"/>
          <w:sz w:val="24"/>
          <w:szCs w:val="24"/>
        </w:rPr>
        <w:t xml:space="preserve">∙ </w:t>
      </w:r>
      <w:bookmarkEnd w:id="3"/>
      <w:r w:rsidR="00CF3202" w:rsidRPr="00E3642C">
        <w:rPr>
          <w:rFonts w:ascii="Calibri" w:eastAsia="MS Mincho" w:hAnsi="Calibri" w:cs="Times New Roman"/>
          <w:sz w:val="24"/>
          <w:szCs w:val="24"/>
          <w:lang w:eastAsia="ja-JP"/>
        </w:rPr>
        <w:t>Helena Johansson</w:t>
      </w:r>
      <w:r w:rsidR="00CF3202" w:rsidRPr="00E3642C">
        <w:rPr>
          <w:rFonts w:ascii="Calibri" w:eastAsia="MS Mincho" w:hAnsi="Calibri" w:cs="Times New Roman"/>
          <w:sz w:val="24"/>
          <w:szCs w:val="24"/>
          <w:vertAlign w:val="superscript"/>
          <w:lang w:eastAsia="ja-JP"/>
        </w:rPr>
        <w:t>1,2</w:t>
      </w:r>
    </w:p>
    <w:p w14:paraId="31AFFF4C" w14:textId="77777777" w:rsidR="004C253B" w:rsidRPr="004C253B" w:rsidRDefault="004C253B" w:rsidP="004C253B">
      <w:pPr>
        <w:jc w:val="center"/>
        <w:rPr>
          <w:b/>
        </w:rPr>
      </w:pPr>
    </w:p>
    <w:p w14:paraId="7659EB64" w14:textId="77777777" w:rsidR="00CD5082" w:rsidRPr="00CD5082" w:rsidRDefault="00CD5082" w:rsidP="00CD5082">
      <w:pPr>
        <w:spacing w:after="240" w:line="240" w:lineRule="auto"/>
        <w:ind w:left="567" w:hanging="142"/>
        <w:rPr>
          <w:rFonts w:ascii="Calibri" w:eastAsia="Calibri" w:hAnsi="Calibri" w:cs="Times New Roman"/>
          <w:sz w:val="24"/>
          <w:szCs w:val="24"/>
          <w:lang w:val="en-AU"/>
        </w:rPr>
      </w:pPr>
      <w:r w:rsidRPr="00CD5082">
        <w:rPr>
          <w:rFonts w:ascii="Calibri" w:eastAsia="Times New Roman" w:hAnsi="Calibri" w:cs="Times New Roman"/>
          <w:sz w:val="24"/>
          <w:szCs w:val="20"/>
          <w:vertAlign w:val="superscript"/>
          <w:lang w:eastAsia="fr-FR"/>
        </w:rPr>
        <w:t xml:space="preserve">1 </w:t>
      </w:r>
      <w:r w:rsidRPr="00CD5082">
        <w:rPr>
          <w:rFonts w:ascii="Calibri" w:eastAsia="Calibri" w:hAnsi="Calibri" w:cs="Times New Roman"/>
          <w:sz w:val="24"/>
          <w:szCs w:val="24"/>
          <w:lang w:val="en-AU"/>
        </w:rPr>
        <w:t>Mary McKillop Institute for Health Research, Australian Catholic University, Melbourne, Australia</w:t>
      </w:r>
    </w:p>
    <w:p w14:paraId="72A85A2E" w14:textId="77777777" w:rsidR="00CD5082" w:rsidRPr="00CD5082" w:rsidRDefault="00CD5082" w:rsidP="00CD5082">
      <w:pPr>
        <w:spacing w:after="240" w:line="240" w:lineRule="auto"/>
        <w:ind w:left="567" w:hanging="142"/>
        <w:rPr>
          <w:rFonts w:ascii="Calibri" w:eastAsia="MS Mincho" w:hAnsi="Calibri" w:cs="Times New Roman"/>
          <w:sz w:val="24"/>
          <w:szCs w:val="24"/>
          <w:lang w:eastAsia="ja-JP"/>
        </w:rPr>
      </w:pPr>
      <w:r w:rsidRPr="00CD5082">
        <w:rPr>
          <w:rFonts w:ascii="Calibri" w:eastAsia="MS Mincho" w:hAnsi="Calibri" w:cs="Times New Roman"/>
          <w:sz w:val="24"/>
          <w:szCs w:val="24"/>
          <w:vertAlign w:val="superscript"/>
          <w:lang w:eastAsia="ja-JP"/>
        </w:rPr>
        <w:t>2</w:t>
      </w:r>
      <w:r w:rsidRPr="00CD5082">
        <w:rPr>
          <w:rFonts w:ascii="Calibri" w:eastAsia="MS Mincho" w:hAnsi="Calibri" w:cs="Times New Roman"/>
          <w:sz w:val="24"/>
          <w:szCs w:val="24"/>
          <w:lang w:eastAsia="ja-JP"/>
        </w:rPr>
        <w:t xml:space="preserve"> Centre for Metabolic Bone Diseases, University of Sheffield, Sheffield, UK</w:t>
      </w:r>
    </w:p>
    <w:p w14:paraId="3F98847B" w14:textId="77777777" w:rsidR="00CD5082" w:rsidRPr="00CD5082" w:rsidRDefault="00CD5082" w:rsidP="00CD5082">
      <w:pPr>
        <w:spacing w:after="240" w:line="240" w:lineRule="auto"/>
        <w:ind w:left="567" w:hanging="142"/>
        <w:rPr>
          <w:rFonts w:ascii="Calibri" w:eastAsia="MS Mincho" w:hAnsi="Calibri" w:cs="Times New Roman"/>
          <w:sz w:val="24"/>
          <w:szCs w:val="24"/>
          <w:lang w:eastAsia="ja-JP"/>
        </w:rPr>
      </w:pPr>
      <w:r w:rsidRPr="00CD5082">
        <w:rPr>
          <w:rFonts w:ascii="Calibri" w:eastAsia="MS Mincho" w:hAnsi="Calibri" w:cs="Times New Roman"/>
          <w:sz w:val="24"/>
          <w:szCs w:val="24"/>
          <w:vertAlign w:val="superscript"/>
          <w:lang w:eastAsia="ja-JP"/>
        </w:rPr>
        <w:t xml:space="preserve">3 </w:t>
      </w:r>
      <w:r w:rsidRPr="00CD5082">
        <w:rPr>
          <w:rFonts w:ascii="Calibri" w:eastAsia="MS Mincho" w:hAnsi="Calibri" w:cs="Times New Roman"/>
          <w:sz w:val="24"/>
          <w:szCs w:val="24"/>
          <w:lang w:eastAsia="ja-JP"/>
        </w:rPr>
        <w:t xml:space="preserve">MRC </w:t>
      </w:r>
      <w:proofErr w:type="spellStart"/>
      <w:r w:rsidRPr="00CD5082">
        <w:rPr>
          <w:rFonts w:ascii="Calibri" w:eastAsia="MS Mincho" w:hAnsi="Calibri" w:cs="Times New Roman"/>
          <w:sz w:val="24"/>
          <w:szCs w:val="24"/>
          <w:lang w:eastAsia="ja-JP"/>
        </w:rPr>
        <w:t>Lifecourse</w:t>
      </w:r>
      <w:proofErr w:type="spellEnd"/>
      <w:r w:rsidRPr="00CD5082">
        <w:rPr>
          <w:rFonts w:ascii="Calibri" w:eastAsia="MS Mincho" w:hAnsi="Calibri" w:cs="Times New Roman"/>
          <w:sz w:val="24"/>
          <w:szCs w:val="24"/>
          <w:lang w:eastAsia="ja-JP"/>
        </w:rPr>
        <w:t xml:space="preserve"> Epidemiology Unit, University of Southampton, Southampton, UK </w:t>
      </w:r>
    </w:p>
    <w:p w14:paraId="591F4091" w14:textId="77777777" w:rsidR="00CD5082" w:rsidRPr="00CD5082" w:rsidRDefault="00CD5082" w:rsidP="00CD5082">
      <w:pPr>
        <w:spacing w:after="240" w:line="240" w:lineRule="auto"/>
        <w:ind w:left="567" w:hanging="142"/>
        <w:rPr>
          <w:rFonts w:ascii="Calibri" w:eastAsia="MS Mincho" w:hAnsi="Calibri" w:cs="Times New Roman"/>
          <w:sz w:val="24"/>
          <w:szCs w:val="24"/>
          <w:lang w:eastAsia="ja-JP"/>
        </w:rPr>
      </w:pPr>
      <w:r w:rsidRPr="00CD5082">
        <w:rPr>
          <w:rFonts w:ascii="Calibri" w:eastAsia="MS Mincho" w:hAnsi="Calibri" w:cs="Times New Roman"/>
          <w:sz w:val="24"/>
          <w:szCs w:val="24"/>
          <w:vertAlign w:val="superscript"/>
          <w:lang w:eastAsia="ja-JP"/>
        </w:rPr>
        <w:t xml:space="preserve">4 </w:t>
      </w:r>
      <w:r w:rsidRPr="00CD5082">
        <w:rPr>
          <w:rFonts w:ascii="Calibri" w:eastAsia="MS Mincho" w:hAnsi="Calibri" w:cs="Times New Roman"/>
          <w:sz w:val="24"/>
          <w:szCs w:val="24"/>
          <w:lang w:eastAsia="ja-JP"/>
        </w:rPr>
        <w:t>NIHR Southampton Biomedical Research Centre, University of Southampton and University Hospital Southampton NHS Foundation Trust, Southampton, UK</w:t>
      </w:r>
    </w:p>
    <w:p w14:paraId="1EFCEB5F" w14:textId="16E6244C" w:rsidR="00CD5082" w:rsidRPr="00CD5082" w:rsidRDefault="00CD5082" w:rsidP="00CD5082">
      <w:pPr>
        <w:spacing w:after="240" w:line="240" w:lineRule="auto"/>
        <w:ind w:left="567" w:hanging="142"/>
        <w:rPr>
          <w:rFonts w:ascii="Calibri" w:eastAsia="Calibri" w:hAnsi="Calibri" w:cs="Times New Roman"/>
          <w:sz w:val="24"/>
          <w:szCs w:val="24"/>
        </w:rPr>
      </w:pPr>
      <w:r w:rsidRPr="00CD5082">
        <w:rPr>
          <w:rFonts w:ascii="Calibri" w:eastAsia="Calibri" w:hAnsi="Calibri" w:cs="Times New Roman"/>
          <w:sz w:val="24"/>
          <w:szCs w:val="24"/>
          <w:vertAlign w:val="superscript"/>
        </w:rPr>
        <w:t xml:space="preserve"> 5</w:t>
      </w:r>
      <w:r w:rsidRPr="00CD5082">
        <w:rPr>
          <w:rFonts w:ascii="Calibri" w:eastAsia="Calibri" w:hAnsi="Calibri" w:cs="Times New Roman"/>
          <w:sz w:val="24"/>
          <w:szCs w:val="24"/>
        </w:rPr>
        <w:t xml:space="preserve"> </w:t>
      </w:r>
      <w:r w:rsidR="00B1668D" w:rsidRPr="00B1668D">
        <w:rPr>
          <w:rFonts w:ascii="Calibri" w:eastAsia="Calibri" w:hAnsi="Calibri" w:cs="Times New Roman"/>
          <w:sz w:val="24"/>
          <w:szCs w:val="24"/>
        </w:rPr>
        <w:t>Geriatric Medicine, Institute of Medicine, University of Gothenburg, Sweden</w:t>
      </w:r>
    </w:p>
    <w:p w14:paraId="67DE562E" w14:textId="77777777" w:rsidR="00CD5082" w:rsidRPr="00CD5082" w:rsidRDefault="00CD5082" w:rsidP="00CD5082">
      <w:pPr>
        <w:spacing w:after="240" w:line="240" w:lineRule="auto"/>
        <w:ind w:left="567" w:hanging="142"/>
        <w:rPr>
          <w:rFonts w:ascii="Calibri" w:eastAsia="Calibri" w:hAnsi="Calibri" w:cs="Times New Roman"/>
          <w:sz w:val="24"/>
          <w:szCs w:val="24"/>
        </w:rPr>
      </w:pPr>
      <w:r w:rsidRPr="00CD5082">
        <w:rPr>
          <w:rFonts w:ascii="Calibri" w:eastAsia="Calibri" w:hAnsi="Calibri" w:cs="Times New Roman"/>
          <w:sz w:val="24"/>
          <w:szCs w:val="24"/>
          <w:vertAlign w:val="superscript"/>
        </w:rPr>
        <w:t>6</w:t>
      </w:r>
      <w:r w:rsidRPr="00CD5082">
        <w:rPr>
          <w:rFonts w:ascii="Calibri" w:eastAsia="Calibri" w:hAnsi="Calibri" w:cs="Times New Roman"/>
          <w:sz w:val="24"/>
          <w:szCs w:val="24"/>
        </w:rPr>
        <w:t xml:space="preserve"> University of Iceland, Reykjavik, Iceland</w:t>
      </w:r>
    </w:p>
    <w:p w14:paraId="579D052A" w14:textId="73A18D67" w:rsidR="00CD5082" w:rsidRPr="00CD5082" w:rsidRDefault="00CD5082" w:rsidP="00CD5082">
      <w:pPr>
        <w:spacing w:after="240" w:line="240" w:lineRule="auto"/>
        <w:ind w:left="567" w:hanging="142"/>
        <w:rPr>
          <w:rFonts w:ascii="Calibri" w:eastAsia="MS Mincho" w:hAnsi="Calibri" w:cs="Times New Roman"/>
          <w:sz w:val="24"/>
          <w:szCs w:val="24"/>
          <w:lang w:val="en-US" w:eastAsia="ja-JP"/>
        </w:rPr>
      </w:pPr>
      <w:r w:rsidRPr="00CD5082">
        <w:rPr>
          <w:rFonts w:ascii="Calibri" w:eastAsia="MS Mincho" w:hAnsi="Calibri" w:cs="Times New Roman"/>
          <w:sz w:val="24"/>
          <w:szCs w:val="24"/>
          <w:vertAlign w:val="superscript"/>
          <w:lang w:val="en-US" w:eastAsia="ja-JP"/>
        </w:rPr>
        <w:t xml:space="preserve">7 </w:t>
      </w:r>
      <w:bookmarkStart w:id="4" w:name="_GoBack"/>
      <w:r w:rsidR="002267F2" w:rsidRPr="00CD5082">
        <w:rPr>
          <w:rFonts w:ascii="Calibri" w:eastAsia="MS Mincho" w:hAnsi="Calibri" w:cs="Times New Roman"/>
          <w:sz w:val="24"/>
          <w:szCs w:val="24"/>
          <w:lang w:val="en-US" w:eastAsia="ja-JP"/>
        </w:rPr>
        <w:t xml:space="preserve">Department of Internal Medicine and Clinical Nutrition, Institute of Medicine, </w:t>
      </w:r>
      <w:proofErr w:type="spellStart"/>
      <w:r w:rsidR="002267F2" w:rsidRPr="00CD5082">
        <w:rPr>
          <w:rFonts w:ascii="Calibri" w:eastAsia="MS Mincho" w:hAnsi="Calibri" w:cs="Times New Roman"/>
          <w:sz w:val="24"/>
          <w:szCs w:val="24"/>
          <w:lang w:val="en-US" w:eastAsia="ja-JP"/>
        </w:rPr>
        <w:t>Sahlgrenska</w:t>
      </w:r>
      <w:proofErr w:type="spellEnd"/>
      <w:r w:rsidR="002267F2" w:rsidRPr="00CD5082">
        <w:rPr>
          <w:rFonts w:ascii="Calibri" w:eastAsia="MS Mincho" w:hAnsi="Calibri" w:cs="Times New Roman"/>
          <w:sz w:val="24"/>
          <w:szCs w:val="24"/>
          <w:lang w:val="en-US" w:eastAsia="ja-JP"/>
        </w:rPr>
        <w:t xml:space="preserve"> Academy, University of Gothenburg, Gothenburg, Sweden</w:t>
      </w:r>
      <w:bookmarkEnd w:id="4"/>
    </w:p>
    <w:p w14:paraId="3DDC1006" w14:textId="2F5C0210" w:rsidR="00CD5082" w:rsidRPr="00CD5082" w:rsidRDefault="00CD5082" w:rsidP="00CD5082">
      <w:pPr>
        <w:spacing w:after="240" w:line="240" w:lineRule="auto"/>
        <w:ind w:left="567" w:hanging="142"/>
        <w:rPr>
          <w:rFonts w:ascii="Calibri" w:eastAsia="MS Mincho" w:hAnsi="Calibri" w:cs="Times New Roman"/>
          <w:sz w:val="24"/>
          <w:szCs w:val="24"/>
          <w:lang w:val="en-US" w:eastAsia="ja-JP"/>
        </w:rPr>
      </w:pPr>
      <w:r w:rsidRPr="00CD5082">
        <w:rPr>
          <w:rFonts w:ascii="Calibri" w:eastAsia="MS Mincho" w:hAnsi="Calibri" w:cs="Times New Roman"/>
          <w:sz w:val="24"/>
          <w:szCs w:val="24"/>
          <w:vertAlign w:val="superscript"/>
          <w:lang w:val="en-US" w:eastAsia="ja-JP"/>
        </w:rPr>
        <w:t xml:space="preserve">8 </w:t>
      </w:r>
      <w:proofErr w:type="spellStart"/>
      <w:r w:rsidR="003A5E42" w:rsidRPr="00CD5082">
        <w:rPr>
          <w:rFonts w:ascii="Calibri" w:eastAsia="MS Mincho" w:hAnsi="Calibri" w:cs="Times New Roman"/>
          <w:bCs/>
          <w:sz w:val="24"/>
          <w:szCs w:val="24"/>
          <w:lang w:val="en-US" w:eastAsia="ja-JP"/>
        </w:rPr>
        <w:t>Mellanby</w:t>
      </w:r>
      <w:proofErr w:type="spellEnd"/>
      <w:r w:rsidR="003A5E42" w:rsidRPr="00CD5082">
        <w:rPr>
          <w:rFonts w:ascii="Calibri" w:eastAsia="MS Mincho" w:hAnsi="Calibri" w:cs="Times New Roman"/>
          <w:bCs/>
          <w:sz w:val="24"/>
          <w:szCs w:val="24"/>
          <w:lang w:val="en-US" w:eastAsia="ja-JP"/>
        </w:rPr>
        <w:t xml:space="preserve"> Centre for bone research, Department of Oncology and Metabolism, University of Sheffield, Sheffield, UK</w:t>
      </w:r>
    </w:p>
    <w:p w14:paraId="710B59AB" w14:textId="77777777" w:rsidR="00CD5082" w:rsidRPr="00CD5082" w:rsidRDefault="00CD5082" w:rsidP="00CD5082">
      <w:pPr>
        <w:spacing w:after="0" w:line="240" w:lineRule="auto"/>
        <w:ind w:left="567" w:hanging="142"/>
        <w:rPr>
          <w:rFonts w:ascii="Calibri" w:eastAsia="MS Mincho" w:hAnsi="Calibri" w:cs="Times New Roman"/>
          <w:sz w:val="24"/>
          <w:szCs w:val="24"/>
          <w:lang w:val="en-US" w:eastAsia="ja-JP"/>
        </w:rPr>
      </w:pPr>
    </w:p>
    <w:p w14:paraId="5B7BF83F" w14:textId="77777777" w:rsidR="00CD5082" w:rsidRPr="00CD5082" w:rsidRDefault="00CD5082" w:rsidP="00CD5082">
      <w:pPr>
        <w:spacing w:after="0" w:line="240" w:lineRule="auto"/>
        <w:ind w:left="567"/>
        <w:rPr>
          <w:rFonts w:ascii="Calibri" w:eastAsia="MS Mincho" w:hAnsi="Calibri" w:cs="Times New Roman"/>
          <w:sz w:val="24"/>
          <w:szCs w:val="24"/>
          <w:lang w:eastAsia="ja-JP"/>
        </w:rPr>
      </w:pPr>
    </w:p>
    <w:p w14:paraId="3DEF5DEE" w14:textId="77777777" w:rsidR="00CD5082" w:rsidRPr="00CD5082" w:rsidRDefault="00CD5082" w:rsidP="00CD5082">
      <w:pPr>
        <w:ind w:left="567"/>
        <w:rPr>
          <w:rFonts w:ascii="Calibri" w:eastAsia="Calibri" w:hAnsi="Calibri" w:cs="Times New Roman"/>
          <w:sz w:val="24"/>
          <w:szCs w:val="24"/>
        </w:rPr>
      </w:pPr>
      <w:r w:rsidRPr="00CD5082">
        <w:rPr>
          <w:rFonts w:ascii="Calibri" w:eastAsia="Calibri" w:hAnsi="Calibri" w:cs="Times New Roman"/>
          <w:sz w:val="24"/>
          <w:szCs w:val="24"/>
        </w:rPr>
        <w:t xml:space="preserve">Correspondence to: Prof John A </w:t>
      </w:r>
      <w:proofErr w:type="spellStart"/>
      <w:r w:rsidRPr="00CD5082">
        <w:rPr>
          <w:rFonts w:ascii="Calibri" w:eastAsia="Calibri" w:hAnsi="Calibri" w:cs="Times New Roman"/>
          <w:sz w:val="24"/>
          <w:szCs w:val="24"/>
        </w:rPr>
        <w:t>Kanis</w:t>
      </w:r>
      <w:proofErr w:type="spellEnd"/>
      <w:r w:rsidRPr="00CD5082">
        <w:rPr>
          <w:rFonts w:ascii="Calibri" w:eastAsia="Calibri" w:hAnsi="Calibri" w:cs="Times New Roman"/>
          <w:sz w:val="24"/>
          <w:szCs w:val="24"/>
        </w:rPr>
        <w:t xml:space="preserve">, Centre for Metabolic Bone Diseases, University of Sheffield Medical School, Beech Hill Road, Sheffield S10 2RX, UK; Tel: +44 114 285 1109; Fax: +44 114 285 1813; </w:t>
      </w:r>
      <w:hyperlink r:id="rId7" w:history="1">
        <w:r w:rsidRPr="00CD5082">
          <w:rPr>
            <w:rFonts w:ascii="Calibri" w:eastAsia="Calibri" w:hAnsi="Calibri" w:cs="Times New Roman"/>
            <w:color w:val="0563C1"/>
            <w:sz w:val="24"/>
            <w:szCs w:val="24"/>
            <w:u w:val="single"/>
          </w:rPr>
          <w:t>w.j.pontefract@shef.ac.uk</w:t>
        </w:r>
      </w:hyperlink>
    </w:p>
    <w:p w14:paraId="22F35385" w14:textId="77777777" w:rsidR="00CD5082" w:rsidRPr="00CD5082" w:rsidRDefault="00CD5082" w:rsidP="00CD5082">
      <w:pPr>
        <w:ind w:left="567"/>
        <w:rPr>
          <w:rFonts w:ascii="Calibri" w:eastAsia="Calibri" w:hAnsi="Calibri" w:cs="Times New Roman"/>
          <w:sz w:val="24"/>
          <w:szCs w:val="24"/>
        </w:rPr>
      </w:pPr>
    </w:p>
    <w:p w14:paraId="73598DF8" w14:textId="77777777" w:rsidR="004C253B" w:rsidRPr="004C253B" w:rsidRDefault="004C253B">
      <w:pPr>
        <w:rPr>
          <w:b/>
        </w:rPr>
      </w:pPr>
      <w:r w:rsidRPr="004C253B">
        <w:rPr>
          <w:b/>
        </w:rPr>
        <w:br w:type="page"/>
      </w:r>
    </w:p>
    <w:p w14:paraId="3B76F6CA" w14:textId="77777777" w:rsidR="00FA6DD2" w:rsidRDefault="00742D64" w:rsidP="00D25F0F">
      <w:pPr>
        <w:rPr>
          <w:b/>
          <w:sz w:val="28"/>
          <w:szCs w:val="28"/>
        </w:rPr>
      </w:pPr>
      <w:r>
        <w:rPr>
          <w:b/>
          <w:sz w:val="28"/>
          <w:szCs w:val="28"/>
        </w:rPr>
        <w:lastRenderedPageBreak/>
        <w:t>Ab</w:t>
      </w:r>
      <w:r w:rsidR="00FA6DD2">
        <w:rPr>
          <w:b/>
          <w:sz w:val="28"/>
          <w:szCs w:val="28"/>
        </w:rPr>
        <w:t>stract</w:t>
      </w:r>
    </w:p>
    <w:p w14:paraId="21382C0D" w14:textId="5A33A51C" w:rsidR="008B203F" w:rsidRPr="001228C4" w:rsidRDefault="00D25F0F" w:rsidP="00D25F0F">
      <w:pPr>
        <w:rPr>
          <w:bCs/>
          <w:sz w:val="24"/>
          <w:szCs w:val="24"/>
        </w:rPr>
      </w:pPr>
      <w:r w:rsidRPr="008B203F">
        <w:rPr>
          <w:b/>
          <w:sz w:val="24"/>
          <w:szCs w:val="24"/>
        </w:rPr>
        <w:t>Summary</w:t>
      </w:r>
      <w:r w:rsidR="001228C4" w:rsidRPr="001228C4">
        <w:t xml:space="preserve"> </w:t>
      </w:r>
      <w:r w:rsidR="001228C4" w:rsidRPr="001228C4">
        <w:rPr>
          <w:bCs/>
          <w:sz w:val="24"/>
          <w:szCs w:val="24"/>
        </w:rPr>
        <w:t>Th</w:t>
      </w:r>
      <w:r w:rsidR="001228C4">
        <w:rPr>
          <w:bCs/>
          <w:sz w:val="24"/>
          <w:szCs w:val="24"/>
        </w:rPr>
        <w:t xml:space="preserve">is paper </w:t>
      </w:r>
      <w:r w:rsidR="005409F7">
        <w:rPr>
          <w:bCs/>
          <w:sz w:val="24"/>
          <w:szCs w:val="24"/>
        </w:rPr>
        <w:t>explores</w:t>
      </w:r>
      <w:r w:rsidR="001228C4" w:rsidRPr="001228C4">
        <w:rPr>
          <w:bCs/>
          <w:sz w:val="24"/>
          <w:szCs w:val="24"/>
        </w:rPr>
        <w:t xml:space="preserve"> use of metrics that combine fracture outcomes </w:t>
      </w:r>
      <w:r w:rsidR="005409F7">
        <w:rPr>
          <w:bCs/>
          <w:sz w:val="24"/>
          <w:szCs w:val="24"/>
        </w:rPr>
        <w:t>tha</w:t>
      </w:r>
      <w:r w:rsidR="003E272D">
        <w:rPr>
          <w:bCs/>
          <w:sz w:val="24"/>
          <w:szCs w:val="24"/>
        </w:rPr>
        <w:t>t</w:t>
      </w:r>
      <w:r w:rsidR="001228C4" w:rsidRPr="001228C4">
        <w:rPr>
          <w:bCs/>
          <w:sz w:val="24"/>
          <w:szCs w:val="24"/>
        </w:rPr>
        <w:t xml:space="preserve"> add</w:t>
      </w:r>
      <w:r w:rsidR="003E272D">
        <w:rPr>
          <w:bCs/>
          <w:sz w:val="24"/>
          <w:szCs w:val="24"/>
        </w:rPr>
        <w:t xml:space="preserve"> </w:t>
      </w:r>
      <w:r w:rsidR="001228C4" w:rsidRPr="001228C4">
        <w:rPr>
          <w:bCs/>
          <w:sz w:val="24"/>
          <w:szCs w:val="24"/>
        </w:rPr>
        <w:t>power to phase 3 studies and provide a surrogate outcome for regulatory agencies.</w:t>
      </w:r>
    </w:p>
    <w:p w14:paraId="366D2AC2" w14:textId="77777777" w:rsidR="00AE43CE" w:rsidRDefault="00AE43CE" w:rsidP="00D25F0F">
      <w:pPr>
        <w:rPr>
          <w:b/>
          <w:sz w:val="24"/>
          <w:szCs w:val="24"/>
        </w:rPr>
      </w:pPr>
    </w:p>
    <w:p w14:paraId="0D2925F4" w14:textId="0027AC4B" w:rsidR="00450339" w:rsidRDefault="00450339" w:rsidP="00D25F0F">
      <w:pPr>
        <w:rPr>
          <w:b/>
          <w:sz w:val="24"/>
          <w:szCs w:val="24"/>
        </w:rPr>
      </w:pPr>
      <w:r>
        <w:rPr>
          <w:b/>
          <w:sz w:val="24"/>
          <w:szCs w:val="24"/>
        </w:rPr>
        <w:t>Introduction</w:t>
      </w:r>
      <w:r w:rsidR="00C32A05" w:rsidRPr="00C32A05">
        <w:t xml:space="preserve"> </w:t>
      </w:r>
      <w:r w:rsidR="00C32A05" w:rsidRPr="00C32A05">
        <w:rPr>
          <w:bCs/>
          <w:sz w:val="24"/>
          <w:szCs w:val="24"/>
        </w:rPr>
        <w:t xml:space="preserve">The aim of this study was to develop an analytic framework that would combine </w:t>
      </w:r>
      <w:r w:rsidR="001A0667">
        <w:rPr>
          <w:bCs/>
          <w:sz w:val="24"/>
          <w:szCs w:val="24"/>
        </w:rPr>
        <w:t xml:space="preserve">information </w:t>
      </w:r>
      <w:r w:rsidR="00FB50F1">
        <w:rPr>
          <w:bCs/>
          <w:sz w:val="24"/>
          <w:szCs w:val="24"/>
        </w:rPr>
        <w:t>from</w:t>
      </w:r>
      <w:r w:rsidR="001A0667">
        <w:rPr>
          <w:bCs/>
          <w:sz w:val="24"/>
          <w:szCs w:val="24"/>
        </w:rPr>
        <w:t xml:space="preserve"> </w:t>
      </w:r>
      <w:r w:rsidR="00C32A05" w:rsidRPr="00C32A05">
        <w:rPr>
          <w:bCs/>
          <w:sz w:val="24"/>
          <w:szCs w:val="24"/>
        </w:rPr>
        <w:t>all fracture outcomes (including radiographic vertebral fractures) in phase 3 studies to provide a metric for the assessment of treatment efficacy.</w:t>
      </w:r>
    </w:p>
    <w:p w14:paraId="5DCC9641" w14:textId="113EA0F2" w:rsidR="00450339" w:rsidRDefault="00450339" w:rsidP="00D25F0F">
      <w:pPr>
        <w:rPr>
          <w:b/>
          <w:sz w:val="24"/>
          <w:szCs w:val="24"/>
        </w:rPr>
      </w:pPr>
      <w:r>
        <w:rPr>
          <w:b/>
          <w:sz w:val="24"/>
          <w:szCs w:val="24"/>
        </w:rPr>
        <w:t>Methods</w:t>
      </w:r>
      <w:r w:rsidR="00BD7DD9" w:rsidRPr="00BD7DD9">
        <w:t xml:space="preserve"> </w:t>
      </w:r>
      <w:r w:rsidR="00BD7DD9" w:rsidRPr="00BD7DD9">
        <w:rPr>
          <w:bCs/>
          <w:sz w:val="24"/>
          <w:szCs w:val="24"/>
        </w:rPr>
        <w:t>Data from the phase 3 study of denosumab were used as an exemplar compar</w:t>
      </w:r>
      <w:r w:rsidR="00311324">
        <w:rPr>
          <w:bCs/>
          <w:sz w:val="24"/>
          <w:szCs w:val="24"/>
        </w:rPr>
        <w:t>ing</w:t>
      </w:r>
      <w:r w:rsidR="00BD7DD9" w:rsidRPr="00BD7DD9">
        <w:rPr>
          <w:bCs/>
          <w:sz w:val="24"/>
          <w:szCs w:val="24"/>
        </w:rPr>
        <w:t xml:space="preserve"> the effects of active intervention with placebo on the risk of all fractures associated with osteoporosis. Fracture outcomes were assigned utility weights drawn from the published literature and applied to age-specific health state values of the general population.  For each fracture outcome in each arm of the study, cumulative disutility was computed to serve as the principal end point.   The hypothesis tested was that treatment with denosumab results in a significant reduction in mean fracture-related disutility.</w:t>
      </w:r>
    </w:p>
    <w:p w14:paraId="13933EAE" w14:textId="25E9A4D9" w:rsidR="009606F8" w:rsidRPr="007C0EAD" w:rsidRDefault="00450339" w:rsidP="00D25F0F">
      <w:pPr>
        <w:rPr>
          <w:bCs/>
          <w:sz w:val="24"/>
          <w:szCs w:val="24"/>
        </w:rPr>
      </w:pPr>
      <w:r>
        <w:rPr>
          <w:b/>
          <w:sz w:val="24"/>
          <w:szCs w:val="24"/>
        </w:rPr>
        <w:t>Results</w:t>
      </w:r>
      <w:r w:rsidR="007C0EAD" w:rsidRPr="007C0EAD">
        <w:t xml:space="preserve"> </w:t>
      </w:r>
      <w:r w:rsidR="007C0EAD" w:rsidRPr="007C0EAD">
        <w:rPr>
          <w:bCs/>
          <w:sz w:val="24"/>
          <w:szCs w:val="24"/>
        </w:rPr>
        <w:t xml:space="preserve">Treatment with denosumab was associated with significantly </w:t>
      </w:r>
      <w:r w:rsidR="00201C6D">
        <w:rPr>
          <w:bCs/>
          <w:sz w:val="24"/>
          <w:szCs w:val="24"/>
        </w:rPr>
        <w:t>lower</w:t>
      </w:r>
      <w:r w:rsidR="007C0EAD" w:rsidRPr="007C0EAD">
        <w:rPr>
          <w:bCs/>
          <w:sz w:val="24"/>
          <w:szCs w:val="24"/>
        </w:rPr>
        <w:t xml:space="preserve"> utility loss compared with placebo.  For patients treated with denosumab, mean utility loss was 42% less than with placebo (4.5 vs. 7.5 QALYs/1000 patient years, respectively, p&lt;0.001).</w:t>
      </w:r>
    </w:p>
    <w:p w14:paraId="6B3FEFD5" w14:textId="76536D86" w:rsidR="009606F8" w:rsidRPr="007C0EAD" w:rsidRDefault="009606F8" w:rsidP="00D25F0F">
      <w:pPr>
        <w:rPr>
          <w:bCs/>
          <w:sz w:val="24"/>
          <w:szCs w:val="24"/>
        </w:rPr>
      </w:pPr>
      <w:r>
        <w:rPr>
          <w:b/>
          <w:sz w:val="24"/>
          <w:szCs w:val="24"/>
        </w:rPr>
        <w:t>Conclusions</w:t>
      </w:r>
      <w:r w:rsidR="007C0EAD" w:rsidRPr="007C0EAD">
        <w:t xml:space="preserve"> </w:t>
      </w:r>
      <w:r w:rsidR="007C0EAD" w:rsidRPr="007C0EAD">
        <w:rPr>
          <w:bCs/>
          <w:sz w:val="24"/>
          <w:szCs w:val="24"/>
        </w:rPr>
        <w:t>Denosumab significantly decreased utility loss.  The use of metrics that combine fracture outcomes may provide added power to phase 3 studies</w:t>
      </w:r>
      <w:r w:rsidR="00BD50BD">
        <w:rPr>
          <w:bCs/>
          <w:sz w:val="24"/>
          <w:szCs w:val="24"/>
        </w:rPr>
        <w:t xml:space="preserve"> and provide</w:t>
      </w:r>
      <w:r w:rsidR="00E97606" w:rsidRPr="00E97606">
        <w:t xml:space="preserve"> </w:t>
      </w:r>
      <w:r w:rsidR="00E97606" w:rsidRPr="00E97606">
        <w:rPr>
          <w:bCs/>
          <w:sz w:val="24"/>
          <w:szCs w:val="24"/>
        </w:rPr>
        <w:t xml:space="preserve">a surrogate outcome for regulatory </w:t>
      </w:r>
      <w:r w:rsidR="00FC4A5C">
        <w:rPr>
          <w:bCs/>
          <w:sz w:val="24"/>
          <w:szCs w:val="24"/>
        </w:rPr>
        <w:t>agencies</w:t>
      </w:r>
      <w:r w:rsidR="007C0EAD" w:rsidRPr="007C0EAD">
        <w:rPr>
          <w:bCs/>
          <w:sz w:val="24"/>
          <w:szCs w:val="24"/>
        </w:rPr>
        <w:t>.</w:t>
      </w:r>
    </w:p>
    <w:p w14:paraId="63C7C1B7" w14:textId="77777777" w:rsidR="00C453B7" w:rsidRDefault="00C453B7" w:rsidP="00D25F0F">
      <w:pPr>
        <w:rPr>
          <w:b/>
          <w:sz w:val="24"/>
          <w:szCs w:val="24"/>
        </w:rPr>
      </w:pPr>
    </w:p>
    <w:p w14:paraId="44B6E3D9" w14:textId="77777777" w:rsidR="00C453B7" w:rsidRDefault="00C453B7" w:rsidP="00D25F0F">
      <w:pPr>
        <w:rPr>
          <w:b/>
          <w:sz w:val="24"/>
          <w:szCs w:val="24"/>
        </w:rPr>
      </w:pPr>
    </w:p>
    <w:p w14:paraId="30504FD7" w14:textId="7B19C6FD" w:rsidR="00586C6D" w:rsidRDefault="009606F8" w:rsidP="00D25F0F">
      <w:pPr>
        <w:rPr>
          <w:sz w:val="24"/>
          <w:szCs w:val="24"/>
        </w:rPr>
      </w:pPr>
      <w:r>
        <w:rPr>
          <w:b/>
          <w:sz w:val="24"/>
          <w:szCs w:val="24"/>
        </w:rPr>
        <w:t>Keywords</w:t>
      </w:r>
      <w:r w:rsidR="00B64E41">
        <w:rPr>
          <w:b/>
          <w:sz w:val="24"/>
          <w:szCs w:val="24"/>
        </w:rPr>
        <w:t xml:space="preserve"> </w:t>
      </w:r>
      <w:r w:rsidR="00E73CC4" w:rsidRPr="00B64E41">
        <w:rPr>
          <w:sz w:val="24"/>
          <w:szCs w:val="24"/>
        </w:rPr>
        <w:t>Disutility</w:t>
      </w:r>
      <w:r w:rsidR="005053AF" w:rsidRPr="00B64E41">
        <w:rPr>
          <w:sz w:val="24"/>
          <w:szCs w:val="24"/>
        </w:rPr>
        <w:t xml:space="preserve"> </w:t>
      </w:r>
      <w:r w:rsidR="00B64E41" w:rsidRPr="00B64E41">
        <w:rPr>
          <w:sz w:val="24"/>
          <w:szCs w:val="24"/>
        </w:rPr>
        <w:t>∙</w:t>
      </w:r>
      <w:r w:rsidR="00B64E41">
        <w:rPr>
          <w:sz w:val="24"/>
          <w:szCs w:val="24"/>
        </w:rPr>
        <w:t xml:space="preserve"> </w:t>
      </w:r>
      <w:r w:rsidR="00566504" w:rsidRPr="00B64E41">
        <w:rPr>
          <w:sz w:val="24"/>
          <w:szCs w:val="24"/>
        </w:rPr>
        <w:t xml:space="preserve">Denosumab </w:t>
      </w:r>
      <w:r w:rsidR="00B64E41" w:rsidRPr="00B64E41">
        <w:rPr>
          <w:sz w:val="24"/>
          <w:szCs w:val="24"/>
        </w:rPr>
        <w:t xml:space="preserve">∙ </w:t>
      </w:r>
      <w:r w:rsidR="00FA5218" w:rsidRPr="00B64E41">
        <w:rPr>
          <w:sz w:val="24"/>
          <w:szCs w:val="24"/>
        </w:rPr>
        <w:t xml:space="preserve">Fracture </w:t>
      </w:r>
      <w:r w:rsidR="00ED7D41" w:rsidRPr="00B64E41">
        <w:rPr>
          <w:sz w:val="24"/>
          <w:szCs w:val="24"/>
        </w:rPr>
        <w:t>∙ Phase</w:t>
      </w:r>
      <w:r w:rsidR="00FA5218" w:rsidRPr="00B64E41">
        <w:rPr>
          <w:sz w:val="24"/>
          <w:szCs w:val="24"/>
        </w:rPr>
        <w:t xml:space="preserve"> 3 study</w:t>
      </w:r>
      <w:r w:rsidR="00F75B02" w:rsidRPr="00B64E41">
        <w:rPr>
          <w:sz w:val="24"/>
          <w:szCs w:val="24"/>
        </w:rPr>
        <w:t xml:space="preserve"> </w:t>
      </w:r>
      <w:r w:rsidR="00ED7D41" w:rsidRPr="00B64E41">
        <w:rPr>
          <w:sz w:val="24"/>
          <w:szCs w:val="24"/>
        </w:rPr>
        <w:t>∙ Quality</w:t>
      </w:r>
      <w:r w:rsidR="00F75B02" w:rsidRPr="00B64E41">
        <w:rPr>
          <w:sz w:val="24"/>
          <w:szCs w:val="24"/>
        </w:rPr>
        <w:t xml:space="preserve"> of Life Years</w:t>
      </w:r>
    </w:p>
    <w:p w14:paraId="0BE7AE95" w14:textId="52213F8D" w:rsidR="00C453B7" w:rsidRDefault="00C453B7" w:rsidP="00D25F0F">
      <w:pPr>
        <w:rPr>
          <w:sz w:val="24"/>
          <w:szCs w:val="24"/>
        </w:rPr>
      </w:pPr>
    </w:p>
    <w:p w14:paraId="608FF19E" w14:textId="6D2C8D04" w:rsidR="00ED7D41" w:rsidRDefault="00ED7D41">
      <w:pPr>
        <w:rPr>
          <w:sz w:val="24"/>
          <w:szCs w:val="24"/>
        </w:rPr>
      </w:pPr>
      <w:r>
        <w:rPr>
          <w:sz w:val="24"/>
          <w:szCs w:val="24"/>
        </w:rPr>
        <w:br w:type="page"/>
      </w:r>
    </w:p>
    <w:p w14:paraId="612AC6D1" w14:textId="77777777" w:rsidR="00C453B7" w:rsidRPr="00B64E41" w:rsidRDefault="00C453B7" w:rsidP="00D25F0F">
      <w:pPr>
        <w:rPr>
          <w:sz w:val="24"/>
          <w:szCs w:val="24"/>
        </w:rPr>
      </w:pPr>
    </w:p>
    <w:p w14:paraId="1413ACE5" w14:textId="77777777" w:rsidR="00D25F0F" w:rsidRPr="00D94912" w:rsidRDefault="00D25F0F" w:rsidP="00D25F0F">
      <w:pPr>
        <w:rPr>
          <w:b/>
          <w:sz w:val="28"/>
          <w:szCs w:val="28"/>
        </w:rPr>
      </w:pPr>
      <w:r w:rsidRPr="00D94912">
        <w:rPr>
          <w:b/>
          <w:sz w:val="28"/>
          <w:szCs w:val="28"/>
        </w:rPr>
        <w:t>Introduction</w:t>
      </w:r>
    </w:p>
    <w:p w14:paraId="51DC9319" w14:textId="02B27FAF" w:rsidR="00D25F0F" w:rsidRPr="009979F9" w:rsidRDefault="00D25F0F" w:rsidP="009979F9">
      <w:pPr>
        <w:spacing w:line="276" w:lineRule="auto"/>
        <w:rPr>
          <w:sz w:val="24"/>
          <w:szCs w:val="24"/>
        </w:rPr>
      </w:pPr>
      <w:r w:rsidRPr="009979F9">
        <w:rPr>
          <w:sz w:val="24"/>
          <w:szCs w:val="24"/>
        </w:rPr>
        <w:t xml:space="preserve">Current regulatory requirements for the development of treatments for osteoporosis in Europe </w:t>
      </w:r>
      <w:r w:rsidR="00683DA7">
        <w:rPr>
          <w:sz w:val="24"/>
          <w:szCs w:val="24"/>
        </w:rPr>
        <w:t xml:space="preserve">and the </w:t>
      </w:r>
      <w:r w:rsidR="009730A8">
        <w:rPr>
          <w:sz w:val="24"/>
          <w:szCs w:val="24"/>
        </w:rPr>
        <w:t xml:space="preserve">United States </w:t>
      </w:r>
      <w:r w:rsidRPr="009979F9">
        <w:rPr>
          <w:sz w:val="24"/>
          <w:szCs w:val="24"/>
        </w:rPr>
        <w:t>demand that studies of efficacy in osteoporosis report vertebral and non-vertebral fracture outcomes separately [</w:t>
      </w:r>
      <w:r w:rsidR="00377F31">
        <w:rPr>
          <w:sz w:val="24"/>
          <w:szCs w:val="24"/>
        </w:rPr>
        <w:t>1,</w:t>
      </w:r>
      <w:r w:rsidR="00E81287">
        <w:rPr>
          <w:sz w:val="24"/>
          <w:szCs w:val="24"/>
        </w:rPr>
        <w:t xml:space="preserve"> 2]</w:t>
      </w:r>
      <w:r w:rsidRPr="009979F9">
        <w:rPr>
          <w:sz w:val="24"/>
          <w:szCs w:val="24"/>
        </w:rPr>
        <w:t xml:space="preserve">.  One reason is that the methods of data acquisition differ.  Thus, clinical fractures are recorded by the date on which they occur, whereas vertebral fractures assessed by semi-quantitative morphometry are recorded by the date of the radiograph, but the incident fracture may have occurred at any time between radiographs.  </w:t>
      </w:r>
      <w:bookmarkStart w:id="5" w:name="_Hlk497473890"/>
      <w:r w:rsidRPr="009979F9">
        <w:rPr>
          <w:sz w:val="24"/>
          <w:szCs w:val="24"/>
        </w:rPr>
        <w:t xml:space="preserve">From a clinical perspective the distinction is a little artificial in that both vertebral and non-vertebral fractures contribute to the morbidity and indeed mortality of osteoporosis </w:t>
      </w:r>
      <w:r w:rsidR="00093931">
        <w:rPr>
          <w:sz w:val="24"/>
          <w:szCs w:val="24"/>
        </w:rPr>
        <w:t>[3,</w:t>
      </w:r>
      <w:r w:rsidR="009D4D03">
        <w:rPr>
          <w:sz w:val="24"/>
          <w:szCs w:val="24"/>
        </w:rPr>
        <w:t xml:space="preserve"> 4, 5, 6, 7, 8, 9, 10, 11</w:t>
      </w:r>
      <w:r w:rsidR="000E051F">
        <w:rPr>
          <w:sz w:val="24"/>
          <w:szCs w:val="24"/>
        </w:rPr>
        <w:t>]</w:t>
      </w:r>
      <w:r w:rsidRPr="009979F9">
        <w:rPr>
          <w:sz w:val="24"/>
          <w:szCs w:val="24"/>
        </w:rPr>
        <w:t xml:space="preserve">.  There is, therefore, clinical interest in combining fracture outcomes in order to define an integrated estimate of efficacy. </w:t>
      </w:r>
      <w:bookmarkEnd w:id="5"/>
    </w:p>
    <w:p w14:paraId="160411FB" w14:textId="69199399" w:rsidR="00D25F0F" w:rsidRPr="001C5D43" w:rsidRDefault="00D25F0F" w:rsidP="001C5D43">
      <w:pPr>
        <w:spacing w:line="276" w:lineRule="auto"/>
        <w:rPr>
          <w:sz w:val="24"/>
          <w:szCs w:val="24"/>
        </w:rPr>
      </w:pPr>
      <w:r w:rsidRPr="001C5D43">
        <w:rPr>
          <w:sz w:val="24"/>
          <w:szCs w:val="24"/>
        </w:rPr>
        <w:t xml:space="preserve">A limitation of combining fracture </w:t>
      </w:r>
      <w:r w:rsidR="00250A62" w:rsidRPr="001C5D43">
        <w:rPr>
          <w:sz w:val="24"/>
          <w:szCs w:val="24"/>
        </w:rPr>
        <w:t>endpoints</w:t>
      </w:r>
      <w:r w:rsidRPr="001C5D43">
        <w:rPr>
          <w:sz w:val="24"/>
          <w:szCs w:val="24"/>
        </w:rPr>
        <w:t xml:space="preserve"> is that there may be preferential drivers of efficacy.  For example, the major effect of some interventions is on vertebral fracture risk, with a lesser effect on non-vertebral fractures.  This limitation can be overcome by weighting fracture outcomes by their disutility which would accord much more weight to hip fracture outcomes than, for example, to morphometric vertebral fractures </w:t>
      </w:r>
      <w:r w:rsidR="0080323B">
        <w:rPr>
          <w:sz w:val="24"/>
          <w:szCs w:val="24"/>
        </w:rPr>
        <w:t>[12, 13</w:t>
      </w:r>
      <w:r w:rsidR="0057263A">
        <w:rPr>
          <w:sz w:val="24"/>
          <w:szCs w:val="24"/>
        </w:rPr>
        <w:t>]</w:t>
      </w:r>
      <w:r w:rsidRPr="001C5D43">
        <w:rPr>
          <w:sz w:val="24"/>
          <w:szCs w:val="24"/>
        </w:rPr>
        <w:t xml:space="preserve">.  The approach is similar in principle to the use of quality of life years (QALYs) gained in health economic evaluation and the converse, disability adjusted life years (DALYs) lost as used by the WHO and the World Bank to quantify the burden of disease </w:t>
      </w:r>
      <w:r w:rsidR="009B07FD">
        <w:rPr>
          <w:sz w:val="24"/>
          <w:szCs w:val="24"/>
        </w:rPr>
        <w:t xml:space="preserve">[8, 9, </w:t>
      </w:r>
      <w:r w:rsidR="0017772A">
        <w:rPr>
          <w:sz w:val="24"/>
          <w:szCs w:val="24"/>
        </w:rPr>
        <w:t>14,15</w:t>
      </w:r>
      <w:r w:rsidR="00644C97">
        <w:rPr>
          <w:sz w:val="24"/>
          <w:szCs w:val="24"/>
        </w:rPr>
        <w:t>]</w:t>
      </w:r>
      <w:r w:rsidRPr="001C5D43">
        <w:rPr>
          <w:sz w:val="24"/>
          <w:szCs w:val="24"/>
        </w:rPr>
        <w:t xml:space="preserve">.  The reduction of multiple </w:t>
      </w:r>
      <w:r w:rsidR="00250A62" w:rsidRPr="001C5D43">
        <w:rPr>
          <w:sz w:val="24"/>
          <w:szCs w:val="24"/>
        </w:rPr>
        <w:t>endpoints</w:t>
      </w:r>
      <w:r w:rsidRPr="001C5D43">
        <w:rPr>
          <w:sz w:val="24"/>
          <w:szCs w:val="24"/>
        </w:rPr>
        <w:t xml:space="preserve"> to a single outcome variable </w:t>
      </w:r>
      <w:r w:rsidR="00C81449">
        <w:rPr>
          <w:sz w:val="24"/>
          <w:szCs w:val="24"/>
        </w:rPr>
        <w:t xml:space="preserve">such as disutility </w:t>
      </w:r>
      <w:r w:rsidRPr="001C5D43">
        <w:rPr>
          <w:sz w:val="24"/>
          <w:szCs w:val="24"/>
        </w:rPr>
        <w:t xml:space="preserve">has </w:t>
      </w:r>
      <w:r w:rsidR="00C81449">
        <w:rPr>
          <w:sz w:val="24"/>
          <w:szCs w:val="24"/>
        </w:rPr>
        <w:t xml:space="preserve">the </w:t>
      </w:r>
      <w:r w:rsidR="0078378F" w:rsidRPr="001C5D43">
        <w:rPr>
          <w:sz w:val="24"/>
          <w:szCs w:val="24"/>
        </w:rPr>
        <w:t xml:space="preserve">potential to increase </w:t>
      </w:r>
      <w:r w:rsidRPr="001C5D43">
        <w:rPr>
          <w:sz w:val="24"/>
          <w:szCs w:val="24"/>
        </w:rPr>
        <w:t xml:space="preserve">the power of phase 3 studies and </w:t>
      </w:r>
      <w:r w:rsidR="00CC4391" w:rsidRPr="001C5D43">
        <w:rPr>
          <w:sz w:val="24"/>
          <w:szCs w:val="24"/>
        </w:rPr>
        <w:t xml:space="preserve">to </w:t>
      </w:r>
      <w:r w:rsidRPr="001C5D43">
        <w:rPr>
          <w:sz w:val="24"/>
          <w:szCs w:val="24"/>
        </w:rPr>
        <w:t>permit comparisons of efficacy across treatments (and across diseases).</w:t>
      </w:r>
    </w:p>
    <w:p w14:paraId="3532933D" w14:textId="77777777" w:rsidR="00D25F0F" w:rsidRPr="003906E2" w:rsidRDefault="00D25F0F" w:rsidP="003906E2">
      <w:pPr>
        <w:spacing w:line="276" w:lineRule="auto"/>
        <w:rPr>
          <w:sz w:val="24"/>
          <w:szCs w:val="24"/>
        </w:rPr>
      </w:pPr>
      <w:r w:rsidRPr="003906E2">
        <w:rPr>
          <w:sz w:val="24"/>
          <w:szCs w:val="24"/>
        </w:rPr>
        <w:t xml:space="preserve">The aim of this </w:t>
      </w:r>
      <w:r w:rsidR="00B173DC" w:rsidRPr="003906E2">
        <w:rPr>
          <w:sz w:val="24"/>
          <w:szCs w:val="24"/>
        </w:rPr>
        <w:t>study</w:t>
      </w:r>
      <w:r w:rsidRPr="003906E2">
        <w:rPr>
          <w:sz w:val="24"/>
          <w:szCs w:val="24"/>
        </w:rPr>
        <w:t xml:space="preserve"> </w:t>
      </w:r>
      <w:r w:rsidR="00B173DC" w:rsidRPr="003906E2">
        <w:rPr>
          <w:sz w:val="24"/>
          <w:szCs w:val="24"/>
        </w:rPr>
        <w:t>was</w:t>
      </w:r>
      <w:r w:rsidRPr="003906E2">
        <w:rPr>
          <w:sz w:val="24"/>
          <w:szCs w:val="24"/>
        </w:rPr>
        <w:t xml:space="preserve"> to develop an analytic framework that combine</w:t>
      </w:r>
      <w:r w:rsidR="00B173DC" w:rsidRPr="003906E2">
        <w:rPr>
          <w:sz w:val="24"/>
          <w:szCs w:val="24"/>
        </w:rPr>
        <w:t>d</w:t>
      </w:r>
      <w:r w:rsidRPr="003906E2">
        <w:rPr>
          <w:sz w:val="24"/>
          <w:szCs w:val="24"/>
        </w:rPr>
        <w:t xml:space="preserve"> all disutility weighted fracture outcomes. In this context, we examine</w:t>
      </w:r>
      <w:r w:rsidR="00CF5A4E" w:rsidRPr="003906E2">
        <w:rPr>
          <w:sz w:val="24"/>
          <w:szCs w:val="24"/>
        </w:rPr>
        <w:t>d</w:t>
      </w:r>
      <w:r w:rsidRPr="003906E2">
        <w:rPr>
          <w:sz w:val="24"/>
          <w:szCs w:val="24"/>
        </w:rPr>
        <w:t xml:space="preserve"> the effects of denosumab</w:t>
      </w:r>
      <w:r w:rsidR="00CF5A4E" w:rsidRPr="003906E2">
        <w:rPr>
          <w:sz w:val="24"/>
          <w:szCs w:val="24"/>
        </w:rPr>
        <w:t xml:space="preserve"> in the phase 3 ‘Fracture Reduction Evaluation of Denosumab in Osteoporosis Every 6 Months’ (FREEDOM) study</w:t>
      </w:r>
      <w:r w:rsidRPr="003906E2">
        <w:rPr>
          <w:sz w:val="24"/>
          <w:szCs w:val="24"/>
        </w:rPr>
        <w:t>.</w:t>
      </w:r>
    </w:p>
    <w:p w14:paraId="7E8D1C13" w14:textId="77777777" w:rsidR="00D25F0F" w:rsidRPr="004C253B" w:rsidRDefault="00D25F0F" w:rsidP="00D25F0F"/>
    <w:p w14:paraId="067AF260" w14:textId="77777777" w:rsidR="00D94912" w:rsidRPr="003906E2" w:rsidRDefault="00D94912" w:rsidP="00D25F0F">
      <w:pPr>
        <w:rPr>
          <w:b/>
          <w:bCs/>
          <w:sz w:val="24"/>
          <w:szCs w:val="24"/>
        </w:rPr>
      </w:pPr>
      <w:r w:rsidRPr="003906E2">
        <w:rPr>
          <w:b/>
          <w:bCs/>
          <w:sz w:val="24"/>
          <w:szCs w:val="24"/>
        </w:rPr>
        <w:t>Methods</w:t>
      </w:r>
    </w:p>
    <w:p w14:paraId="35B10EE3" w14:textId="77777777" w:rsidR="00D25F0F" w:rsidRPr="0030736F" w:rsidRDefault="004726C1" w:rsidP="00D25F0F">
      <w:pPr>
        <w:rPr>
          <w:i/>
          <w:iCs/>
          <w:sz w:val="24"/>
          <w:szCs w:val="24"/>
        </w:rPr>
      </w:pPr>
      <w:r w:rsidRPr="0030736F">
        <w:rPr>
          <w:i/>
          <w:iCs/>
          <w:sz w:val="24"/>
          <w:szCs w:val="24"/>
        </w:rPr>
        <w:t>FREEDOM study</w:t>
      </w:r>
    </w:p>
    <w:p w14:paraId="6494F547" w14:textId="47AEFB53" w:rsidR="00CF5A4E" w:rsidRPr="003C0505" w:rsidRDefault="00D25F0F" w:rsidP="003C0505">
      <w:pPr>
        <w:spacing w:line="276" w:lineRule="auto"/>
        <w:rPr>
          <w:sz w:val="24"/>
          <w:szCs w:val="24"/>
        </w:rPr>
      </w:pPr>
      <w:r w:rsidRPr="003C0505">
        <w:rPr>
          <w:sz w:val="24"/>
          <w:szCs w:val="24"/>
        </w:rPr>
        <w:t xml:space="preserve">The primary data of the FREEDOM study </w:t>
      </w:r>
      <w:r w:rsidR="00FE5573" w:rsidRPr="003C0505">
        <w:rPr>
          <w:sz w:val="24"/>
          <w:szCs w:val="24"/>
        </w:rPr>
        <w:t xml:space="preserve">were </w:t>
      </w:r>
      <w:r w:rsidRPr="003C0505">
        <w:rPr>
          <w:sz w:val="24"/>
          <w:szCs w:val="24"/>
        </w:rPr>
        <w:t xml:space="preserve">used.  </w:t>
      </w:r>
      <w:r w:rsidR="00CF5A4E" w:rsidRPr="003C0505">
        <w:rPr>
          <w:sz w:val="24"/>
          <w:szCs w:val="24"/>
        </w:rPr>
        <w:t xml:space="preserve">Details of the study are published elsewhere </w:t>
      </w:r>
      <w:bookmarkStart w:id="6" w:name="_Hlk38904739"/>
      <w:r w:rsidR="008319CB">
        <w:rPr>
          <w:sz w:val="24"/>
          <w:szCs w:val="24"/>
        </w:rPr>
        <w:t>[</w:t>
      </w:r>
      <w:r w:rsidR="00E023FA">
        <w:rPr>
          <w:sz w:val="24"/>
          <w:szCs w:val="24"/>
        </w:rPr>
        <w:t>16</w:t>
      </w:r>
      <w:bookmarkEnd w:id="6"/>
      <w:r w:rsidR="00644C97">
        <w:rPr>
          <w:sz w:val="24"/>
          <w:szCs w:val="24"/>
        </w:rPr>
        <w:t>]</w:t>
      </w:r>
      <w:r w:rsidR="00CF5A4E" w:rsidRPr="003C0505">
        <w:rPr>
          <w:sz w:val="24"/>
          <w:szCs w:val="24"/>
        </w:rPr>
        <w:t xml:space="preserve">. In brief, this multinational study </w:t>
      </w:r>
      <w:r w:rsidR="00BF1663" w:rsidRPr="003C0505">
        <w:rPr>
          <w:sz w:val="24"/>
          <w:szCs w:val="24"/>
        </w:rPr>
        <w:t xml:space="preserve">of efficacy </w:t>
      </w:r>
      <w:r w:rsidR="00CF5A4E" w:rsidRPr="003C0505">
        <w:rPr>
          <w:sz w:val="24"/>
          <w:szCs w:val="24"/>
        </w:rPr>
        <w:t xml:space="preserve">included women from Canada, Europe, Latin America, South America, and the United States. </w:t>
      </w:r>
      <w:r w:rsidR="001C0E96" w:rsidRPr="003C0505">
        <w:rPr>
          <w:sz w:val="24"/>
          <w:szCs w:val="24"/>
        </w:rPr>
        <w:t>FREEDOM</w:t>
      </w:r>
      <w:r w:rsidR="00ED4C39" w:rsidRPr="003C0505">
        <w:rPr>
          <w:sz w:val="24"/>
          <w:szCs w:val="24"/>
        </w:rPr>
        <w:t xml:space="preserve"> </w:t>
      </w:r>
      <w:r w:rsidR="00CF5A4E" w:rsidRPr="003C0505">
        <w:rPr>
          <w:sz w:val="24"/>
          <w:szCs w:val="24"/>
        </w:rPr>
        <w:t xml:space="preserve">was a double-blind, randomized, placebo-controlled </w:t>
      </w:r>
      <w:r w:rsidR="001C0E96" w:rsidRPr="003C0505">
        <w:rPr>
          <w:sz w:val="24"/>
          <w:szCs w:val="24"/>
        </w:rPr>
        <w:t xml:space="preserve">trial </w:t>
      </w:r>
      <w:r w:rsidR="00CF5A4E" w:rsidRPr="003C0505">
        <w:rPr>
          <w:sz w:val="24"/>
          <w:szCs w:val="24"/>
        </w:rPr>
        <w:t>including 7808 women between the ages of 60 and 90 years (mean 72 years) who had a BMD </w:t>
      </w:r>
      <w:r w:rsidR="00CF5A4E" w:rsidRPr="000D5765">
        <w:rPr>
          <w:sz w:val="24"/>
          <w:szCs w:val="24"/>
        </w:rPr>
        <w:t>T</w:t>
      </w:r>
      <w:r w:rsidR="00CF5A4E" w:rsidRPr="003C0505">
        <w:rPr>
          <w:sz w:val="24"/>
          <w:szCs w:val="24"/>
        </w:rPr>
        <w:t xml:space="preserve">-score of less than −2.5 at the lumbar spine or total hip but not less than −4.0 at either site. All women received supplements containing at least 1000 mg of calcium daily with vitamin D (400 to 800+ IU daily), the latter depending on the </w:t>
      </w:r>
      <w:r w:rsidR="00CF5A4E" w:rsidRPr="003C0505">
        <w:rPr>
          <w:sz w:val="24"/>
          <w:szCs w:val="24"/>
        </w:rPr>
        <w:lastRenderedPageBreak/>
        <w:t xml:space="preserve">baseline serum 25-hydroxyvitamin D level. </w:t>
      </w:r>
      <w:r w:rsidR="00A84E5A" w:rsidRPr="003C0505">
        <w:rPr>
          <w:sz w:val="24"/>
          <w:szCs w:val="24"/>
        </w:rPr>
        <w:t xml:space="preserve"> </w:t>
      </w:r>
      <w:r w:rsidR="00CF5A4E" w:rsidRPr="003C0505">
        <w:rPr>
          <w:sz w:val="24"/>
          <w:szCs w:val="24"/>
        </w:rPr>
        <w:t>Women were randomly assigned to receive either 60 mg denosumab or placebo subcutaneously every 6 months for 36 months.</w:t>
      </w:r>
      <w:r w:rsidR="003C0505" w:rsidRPr="003C0505">
        <w:rPr>
          <w:sz w:val="24"/>
          <w:szCs w:val="24"/>
        </w:rPr>
        <w:t xml:space="preserve"> </w:t>
      </w:r>
      <w:r w:rsidR="00CF5A4E" w:rsidRPr="003C0505">
        <w:rPr>
          <w:sz w:val="24"/>
          <w:szCs w:val="24"/>
        </w:rPr>
        <w:t xml:space="preserve"> The primary endpoint </w:t>
      </w:r>
      <w:r w:rsidR="001C0E96" w:rsidRPr="003C0505">
        <w:rPr>
          <w:sz w:val="24"/>
          <w:szCs w:val="24"/>
        </w:rPr>
        <w:t xml:space="preserve">of </w:t>
      </w:r>
      <w:r w:rsidR="00CF5A4E" w:rsidRPr="003C0505">
        <w:rPr>
          <w:sz w:val="24"/>
          <w:szCs w:val="24"/>
        </w:rPr>
        <w:t xml:space="preserve">the study was new vertebral fracture, assessed on annual spine radiographs using the </w:t>
      </w:r>
      <w:proofErr w:type="spellStart"/>
      <w:r w:rsidR="00CF5A4E" w:rsidRPr="003C0505">
        <w:rPr>
          <w:sz w:val="24"/>
          <w:szCs w:val="24"/>
        </w:rPr>
        <w:t>Genant</w:t>
      </w:r>
      <w:proofErr w:type="spellEnd"/>
      <w:r w:rsidR="00CF5A4E" w:rsidRPr="003C0505">
        <w:rPr>
          <w:sz w:val="24"/>
          <w:szCs w:val="24"/>
        </w:rPr>
        <w:t xml:space="preserve"> semiquantitative method for diagnosis. Secondary endpoints included nonvertebral and hip fractures.</w:t>
      </w:r>
    </w:p>
    <w:p w14:paraId="41928454" w14:textId="2A51B8D3" w:rsidR="00CF5A4E" w:rsidRPr="00E14B1A" w:rsidRDefault="00D14BF0" w:rsidP="00E14B1A">
      <w:pPr>
        <w:spacing w:line="276" w:lineRule="auto"/>
        <w:rPr>
          <w:sz w:val="24"/>
          <w:szCs w:val="24"/>
        </w:rPr>
      </w:pPr>
      <w:r w:rsidRPr="00E14B1A">
        <w:rPr>
          <w:sz w:val="24"/>
          <w:szCs w:val="24"/>
        </w:rPr>
        <w:t>Compared with placebo, denosumab reduced the risk of new radiographic vertebral</w:t>
      </w:r>
      <w:r w:rsidR="004726C1" w:rsidRPr="00E14B1A">
        <w:rPr>
          <w:sz w:val="24"/>
          <w:szCs w:val="24"/>
        </w:rPr>
        <w:t xml:space="preserve"> </w:t>
      </w:r>
      <w:r w:rsidRPr="00E14B1A">
        <w:rPr>
          <w:sz w:val="24"/>
          <w:szCs w:val="24"/>
        </w:rPr>
        <w:t>fracture (risk ratio, 0.32; 95%</w:t>
      </w:r>
      <w:r w:rsidR="003979D2">
        <w:rPr>
          <w:sz w:val="24"/>
          <w:szCs w:val="24"/>
        </w:rPr>
        <w:t xml:space="preserve"> confidence interval</w:t>
      </w:r>
      <w:r w:rsidRPr="00E14B1A">
        <w:rPr>
          <w:sz w:val="24"/>
          <w:szCs w:val="24"/>
        </w:rPr>
        <w:t xml:space="preserve"> </w:t>
      </w:r>
      <w:r w:rsidR="005708D2">
        <w:rPr>
          <w:sz w:val="24"/>
          <w:szCs w:val="24"/>
        </w:rPr>
        <w:t xml:space="preserve">(95% </w:t>
      </w:r>
      <w:r w:rsidRPr="00E14B1A">
        <w:rPr>
          <w:sz w:val="24"/>
          <w:szCs w:val="24"/>
        </w:rPr>
        <w:t>CI</w:t>
      </w:r>
      <w:r w:rsidR="005708D2">
        <w:rPr>
          <w:sz w:val="24"/>
          <w:szCs w:val="24"/>
        </w:rPr>
        <w:t>)</w:t>
      </w:r>
      <w:r w:rsidRPr="00E14B1A">
        <w:rPr>
          <w:sz w:val="24"/>
          <w:szCs w:val="24"/>
        </w:rPr>
        <w:t xml:space="preserve"> = 0.26 - 0.41), </w:t>
      </w:r>
      <w:r w:rsidR="004726C1" w:rsidRPr="00E14B1A">
        <w:rPr>
          <w:sz w:val="24"/>
          <w:szCs w:val="24"/>
        </w:rPr>
        <w:t xml:space="preserve">clinical vertebral fracture (hazard ratio, 0.31; 95% CI = 0.24 - 0.63), </w:t>
      </w:r>
      <w:r w:rsidRPr="00E14B1A">
        <w:rPr>
          <w:sz w:val="24"/>
          <w:szCs w:val="24"/>
        </w:rPr>
        <w:t xml:space="preserve">hip fracture, </w:t>
      </w:r>
      <w:bookmarkStart w:id="7" w:name="_Hlk495762886"/>
      <w:r w:rsidRPr="00E14B1A">
        <w:rPr>
          <w:sz w:val="24"/>
          <w:szCs w:val="24"/>
        </w:rPr>
        <w:t>(hazard ratio, 0.60; 95% CI = 0.37 - 0.97)</w:t>
      </w:r>
      <w:bookmarkEnd w:id="7"/>
      <w:r w:rsidRPr="00E14B1A">
        <w:rPr>
          <w:sz w:val="24"/>
          <w:szCs w:val="24"/>
        </w:rPr>
        <w:t xml:space="preserve"> </w:t>
      </w:r>
      <w:r w:rsidRPr="00E14B1A">
        <w:rPr>
          <w:rFonts w:hint="eastAsia"/>
          <w:sz w:val="24"/>
          <w:szCs w:val="24"/>
        </w:rPr>
        <w:t>a</w:t>
      </w:r>
      <w:r w:rsidRPr="00E14B1A">
        <w:rPr>
          <w:sz w:val="24"/>
          <w:szCs w:val="24"/>
        </w:rPr>
        <w:t xml:space="preserve">nd nonvertebral fracture (hazard ratio, 0.80; 95% CI = 0.67 </w:t>
      </w:r>
      <w:r w:rsidR="00C72B1B">
        <w:rPr>
          <w:sz w:val="24"/>
          <w:szCs w:val="24"/>
        </w:rPr>
        <w:t>-</w:t>
      </w:r>
      <w:r w:rsidRPr="00E14B1A">
        <w:rPr>
          <w:sz w:val="24"/>
          <w:szCs w:val="24"/>
        </w:rPr>
        <w:t xml:space="preserve"> 0.95)</w:t>
      </w:r>
      <w:r w:rsidR="004726C1" w:rsidRPr="00E14B1A">
        <w:rPr>
          <w:sz w:val="24"/>
          <w:szCs w:val="24"/>
        </w:rPr>
        <w:t xml:space="preserve"> </w:t>
      </w:r>
      <w:r w:rsidR="008319CB">
        <w:rPr>
          <w:sz w:val="24"/>
          <w:szCs w:val="24"/>
        </w:rPr>
        <w:t>[16</w:t>
      </w:r>
      <w:r w:rsidR="00644C97">
        <w:rPr>
          <w:sz w:val="24"/>
          <w:szCs w:val="24"/>
        </w:rPr>
        <w:t xml:space="preserve">]. </w:t>
      </w:r>
      <w:r w:rsidR="004726C1" w:rsidRPr="00E14B1A">
        <w:rPr>
          <w:sz w:val="24"/>
          <w:szCs w:val="24"/>
        </w:rPr>
        <w:t xml:space="preserve"> No data on all clinical fractures</w:t>
      </w:r>
      <w:r w:rsidR="00E92225" w:rsidRPr="00E14B1A">
        <w:rPr>
          <w:sz w:val="24"/>
          <w:szCs w:val="24"/>
        </w:rPr>
        <w:t xml:space="preserve"> were reported</w:t>
      </w:r>
      <w:r w:rsidR="0024669F">
        <w:rPr>
          <w:sz w:val="24"/>
          <w:szCs w:val="24"/>
        </w:rPr>
        <w:t xml:space="preserve"> [16]</w:t>
      </w:r>
      <w:r w:rsidR="00E92225" w:rsidRPr="00E14B1A">
        <w:rPr>
          <w:sz w:val="24"/>
          <w:szCs w:val="24"/>
        </w:rPr>
        <w:t>.</w:t>
      </w:r>
    </w:p>
    <w:p w14:paraId="2CEB54B2" w14:textId="721BC905" w:rsidR="00D25F0F" w:rsidRPr="00E14B1A" w:rsidRDefault="00E92225" w:rsidP="00E14B1A">
      <w:pPr>
        <w:spacing w:line="276" w:lineRule="auto"/>
        <w:rPr>
          <w:sz w:val="24"/>
          <w:szCs w:val="24"/>
        </w:rPr>
      </w:pPr>
      <w:r w:rsidRPr="00E14B1A">
        <w:rPr>
          <w:sz w:val="24"/>
          <w:szCs w:val="24"/>
          <w:lang w:val="en-US"/>
        </w:rPr>
        <w:t>In a model including time since study entry, age, and FRAX major osteoporotic fracture probability, treatment with denosumab was associated with a significant decrease in clinical osteoporotic fractures (relative risk reduction =</w:t>
      </w:r>
      <w:r w:rsidR="004F743B">
        <w:rPr>
          <w:sz w:val="24"/>
          <w:szCs w:val="24"/>
          <w:lang w:val="en-US"/>
        </w:rPr>
        <w:t xml:space="preserve"> </w:t>
      </w:r>
      <w:r w:rsidRPr="00E14B1A">
        <w:rPr>
          <w:sz w:val="24"/>
          <w:szCs w:val="24"/>
          <w:lang w:val="en-US"/>
        </w:rPr>
        <w:t xml:space="preserve">32%; 95% CI </w:t>
      </w:r>
      <w:r w:rsidR="003A359F">
        <w:rPr>
          <w:sz w:val="24"/>
          <w:szCs w:val="24"/>
          <w:lang w:val="en-US"/>
        </w:rPr>
        <w:t xml:space="preserve">= </w:t>
      </w:r>
      <w:r w:rsidRPr="00E14B1A">
        <w:rPr>
          <w:sz w:val="24"/>
          <w:szCs w:val="24"/>
          <w:lang w:val="en-US"/>
        </w:rPr>
        <w:t xml:space="preserve">20% </w:t>
      </w:r>
      <w:r w:rsidR="0003280C">
        <w:rPr>
          <w:sz w:val="24"/>
          <w:szCs w:val="24"/>
          <w:lang w:val="en-US"/>
        </w:rPr>
        <w:t>-</w:t>
      </w:r>
      <w:r w:rsidRPr="00E14B1A">
        <w:rPr>
          <w:sz w:val="24"/>
          <w:szCs w:val="24"/>
          <w:lang w:val="en-US"/>
        </w:rPr>
        <w:t xml:space="preserve"> 42%; p&lt;0.001) </w:t>
      </w:r>
      <w:r w:rsidR="00D66795">
        <w:rPr>
          <w:sz w:val="24"/>
          <w:szCs w:val="24"/>
          <w:lang w:val="en-US"/>
        </w:rPr>
        <w:t>[17]</w:t>
      </w:r>
      <w:r w:rsidRPr="00E14B1A">
        <w:rPr>
          <w:sz w:val="24"/>
          <w:szCs w:val="24"/>
          <w:lang w:val="en-US"/>
        </w:rPr>
        <w:t>.  Clinical vertebral fractures were included in this estimate but not radiographi</w:t>
      </w:r>
      <w:r w:rsidR="00D94912" w:rsidRPr="00E14B1A">
        <w:rPr>
          <w:sz w:val="24"/>
          <w:szCs w:val="24"/>
          <w:lang w:val="en-US"/>
        </w:rPr>
        <w:t>c</w:t>
      </w:r>
      <w:r w:rsidRPr="00E14B1A">
        <w:rPr>
          <w:sz w:val="24"/>
          <w:szCs w:val="24"/>
          <w:lang w:val="en-US"/>
        </w:rPr>
        <w:t xml:space="preserve"> vertebral fractures.</w:t>
      </w:r>
      <w:r w:rsidR="00D94912" w:rsidRPr="00E14B1A">
        <w:rPr>
          <w:sz w:val="24"/>
          <w:szCs w:val="24"/>
          <w:lang w:val="en-US"/>
        </w:rPr>
        <w:t xml:space="preserve"> </w:t>
      </w:r>
    </w:p>
    <w:p w14:paraId="502C23FC" w14:textId="77777777" w:rsidR="00E14B1A" w:rsidRDefault="00E14B1A" w:rsidP="00D25F0F">
      <w:pPr>
        <w:rPr>
          <w:b/>
        </w:rPr>
      </w:pPr>
    </w:p>
    <w:p w14:paraId="5B1D03C2" w14:textId="599F527B" w:rsidR="00D25F0F" w:rsidRPr="00191EE8" w:rsidRDefault="00D25F0F" w:rsidP="00191EE8">
      <w:pPr>
        <w:spacing w:line="276" w:lineRule="auto"/>
        <w:rPr>
          <w:bCs/>
          <w:i/>
          <w:iCs/>
          <w:sz w:val="24"/>
          <w:szCs w:val="24"/>
        </w:rPr>
      </w:pPr>
      <w:r w:rsidRPr="00191EE8">
        <w:rPr>
          <w:bCs/>
          <w:i/>
          <w:iCs/>
          <w:sz w:val="24"/>
          <w:szCs w:val="24"/>
        </w:rPr>
        <w:t>Fracture outcome variables</w:t>
      </w:r>
    </w:p>
    <w:p w14:paraId="0326142E" w14:textId="14F8DEE7" w:rsidR="00D25F0F" w:rsidRPr="00191EE8" w:rsidRDefault="00AA690E" w:rsidP="00191EE8">
      <w:pPr>
        <w:spacing w:line="276" w:lineRule="auto"/>
        <w:rPr>
          <w:sz w:val="24"/>
          <w:szCs w:val="24"/>
        </w:rPr>
      </w:pPr>
      <w:r>
        <w:rPr>
          <w:sz w:val="24"/>
          <w:szCs w:val="24"/>
        </w:rPr>
        <w:t>For the present analysis, t</w:t>
      </w:r>
      <w:r w:rsidR="00D25F0F" w:rsidRPr="00191EE8">
        <w:rPr>
          <w:sz w:val="24"/>
          <w:szCs w:val="24"/>
        </w:rPr>
        <w:t xml:space="preserve">he primary outcome of interest </w:t>
      </w:r>
      <w:r w:rsidR="00BF4D7A" w:rsidRPr="00191EE8">
        <w:rPr>
          <w:sz w:val="24"/>
          <w:szCs w:val="24"/>
        </w:rPr>
        <w:t>was</w:t>
      </w:r>
      <w:r w:rsidR="00D94912" w:rsidRPr="00191EE8">
        <w:rPr>
          <w:sz w:val="24"/>
          <w:szCs w:val="24"/>
        </w:rPr>
        <w:t xml:space="preserve"> </w:t>
      </w:r>
      <w:r w:rsidR="00D25F0F" w:rsidRPr="00191EE8">
        <w:rPr>
          <w:sz w:val="24"/>
          <w:szCs w:val="24"/>
        </w:rPr>
        <w:t xml:space="preserve">all fractures considered to be related to osteoporosis </w:t>
      </w:r>
      <w:r w:rsidR="00A000A5">
        <w:rPr>
          <w:sz w:val="24"/>
          <w:szCs w:val="24"/>
        </w:rPr>
        <w:t>[12]</w:t>
      </w:r>
      <w:r w:rsidR="006A4437" w:rsidRPr="00191EE8">
        <w:rPr>
          <w:sz w:val="24"/>
          <w:szCs w:val="24"/>
        </w:rPr>
        <w:t>.</w:t>
      </w:r>
      <w:r w:rsidR="00D25F0F" w:rsidRPr="00191EE8">
        <w:rPr>
          <w:sz w:val="24"/>
          <w:szCs w:val="24"/>
        </w:rPr>
        <w:t xml:space="preserve"> </w:t>
      </w:r>
      <w:r w:rsidR="006A4437" w:rsidRPr="00191EE8">
        <w:rPr>
          <w:sz w:val="24"/>
          <w:szCs w:val="24"/>
        </w:rPr>
        <w:t xml:space="preserve"> T</w:t>
      </w:r>
      <w:r w:rsidR="00D25F0F" w:rsidRPr="00191EE8">
        <w:rPr>
          <w:sz w:val="24"/>
          <w:szCs w:val="24"/>
        </w:rPr>
        <w:t>hese include</w:t>
      </w:r>
      <w:r w:rsidR="00BF4D7A" w:rsidRPr="00191EE8">
        <w:rPr>
          <w:sz w:val="24"/>
          <w:szCs w:val="24"/>
        </w:rPr>
        <w:t>d</w:t>
      </w:r>
      <w:r w:rsidR="00D25F0F" w:rsidRPr="00191EE8">
        <w:rPr>
          <w:sz w:val="24"/>
          <w:szCs w:val="24"/>
        </w:rPr>
        <w:t xml:space="preserve"> clinical vertebral fractures, </w:t>
      </w:r>
      <w:r w:rsidR="00D25F0F" w:rsidRPr="00191EE8">
        <w:rPr>
          <w:bCs/>
          <w:sz w:val="24"/>
          <w:szCs w:val="24"/>
        </w:rPr>
        <w:t>vertebral fractures assessed by semiquantitative morphometry</w:t>
      </w:r>
      <w:r w:rsidR="00D25F0F" w:rsidRPr="00191EE8">
        <w:rPr>
          <w:sz w:val="24"/>
          <w:szCs w:val="24"/>
        </w:rPr>
        <w:t xml:space="preserve"> and fractures of </w:t>
      </w:r>
      <w:r w:rsidR="00D95936">
        <w:rPr>
          <w:sz w:val="24"/>
          <w:szCs w:val="24"/>
        </w:rPr>
        <w:t>distal forearm</w:t>
      </w:r>
      <w:r w:rsidR="00D25F0F" w:rsidRPr="00191EE8">
        <w:rPr>
          <w:sz w:val="24"/>
          <w:szCs w:val="24"/>
        </w:rPr>
        <w:t>, pelvi</w:t>
      </w:r>
      <w:r w:rsidR="00607F95">
        <w:rPr>
          <w:sz w:val="24"/>
          <w:szCs w:val="24"/>
        </w:rPr>
        <w:t>s</w:t>
      </w:r>
      <w:r w:rsidR="00D25F0F" w:rsidRPr="00191EE8">
        <w:rPr>
          <w:sz w:val="24"/>
          <w:szCs w:val="24"/>
        </w:rPr>
        <w:t xml:space="preserve">-sacrum, ribs-sternum, clavicle, </w:t>
      </w:r>
      <w:proofErr w:type="spellStart"/>
      <w:r w:rsidR="00D25F0F" w:rsidRPr="00191EE8">
        <w:rPr>
          <w:sz w:val="24"/>
          <w:szCs w:val="24"/>
        </w:rPr>
        <w:t>humerus</w:t>
      </w:r>
      <w:proofErr w:type="spellEnd"/>
      <w:r w:rsidR="00D25F0F" w:rsidRPr="00191EE8">
        <w:rPr>
          <w:sz w:val="24"/>
          <w:szCs w:val="24"/>
        </w:rPr>
        <w:t>, proximal femur</w:t>
      </w:r>
      <w:r w:rsidR="009C6112">
        <w:rPr>
          <w:sz w:val="24"/>
          <w:szCs w:val="24"/>
        </w:rPr>
        <w:t>, tibia and fi</w:t>
      </w:r>
      <w:r w:rsidR="00601DB6">
        <w:rPr>
          <w:sz w:val="24"/>
          <w:szCs w:val="24"/>
        </w:rPr>
        <w:t>bula</w:t>
      </w:r>
      <w:r w:rsidR="00D25F0F" w:rsidRPr="00191EE8">
        <w:rPr>
          <w:sz w:val="24"/>
          <w:szCs w:val="24"/>
        </w:rPr>
        <w:t xml:space="preserve">; fractures of the hands, </w:t>
      </w:r>
      <w:r w:rsidR="00601DB6">
        <w:rPr>
          <w:sz w:val="24"/>
          <w:szCs w:val="24"/>
        </w:rPr>
        <w:t xml:space="preserve">ankle, </w:t>
      </w:r>
      <w:r w:rsidR="00D25F0F" w:rsidRPr="00191EE8">
        <w:rPr>
          <w:sz w:val="24"/>
          <w:szCs w:val="24"/>
        </w:rPr>
        <w:t xml:space="preserve">feet, skull and facial bones </w:t>
      </w:r>
      <w:r w:rsidR="00BF4D7A" w:rsidRPr="00191EE8">
        <w:rPr>
          <w:sz w:val="24"/>
          <w:szCs w:val="24"/>
        </w:rPr>
        <w:t>we</w:t>
      </w:r>
      <w:r w:rsidR="00D25F0F" w:rsidRPr="00191EE8">
        <w:rPr>
          <w:sz w:val="24"/>
          <w:szCs w:val="24"/>
        </w:rPr>
        <w:t xml:space="preserve">re excluded. </w:t>
      </w:r>
    </w:p>
    <w:p w14:paraId="66E0CEFF" w14:textId="402E0ACD" w:rsidR="00D25F0F" w:rsidRPr="00191EE8" w:rsidRDefault="00D25F0F" w:rsidP="00191EE8">
      <w:pPr>
        <w:spacing w:line="276" w:lineRule="auto"/>
        <w:rPr>
          <w:sz w:val="24"/>
          <w:szCs w:val="24"/>
        </w:rPr>
      </w:pPr>
      <w:r w:rsidRPr="00191EE8">
        <w:rPr>
          <w:iCs/>
          <w:sz w:val="24"/>
          <w:szCs w:val="24"/>
        </w:rPr>
        <w:t>In order to determine the feasibility of combining all vertebral and other fracture outcomes, we first test</w:t>
      </w:r>
      <w:r w:rsidR="00D94912" w:rsidRPr="00191EE8">
        <w:rPr>
          <w:iCs/>
          <w:sz w:val="24"/>
          <w:szCs w:val="24"/>
        </w:rPr>
        <w:t>ed</w:t>
      </w:r>
      <w:r w:rsidRPr="00191EE8">
        <w:rPr>
          <w:iCs/>
          <w:sz w:val="24"/>
          <w:szCs w:val="24"/>
        </w:rPr>
        <w:t xml:space="preserve"> the assumptions made concerning the date of an incident morphometric fracture since</w:t>
      </w:r>
      <w:r w:rsidRPr="00191EE8">
        <w:rPr>
          <w:sz w:val="24"/>
          <w:szCs w:val="24"/>
        </w:rPr>
        <w:t xml:space="preserve"> the incident fracture may have occurred at any time between two sequential (approximately yearly) radiographs. In one analysis we assume</w:t>
      </w:r>
      <w:r w:rsidR="00D94912" w:rsidRPr="00191EE8">
        <w:rPr>
          <w:sz w:val="24"/>
          <w:szCs w:val="24"/>
        </w:rPr>
        <w:t>d that</w:t>
      </w:r>
      <w:r w:rsidRPr="00191EE8">
        <w:rPr>
          <w:sz w:val="24"/>
          <w:szCs w:val="24"/>
        </w:rPr>
        <w:t xml:space="preserve"> the date of the </w:t>
      </w:r>
      <w:r w:rsidR="005F70B4" w:rsidRPr="00191EE8">
        <w:rPr>
          <w:sz w:val="24"/>
          <w:szCs w:val="24"/>
        </w:rPr>
        <w:t>radiograph</w:t>
      </w:r>
      <w:r w:rsidR="005F70B4" w:rsidRPr="00191EE8" w:rsidDel="005F70B4">
        <w:rPr>
          <w:sz w:val="24"/>
          <w:szCs w:val="24"/>
        </w:rPr>
        <w:t xml:space="preserve"> </w:t>
      </w:r>
      <w:r w:rsidRPr="00191EE8">
        <w:rPr>
          <w:sz w:val="24"/>
          <w:szCs w:val="24"/>
        </w:rPr>
        <w:t xml:space="preserve">to be the date of fracture and, in a second comparative analysis, we assumed that the time of a fracture event would be at the </w:t>
      </w:r>
      <w:proofErr w:type="gramStart"/>
      <w:r w:rsidRPr="00191EE8">
        <w:rPr>
          <w:sz w:val="24"/>
          <w:szCs w:val="24"/>
        </w:rPr>
        <w:t xml:space="preserve">mid </w:t>
      </w:r>
      <w:r w:rsidR="005F70B4" w:rsidRPr="00191EE8">
        <w:rPr>
          <w:sz w:val="24"/>
          <w:szCs w:val="24"/>
        </w:rPr>
        <w:t>-</w:t>
      </w:r>
      <w:r w:rsidRPr="00191EE8">
        <w:rPr>
          <w:sz w:val="24"/>
          <w:szCs w:val="24"/>
        </w:rPr>
        <w:t>interval</w:t>
      </w:r>
      <w:proofErr w:type="gramEnd"/>
      <w:r w:rsidRPr="00191EE8">
        <w:rPr>
          <w:sz w:val="24"/>
          <w:szCs w:val="24"/>
        </w:rPr>
        <w:t xml:space="preserve"> between two consecutive </w:t>
      </w:r>
      <w:r w:rsidR="005F70B4" w:rsidRPr="00191EE8">
        <w:rPr>
          <w:sz w:val="24"/>
          <w:szCs w:val="24"/>
        </w:rPr>
        <w:t>radiographs</w:t>
      </w:r>
      <w:r w:rsidRPr="00191EE8">
        <w:rPr>
          <w:sz w:val="24"/>
          <w:szCs w:val="24"/>
        </w:rPr>
        <w:t>.  The models comprise</w:t>
      </w:r>
      <w:r w:rsidR="00D94912" w:rsidRPr="00191EE8">
        <w:rPr>
          <w:sz w:val="24"/>
          <w:szCs w:val="24"/>
        </w:rPr>
        <w:t>d</w:t>
      </w:r>
      <w:r w:rsidRPr="00191EE8">
        <w:rPr>
          <w:sz w:val="24"/>
          <w:szCs w:val="24"/>
        </w:rPr>
        <w:t>:</w:t>
      </w:r>
    </w:p>
    <w:p w14:paraId="597205DF" w14:textId="77777777" w:rsidR="00D25F0F" w:rsidRPr="00191EE8" w:rsidRDefault="00D25F0F" w:rsidP="00191EE8">
      <w:pPr>
        <w:spacing w:line="276" w:lineRule="auto"/>
        <w:rPr>
          <w:sz w:val="24"/>
          <w:szCs w:val="24"/>
        </w:rPr>
      </w:pPr>
      <w:r w:rsidRPr="00191EE8">
        <w:rPr>
          <w:sz w:val="24"/>
          <w:szCs w:val="24"/>
        </w:rPr>
        <w:t>1. constant, 2. the time since entry, 3. current age, 4. treatment, 5. treatment × current time</w:t>
      </w:r>
    </w:p>
    <w:p w14:paraId="065828D0" w14:textId="57270D0A" w:rsidR="00D25F0F" w:rsidRPr="00191EE8" w:rsidRDefault="00D94912" w:rsidP="00191EE8">
      <w:pPr>
        <w:spacing w:line="276" w:lineRule="auto"/>
        <w:rPr>
          <w:sz w:val="24"/>
          <w:szCs w:val="24"/>
        </w:rPr>
      </w:pPr>
      <w:r w:rsidRPr="00191EE8">
        <w:rPr>
          <w:sz w:val="24"/>
          <w:szCs w:val="24"/>
        </w:rPr>
        <w:t>T</w:t>
      </w:r>
      <w:r w:rsidR="00D25F0F" w:rsidRPr="00191EE8">
        <w:rPr>
          <w:sz w:val="24"/>
          <w:szCs w:val="24"/>
        </w:rPr>
        <w:t xml:space="preserve">he beta coefficients </w:t>
      </w:r>
      <w:r w:rsidR="008B4033" w:rsidRPr="00191EE8">
        <w:rPr>
          <w:sz w:val="24"/>
          <w:szCs w:val="24"/>
        </w:rPr>
        <w:t>we</w:t>
      </w:r>
      <w:r w:rsidR="00D25F0F" w:rsidRPr="00191EE8">
        <w:rPr>
          <w:sz w:val="24"/>
          <w:szCs w:val="24"/>
        </w:rPr>
        <w:t xml:space="preserve">re very similar when comparing the two models, </w:t>
      </w:r>
      <w:r w:rsidRPr="00191EE8">
        <w:rPr>
          <w:sz w:val="24"/>
          <w:szCs w:val="24"/>
        </w:rPr>
        <w:t xml:space="preserve">so that </w:t>
      </w:r>
      <w:r w:rsidR="00D25F0F" w:rsidRPr="00191EE8">
        <w:rPr>
          <w:sz w:val="24"/>
          <w:szCs w:val="24"/>
        </w:rPr>
        <w:t>we use</w:t>
      </w:r>
      <w:r w:rsidRPr="00191EE8">
        <w:rPr>
          <w:sz w:val="24"/>
          <w:szCs w:val="24"/>
        </w:rPr>
        <w:t>d</w:t>
      </w:r>
      <w:r w:rsidR="00D25F0F" w:rsidRPr="00191EE8">
        <w:rPr>
          <w:sz w:val="24"/>
          <w:szCs w:val="24"/>
        </w:rPr>
        <w:t xml:space="preserve"> the mid interval between two consecutive </w:t>
      </w:r>
      <w:r w:rsidR="005F70B4" w:rsidRPr="00191EE8">
        <w:rPr>
          <w:sz w:val="24"/>
          <w:szCs w:val="24"/>
        </w:rPr>
        <w:t>radiographs</w:t>
      </w:r>
      <w:r w:rsidR="005F70B4" w:rsidRPr="00191EE8" w:rsidDel="005F70B4">
        <w:rPr>
          <w:sz w:val="24"/>
          <w:szCs w:val="24"/>
        </w:rPr>
        <w:t xml:space="preserve"> </w:t>
      </w:r>
      <w:r w:rsidR="00D25F0F" w:rsidRPr="00191EE8">
        <w:rPr>
          <w:sz w:val="24"/>
          <w:szCs w:val="24"/>
        </w:rPr>
        <w:t xml:space="preserve">as the date of vertebral fracture.  </w:t>
      </w:r>
    </w:p>
    <w:p w14:paraId="1CF0EE15" w14:textId="77777777" w:rsidR="00191EE8" w:rsidRDefault="00191EE8" w:rsidP="00D25F0F">
      <w:pPr>
        <w:rPr>
          <w:b/>
          <w:bCs/>
        </w:rPr>
      </w:pPr>
    </w:p>
    <w:p w14:paraId="7F225D25" w14:textId="301E7EBD" w:rsidR="00D25F0F" w:rsidRPr="001B6DE4" w:rsidRDefault="00D25F0F" w:rsidP="001B6DE4">
      <w:pPr>
        <w:spacing w:line="276" w:lineRule="auto"/>
        <w:rPr>
          <w:i/>
          <w:iCs/>
          <w:sz w:val="24"/>
          <w:szCs w:val="24"/>
        </w:rPr>
      </w:pPr>
      <w:r w:rsidRPr="001B6DE4">
        <w:rPr>
          <w:i/>
          <w:iCs/>
          <w:sz w:val="24"/>
          <w:szCs w:val="24"/>
        </w:rPr>
        <w:t>Utility weighting</w:t>
      </w:r>
    </w:p>
    <w:p w14:paraId="645C4D60" w14:textId="5CD4E24D" w:rsidR="00D94912" w:rsidRPr="001B6DE4" w:rsidRDefault="00D94912" w:rsidP="001B6DE4">
      <w:pPr>
        <w:spacing w:line="276" w:lineRule="auto"/>
        <w:rPr>
          <w:bCs/>
          <w:iCs/>
          <w:sz w:val="24"/>
          <w:szCs w:val="24"/>
          <w:lang w:val="en-US"/>
        </w:rPr>
      </w:pPr>
      <w:r w:rsidRPr="001B6DE4">
        <w:rPr>
          <w:bCs/>
          <w:sz w:val="24"/>
          <w:szCs w:val="24"/>
        </w:rPr>
        <w:t>Cumulative loss of utilities was calculated using utility multipliers derived from</w:t>
      </w:r>
      <w:r w:rsidRPr="001B6DE4">
        <w:rPr>
          <w:bCs/>
          <w:iCs/>
          <w:sz w:val="24"/>
          <w:szCs w:val="24"/>
          <w:lang w:val="en-US"/>
        </w:rPr>
        <w:t xml:space="preserve"> the EQ-5D 3 Levels descriptive system (EQ-5D 3L).</w:t>
      </w:r>
      <w:r w:rsidRPr="001B6DE4">
        <w:rPr>
          <w:bCs/>
          <w:sz w:val="24"/>
          <w:szCs w:val="24"/>
        </w:rPr>
        <w:t xml:space="preserve"> </w:t>
      </w:r>
      <w:r w:rsidRPr="001B6DE4">
        <w:rPr>
          <w:bCs/>
          <w:iCs/>
          <w:sz w:val="24"/>
          <w:szCs w:val="24"/>
          <w:lang w:val="en-US"/>
        </w:rPr>
        <w:t xml:space="preserve">The EQ-5D is a generic quality of life (QoL) instrument </w:t>
      </w:r>
      <w:r w:rsidRPr="001B6DE4">
        <w:rPr>
          <w:bCs/>
          <w:iCs/>
          <w:sz w:val="24"/>
          <w:szCs w:val="24"/>
          <w:lang w:val="en-US"/>
        </w:rPr>
        <w:lastRenderedPageBreak/>
        <w:t>that is applicable to a wide range of health conditions and provides a simple but robust health profile that can be translated to health state utility values (HSUVs)</w:t>
      </w:r>
      <w:r w:rsidR="00FD2F18">
        <w:rPr>
          <w:bCs/>
          <w:iCs/>
          <w:sz w:val="24"/>
          <w:szCs w:val="24"/>
          <w:lang w:val="en-US"/>
        </w:rPr>
        <w:t xml:space="preserve"> [18]</w:t>
      </w:r>
      <w:r w:rsidRPr="001B6DE4">
        <w:rPr>
          <w:bCs/>
          <w:iCs/>
          <w:sz w:val="24"/>
          <w:szCs w:val="24"/>
          <w:lang w:val="en-US"/>
        </w:rPr>
        <w:t xml:space="preserve">. The instrument has shown good </w:t>
      </w:r>
      <w:r w:rsidR="00ED4C39" w:rsidRPr="001B6DE4">
        <w:rPr>
          <w:bCs/>
          <w:iCs/>
          <w:sz w:val="24"/>
          <w:szCs w:val="24"/>
          <w:lang w:val="en-US"/>
        </w:rPr>
        <w:t>sensitivity</w:t>
      </w:r>
      <w:r w:rsidRPr="001B6DE4">
        <w:rPr>
          <w:bCs/>
          <w:iCs/>
          <w:sz w:val="24"/>
          <w:szCs w:val="24"/>
          <w:lang w:val="en-US"/>
        </w:rPr>
        <w:t xml:space="preserve"> to osteoporotic fracture, has been recommended for inclusion in hip fracture trials</w:t>
      </w:r>
      <w:r w:rsidR="004D1304">
        <w:rPr>
          <w:bCs/>
          <w:iCs/>
          <w:sz w:val="24"/>
          <w:szCs w:val="24"/>
          <w:lang w:val="en-US"/>
        </w:rPr>
        <w:t xml:space="preserve"> </w:t>
      </w:r>
      <w:r w:rsidR="00272A16">
        <w:rPr>
          <w:bCs/>
          <w:iCs/>
          <w:sz w:val="24"/>
          <w:szCs w:val="24"/>
          <w:lang w:val="en-US"/>
        </w:rPr>
        <w:t>[19]</w:t>
      </w:r>
      <w:r w:rsidRPr="001B6DE4">
        <w:rPr>
          <w:bCs/>
          <w:iCs/>
          <w:sz w:val="24"/>
          <w:szCs w:val="24"/>
          <w:lang w:val="en-US"/>
        </w:rPr>
        <w:t xml:space="preserve"> and is widely used in health economic assessments</w:t>
      </w:r>
      <w:r w:rsidR="00DB1305">
        <w:rPr>
          <w:bCs/>
          <w:iCs/>
          <w:sz w:val="24"/>
          <w:szCs w:val="24"/>
          <w:lang w:val="en-US"/>
        </w:rPr>
        <w:t xml:space="preserve"> [18]</w:t>
      </w:r>
      <w:r w:rsidRPr="001B6DE4">
        <w:rPr>
          <w:bCs/>
          <w:iCs/>
          <w:sz w:val="24"/>
          <w:szCs w:val="24"/>
          <w:lang w:val="en-US"/>
        </w:rPr>
        <w:t xml:space="preserve">. The patient administered questionnaire describes health in five dimensions: Mobility, Self-care, Usual activities, Pain/discomfort and Anxiety/depression. </w:t>
      </w:r>
      <w:r w:rsidR="005F2BCA">
        <w:rPr>
          <w:bCs/>
          <w:iCs/>
          <w:sz w:val="24"/>
          <w:szCs w:val="24"/>
          <w:lang w:val="en-US"/>
        </w:rPr>
        <w:t xml:space="preserve"> </w:t>
      </w:r>
      <w:r w:rsidRPr="001B6DE4">
        <w:rPr>
          <w:bCs/>
          <w:iCs/>
          <w:sz w:val="24"/>
          <w:szCs w:val="24"/>
          <w:lang w:val="en-US"/>
        </w:rPr>
        <w:t xml:space="preserve">For </w:t>
      </w:r>
      <w:r w:rsidR="002A7456" w:rsidRPr="001B6DE4">
        <w:rPr>
          <w:bCs/>
          <w:iCs/>
          <w:sz w:val="24"/>
          <w:szCs w:val="24"/>
          <w:lang w:val="en-US"/>
        </w:rPr>
        <w:t xml:space="preserve">topics within </w:t>
      </w:r>
      <w:r w:rsidRPr="001B6DE4">
        <w:rPr>
          <w:bCs/>
          <w:iCs/>
          <w:sz w:val="24"/>
          <w:szCs w:val="24"/>
          <w:lang w:val="en-US"/>
        </w:rPr>
        <w:t>each dimension, patients specify their state on a three-level scale, comparable to no difficulty, some difficulty, and great difficulty, resulting in 243 possible combinations.</w:t>
      </w:r>
    </w:p>
    <w:p w14:paraId="44113C4F" w14:textId="690EB1BC" w:rsidR="00D94912" w:rsidRPr="001B6DE4" w:rsidRDefault="00D94912" w:rsidP="001B6DE4">
      <w:pPr>
        <w:spacing w:line="276" w:lineRule="auto"/>
        <w:rPr>
          <w:bCs/>
          <w:iCs/>
          <w:sz w:val="24"/>
          <w:szCs w:val="24"/>
          <w:lang w:val="en-US"/>
        </w:rPr>
      </w:pPr>
      <w:r w:rsidRPr="001B6DE4">
        <w:rPr>
          <w:bCs/>
          <w:iCs/>
          <w:sz w:val="24"/>
          <w:szCs w:val="24"/>
          <w:lang w:val="en-US"/>
        </w:rPr>
        <w:t>Accumulated quality of life (QoL) loss and QoL multipliers were those derived where possible from the International Costs and Utilities Related to Osteoporotic Fractures Study (ICUROS), which is the largest prospective observational study on QoL consequences of osteoporotic fracture conducted to date with an analysis that included more than 3,000 fracture cases</w:t>
      </w:r>
      <w:r w:rsidR="000862E6">
        <w:rPr>
          <w:bCs/>
          <w:iCs/>
          <w:sz w:val="24"/>
          <w:szCs w:val="24"/>
          <w:lang w:val="en-US"/>
        </w:rPr>
        <w:t xml:space="preserve"> [20]</w:t>
      </w:r>
      <w:r w:rsidRPr="001B6DE4">
        <w:rPr>
          <w:bCs/>
          <w:iCs/>
          <w:sz w:val="24"/>
          <w:szCs w:val="24"/>
        </w:rPr>
        <w:t>.</w:t>
      </w:r>
      <w:r w:rsidRPr="001B6DE4">
        <w:rPr>
          <w:b/>
          <w:bCs/>
          <w:iCs/>
          <w:sz w:val="24"/>
          <w:szCs w:val="24"/>
          <w:lang w:val="en-US"/>
        </w:rPr>
        <w:t xml:space="preserve"> </w:t>
      </w:r>
      <w:r w:rsidRPr="001B6DE4">
        <w:rPr>
          <w:bCs/>
          <w:iCs/>
          <w:sz w:val="24"/>
          <w:szCs w:val="24"/>
          <w:lang w:val="en-US"/>
        </w:rPr>
        <w:t>Empirical data were available for most fracture sites</w:t>
      </w:r>
      <w:r w:rsidR="007C7600" w:rsidRPr="001B6DE4">
        <w:rPr>
          <w:bCs/>
          <w:iCs/>
          <w:sz w:val="24"/>
          <w:szCs w:val="24"/>
          <w:lang w:val="en-US"/>
        </w:rPr>
        <w:t xml:space="preserve"> </w:t>
      </w:r>
      <w:r w:rsidR="004D052B">
        <w:rPr>
          <w:bCs/>
          <w:iCs/>
          <w:sz w:val="24"/>
          <w:szCs w:val="24"/>
          <w:lang w:val="en-US"/>
        </w:rPr>
        <w:t>[21]</w:t>
      </w:r>
      <w:r w:rsidRPr="001B6DE4">
        <w:rPr>
          <w:bCs/>
          <w:iCs/>
          <w:sz w:val="24"/>
          <w:szCs w:val="24"/>
          <w:lang w:val="en-US"/>
        </w:rPr>
        <w:t xml:space="preserve">.  For ‘other femoral fracture’, it was assumed that these had the same utility loss as fractures at the hip.  </w:t>
      </w:r>
      <w:r w:rsidRPr="001B6DE4">
        <w:rPr>
          <w:bCs/>
          <w:iCs/>
          <w:sz w:val="24"/>
          <w:szCs w:val="24"/>
        </w:rPr>
        <w:t>For</w:t>
      </w:r>
      <w:r w:rsidR="002A7456" w:rsidRPr="001B6DE4">
        <w:rPr>
          <w:bCs/>
          <w:iCs/>
          <w:sz w:val="24"/>
          <w:szCs w:val="24"/>
        </w:rPr>
        <w:t xml:space="preserve"> fractures of the </w:t>
      </w:r>
      <w:r w:rsidRPr="001B6DE4">
        <w:rPr>
          <w:bCs/>
          <w:iCs/>
          <w:sz w:val="24"/>
          <w:szCs w:val="24"/>
        </w:rPr>
        <w:t xml:space="preserve">clavicle, scapula, </w:t>
      </w:r>
      <w:r w:rsidR="002A7456" w:rsidRPr="001B6DE4">
        <w:rPr>
          <w:bCs/>
          <w:iCs/>
          <w:sz w:val="24"/>
          <w:szCs w:val="24"/>
        </w:rPr>
        <w:t xml:space="preserve">or </w:t>
      </w:r>
      <w:r w:rsidRPr="001B6DE4">
        <w:rPr>
          <w:bCs/>
          <w:iCs/>
          <w:sz w:val="24"/>
          <w:szCs w:val="24"/>
        </w:rPr>
        <w:t>sternum, we used previously published utility values</w:t>
      </w:r>
      <w:r w:rsidR="00A032CF" w:rsidRPr="001B6DE4">
        <w:rPr>
          <w:bCs/>
          <w:iCs/>
          <w:sz w:val="24"/>
          <w:szCs w:val="24"/>
        </w:rPr>
        <w:t xml:space="preserve"> </w:t>
      </w:r>
      <w:r w:rsidR="00017DF7">
        <w:rPr>
          <w:bCs/>
          <w:iCs/>
          <w:sz w:val="24"/>
          <w:szCs w:val="24"/>
        </w:rPr>
        <w:t>[12]</w:t>
      </w:r>
      <w:r w:rsidR="00DB7585">
        <w:rPr>
          <w:bCs/>
          <w:iCs/>
          <w:sz w:val="24"/>
          <w:szCs w:val="24"/>
        </w:rPr>
        <w:t xml:space="preserve">.  </w:t>
      </w:r>
      <w:r w:rsidR="00017DF7">
        <w:rPr>
          <w:bCs/>
          <w:iCs/>
          <w:sz w:val="24"/>
          <w:szCs w:val="24"/>
        </w:rPr>
        <w:t xml:space="preserve"> </w:t>
      </w:r>
      <w:r w:rsidR="00A032CF" w:rsidRPr="001B6DE4">
        <w:rPr>
          <w:bCs/>
          <w:iCs/>
          <w:sz w:val="24"/>
          <w:szCs w:val="24"/>
        </w:rPr>
        <w:t>Utility loss for morphometric vertebral fractures was set at one third of that for clinical vertebral fractures</w:t>
      </w:r>
      <w:r w:rsidR="00E14167">
        <w:rPr>
          <w:bCs/>
          <w:iCs/>
          <w:sz w:val="24"/>
          <w:szCs w:val="24"/>
        </w:rPr>
        <w:t xml:space="preserve"> [22]</w:t>
      </w:r>
      <w:r w:rsidR="00027B88">
        <w:rPr>
          <w:bCs/>
          <w:iCs/>
          <w:sz w:val="24"/>
          <w:szCs w:val="24"/>
        </w:rPr>
        <w:t>.</w:t>
      </w:r>
      <w:r w:rsidR="00A032CF" w:rsidRPr="001B6DE4">
        <w:rPr>
          <w:bCs/>
          <w:iCs/>
          <w:sz w:val="24"/>
          <w:szCs w:val="24"/>
        </w:rPr>
        <w:t xml:space="preserve"> </w:t>
      </w:r>
    </w:p>
    <w:p w14:paraId="097DC193" w14:textId="463994C5" w:rsidR="00F74AA7" w:rsidRPr="00911663" w:rsidRDefault="00F74AA7" w:rsidP="00911663">
      <w:pPr>
        <w:spacing w:line="276" w:lineRule="auto"/>
        <w:rPr>
          <w:b/>
          <w:bCs/>
          <w:sz w:val="24"/>
          <w:szCs w:val="24"/>
        </w:rPr>
      </w:pPr>
      <w:r w:rsidRPr="00911663">
        <w:rPr>
          <w:bCs/>
          <w:sz w:val="24"/>
          <w:szCs w:val="24"/>
        </w:rPr>
        <w:t xml:space="preserve">The multipliers </w:t>
      </w:r>
      <w:r w:rsidR="00911663" w:rsidRPr="00911663">
        <w:rPr>
          <w:bCs/>
          <w:sz w:val="24"/>
          <w:szCs w:val="24"/>
        </w:rPr>
        <w:t>for utility los</w:t>
      </w:r>
      <w:r w:rsidR="00746728">
        <w:rPr>
          <w:bCs/>
          <w:sz w:val="24"/>
          <w:szCs w:val="24"/>
        </w:rPr>
        <w:t>s</w:t>
      </w:r>
      <w:r w:rsidRPr="00911663">
        <w:rPr>
          <w:bCs/>
          <w:sz w:val="24"/>
          <w:szCs w:val="24"/>
        </w:rPr>
        <w:t xml:space="preserve"> were applied to health state values (HSVs) published for the UK general population </w:t>
      </w:r>
      <w:r w:rsidR="00567F9E">
        <w:rPr>
          <w:bCs/>
          <w:sz w:val="24"/>
          <w:szCs w:val="24"/>
        </w:rPr>
        <w:t>[23]</w:t>
      </w:r>
      <w:r w:rsidRPr="00911663">
        <w:rPr>
          <w:bCs/>
          <w:sz w:val="24"/>
          <w:szCs w:val="24"/>
        </w:rPr>
        <w:t>, since country-specific value sets were not available for most countries included in FREEDOM study.</w:t>
      </w:r>
      <w:r w:rsidRPr="00911663">
        <w:rPr>
          <w:b/>
          <w:bCs/>
          <w:sz w:val="24"/>
          <w:szCs w:val="24"/>
        </w:rPr>
        <w:t xml:space="preserve"> </w:t>
      </w:r>
      <w:r w:rsidRPr="00911663">
        <w:rPr>
          <w:bCs/>
          <w:sz w:val="24"/>
          <w:szCs w:val="24"/>
        </w:rPr>
        <w:t xml:space="preserve">The UK value set </w:t>
      </w:r>
      <w:proofErr w:type="gramStart"/>
      <w:r w:rsidRPr="00911663">
        <w:rPr>
          <w:bCs/>
          <w:sz w:val="24"/>
          <w:szCs w:val="24"/>
        </w:rPr>
        <w:t>is considered to be</w:t>
      </w:r>
      <w:proofErr w:type="gramEnd"/>
      <w:r w:rsidRPr="00911663">
        <w:rPr>
          <w:bCs/>
          <w:sz w:val="24"/>
          <w:szCs w:val="24"/>
        </w:rPr>
        <w:t xml:space="preserve"> the most robust and is recommended by the </w:t>
      </w:r>
      <w:proofErr w:type="spellStart"/>
      <w:r w:rsidRPr="00911663">
        <w:rPr>
          <w:bCs/>
          <w:sz w:val="24"/>
          <w:szCs w:val="24"/>
        </w:rPr>
        <w:t>EUROQoL</w:t>
      </w:r>
      <w:proofErr w:type="spellEnd"/>
      <w:r w:rsidRPr="00911663">
        <w:rPr>
          <w:bCs/>
          <w:sz w:val="24"/>
          <w:szCs w:val="24"/>
        </w:rPr>
        <w:t xml:space="preserve"> group in the absence of country-specific value sets </w:t>
      </w:r>
      <w:r w:rsidR="00D07B59">
        <w:rPr>
          <w:bCs/>
          <w:sz w:val="24"/>
          <w:szCs w:val="24"/>
        </w:rPr>
        <w:t>[18]</w:t>
      </w:r>
      <w:r w:rsidRPr="00911663">
        <w:rPr>
          <w:bCs/>
          <w:sz w:val="24"/>
          <w:szCs w:val="24"/>
        </w:rPr>
        <w:t>.</w:t>
      </w:r>
      <w:r w:rsidR="00027B88">
        <w:rPr>
          <w:bCs/>
          <w:sz w:val="24"/>
          <w:szCs w:val="24"/>
        </w:rPr>
        <w:t xml:space="preserve"> </w:t>
      </w:r>
      <w:r w:rsidRPr="00911663">
        <w:rPr>
          <w:bCs/>
          <w:sz w:val="24"/>
          <w:szCs w:val="24"/>
        </w:rPr>
        <w:t xml:space="preserve"> </w:t>
      </w:r>
      <w:bookmarkStart w:id="8" w:name="_Hlk497490706"/>
      <w:r w:rsidR="006E77E7" w:rsidRPr="00911663">
        <w:rPr>
          <w:bCs/>
          <w:sz w:val="24"/>
          <w:szCs w:val="24"/>
        </w:rPr>
        <w:t xml:space="preserve">The assumption implies that a patient has a normal health state value </w:t>
      </w:r>
      <w:r w:rsidR="007B06B2" w:rsidRPr="00911663">
        <w:rPr>
          <w:bCs/>
          <w:sz w:val="24"/>
          <w:szCs w:val="24"/>
        </w:rPr>
        <w:t xml:space="preserve">for age </w:t>
      </w:r>
      <w:r w:rsidR="006E77E7" w:rsidRPr="00911663">
        <w:rPr>
          <w:bCs/>
          <w:sz w:val="24"/>
          <w:szCs w:val="24"/>
        </w:rPr>
        <w:t>at entry to the study.  This is unlikely to be correct due to the high prevalence of co-existing morbidity in women with osteoporosis.  However, the assumption is applied to both placebo and actively treated patients and is unlikely, therefore</w:t>
      </w:r>
      <w:r w:rsidR="002A7456" w:rsidRPr="00911663">
        <w:rPr>
          <w:bCs/>
          <w:sz w:val="24"/>
          <w:szCs w:val="24"/>
        </w:rPr>
        <w:t>,</w:t>
      </w:r>
      <w:r w:rsidR="006E77E7" w:rsidRPr="00911663">
        <w:rPr>
          <w:bCs/>
          <w:sz w:val="24"/>
          <w:szCs w:val="24"/>
        </w:rPr>
        <w:t xml:space="preserve"> to bias the comparative effects of denosumab versus placebo.</w:t>
      </w:r>
    </w:p>
    <w:bookmarkEnd w:id="8"/>
    <w:p w14:paraId="3877E823" w14:textId="0F3A864D" w:rsidR="00D25F0F" w:rsidRPr="008B3CC3" w:rsidRDefault="00F74AA7" w:rsidP="008B3CC3">
      <w:pPr>
        <w:spacing w:line="276" w:lineRule="auto"/>
        <w:rPr>
          <w:sz w:val="24"/>
          <w:szCs w:val="24"/>
        </w:rPr>
      </w:pPr>
      <w:r w:rsidRPr="008B3CC3">
        <w:rPr>
          <w:bCs/>
          <w:sz w:val="24"/>
          <w:szCs w:val="24"/>
        </w:rPr>
        <w:t xml:space="preserve">Thereafter, multipliers were applied for each subsequent eligible fracture that occurred </w:t>
      </w:r>
      <w:r w:rsidR="008975B2" w:rsidRPr="008B3CC3">
        <w:rPr>
          <w:bCs/>
          <w:sz w:val="24"/>
          <w:szCs w:val="24"/>
        </w:rPr>
        <w:t xml:space="preserve">each day </w:t>
      </w:r>
      <w:r w:rsidRPr="008B3CC3">
        <w:rPr>
          <w:bCs/>
          <w:sz w:val="24"/>
          <w:szCs w:val="24"/>
        </w:rPr>
        <w:t xml:space="preserve">for the duration of follow up. </w:t>
      </w:r>
      <w:r w:rsidR="00112029">
        <w:rPr>
          <w:bCs/>
          <w:sz w:val="24"/>
          <w:szCs w:val="24"/>
        </w:rPr>
        <w:t xml:space="preserve"> </w:t>
      </w:r>
      <w:r w:rsidR="006E77E7" w:rsidRPr="008B3CC3">
        <w:rPr>
          <w:bCs/>
          <w:sz w:val="24"/>
          <w:szCs w:val="24"/>
        </w:rPr>
        <w:t>For example, the utility loss multiplier following a clinical vertebral fracture would be 0.</w:t>
      </w:r>
      <w:r w:rsidR="008975B2" w:rsidRPr="008B3CC3">
        <w:rPr>
          <w:bCs/>
          <w:sz w:val="24"/>
          <w:szCs w:val="24"/>
        </w:rPr>
        <w:t xml:space="preserve">27 </w:t>
      </w:r>
      <w:r w:rsidR="006E77E7" w:rsidRPr="008B3CC3">
        <w:rPr>
          <w:bCs/>
          <w:sz w:val="24"/>
          <w:szCs w:val="24"/>
        </w:rPr>
        <w:t>on the first year and 0.</w:t>
      </w:r>
      <w:r w:rsidR="008975B2" w:rsidRPr="008B3CC3">
        <w:rPr>
          <w:bCs/>
          <w:sz w:val="24"/>
          <w:szCs w:val="24"/>
        </w:rPr>
        <w:t xml:space="preserve">13 </w:t>
      </w:r>
      <w:r w:rsidR="006E77E7" w:rsidRPr="008B3CC3">
        <w:rPr>
          <w:bCs/>
          <w:sz w:val="24"/>
          <w:szCs w:val="24"/>
        </w:rPr>
        <w:t xml:space="preserve">in the second year and subsequent years. </w:t>
      </w:r>
      <w:r w:rsidR="00BF0E35">
        <w:rPr>
          <w:bCs/>
          <w:sz w:val="24"/>
          <w:szCs w:val="24"/>
        </w:rPr>
        <w:t xml:space="preserve"> </w:t>
      </w:r>
      <w:r w:rsidRPr="008B3CC3">
        <w:rPr>
          <w:bCs/>
          <w:sz w:val="24"/>
          <w:szCs w:val="24"/>
        </w:rPr>
        <w:t>In the case of death, no utility loss was ascribed, since the aim of the study was to determine the consequences of the fracture in individuals who survived.</w:t>
      </w:r>
      <w:r w:rsidR="00725917" w:rsidRPr="008B3CC3">
        <w:rPr>
          <w:bCs/>
          <w:sz w:val="24"/>
          <w:szCs w:val="24"/>
        </w:rPr>
        <w:t xml:space="preserve"> </w:t>
      </w:r>
      <w:r w:rsidR="00BF0E35">
        <w:rPr>
          <w:bCs/>
          <w:sz w:val="24"/>
          <w:szCs w:val="24"/>
        </w:rPr>
        <w:t xml:space="preserve"> </w:t>
      </w:r>
      <w:r w:rsidR="00725917" w:rsidRPr="008B3CC3">
        <w:rPr>
          <w:bCs/>
          <w:sz w:val="24"/>
          <w:szCs w:val="24"/>
        </w:rPr>
        <w:t>For the same reason,</w:t>
      </w:r>
      <w:r w:rsidR="00725917" w:rsidRPr="008B3CC3">
        <w:rPr>
          <w:sz w:val="24"/>
          <w:szCs w:val="24"/>
        </w:rPr>
        <w:t xml:space="preserve"> s</w:t>
      </w:r>
      <w:r w:rsidR="00D25F0F" w:rsidRPr="008B3CC3">
        <w:rPr>
          <w:sz w:val="24"/>
          <w:szCs w:val="24"/>
        </w:rPr>
        <w:t xml:space="preserve">ide-effects </w:t>
      </w:r>
      <w:r w:rsidR="00725917" w:rsidRPr="008B3CC3">
        <w:rPr>
          <w:sz w:val="24"/>
          <w:szCs w:val="24"/>
        </w:rPr>
        <w:t>were not</w:t>
      </w:r>
      <w:r w:rsidR="00D25F0F" w:rsidRPr="008B3CC3">
        <w:rPr>
          <w:sz w:val="24"/>
          <w:szCs w:val="24"/>
        </w:rPr>
        <w:t xml:space="preserve"> </w:t>
      </w:r>
      <w:r w:rsidR="00725917" w:rsidRPr="008B3CC3">
        <w:rPr>
          <w:sz w:val="24"/>
          <w:szCs w:val="24"/>
        </w:rPr>
        <w:t>included.</w:t>
      </w:r>
    </w:p>
    <w:p w14:paraId="20365323" w14:textId="77777777" w:rsidR="006E5D68" w:rsidRDefault="006E5D68" w:rsidP="006E5D68">
      <w:pPr>
        <w:spacing w:line="276" w:lineRule="auto"/>
        <w:rPr>
          <w:bCs/>
          <w:i/>
          <w:iCs/>
          <w:sz w:val="24"/>
          <w:szCs w:val="24"/>
        </w:rPr>
      </w:pPr>
    </w:p>
    <w:p w14:paraId="6B116858" w14:textId="098075DD" w:rsidR="00725917" w:rsidRPr="006E5D68" w:rsidRDefault="00725917" w:rsidP="006E5D68">
      <w:pPr>
        <w:spacing w:line="276" w:lineRule="auto"/>
        <w:rPr>
          <w:bCs/>
          <w:i/>
          <w:iCs/>
          <w:sz w:val="24"/>
          <w:szCs w:val="24"/>
        </w:rPr>
      </w:pPr>
      <w:r w:rsidRPr="006E5D68">
        <w:rPr>
          <w:bCs/>
          <w:i/>
          <w:iCs/>
          <w:sz w:val="24"/>
          <w:szCs w:val="24"/>
        </w:rPr>
        <w:t>Statistical analysis</w:t>
      </w:r>
    </w:p>
    <w:p w14:paraId="15DCEBD0" w14:textId="6F709B07" w:rsidR="00725917" w:rsidRPr="006E5D68" w:rsidRDefault="00725917" w:rsidP="006E5D68">
      <w:pPr>
        <w:spacing w:line="276" w:lineRule="auto"/>
        <w:rPr>
          <w:iCs/>
          <w:sz w:val="24"/>
          <w:szCs w:val="24"/>
        </w:rPr>
      </w:pPr>
      <w:r w:rsidRPr="006E5D68">
        <w:rPr>
          <w:iCs/>
          <w:sz w:val="24"/>
          <w:szCs w:val="24"/>
        </w:rPr>
        <w:t>The cumulative loss of utility was calculated for patient</w:t>
      </w:r>
      <w:r w:rsidR="00F62D29" w:rsidRPr="006E5D68">
        <w:rPr>
          <w:iCs/>
          <w:sz w:val="24"/>
          <w:szCs w:val="24"/>
        </w:rPr>
        <w:t>s</w:t>
      </w:r>
      <w:r w:rsidRPr="006E5D68">
        <w:rPr>
          <w:iCs/>
          <w:sz w:val="24"/>
          <w:szCs w:val="24"/>
        </w:rPr>
        <w:t xml:space="preserve"> taking placebo and denosumab.  Fisher</w:t>
      </w:r>
      <w:r w:rsidR="0050220D" w:rsidRPr="006E5D68">
        <w:rPr>
          <w:iCs/>
          <w:sz w:val="24"/>
          <w:szCs w:val="24"/>
        </w:rPr>
        <w:t>’</w:t>
      </w:r>
      <w:r w:rsidRPr="006E5D68">
        <w:rPr>
          <w:iCs/>
          <w:sz w:val="24"/>
          <w:szCs w:val="24"/>
        </w:rPr>
        <w:t>s permutation test was used to test the difference between the two treatment groups according to utility loss.</w:t>
      </w:r>
      <w:r w:rsidR="00062142" w:rsidRPr="006E5D68">
        <w:rPr>
          <w:iCs/>
          <w:sz w:val="24"/>
          <w:szCs w:val="24"/>
        </w:rPr>
        <w:t xml:space="preserve">  </w:t>
      </w:r>
      <w:r w:rsidR="00B4035E" w:rsidRPr="006E5D68">
        <w:rPr>
          <w:iCs/>
          <w:sz w:val="24"/>
          <w:szCs w:val="24"/>
        </w:rPr>
        <w:t>U</w:t>
      </w:r>
      <w:r w:rsidR="00062142" w:rsidRPr="006E5D68">
        <w:rPr>
          <w:iCs/>
          <w:sz w:val="24"/>
          <w:szCs w:val="24"/>
        </w:rPr>
        <w:t xml:space="preserve">tility loss was </w:t>
      </w:r>
      <w:r w:rsidR="0050220D" w:rsidRPr="006E5D68">
        <w:rPr>
          <w:iCs/>
          <w:sz w:val="24"/>
          <w:szCs w:val="24"/>
        </w:rPr>
        <w:t xml:space="preserve">also </w:t>
      </w:r>
      <w:r w:rsidR="00055044" w:rsidRPr="006E5D68">
        <w:rPr>
          <w:iCs/>
          <w:sz w:val="24"/>
          <w:szCs w:val="24"/>
        </w:rPr>
        <w:t>expressed as</w:t>
      </w:r>
      <w:r w:rsidR="00062142" w:rsidRPr="006E5D68">
        <w:rPr>
          <w:iCs/>
          <w:sz w:val="24"/>
          <w:szCs w:val="24"/>
        </w:rPr>
        <w:t xml:space="preserve"> QALY loss/1000 patient years.</w:t>
      </w:r>
    </w:p>
    <w:p w14:paraId="49663825" w14:textId="3E3AF331" w:rsidR="001818CA" w:rsidRPr="006E5D68" w:rsidRDefault="00DA48A8" w:rsidP="006E5D68">
      <w:pPr>
        <w:spacing w:line="276" w:lineRule="auto"/>
        <w:rPr>
          <w:iCs/>
          <w:sz w:val="24"/>
          <w:szCs w:val="24"/>
          <w:lang w:val="en-US"/>
        </w:rPr>
      </w:pPr>
      <w:bookmarkStart w:id="9" w:name="_Hlk497472631"/>
      <w:r w:rsidRPr="006E5D68">
        <w:rPr>
          <w:iCs/>
          <w:sz w:val="24"/>
          <w:szCs w:val="24"/>
        </w:rPr>
        <w:lastRenderedPageBreak/>
        <w:t>T</w:t>
      </w:r>
      <w:r w:rsidR="0050220D" w:rsidRPr="006E5D68">
        <w:rPr>
          <w:iCs/>
          <w:sz w:val="24"/>
          <w:szCs w:val="24"/>
        </w:rPr>
        <w:t xml:space="preserve">he p-values of the current comparison between denosumab and </w:t>
      </w:r>
      <w:r w:rsidR="000530DD" w:rsidRPr="006E5D68">
        <w:rPr>
          <w:iCs/>
          <w:sz w:val="24"/>
          <w:szCs w:val="24"/>
        </w:rPr>
        <w:t>placebo</w:t>
      </w:r>
      <w:r w:rsidR="00622B5A" w:rsidRPr="006E5D68">
        <w:rPr>
          <w:iCs/>
          <w:sz w:val="24"/>
          <w:szCs w:val="24"/>
        </w:rPr>
        <w:t xml:space="preserve"> </w:t>
      </w:r>
      <w:r w:rsidRPr="006E5D68">
        <w:rPr>
          <w:iCs/>
          <w:sz w:val="24"/>
          <w:szCs w:val="24"/>
        </w:rPr>
        <w:t>were used to derive sample sizes of a future study of equal patient numbers in each arm with a power of 80% to detect a significant (p&lt;0.05) difference in disutility.  These sample sizes were compared with those derived from fracture outcomes previously published by Cumming</w:t>
      </w:r>
      <w:r w:rsidR="002A7456" w:rsidRPr="006E5D68">
        <w:rPr>
          <w:iCs/>
          <w:sz w:val="24"/>
          <w:szCs w:val="24"/>
        </w:rPr>
        <w:t>s</w:t>
      </w:r>
      <w:r w:rsidRPr="006E5D68">
        <w:rPr>
          <w:iCs/>
          <w:sz w:val="24"/>
          <w:szCs w:val="24"/>
        </w:rPr>
        <w:t xml:space="preserve"> et al </w:t>
      </w:r>
      <w:r w:rsidR="00DC4F5D">
        <w:rPr>
          <w:sz w:val="24"/>
          <w:szCs w:val="24"/>
        </w:rPr>
        <w:t>[16]</w:t>
      </w:r>
      <w:r w:rsidRPr="006E5D68">
        <w:rPr>
          <w:iCs/>
          <w:sz w:val="24"/>
          <w:szCs w:val="24"/>
        </w:rPr>
        <w:t>.  In the case of very small p-values e.g. p</w:t>
      </w:r>
      <w:r w:rsidR="0018037D" w:rsidRPr="006E5D68">
        <w:rPr>
          <w:iCs/>
          <w:sz w:val="24"/>
          <w:szCs w:val="24"/>
        </w:rPr>
        <w:t xml:space="preserve">&lt;0.001, </w:t>
      </w:r>
      <w:r w:rsidR="002A7456" w:rsidRPr="006E5D68">
        <w:rPr>
          <w:iCs/>
          <w:sz w:val="24"/>
          <w:szCs w:val="24"/>
        </w:rPr>
        <w:t>t</w:t>
      </w:r>
      <w:r w:rsidR="0018037D" w:rsidRPr="006E5D68">
        <w:rPr>
          <w:iCs/>
          <w:sz w:val="24"/>
          <w:szCs w:val="24"/>
        </w:rPr>
        <w:t xml:space="preserve">he exact p-value was calculated from the </w:t>
      </w:r>
      <w:r w:rsidR="0018037D" w:rsidRPr="006E5D68">
        <w:rPr>
          <w:iCs/>
          <w:sz w:val="24"/>
          <w:szCs w:val="24"/>
          <w:lang w:val="en-US"/>
        </w:rPr>
        <w:t xml:space="preserve">hazard ratio and confidence interval given in Cummings et al </w:t>
      </w:r>
      <w:r w:rsidR="00DC4F5D">
        <w:rPr>
          <w:sz w:val="24"/>
          <w:szCs w:val="24"/>
        </w:rPr>
        <w:t>[16]</w:t>
      </w:r>
      <w:r w:rsidR="0018037D" w:rsidRPr="006E5D68">
        <w:rPr>
          <w:iCs/>
          <w:sz w:val="24"/>
          <w:szCs w:val="24"/>
          <w:lang w:val="en-US"/>
        </w:rPr>
        <w:t>.</w:t>
      </w:r>
      <w:r w:rsidR="0050220D" w:rsidRPr="006E5D68">
        <w:rPr>
          <w:iCs/>
          <w:sz w:val="24"/>
          <w:szCs w:val="24"/>
        </w:rPr>
        <w:t xml:space="preserve"> </w:t>
      </w:r>
      <w:r w:rsidR="001818CA" w:rsidRPr="006E5D68">
        <w:rPr>
          <w:iCs/>
          <w:sz w:val="24"/>
          <w:szCs w:val="24"/>
          <w:lang w:val="en-US"/>
        </w:rPr>
        <w:t>The assumption for the power calculation is that all conditions are the same in the next study (i.e.  similar population, distribution of the differences between the treatment groups, risk of fractures</w:t>
      </w:r>
      <w:r w:rsidR="00786404">
        <w:rPr>
          <w:iCs/>
          <w:sz w:val="24"/>
          <w:szCs w:val="24"/>
          <w:lang w:val="en-US"/>
        </w:rPr>
        <w:t>, duration of study</w:t>
      </w:r>
      <w:r w:rsidR="0000487E">
        <w:rPr>
          <w:iCs/>
          <w:sz w:val="24"/>
          <w:szCs w:val="24"/>
          <w:lang w:val="en-US"/>
        </w:rPr>
        <w:t>,</w:t>
      </w:r>
      <w:r w:rsidR="001818CA" w:rsidRPr="006E5D68">
        <w:rPr>
          <w:iCs/>
          <w:sz w:val="24"/>
          <w:szCs w:val="24"/>
          <w:lang w:val="en-US"/>
        </w:rPr>
        <w:t xml:space="preserve"> etc.). </w:t>
      </w:r>
    </w:p>
    <w:bookmarkEnd w:id="9"/>
    <w:p w14:paraId="39EA967B" w14:textId="77777777" w:rsidR="00FD2304" w:rsidRDefault="00FD2304" w:rsidP="00D25F0F">
      <w:pPr>
        <w:rPr>
          <w:b/>
          <w:sz w:val="28"/>
          <w:szCs w:val="28"/>
        </w:rPr>
      </w:pPr>
    </w:p>
    <w:p w14:paraId="15036335" w14:textId="68810D5D" w:rsidR="00D25F0F" w:rsidRPr="00725917" w:rsidRDefault="00725917" w:rsidP="00D25F0F">
      <w:pPr>
        <w:rPr>
          <w:b/>
          <w:sz w:val="28"/>
          <w:szCs w:val="28"/>
        </w:rPr>
      </w:pPr>
      <w:r w:rsidRPr="00725917">
        <w:rPr>
          <w:b/>
          <w:sz w:val="28"/>
          <w:szCs w:val="28"/>
        </w:rPr>
        <w:t>Results</w:t>
      </w:r>
    </w:p>
    <w:p w14:paraId="0E9D6B61" w14:textId="77777777" w:rsidR="004F1AF9" w:rsidRDefault="004F1AF9" w:rsidP="00062142">
      <w:pPr>
        <w:rPr>
          <w:bCs/>
          <w:sz w:val="24"/>
          <w:szCs w:val="24"/>
        </w:rPr>
      </w:pPr>
      <w:r w:rsidRPr="00FD2304">
        <w:rPr>
          <w:bCs/>
          <w:sz w:val="24"/>
          <w:szCs w:val="24"/>
        </w:rPr>
        <w:t xml:space="preserve">The baseline characteristics of the 7808 women are shown in Table 1.  There were no differences between the two study groups at entry, including baseline FRAX probabilities.  Patients were followed up for 10,740 person years in the placebo arm and 10,806 person years in the case of denosumab.  There were 90 and 70 deaths in the placebo and denosumab arms, respectively. </w:t>
      </w:r>
    </w:p>
    <w:p w14:paraId="55190E3D" w14:textId="77777777" w:rsidR="00536F2F" w:rsidRDefault="00536F2F" w:rsidP="00062142">
      <w:pPr>
        <w:rPr>
          <w:b/>
          <w:bCs/>
          <w:sz w:val="24"/>
          <w:szCs w:val="24"/>
        </w:rPr>
      </w:pPr>
    </w:p>
    <w:p w14:paraId="5E026F24" w14:textId="3EE0E75F" w:rsidR="00062142" w:rsidRPr="009837FA" w:rsidRDefault="00062142" w:rsidP="00062142">
      <w:pPr>
        <w:rPr>
          <w:b/>
          <w:sz w:val="20"/>
          <w:szCs w:val="20"/>
        </w:rPr>
      </w:pPr>
      <w:r w:rsidRPr="009837FA">
        <w:rPr>
          <w:b/>
          <w:bCs/>
          <w:sz w:val="20"/>
          <w:szCs w:val="20"/>
        </w:rPr>
        <w:t xml:space="preserve">Table </w:t>
      </w:r>
      <w:r w:rsidR="00FD2304">
        <w:rPr>
          <w:b/>
          <w:bCs/>
          <w:sz w:val="20"/>
          <w:szCs w:val="20"/>
        </w:rPr>
        <w:t>1</w:t>
      </w:r>
      <w:r w:rsidRPr="009837FA">
        <w:rPr>
          <w:b/>
          <w:bCs/>
          <w:sz w:val="20"/>
          <w:szCs w:val="20"/>
        </w:rPr>
        <w:t xml:space="preserve">.  </w:t>
      </w:r>
      <w:r w:rsidRPr="009837FA">
        <w:rPr>
          <w:bCs/>
          <w:sz w:val="20"/>
          <w:szCs w:val="20"/>
        </w:rPr>
        <w:t xml:space="preserve">Baseline characteristics of the study population including prevalence (%, </w:t>
      </w:r>
      <w:r w:rsidR="00F608D1">
        <w:rPr>
          <w:bCs/>
          <w:sz w:val="20"/>
          <w:szCs w:val="20"/>
        </w:rPr>
        <w:t xml:space="preserve">actual </w:t>
      </w:r>
      <w:r w:rsidRPr="009837FA">
        <w:rPr>
          <w:bCs/>
          <w:sz w:val="20"/>
          <w:szCs w:val="20"/>
        </w:rPr>
        <w:t xml:space="preserve">numbers in parentheses) of the clinical risk factors.  Age, </w:t>
      </w:r>
      <w:smartTag w:uri="urn:schemas-microsoft-com:office:smarttags" w:element="stockticker">
        <w:r w:rsidRPr="009837FA">
          <w:rPr>
            <w:bCs/>
            <w:sz w:val="20"/>
            <w:szCs w:val="20"/>
          </w:rPr>
          <w:t>BMI</w:t>
        </w:r>
      </w:smartTag>
      <w:r w:rsidRPr="009837FA">
        <w:rPr>
          <w:bCs/>
          <w:sz w:val="20"/>
          <w:szCs w:val="20"/>
        </w:rPr>
        <w:t xml:space="preserve"> and BMD are expressed as mean and SD </w:t>
      </w:r>
      <w:r w:rsidR="00BF4D7A">
        <w:rPr>
          <w:bCs/>
          <w:sz w:val="20"/>
          <w:szCs w:val="20"/>
        </w:rPr>
        <w:t>and</w:t>
      </w:r>
      <w:r w:rsidRPr="009837FA">
        <w:rPr>
          <w:bCs/>
          <w:sz w:val="20"/>
          <w:szCs w:val="20"/>
        </w:rPr>
        <w:t xml:space="preserve"> 10-</w:t>
      </w:r>
      <w:r w:rsidRPr="009837FA">
        <w:rPr>
          <w:sz w:val="20"/>
          <w:szCs w:val="20"/>
        </w:rPr>
        <w:t xml:space="preserve">year probabilities of a major osteoporotic fracture (%) or hip fracture (%) are </w:t>
      </w:r>
      <w:r w:rsidRPr="009837FA">
        <w:rPr>
          <w:bCs/>
          <w:sz w:val="20"/>
          <w:szCs w:val="20"/>
        </w:rPr>
        <w:t>medians (interquartile limits).</w:t>
      </w:r>
      <w:r w:rsidRPr="009837FA" w:rsidDel="00F843E1">
        <w:rPr>
          <w:b/>
          <w:bCs/>
          <w:sz w:val="20"/>
          <w:szCs w:val="20"/>
        </w:rPr>
        <w:t xml:space="preserve"> </w:t>
      </w:r>
    </w:p>
    <w:tbl>
      <w:tblPr>
        <w:tblW w:w="0" w:type="auto"/>
        <w:tblLook w:val="04A0" w:firstRow="1" w:lastRow="0" w:firstColumn="1" w:lastColumn="0" w:noHBand="0" w:noVBand="1"/>
      </w:tblPr>
      <w:tblGrid>
        <w:gridCol w:w="5240"/>
        <w:gridCol w:w="1843"/>
        <w:gridCol w:w="1843"/>
      </w:tblGrid>
      <w:tr w:rsidR="00062142" w:rsidRPr="00062142" w14:paraId="49833E5F" w14:textId="77777777" w:rsidTr="007E0416">
        <w:tc>
          <w:tcPr>
            <w:tcW w:w="5240" w:type="dxa"/>
            <w:tcBorders>
              <w:top w:val="single" w:sz="4" w:space="0" w:color="auto"/>
              <w:bottom w:val="single" w:sz="4" w:space="0" w:color="auto"/>
            </w:tcBorders>
          </w:tcPr>
          <w:p w14:paraId="1353B0DF" w14:textId="77777777" w:rsidR="00062142" w:rsidRPr="00DE6189" w:rsidRDefault="00062142" w:rsidP="007E0416">
            <w:pPr>
              <w:spacing w:after="0"/>
              <w:rPr>
                <w:i/>
                <w:iCs/>
              </w:rPr>
            </w:pPr>
          </w:p>
        </w:tc>
        <w:tc>
          <w:tcPr>
            <w:tcW w:w="1843" w:type="dxa"/>
            <w:tcBorders>
              <w:top w:val="single" w:sz="4" w:space="0" w:color="auto"/>
              <w:bottom w:val="single" w:sz="4" w:space="0" w:color="auto"/>
            </w:tcBorders>
          </w:tcPr>
          <w:p w14:paraId="0CB52904" w14:textId="77777777" w:rsidR="00062142" w:rsidRPr="00062142" w:rsidRDefault="00062142" w:rsidP="007E0416">
            <w:pPr>
              <w:spacing w:after="0"/>
              <w:rPr>
                <w:b/>
                <w:iCs/>
              </w:rPr>
            </w:pPr>
            <w:r w:rsidRPr="00062142">
              <w:rPr>
                <w:b/>
                <w:iCs/>
              </w:rPr>
              <w:t>Placebo</w:t>
            </w:r>
          </w:p>
          <w:p w14:paraId="1CF3354E" w14:textId="77777777" w:rsidR="00062142" w:rsidRPr="00062142" w:rsidRDefault="00062142" w:rsidP="007E0416">
            <w:pPr>
              <w:spacing w:after="0"/>
              <w:rPr>
                <w:b/>
                <w:iCs/>
              </w:rPr>
            </w:pPr>
            <w:r w:rsidRPr="00062142">
              <w:rPr>
                <w:b/>
                <w:iCs/>
              </w:rPr>
              <w:t>(N=3906)</w:t>
            </w:r>
          </w:p>
        </w:tc>
        <w:tc>
          <w:tcPr>
            <w:tcW w:w="1843" w:type="dxa"/>
            <w:tcBorders>
              <w:top w:val="single" w:sz="4" w:space="0" w:color="auto"/>
              <w:bottom w:val="single" w:sz="4" w:space="0" w:color="auto"/>
            </w:tcBorders>
          </w:tcPr>
          <w:p w14:paraId="3950A350" w14:textId="77777777" w:rsidR="00062142" w:rsidRPr="00062142" w:rsidRDefault="00062142" w:rsidP="007E0416">
            <w:pPr>
              <w:spacing w:after="0"/>
              <w:rPr>
                <w:b/>
                <w:iCs/>
              </w:rPr>
            </w:pPr>
            <w:r w:rsidRPr="00062142">
              <w:rPr>
                <w:b/>
                <w:iCs/>
              </w:rPr>
              <w:t>Denosumab</w:t>
            </w:r>
          </w:p>
          <w:p w14:paraId="659613D2" w14:textId="77777777" w:rsidR="00062142" w:rsidRPr="00062142" w:rsidRDefault="00062142" w:rsidP="007E0416">
            <w:pPr>
              <w:spacing w:after="0"/>
              <w:rPr>
                <w:b/>
                <w:iCs/>
              </w:rPr>
            </w:pPr>
            <w:r w:rsidRPr="00062142">
              <w:rPr>
                <w:b/>
                <w:iCs/>
              </w:rPr>
              <w:t>(N=3902)</w:t>
            </w:r>
          </w:p>
        </w:tc>
      </w:tr>
      <w:tr w:rsidR="00062142" w:rsidRPr="00062142" w14:paraId="0D0D1D79" w14:textId="77777777" w:rsidTr="00DF4AB9">
        <w:tc>
          <w:tcPr>
            <w:tcW w:w="5240" w:type="dxa"/>
            <w:tcBorders>
              <w:top w:val="single" w:sz="4" w:space="0" w:color="auto"/>
            </w:tcBorders>
          </w:tcPr>
          <w:p w14:paraId="4AFCAF9B" w14:textId="77777777" w:rsidR="00062142" w:rsidRPr="00DE6189" w:rsidRDefault="00062142" w:rsidP="007E0416">
            <w:pPr>
              <w:spacing w:after="0"/>
              <w:rPr>
                <w:iCs/>
              </w:rPr>
            </w:pPr>
            <w:r w:rsidRPr="00DE6189">
              <w:rPr>
                <w:iCs/>
              </w:rPr>
              <w:t>Age (years)</w:t>
            </w:r>
          </w:p>
        </w:tc>
        <w:tc>
          <w:tcPr>
            <w:tcW w:w="1843" w:type="dxa"/>
            <w:tcBorders>
              <w:top w:val="single" w:sz="4" w:space="0" w:color="auto"/>
            </w:tcBorders>
          </w:tcPr>
          <w:p w14:paraId="5AE9B921" w14:textId="77777777" w:rsidR="00062142" w:rsidRPr="00DE6189" w:rsidRDefault="00062142" w:rsidP="007E0416">
            <w:pPr>
              <w:spacing w:after="0"/>
              <w:rPr>
                <w:iCs/>
              </w:rPr>
            </w:pPr>
            <w:r w:rsidRPr="00DE6189">
              <w:rPr>
                <w:iCs/>
              </w:rPr>
              <w:t>72.3±5.2</w:t>
            </w:r>
          </w:p>
        </w:tc>
        <w:tc>
          <w:tcPr>
            <w:tcW w:w="1843" w:type="dxa"/>
            <w:tcBorders>
              <w:top w:val="single" w:sz="4" w:space="0" w:color="auto"/>
            </w:tcBorders>
          </w:tcPr>
          <w:p w14:paraId="53700F70" w14:textId="77777777" w:rsidR="00062142" w:rsidRPr="00DE6189" w:rsidRDefault="00062142" w:rsidP="007E0416">
            <w:pPr>
              <w:spacing w:after="0"/>
              <w:rPr>
                <w:iCs/>
              </w:rPr>
            </w:pPr>
            <w:r w:rsidRPr="00DE6189">
              <w:rPr>
                <w:iCs/>
              </w:rPr>
              <w:t>72.3±5.2</w:t>
            </w:r>
          </w:p>
        </w:tc>
      </w:tr>
      <w:tr w:rsidR="00062142" w:rsidRPr="00062142" w14:paraId="66A56006" w14:textId="77777777" w:rsidTr="00DF4AB9">
        <w:tc>
          <w:tcPr>
            <w:tcW w:w="5240" w:type="dxa"/>
          </w:tcPr>
          <w:p w14:paraId="4B306002" w14:textId="77777777" w:rsidR="00062142" w:rsidRPr="00DE6189" w:rsidRDefault="00062142" w:rsidP="007E0416">
            <w:pPr>
              <w:spacing w:after="0"/>
              <w:rPr>
                <w:iCs/>
              </w:rPr>
            </w:pPr>
            <w:smartTag w:uri="urn:schemas-microsoft-com:office:smarttags" w:element="stockticker">
              <w:r w:rsidRPr="00DE6189">
                <w:rPr>
                  <w:iCs/>
                </w:rPr>
                <w:t>BMI</w:t>
              </w:r>
            </w:smartTag>
            <w:r w:rsidRPr="00DE6189">
              <w:rPr>
                <w:iCs/>
              </w:rPr>
              <w:t xml:space="preserve"> (kg/m</w:t>
            </w:r>
            <w:r w:rsidRPr="00DE6189">
              <w:rPr>
                <w:iCs/>
                <w:vertAlign w:val="superscript"/>
              </w:rPr>
              <w:t>2</w:t>
            </w:r>
            <w:r w:rsidRPr="00DE6189">
              <w:rPr>
                <w:iCs/>
              </w:rPr>
              <w:t>)</w:t>
            </w:r>
          </w:p>
        </w:tc>
        <w:tc>
          <w:tcPr>
            <w:tcW w:w="1843" w:type="dxa"/>
          </w:tcPr>
          <w:p w14:paraId="19DFF748" w14:textId="77777777" w:rsidR="00062142" w:rsidRPr="00DE6189" w:rsidRDefault="00062142" w:rsidP="007E0416">
            <w:pPr>
              <w:spacing w:after="0"/>
              <w:rPr>
                <w:iCs/>
              </w:rPr>
            </w:pPr>
            <w:r w:rsidRPr="00DE6189">
              <w:rPr>
                <w:iCs/>
              </w:rPr>
              <w:t>25.9±4.2</w:t>
            </w:r>
          </w:p>
        </w:tc>
        <w:tc>
          <w:tcPr>
            <w:tcW w:w="1843" w:type="dxa"/>
          </w:tcPr>
          <w:p w14:paraId="401E54BB" w14:textId="77777777" w:rsidR="00062142" w:rsidRPr="00DE6189" w:rsidRDefault="00062142" w:rsidP="007E0416">
            <w:pPr>
              <w:spacing w:after="0"/>
              <w:rPr>
                <w:iCs/>
              </w:rPr>
            </w:pPr>
            <w:r w:rsidRPr="00DE6189">
              <w:rPr>
                <w:iCs/>
              </w:rPr>
              <w:t>26.0±4.1</w:t>
            </w:r>
          </w:p>
        </w:tc>
      </w:tr>
      <w:tr w:rsidR="00062142" w:rsidRPr="00062142" w14:paraId="18D83CC5" w14:textId="77777777" w:rsidTr="00DF4AB9">
        <w:tc>
          <w:tcPr>
            <w:tcW w:w="5240" w:type="dxa"/>
          </w:tcPr>
          <w:p w14:paraId="7161BB11" w14:textId="77777777" w:rsidR="00062142" w:rsidRPr="00DE6189" w:rsidRDefault="00062142" w:rsidP="007E0416">
            <w:pPr>
              <w:spacing w:after="0"/>
              <w:rPr>
                <w:iCs/>
              </w:rPr>
            </w:pPr>
            <w:r w:rsidRPr="00DE6189">
              <w:rPr>
                <w:iCs/>
              </w:rPr>
              <w:t>Femoral neck BMD (g/cm</w:t>
            </w:r>
            <w:r w:rsidRPr="00DE6189">
              <w:rPr>
                <w:iCs/>
                <w:vertAlign w:val="superscript"/>
              </w:rPr>
              <w:t>2</w:t>
            </w:r>
            <w:r w:rsidRPr="00DE6189">
              <w:rPr>
                <w:iCs/>
              </w:rPr>
              <w:t>)</w:t>
            </w:r>
          </w:p>
        </w:tc>
        <w:tc>
          <w:tcPr>
            <w:tcW w:w="1843" w:type="dxa"/>
          </w:tcPr>
          <w:p w14:paraId="4D5262CD" w14:textId="77777777" w:rsidR="00062142" w:rsidRPr="00DE6189" w:rsidRDefault="00062142" w:rsidP="007E0416">
            <w:pPr>
              <w:spacing w:after="0"/>
              <w:rPr>
                <w:iCs/>
              </w:rPr>
            </w:pPr>
            <w:r w:rsidRPr="00DE6189">
              <w:rPr>
                <w:iCs/>
              </w:rPr>
              <w:t>0.678±0.104</w:t>
            </w:r>
          </w:p>
        </w:tc>
        <w:tc>
          <w:tcPr>
            <w:tcW w:w="1843" w:type="dxa"/>
          </w:tcPr>
          <w:p w14:paraId="6CA53467" w14:textId="77777777" w:rsidR="00062142" w:rsidRPr="00DE6189" w:rsidRDefault="00062142" w:rsidP="007E0416">
            <w:pPr>
              <w:spacing w:after="0"/>
              <w:rPr>
                <w:iCs/>
              </w:rPr>
            </w:pPr>
            <w:r w:rsidRPr="00DE6189">
              <w:rPr>
                <w:iCs/>
              </w:rPr>
              <w:t>0.679±0.106</w:t>
            </w:r>
          </w:p>
        </w:tc>
      </w:tr>
      <w:tr w:rsidR="00062142" w:rsidRPr="00062142" w14:paraId="3EED955E" w14:textId="77777777" w:rsidTr="00DF4AB9">
        <w:tc>
          <w:tcPr>
            <w:tcW w:w="5240" w:type="dxa"/>
          </w:tcPr>
          <w:p w14:paraId="3AA01407" w14:textId="77777777" w:rsidR="00062142" w:rsidRPr="00DE6189" w:rsidRDefault="00062142" w:rsidP="007E0416">
            <w:pPr>
              <w:spacing w:after="0"/>
              <w:rPr>
                <w:iCs/>
              </w:rPr>
            </w:pPr>
            <w:r w:rsidRPr="00DE6189">
              <w:rPr>
                <w:iCs/>
              </w:rPr>
              <w:t>Femoral neck T-score</w:t>
            </w:r>
          </w:p>
        </w:tc>
        <w:tc>
          <w:tcPr>
            <w:tcW w:w="1843" w:type="dxa"/>
          </w:tcPr>
          <w:p w14:paraId="2A2D2ECE" w14:textId="77777777" w:rsidR="00062142" w:rsidRPr="00DE6189" w:rsidRDefault="00062142" w:rsidP="007E0416">
            <w:pPr>
              <w:spacing w:after="0"/>
              <w:rPr>
                <w:iCs/>
              </w:rPr>
            </w:pPr>
            <w:r w:rsidRPr="00DE6189">
              <w:rPr>
                <w:iCs/>
              </w:rPr>
              <w:t>-2.2±0.7</w:t>
            </w:r>
          </w:p>
        </w:tc>
        <w:tc>
          <w:tcPr>
            <w:tcW w:w="1843" w:type="dxa"/>
          </w:tcPr>
          <w:p w14:paraId="22695BA5" w14:textId="77777777" w:rsidR="00062142" w:rsidRPr="00DE6189" w:rsidRDefault="00062142" w:rsidP="007E0416">
            <w:pPr>
              <w:spacing w:after="0"/>
              <w:rPr>
                <w:iCs/>
              </w:rPr>
            </w:pPr>
            <w:r w:rsidRPr="00DE6189">
              <w:rPr>
                <w:iCs/>
              </w:rPr>
              <w:t>-2.1±0.7</w:t>
            </w:r>
          </w:p>
        </w:tc>
      </w:tr>
      <w:tr w:rsidR="00062142" w:rsidRPr="00062142" w14:paraId="775E1500" w14:textId="77777777" w:rsidTr="00DF4AB9">
        <w:tc>
          <w:tcPr>
            <w:tcW w:w="5240" w:type="dxa"/>
          </w:tcPr>
          <w:p w14:paraId="3B881B7A" w14:textId="77777777" w:rsidR="00062142" w:rsidRPr="00DE6189" w:rsidRDefault="00062142" w:rsidP="007E0416">
            <w:pPr>
              <w:spacing w:after="0"/>
              <w:rPr>
                <w:iCs/>
              </w:rPr>
            </w:pPr>
            <w:r w:rsidRPr="00DE6189">
              <w:rPr>
                <w:iCs/>
              </w:rPr>
              <w:t>Prior fracture (%)</w:t>
            </w:r>
          </w:p>
        </w:tc>
        <w:tc>
          <w:tcPr>
            <w:tcW w:w="1843" w:type="dxa"/>
          </w:tcPr>
          <w:p w14:paraId="6F92F979" w14:textId="77777777" w:rsidR="00062142" w:rsidRPr="00DE6189" w:rsidRDefault="00062142" w:rsidP="007E0416">
            <w:pPr>
              <w:spacing w:after="0"/>
              <w:rPr>
                <w:iCs/>
              </w:rPr>
            </w:pPr>
            <w:r w:rsidRPr="00DE6189">
              <w:rPr>
                <w:iCs/>
              </w:rPr>
              <w:t>50 (1953)</w:t>
            </w:r>
          </w:p>
        </w:tc>
        <w:tc>
          <w:tcPr>
            <w:tcW w:w="1843" w:type="dxa"/>
          </w:tcPr>
          <w:p w14:paraId="74799535" w14:textId="77777777" w:rsidR="00062142" w:rsidRPr="00DE6189" w:rsidRDefault="00062142" w:rsidP="007E0416">
            <w:pPr>
              <w:spacing w:after="0"/>
              <w:rPr>
                <w:iCs/>
              </w:rPr>
            </w:pPr>
            <w:r w:rsidRPr="00DE6189">
              <w:rPr>
                <w:iCs/>
              </w:rPr>
              <w:t>51 (1985)</w:t>
            </w:r>
          </w:p>
        </w:tc>
      </w:tr>
      <w:tr w:rsidR="00062142" w:rsidRPr="00062142" w14:paraId="41A0A7BA" w14:textId="77777777" w:rsidTr="00DF4AB9">
        <w:tc>
          <w:tcPr>
            <w:tcW w:w="5240" w:type="dxa"/>
          </w:tcPr>
          <w:p w14:paraId="6F589FDA" w14:textId="77777777" w:rsidR="00062142" w:rsidRPr="00DE6189" w:rsidRDefault="00062142" w:rsidP="007E0416">
            <w:pPr>
              <w:spacing w:after="0"/>
              <w:rPr>
                <w:iCs/>
              </w:rPr>
            </w:pPr>
            <w:r w:rsidRPr="00DE6189">
              <w:rPr>
                <w:iCs/>
              </w:rPr>
              <w:t>Parental hip fracture (%)</w:t>
            </w:r>
          </w:p>
        </w:tc>
        <w:tc>
          <w:tcPr>
            <w:tcW w:w="1843" w:type="dxa"/>
          </w:tcPr>
          <w:p w14:paraId="35F95BF7" w14:textId="77777777" w:rsidR="00062142" w:rsidRPr="00DE6189" w:rsidRDefault="00062142" w:rsidP="007E0416">
            <w:pPr>
              <w:spacing w:after="0"/>
              <w:rPr>
                <w:iCs/>
              </w:rPr>
            </w:pPr>
            <w:r w:rsidRPr="00DE6189">
              <w:rPr>
                <w:iCs/>
              </w:rPr>
              <w:t>10 (376)</w:t>
            </w:r>
          </w:p>
        </w:tc>
        <w:tc>
          <w:tcPr>
            <w:tcW w:w="1843" w:type="dxa"/>
          </w:tcPr>
          <w:p w14:paraId="3A49F09E" w14:textId="77777777" w:rsidR="00062142" w:rsidRPr="00DE6189" w:rsidRDefault="00062142" w:rsidP="007E0416">
            <w:pPr>
              <w:spacing w:after="0"/>
              <w:rPr>
                <w:iCs/>
              </w:rPr>
            </w:pPr>
            <w:r w:rsidRPr="00DE6189">
              <w:rPr>
                <w:iCs/>
              </w:rPr>
              <w:t>10 (378)</w:t>
            </w:r>
          </w:p>
        </w:tc>
      </w:tr>
      <w:tr w:rsidR="00062142" w:rsidRPr="00062142" w14:paraId="40554D1E" w14:textId="77777777" w:rsidTr="00DF4AB9">
        <w:tc>
          <w:tcPr>
            <w:tcW w:w="5240" w:type="dxa"/>
          </w:tcPr>
          <w:p w14:paraId="4B4F6B9A" w14:textId="77777777" w:rsidR="00062142" w:rsidRPr="00DE6189" w:rsidRDefault="00062142" w:rsidP="007E0416">
            <w:pPr>
              <w:spacing w:after="0"/>
              <w:rPr>
                <w:iCs/>
              </w:rPr>
            </w:pPr>
            <w:r w:rsidRPr="00DE6189">
              <w:rPr>
                <w:iCs/>
              </w:rPr>
              <w:t>Alcohol ≥3units daily (%)</w:t>
            </w:r>
          </w:p>
        </w:tc>
        <w:tc>
          <w:tcPr>
            <w:tcW w:w="1843" w:type="dxa"/>
          </w:tcPr>
          <w:p w14:paraId="40DFD567" w14:textId="77777777" w:rsidR="00062142" w:rsidRPr="00DE6189" w:rsidRDefault="00062142" w:rsidP="007E0416">
            <w:pPr>
              <w:spacing w:after="0"/>
              <w:rPr>
                <w:iCs/>
              </w:rPr>
            </w:pPr>
            <w:r w:rsidRPr="00DE6189">
              <w:rPr>
                <w:iCs/>
              </w:rPr>
              <w:t>1 (57)</w:t>
            </w:r>
          </w:p>
        </w:tc>
        <w:tc>
          <w:tcPr>
            <w:tcW w:w="1843" w:type="dxa"/>
          </w:tcPr>
          <w:p w14:paraId="660A9DD1" w14:textId="77777777" w:rsidR="00062142" w:rsidRPr="00DE6189" w:rsidRDefault="00062142" w:rsidP="007E0416">
            <w:pPr>
              <w:spacing w:after="0"/>
              <w:rPr>
                <w:iCs/>
              </w:rPr>
            </w:pPr>
            <w:r w:rsidRPr="00DE6189">
              <w:rPr>
                <w:iCs/>
              </w:rPr>
              <w:t>2 (67)</w:t>
            </w:r>
          </w:p>
        </w:tc>
      </w:tr>
      <w:tr w:rsidR="00062142" w:rsidRPr="00062142" w14:paraId="32D0A9B7" w14:textId="77777777" w:rsidTr="00DF4AB9">
        <w:tc>
          <w:tcPr>
            <w:tcW w:w="5240" w:type="dxa"/>
          </w:tcPr>
          <w:p w14:paraId="237C4AD9" w14:textId="77777777" w:rsidR="00062142" w:rsidRPr="00DE6189" w:rsidRDefault="00062142" w:rsidP="007E0416">
            <w:pPr>
              <w:spacing w:after="0"/>
              <w:rPr>
                <w:iCs/>
              </w:rPr>
            </w:pPr>
            <w:r w:rsidRPr="00DE6189">
              <w:rPr>
                <w:iCs/>
              </w:rPr>
              <w:t>Current smoking (%)</w:t>
            </w:r>
          </w:p>
        </w:tc>
        <w:tc>
          <w:tcPr>
            <w:tcW w:w="1843" w:type="dxa"/>
          </w:tcPr>
          <w:p w14:paraId="72501D3A" w14:textId="77777777" w:rsidR="00062142" w:rsidRPr="00DE6189" w:rsidRDefault="00062142" w:rsidP="007E0416">
            <w:pPr>
              <w:spacing w:after="0"/>
              <w:rPr>
                <w:iCs/>
              </w:rPr>
            </w:pPr>
            <w:r w:rsidRPr="00DE6189">
              <w:rPr>
                <w:iCs/>
              </w:rPr>
              <w:t>10 (379)</w:t>
            </w:r>
          </w:p>
        </w:tc>
        <w:tc>
          <w:tcPr>
            <w:tcW w:w="1843" w:type="dxa"/>
          </w:tcPr>
          <w:p w14:paraId="067E3555" w14:textId="77777777" w:rsidR="00062142" w:rsidRPr="00DE6189" w:rsidRDefault="00062142" w:rsidP="007E0416">
            <w:pPr>
              <w:spacing w:after="0"/>
              <w:rPr>
                <w:iCs/>
              </w:rPr>
            </w:pPr>
            <w:r w:rsidRPr="00DE6189">
              <w:rPr>
                <w:iCs/>
              </w:rPr>
              <w:t>9 (351)</w:t>
            </w:r>
          </w:p>
        </w:tc>
      </w:tr>
      <w:tr w:rsidR="00062142" w:rsidRPr="00062142" w14:paraId="50DAE781" w14:textId="77777777" w:rsidTr="00DF4AB9">
        <w:tc>
          <w:tcPr>
            <w:tcW w:w="5240" w:type="dxa"/>
          </w:tcPr>
          <w:p w14:paraId="0A0B8EED" w14:textId="77777777" w:rsidR="00062142" w:rsidRPr="00DE6189" w:rsidRDefault="00062142" w:rsidP="007E0416">
            <w:pPr>
              <w:spacing w:after="0"/>
              <w:rPr>
                <w:iCs/>
              </w:rPr>
            </w:pPr>
            <w:r w:rsidRPr="00DE6189">
              <w:rPr>
                <w:iCs/>
              </w:rPr>
              <w:t>Secondary osteoporosis (%)</w:t>
            </w:r>
          </w:p>
        </w:tc>
        <w:tc>
          <w:tcPr>
            <w:tcW w:w="1843" w:type="dxa"/>
          </w:tcPr>
          <w:p w14:paraId="7876CB79" w14:textId="77777777" w:rsidR="00062142" w:rsidRPr="00DE6189" w:rsidRDefault="00062142" w:rsidP="007E0416">
            <w:pPr>
              <w:spacing w:after="0"/>
              <w:rPr>
                <w:iCs/>
              </w:rPr>
            </w:pPr>
            <w:r w:rsidRPr="00DE6189">
              <w:rPr>
                <w:iCs/>
              </w:rPr>
              <w:t>22 (869)</w:t>
            </w:r>
          </w:p>
        </w:tc>
        <w:tc>
          <w:tcPr>
            <w:tcW w:w="1843" w:type="dxa"/>
          </w:tcPr>
          <w:p w14:paraId="0068D5B3" w14:textId="77777777" w:rsidR="00062142" w:rsidRPr="00DE6189" w:rsidRDefault="00062142" w:rsidP="007E0416">
            <w:pPr>
              <w:spacing w:after="0"/>
              <w:rPr>
                <w:iCs/>
              </w:rPr>
            </w:pPr>
            <w:r w:rsidRPr="00DE6189">
              <w:rPr>
                <w:iCs/>
              </w:rPr>
              <w:t>21 (837)</w:t>
            </w:r>
            <w:r w:rsidR="00DE6189" w:rsidRPr="00DE6189">
              <w:rPr>
                <w:iCs/>
              </w:rPr>
              <w:t xml:space="preserve"> </w:t>
            </w:r>
          </w:p>
        </w:tc>
      </w:tr>
      <w:tr w:rsidR="00062142" w:rsidRPr="00062142" w14:paraId="33A280E5" w14:textId="77777777" w:rsidTr="00DF4AB9">
        <w:tc>
          <w:tcPr>
            <w:tcW w:w="5240" w:type="dxa"/>
          </w:tcPr>
          <w:p w14:paraId="78F01189" w14:textId="77777777" w:rsidR="00062142" w:rsidRPr="00DE6189" w:rsidRDefault="00062142" w:rsidP="007E0416">
            <w:pPr>
              <w:spacing w:after="0"/>
              <w:rPr>
                <w:iCs/>
              </w:rPr>
            </w:pPr>
            <w:r w:rsidRPr="00DE6189">
              <w:rPr>
                <w:iCs/>
              </w:rPr>
              <w:t>10-year FRAX probability (%)</w:t>
            </w:r>
          </w:p>
        </w:tc>
        <w:tc>
          <w:tcPr>
            <w:tcW w:w="1843" w:type="dxa"/>
          </w:tcPr>
          <w:p w14:paraId="2CDD9C8C" w14:textId="77777777" w:rsidR="00062142" w:rsidRPr="00DE6189" w:rsidRDefault="00062142" w:rsidP="007E0416">
            <w:pPr>
              <w:spacing w:after="0"/>
              <w:rPr>
                <w:iCs/>
              </w:rPr>
            </w:pPr>
          </w:p>
        </w:tc>
        <w:tc>
          <w:tcPr>
            <w:tcW w:w="1843" w:type="dxa"/>
          </w:tcPr>
          <w:p w14:paraId="4CCB705D" w14:textId="77777777" w:rsidR="00062142" w:rsidRPr="00DE6189" w:rsidRDefault="00062142" w:rsidP="007E0416">
            <w:pPr>
              <w:spacing w:after="0"/>
              <w:rPr>
                <w:iCs/>
              </w:rPr>
            </w:pPr>
          </w:p>
        </w:tc>
      </w:tr>
      <w:tr w:rsidR="00062142" w:rsidRPr="00062142" w14:paraId="2DE054EF" w14:textId="77777777" w:rsidTr="00DF4AB9">
        <w:tc>
          <w:tcPr>
            <w:tcW w:w="5240" w:type="dxa"/>
          </w:tcPr>
          <w:p w14:paraId="7C379440" w14:textId="77777777" w:rsidR="00062142" w:rsidRPr="00DE6189" w:rsidRDefault="00DE6189" w:rsidP="007E0416">
            <w:pPr>
              <w:spacing w:after="0"/>
              <w:rPr>
                <w:iCs/>
              </w:rPr>
            </w:pPr>
            <w:r>
              <w:rPr>
                <w:iCs/>
              </w:rPr>
              <w:t xml:space="preserve">   </w:t>
            </w:r>
            <w:r w:rsidR="00062142" w:rsidRPr="00DE6189">
              <w:rPr>
                <w:iCs/>
              </w:rPr>
              <w:t>Major osteoporotic fracture with BMD</w:t>
            </w:r>
          </w:p>
        </w:tc>
        <w:tc>
          <w:tcPr>
            <w:tcW w:w="1843" w:type="dxa"/>
          </w:tcPr>
          <w:p w14:paraId="7B3F4AE4" w14:textId="77777777" w:rsidR="00062142" w:rsidRPr="00DE6189" w:rsidRDefault="00062142" w:rsidP="007E0416">
            <w:pPr>
              <w:spacing w:after="0"/>
              <w:rPr>
                <w:iCs/>
              </w:rPr>
            </w:pPr>
            <w:r w:rsidRPr="00DE6189">
              <w:rPr>
                <w:iCs/>
              </w:rPr>
              <w:t>15.1 (10.4-21.4)</w:t>
            </w:r>
          </w:p>
        </w:tc>
        <w:tc>
          <w:tcPr>
            <w:tcW w:w="1843" w:type="dxa"/>
          </w:tcPr>
          <w:p w14:paraId="4628FF8B" w14:textId="77777777" w:rsidR="00062142" w:rsidRPr="00DE6189" w:rsidRDefault="00062142" w:rsidP="007E0416">
            <w:pPr>
              <w:spacing w:after="0"/>
              <w:rPr>
                <w:iCs/>
              </w:rPr>
            </w:pPr>
            <w:r w:rsidRPr="00DE6189">
              <w:rPr>
                <w:iCs/>
              </w:rPr>
              <w:t>15.1 (10.4-21.7)</w:t>
            </w:r>
          </w:p>
        </w:tc>
      </w:tr>
      <w:tr w:rsidR="00062142" w:rsidRPr="00062142" w14:paraId="7918B19E" w14:textId="77777777" w:rsidTr="00DF4AB9">
        <w:tc>
          <w:tcPr>
            <w:tcW w:w="5240" w:type="dxa"/>
          </w:tcPr>
          <w:p w14:paraId="12271BB6" w14:textId="77777777" w:rsidR="00062142" w:rsidRPr="00DE6189" w:rsidRDefault="00DE6189" w:rsidP="007E0416">
            <w:pPr>
              <w:spacing w:after="0"/>
              <w:rPr>
                <w:iCs/>
              </w:rPr>
            </w:pPr>
            <w:r>
              <w:rPr>
                <w:iCs/>
              </w:rPr>
              <w:t xml:space="preserve">   </w:t>
            </w:r>
            <w:r w:rsidR="00062142" w:rsidRPr="00DE6189">
              <w:rPr>
                <w:iCs/>
              </w:rPr>
              <w:t>Major osteoporotic fracture without BMD</w:t>
            </w:r>
          </w:p>
        </w:tc>
        <w:tc>
          <w:tcPr>
            <w:tcW w:w="1843" w:type="dxa"/>
          </w:tcPr>
          <w:p w14:paraId="015EC227" w14:textId="77777777" w:rsidR="00062142" w:rsidRPr="00062142" w:rsidRDefault="00062142" w:rsidP="007E0416">
            <w:pPr>
              <w:spacing w:after="0"/>
              <w:rPr>
                <w:i/>
                <w:iCs/>
              </w:rPr>
            </w:pPr>
            <w:r w:rsidRPr="00062142">
              <w:rPr>
                <w:iCs/>
              </w:rPr>
              <w:t>16.7 (11.4-24.3)</w:t>
            </w:r>
          </w:p>
        </w:tc>
        <w:tc>
          <w:tcPr>
            <w:tcW w:w="1843" w:type="dxa"/>
          </w:tcPr>
          <w:p w14:paraId="2B4B0C04" w14:textId="77777777" w:rsidR="00062142" w:rsidRPr="00062142" w:rsidRDefault="00062142" w:rsidP="007E0416">
            <w:pPr>
              <w:spacing w:after="0"/>
              <w:rPr>
                <w:i/>
                <w:iCs/>
              </w:rPr>
            </w:pPr>
            <w:r w:rsidRPr="00062142">
              <w:rPr>
                <w:iCs/>
              </w:rPr>
              <w:t>16.9 (11.2-24.0)</w:t>
            </w:r>
          </w:p>
        </w:tc>
      </w:tr>
      <w:tr w:rsidR="00062142" w:rsidRPr="00062142" w14:paraId="4074DDE0" w14:textId="77777777" w:rsidTr="00DF4AB9">
        <w:tc>
          <w:tcPr>
            <w:tcW w:w="5240" w:type="dxa"/>
          </w:tcPr>
          <w:p w14:paraId="436300A2" w14:textId="77777777" w:rsidR="00062142" w:rsidRPr="00DE6189" w:rsidRDefault="00DE6189" w:rsidP="007E0416">
            <w:pPr>
              <w:spacing w:after="0"/>
              <w:rPr>
                <w:iCs/>
              </w:rPr>
            </w:pPr>
            <w:r>
              <w:rPr>
                <w:iCs/>
              </w:rPr>
              <w:t xml:space="preserve">   </w:t>
            </w:r>
            <w:r w:rsidR="00062142" w:rsidRPr="00DE6189">
              <w:rPr>
                <w:iCs/>
              </w:rPr>
              <w:t>Hip fracture with BMD</w:t>
            </w:r>
          </w:p>
        </w:tc>
        <w:tc>
          <w:tcPr>
            <w:tcW w:w="1843" w:type="dxa"/>
          </w:tcPr>
          <w:p w14:paraId="481C1D3E" w14:textId="77777777" w:rsidR="00062142" w:rsidRPr="00062142" w:rsidRDefault="00062142" w:rsidP="007E0416">
            <w:pPr>
              <w:spacing w:after="0"/>
              <w:rPr>
                <w:i/>
                <w:iCs/>
              </w:rPr>
            </w:pPr>
            <w:r w:rsidRPr="00062142">
              <w:rPr>
                <w:iCs/>
              </w:rPr>
              <w:t>4.8 (2.5-8.7)</w:t>
            </w:r>
          </w:p>
        </w:tc>
        <w:tc>
          <w:tcPr>
            <w:tcW w:w="1843" w:type="dxa"/>
          </w:tcPr>
          <w:p w14:paraId="799ABDEB" w14:textId="77777777" w:rsidR="00062142" w:rsidRPr="00062142" w:rsidRDefault="00062142" w:rsidP="007E0416">
            <w:pPr>
              <w:spacing w:after="0"/>
              <w:rPr>
                <w:i/>
                <w:iCs/>
              </w:rPr>
            </w:pPr>
            <w:r w:rsidRPr="00062142">
              <w:rPr>
                <w:iCs/>
              </w:rPr>
              <w:t>4.8 (2.5-8.7)</w:t>
            </w:r>
          </w:p>
        </w:tc>
      </w:tr>
      <w:tr w:rsidR="00062142" w:rsidRPr="00062142" w14:paraId="7EA8D2A0" w14:textId="77777777" w:rsidTr="007E0416">
        <w:tc>
          <w:tcPr>
            <w:tcW w:w="5240" w:type="dxa"/>
            <w:tcBorders>
              <w:bottom w:val="single" w:sz="4" w:space="0" w:color="auto"/>
            </w:tcBorders>
          </w:tcPr>
          <w:p w14:paraId="5E70BDCE" w14:textId="77777777" w:rsidR="00062142" w:rsidRPr="00DE6189" w:rsidRDefault="00DE6189" w:rsidP="007E0416">
            <w:pPr>
              <w:spacing w:after="0"/>
              <w:rPr>
                <w:iCs/>
              </w:rPr>
            </w:pPr>
            <w:r>
              <w:rPr>
                <w:iCs/>
              </w:rPr>
              <w:t xml:space="preserve">   </w:t>
            </w:r>
            <w:r w:rsidR="00062142" w:rsidRPr="00DE6189">
              <w:rPr>
                <w:iCs/>
              </w:rPr>
              <w:t>Hip fracture without BMD</w:t>
            </w:r>
          </w:p>
        </w:tc>
        <w:tc>
          <w:tcPr>
            <w:tcW w:w="1843" w:type="dxa"/>
            <w:tcBorders>
              <w:bottom w:val="single" w:sz="4" w:space="0" w:color="auto"/>
            </w:tcBorders>
          </w:tcPr>
          <w:p w14:paraId="262E631A" w14:textId="77777777" w:rsidR="00062142" w:rsidRPr="00062142" w:rsidRDefault="00062142" w:rsidP="007E0416">
            <w:pPr>
              <w:spacing w:after="0"/>
              <w:rPr>
                <w:i/>
                <w:iCs/>
              </w:rPr>
            </w:pPr>
            <w:r w:rsidRPr="00062142">
              <w:rPr>
                <w:iCs/>
              </w:rPr>
              <w:t>6.1 (3.5-10.7)</w:t>
            </w:r>
          </w:p>
        </w:tc>
        <w:tc>
          <w:tcPr>
            <w:tcW w:w="1843" w:type="dxa"/>
            <w:tcBorders>
              <w:bottom w:val="single" w:sz="4" w:space="0" w:color="auto"/>
            </w:tcBorders>
          </w:tcPr>
          <w:p w14:paraId="5C9C9910" w14:textId="77777777" w:rsidR="00062142" w:rsidRPr="00062142" w:rsidRDefault="00062142" w:rsidP="007E0416">
            <w:pPr>
              <w:spacing w:after="0"/>
              <w:rPr>
                <w:i/>
                <w:iCs/>
              </w:rPr>
            </w:pPr>
            <w:r w:rsidRPr="00062142">
              <w:rPr>
                <w:iCs/>
              </w:rPr>
              <w:t>6.2 (3.5-10.6)</w:t>
            </w:r>
          </w:p>
        </w:tc>
      </w:tr>
    </w:tbl>
    <w:p w14:paraId="2DA53FD5" w14:textId="77777777" w:rsidR="00062142" w:rsidRDefault="00062142" w:rsidP="00062142">
      <w:pPr>
        <w:rPr>
          <w:b/>
          <w:iCs/>
        </w:rPr>
      </w:pPr>
    </w:p>
    <w:p w14:paraId="378EA406" w14:textId="3A74A583" w:rsidR="00DE6189" w:rsidRPr="00AB7EB0" w:rsidRDefault="00F608D1" w:rsidP="00AB7EB0">
      <w:pPr>
        <w:spacing w:line="276" w:lineRule="auto"/>
        <w:rPr>
          <w:sz w:val="24"/>
          <w:szCs w:val="24"/>
          <w:lang w:val="en-US"/>
        </w:rPr>
      </w:pPr>
      <w:r w:rsidRPr="00AB7EB0">
        <w:rPr>
          <w:sz w:val="24"/>
          <w:szCs w:val="24"/>
          <w:lang w:val="en-US"/>
        </w:rPr>
        <w:t>Fracture-related u</w:t>
      </w:r>
      <w:r w:rsidR="00166426" w:rsidRPr="00AB7EB0">
        <w:rPr>
          <w:sz w:val="24"/>
          <w:szCs w:val="24"/>
          <w:lang w:val="en-US"/>
        </w:rPr>
        <w:t xml:space="preserve">tility loss was confined to a minority of patients. </w:t>
      </w:r>
      <w:r w:rsidR="00DE6189" w:rsidRPr="00AB7EB0">
        <w:rPr>
          <w:sz w:val="24"/>
          <w:szCs w:val="24"/>
          <w:lang w:val="en-US"/>
        </w:rPr>
        <w:t>3</w:t>
      </w:r>
      <w:r w:rsidR="00166426" w:rsidRPr="00AB7EB0">
        <w:rPr>
          <w:sz w:val="24"/>
          <w:szCs w:val="24"/>
          <w:lang w:val="en-US"/>
        </w:rPr>
        <w:t>,</w:t>
      </w:r>
      <w:r w:rsidR="00DE6189" w:rsidRPr="00AB7EB0">
        <w:rPr>
          <w:sz w:val="24"/>
          <w:szCs w:val="24"/>
          <w:lang w:val="en-US"/>
        </w:rPr>
        <w:t>559 women (91%) of the placebo-treated patients group had no utility loss during the course of the study and</w:t>
      </w:r>
      <w:r w:rsidR="00166426" w:rsidRPr="00AB7EB0">
        <w:rPr>
          <w:sz w:val="24"/>
          <w:szCs w:val="24"/>
          <w:lang w:val="en-US"/>
        </w:rPr>
        <w:t>,</w:t>
      </w:r>
      <w:r w:rsidR="00DE6189" w:rsidRPr="00AB7EB0">
        <w:rPr>
          <w:sz w:val="24"/>
          <w:szCs w:val="24"/>
          <w:lang w:val="en-US"/>
        </w:rPr>
        <w:t xml:space="preserve"> </w:t>
      </w:r>
      <w:r w:rsidR="00166426" w:rsidRPr="00AB7EB0">
        <w:rPr>
          <w:sz w:val="24"/>
          <w:szCs w:val="24"/>
          <w:lang w:val="en-US"/>
        </w:rPr>
        <w:t xml:space="preserve">for denosumab, the figure was </w:t>
      </w:r>
      <w:r w:rsidR="00DE6189" w:rsidRPr="00AB7EB0">
        <w:rPr>
          <w:sz w:val="24"/>
          <w:szCs w:val="24"/>
          <w:lang w:val="en-US"/>
        </w:rPr>
        <w:t xml:space="preserve">3648 (93%).  The distribution of utility loss </w:t>
      </w:r>
      <w:r w:rsidR="00952771" w:rsidRPr="00952771">
        <w:rPr>
          <w:sz w:val="24"/>
          <w:szCs w:val="24"/>
          <w:lang w:val="en-US"/>
        </w:rPr>
        <w:t xml:space="preserve">in those experiencing </w:t>
      </w:r>
      <w:r w:rsidR="00952771" w:rsidRPr="00952771">
        <w:rPr>
          <w:sz w:val="24"/>
          <w:szCs w:val="24"/>
          <w:lang w:val="en-US"/>
        </w:rPr>
        <w:lastRenderedPageBreak/>
        <w:t xml:space="preserve">fractures </w:t>
      </w:r>
      <w:r w:rsidR="00DE6189" w:rsidRPr="00AB7EB0">
        <w:rPr>
          <w:sz w:val="24"/>
          <w:szCs w:val="24"/>
          <w:lang w:val="en-US"/>
        </w:rPr>
        <w:t>is show</w:t>
      </w:r>
      <w:r w:rsidR="00166426" w:rsidRPr="00AB7EB0">
        <w:rPr>
          <w:sz w:val="24"/>
          <w:szCs w:val="24"/>
          <w:lang w:val="en-US"/>
        </w:rPr>
        <w:t>n</w:t>
      </w:r>
      <w:r w:rsidR="00DE6189" w:rsidRPr="00AB7EB0">
        <w:rPr>
          <w:sz w:val="24"/>
          <w:szCs w:val="24"/>
          <w:lang w:val="en-US"/>
        </w:rPr>
        <w:t xml:space="preserve"> in Figure 1. The peak for values 0.06-0.08 </w:t>
      </w:r>
      <w:r w:rsidR="009837FA" w:rsidRPr="00AB7EB0">
        <w:rPr>
          <w:sz w:val="24"/>
          <w:szCs w:val="24"/>
          <w:lang w:val="en-US"/>
        </w:rPr>
        <w:t>we</w:t>
      </w:r>
      <w:r w:rsidR="00DE6189" w:rsidRPr="00AB7EB0">
        <w:rPr>
          <w:sz w:val="24"/>
          <w:szCs w:val="24"/>
          <w:lang w:val="en-US"/>
        </w:rPr>
        <w:t xml:space="preserve">re individuals </w:t>
      </w:r>
      <w:r w:rsidR="00166426" w:rsidRPr="00AB7EB0">
        <w:rPr>
          <w:sz w:val="24"/>
          <w:szCs w:val="24"/>
          <w:lang w:val="en-US"/>
        </w:rPr>
        <w:t>sustaining only a radiographic</w:t>
      </w:r>
      <w:r w:rsidR="00DE6189" w:rsidRPr="00AB7EB0">
        <w:rPr>
          <w:sz w:val="24"/>
          <w:szCs w:val="24"/>
          <w:lang w:val="en-US"/>
        </w:rPr>
        <w:t xml:space="preserve"> morphometric fracture. </w:t>
      </w:r>
    </w:p>
    <w:p w14:paraId="4242F37E" w14:textId="07356808" w:rsidR="00F62D29" w:rsidRPr="00DE6189" w:rsidRDefault="00F62D29" w:rsidP="007B06B2">
      <w:pPr>
        <w:spacing w:line="360" w:lineRule="auto"/>
        <w:jc w:val="center"/>
        <w:rPr>
          <w:lang w:val="en-US"/>
        </w:rPr>
      </w:pPr>
      <w:r w:rsidRPr="00F62D29">
        <w:rPr>
          <w:noProof/>
          <w:lang w:eastAsia="en-GB"/>
        </w:rPr>
        <w:drawing>
          <wp:inline distT="0" distB="0" distL="0" distR="0" wp14:anchorId="26E49D60" wp14:editId="14BDDACD">
            <wp:extent cx="4572000" cy="30480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t="8000" b="3111"/>
                    <a:stretch/>
                  </pic:blipFill>
                  <pic:spPr bwMode="auto">
                    <a:xfrm>
                      <a:off x="0" y="0"/>
                      <a:ext cx="4572396" cy="3048264"/>
                    </a:xfrm>
                    <a:prstGeom prst="rect">
                      <a:avLst/>
                    </a:prstGeom>
                    <a:ln>
                      <a:noFill/>
                    </a:ln>
                    <a:extLst>
                      <a:ext uri="{53640926-AAD7-44D8-BBD7-CCE9431645EC}">
                        <a14:shadowObscured xmlns:a14="http://schemas.microsoft.com/office/drawing/2010/main"/>
                      </a:ext>
                    </a:extLst>
                  </pic:spPr>
                </pic:pic>
              </a:graphicData>
            </a:graphic>
          </wp:inline>
        </w:drawing>
      </w:r>
    </w:p>
    <w:p w14:paraId="6CD8B969" w14:textId="2C8A5A2A" w:rsidR="00DE6189" w:rsidRPr="00DE6189" w:rsidRDefault="00DE6189" w:rsidP="007E0416">
      <w:pPr>
        <w:spacing w:after="0" w:line="276" w:lineRule="auto"/>
        <w:ind w:left="993" w:right="946"/>
        <w:rPr>
          <w:rFonts w:cstheme="minorHAnsi"/>
          <w:lang w:val="en-US"/>
        </w:rPr>
      </w:pPr>
      <w:r w:rsidRPr="00DE6189">
        <w:rPr>
          <w:rFonts w:cstheme="minorHAnsi"/>
          <w:b/>
          <w:lang w:val="en-US"/>
        </w:rPr>
        <w:t>Figure</w:t>
      </w:r>
      <w:r w:rsidRPr="00DE6189">
        <w:rPr>
          <w:rFonts w:cstheme="minorHAnsi"/>
          <w:lang w:val="en-US"/>
        </w:rPr>
        <w:t xml:space="preserve"> </w:t>
      </w:r>
      <w:r w:rsidRPr="00DE6189">
        <w:rPr>
          <w:rFonts w:cstheme="minorHAnsi"/>
          <w:b/>
          <w:lang w:val="en-US"/>
        </w:rPr>
        <w:t>1</w:t>
      </w:r>
      <w:r w:rsidRPr="00DE6189">
        <w:rPr>
          <w:rFonts w:cstheme="minorHAnsi"/>
          <w:lang w:val="en-US"/>
        </w:rPr>
        <w:t xml:space="preserve"> The distribution of utility loss </w:t>
      </w:r>
      <w:r w:rsidR="006232FE" w:rsidRPr="006232FE">
        <w:rPr>
          <w:rFonts w:cstheme="minorHAnsi"/>
          <w:lang w:val="en-US"/>
        </w:rPr>
        <w:t xml:space="preserve">in women sustaining incident fractures </w:t>
      </w:r>
      <w:r w:rsidRPr="00DE6189">
        <w:rPr>
          <w:rFonts w:cstheme="minorHAnsi"/>
          <w:lang w:val="en-US"/>
        </w:rPr>
        <w:t xml:space="preserve">in the </w:t>
      </w:r>
      <w:r w:rsidR="00166426">
        <w:rPr>
          <w:rFonts w:cstheme="minorHAnsi"/>
          <w:lang w:val="en-US"/>
        </w:rPr>
        <w:t>two</w:t>
      </w:r>
      <w:r w:rsidRPr="00DE6189">
        <w:rPr>
          <w:rFonts w:cstheme="minorHAnsi"/>
          <w:lang w:val="en-US"/>
        </w:rPr>
        <w:t xml:space="preserve"> treatment groups</w:t>
      </w:r>
      <w:r w:rsidR="000530DD">
        <w:rPr>
          <w:rFonts w:cstheme="minorHAnsi"/>
          <w:lang w:val="en-US"/>
        </w:rPr>
        <w:t xml:space="preserve">.  Note that </w:t>
      </w:r>
      <w:r w:rsidR="001B6B7C">
        <w:rPr>
          <w:rFonts w:cstheme="minorHAnsi"/>
          <w:lang w:val="en-US"/>
        </w:rPr>
        <w:t>the scale o</w:t>
      </w:r>
      <w:r w:rsidR="00324F9F">
        <w:rPr>
          <w:rFonts w:cstheme="minorHAnsi"/>
          <w:lang w:val="en-US"/>
        </w:rPr>
        <w:t xml:space="preserve">n the x-axis is in intervals of 0.02.  Thus, </w:t>
      </w:r>
      <w:r w:rsidR="000530DD">
        <w:rPr>
          <w:rFonts w:cstheme="minorHAnsi"/>
          <w:lang w:val="en-US"/>
        </w:rPr>
        <w:t>0 on the x-axis refers to the interval</w:t>
      </w:r>
      <w:r w:rsidRPr="00DE6189">
        <w:rPr>
          <w:rFonts w:cstheme="minorHAnsi"/>
          <w:lang w:val="en-US"/>
        </w:rPr>
        <w:t xml:space="preserve"> </w:t>
      </w:r>
      <w:r w:rsidR="000530DD" w:rsidRPr="000530DD">
        <w:rPr>
          <w:rFonts w:cstheme="minorHAnsi"/>
        </w:rPr>
        <w:t>0&lt;x&lt;0.02</w:t>
      </w:r>
      <w:r w:rsidR="00324F9F">
        <w:rPr>
          <w:rFonts w:cstheme="minorHAnsi"/>
        </w:rPr>
        <w:t>.</w:t>
      </w:r>
    </w:p>
    <w:p w14:paraId="514DEF9F" w14:textId="77777777" w:rsidR="00DE6189" w:rsidRPr="00DE6189" w:rsidRDefault="00DE6189" w:rsidP="00DE6189">
      <w:pPr>
        <w:spacing w:line="360" w:lineRule="auto"/>
        <w:rPr>
          <w:rFonts w:eastAsia="MS Mincho" w:cstheme="minorHAnsi"/>
          <w:iCs/>
          <w:lang w:val="en-US"/>
        </w:rPr>
      </w:pPr>
    </w:p>
    <w:p w14:paraId="35EE97FB" w14:textId="55E3CFDD" w:rsidR="00DE6189" w:rsidRPr="00A82727" w:rsidRDefault="00D27406" w:rsidP="00A82727">
      <w:pPr>
        <w:spacing w:after="0" w:line="276" w:lineRule="auto"/>
        <w:rPr>
          <w:rFonts w:cstheme="minorHAnsi"/>
          <w:sz w:val="24"/>
          <w:szCs w:val="24"/>
          <w:lang w:val="en-US"/>
        </w:rPr>
      </w:pPr>
      <w:r w:rsidRPr="00A82727">
        <w:rPr>
          <w:rFonts w:cstheme="minorHAnsi"/>
          <w:sz w:val="24"/>
          <w:szCs w:val="24"/>
          <w:lang w:val="en-US"/>
        </w:rPr>
        <w:t xml:space="preserve">Utility loss was significantly less </w:t>
      </w:r>
      <w:r w:rsidR="00D13686" w:rsidRPr="00A82727">
        <w:rPr>
          <w:rFonts w:cstheme="minorHAnsi"/>
          <w:sz w:val="24"/>
          <w:szCs w:val="24"/>
          <w:lang w:val="en-US"/>
        </w:rPr>
        <w:t xml:space="preserve">(42% lower) </w:t>
      </w:r>
      <w:r w:rsidRPr="00A82727">
        <w:rPr>
          <w:rFonts w:cstheme="minorHAnsi"/>
          <w:sz w:val="24"/>
          <w:szCs w:val="24"/>
          <w:lang w:val="en-US"/>
        </w:rPr>
        <w:t>during treatment with d</w:t>
      </w:r>
      <w:r w:rsidR="00DE6189" w:rsidRPr="00A82727">
        <w:rPr>
          <w:rFonts w:cstheme="minorHAnsi"/>
          <w:sz w:val="24"/>
          <w:szCs w:val="24"/>
          <w:lang w:val="en-US"/>
        </w:rPr>
        <w:t xml:space="preserve">enosumab </w:t>
      </w:r>
      <w:r w:rsidRPr="00A82727">
        <w:rPr>
          <w:rFonts w:cstheme="minorHAnsi"/>
          <w:sz w:val="24"/>
          <w:szCs w:val="24"/>
          <w:lang w:val="en-US"/>
        </w:rPr>
        <w:t xml:space="preserve">than with placebo (Table </w:t>
      </w:r>
      <w:r w:rsidR="008C41D2" w:rsidRPr="00A82727">
        <w:rPr>
          <w:rFonts w:cstheme="minorHAnsi"/>
          <w:sz w:val="24"/>
          <w:szCs w:val="24"/>
          <w:lang w:val="en-US"/>
        </w:rPr>
        <w:t>2</w:t>
      </w:r>
      <w:r w:rsidRPr="00A82727">
        <w:rPr>
          <w:rFonts w:cstheme="minorHAnsi"/>
          <w:sz w:val="24"/>
          <w:szCs w:val="24"/>
          <w:lang w:val="en-US"/>
        </w:rPr>
        <w:t>).  Utility losses were less marked</w:t>
      </w:r>
      <w:r w:rsidR="00151050" w:rsidRPr="00A82727">
        <w:rPr>
          <w:rFonts w:cstheme="minorHAnsi"/>
          <w:sz w:val="24"/>
          <w:szCs w:val="24"/>
          <w:lang w:val="en-US"/>
        </w:rPr>
        <w:t xml:space="preserve"> when morphometric vertebral fractures were </w:t>
      </w:r>
      <w:r w:rsidR="00D13686" w:rsidRPr="00A82727">
        <w:rPr>
          <w:rFonts w:cstheme="minorHAnsi"/>
          <w:sz w:val="24"/>
          <w:szCs w:val="24"/>
          <w:lang w:val="en-US"/>
        </w:rPr>
        <w:t>excluded but</w:t>
      </w:r>
      <w:r w:rsidR="00151050" w:rsidRPr="00A82727">
        <w:rPr>
          <w:rFonts w:cstheme="minorHAnsi"/>
          <w:sz w:val="24"/>
          <w:szCs w:val="24"/>
          <w:lang w:val="en-US"/>
        </w:rPr>
        <w:t xml:space="preserve"> the difference between denosumab and placebo treated patients persisted</w:t>
      </w:r>
      <w:r w:rsidR="00D13686" w:rsidRPr="00A82727">
        <w:rPr>
          <w:rFonts w:cstheme="minorHAnsi"/>
          <w:sz w:val="24"/>
          <w:szCs w:val="24"/>
          <w:lang w:val="en-US"/>
        </w:rPr>
        <w:t xml:space="preserve"> (38% lower)</w:t>
      </w:r>
      <w:r w:rsidR="00151050" w:rsidRPr="00A82727">
        <w:rPr>
          <w:rFonts w:cstheme="minorHAnsi"/>
          <w:sz w:val="24"/>
          <w:szCs w:val="24"/>
          <w:lang w:val="en-US"/>
        </w:rPr>
        <w:t xml:space="preserve">. </w:t>
      </w:r>
      <w:r w:rsidR="00671F9D" w:rsidRPr="00A82727">
        <w:rPr>
          <w:rFonts w:cstheme="minorHAnsi"/>
          <w:sz w:val="24"/>
          <w:szCs w:val="24"/>
          <w:lang w:val="en-US"/>
        </w:rPr>
        <w:t xml:space="preserve"> The difference in disutility between the treatment groups was of borderline significance at the end of the first year of observation but became highly significant after two and three years (Figure 2)</w:t>
      </w:r>
      <w:r w:rsidR="00151050" w:rsidRPr="00A82727">
        <w:rPr>
          <w:rFonts w:cstheme="minorHAnsi"/>
          <w:sz w:val="24"/>
          <w:szCs w:val="24"/>
          <w:lang w:val="en-US"/>
        </w:rPr>
        <w:t xml:space="preserve"> </w:t>
      </w:r>
    </w:p>
    <w:p w14:paraId="1D493D45" w14:textId="77777777" w:rsidR="00DE6189" w:rsidRPr="00DE6189" w:rsidRDefault="00DE6189" w:rsidP="00DE6189">
      <w:pPr>
        <w:spacing w:after="0" w:line="360" w:lineRule="auto"/>
        <w:rPr>
          <w:rFonts w:cstheme="minorHAnsi"/>
          <w:b/>
          <w:lang w:val="en-US"/>
        </w:rPr>
      </w:pPr>
    </w:p>
    <w:p w14:paraId="1DC045AD" w14:textId="5F4510C9" w:rsidR="00DE6189" w:rsidRPr="00DE6189" w:rsidRDefault="00DE6189" w:rsidP="00DE6189">
      <w:pPr>
        <w:spacing w:after="0" w:line="360" w:lineRule="auto"/>
        <w:rPr>
          <w:rFonts w:cstheme="minorHAnsi"/>
          <w:lang w:val="en-US"/>
        </w:rPr>
      </w:pPr>
      <w:bookmarkStart w:id="10" w:name="_Hlk497435619"/>
      <w:r w:rsidRPr="00DE6189">
        <w:rPr>
          <w:rFonts w:cstheme="minorHAnsi"/>
          <w:b/>
          <w:lang w:val="en-US"/>
        </w:rPr>
        <w:t xml:space="preserve">Table </w:t>
      </w:r>
      <w:r w:rsidR="008C41D2">
        <w:rPr>
          <w:rFonts w:cstheme="minorHAnsi"/>
          <w:b/>
          <w:lang w:val="en-US"/>
        </w:rPr>
        <w:t>2</w:t>
      </w:r>
      <w:r w:rsidRPr="00DE6189">
        <w:rPr>
          <w:rFonts w:cstheme="minorHAnsi"/>
          <w:lang w:val="en-US"/>
        </w:rPr>
        <w:t xml:space="preserve"> </w:t>
      </w:r>
      <w:r w:rsidR="00324F9F">
        <w:rPr>
          <w:rFonts w:cstheme="minorHAnsi"/>
          <w:lang w:val="en-US"/>
        </w:rPr>
        <w:t>Mean u</w:t>
      </w:r>
      <w:r w:rsidRPr="00DE6189">
        <w:rPr>
          <w:rFonts w:cstheme="minorHAnsi"/>
          <w:lang w:val="en-US"/>
        </w:rPr>
        <w:t xml:space="preserve">tility </w:t>
      </w:r>
      <w:r w:rsidR="00324F9F" w:rsidRPr="00DE6189">
        <w:rPr>
          <w:rFonts w:cstheme="minorHAnsi"/>
          <w:lang w:val="en-US"/>
        </w:rPr>
        <w:t xml:space="preserve">loss </w:t>
      </w:r>
      <w:r w:rsidR="00F608D1">
        <w:rPr>
          <w:rFonts w:cstheme="minorHAnsi"/>
          <w:lang w:val="en-US"/>
        </w:rPr>
        <w:t>per 1000 patient</w:t>
      </w:r>
      <w:r w:rsidR="006A3ABA">
        <w:rPr>
          <w:rFonts w:cstheme="minorHAnsi"/>
          <w:lang w:val="en-US"/>
        </w:rPr>
        <w:t xml:space="preserve">s </w:t>
      </w:r>
      <w:r w:rsidR="00324F9F">
        <w:rPr>
          <w:rFonts w:cstheme="minorHAnsi"/>
          <w:lang w:val="en-US"/>
        </w:rPr>
        <w:t>(</w:t>
      </w:r>
      <w:r w:rsidR="00D13686" w:rsidRPr="00D13686">
        <w:rPr>
          <w:rFonts w:cstheme="minorHAnsi"/>
          <w:lang w:val="en-US"/>
        </w:rPr>
        <w:t>with 95 % confidence intervals; CI)</w:t>
      </w:r>
      <w:r w:rsidR="00324F9F">
        <w:rPr>
          <w:rFonts w:cstheme="minorHAnsi"/>
          <w:lang w:val="en-US"/>
        </w:rPr>
        <w:t xml:space="preserve"> </w:t>
      </w:r>
      <w:r w:rsidRPr="00DE6189">
        <w:rPr>
          <w:rFonts w:cstheme="minorHAnsi"/>
          <w:lang w:val="en-US"/>
        </w:rPr>
        <w:t>for the two treatment groups</w:t>
      </w:r>
      <w:r w:rsidR="00324F9F">
        <w:rPr>
          <w:rFonts w:cstheme="minorHAnsi"/>
          <w:lang w:val="en-US"/>
        </w:rPr>
        <w:t xml:space="preserve">. </w:t>
      </w:r>
    </w:p>
    <w:bookmarkEnd w:id="10"/>
    <w:tbl>
      <w:tblPr>
        <w:tblStyle w:val="TableGrid"/>
        <w:tblW w:w="0" w:type="auto"/>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97"/>
        <w:gridCol w:w="1197"/>
        <w:gridCol w:w="1337"/>
        <w:gridCol w:w="1134"/>
        <w:gridCol w:w="1216"/>
        <w:gridCol w:w="1109"/>
      </w:tblGrid>
      <w:tr w:rsidR="00D27406" w14:paraId="064E1C15" w14:textId="77777777" w:rsidTr="00671F9D">
        <w:tc>
          <w:tcPr>
            <w:tcW w:w="1997" w:type="dxa"/>
            <w:tcBorders>
              <w:bottom w:val="nil"/>
            </w:tcBorders>
          </w:tcPr>
          <w:p w14:paraId="3F692393" w14:textId="77777777" w:rsidR="00D27406" w:rsidRDefault="00D27406" w:rsidP="00DE6189">
            <w:pPr>
              <w:spacing w:line="360" w:lineRule="auto"/>
              <w:rPr>
                <w:rFonts w:eastAsia="MS Mincho" w:cstheme="minorHAnsi"/>
                <w:iCs/>
              </w:rPr>
            </w:pPr>
          </w:p>
        </w:tc>
        <w:tc>
          <w:tcPr>
            <w:tcW w:w="2534" w:type="dxa"/>
            <w:gridSpan w:val="2"/>
            <w:tcBorders>
              <w:bottom w:val="nil"/>
            </w:tcBorders>
          </w:tcPr>
          <w:p w14:paraId="2B20A1F6" w14:textId="0F94EE0A" w:rsidR="00D27406" w:rsidRDefault="00D27406" w:rsidP="00D13686">
            <w:pPr>
              <w:spacing w:line="360" w:lineRule="auto"/>
              <w:jc w:val="center"/>
              <w:rPr>
                <w:rFonts w:eastAsia="MS Mincho" w:cstheme="minorHAnsi"/>
                <w:iCs/>
              </w:rPr>
            </w:pPr>
            <w:r>
              <w:rPr>
                <w:rFonts w:eastAsia="MS Mincho" w:cstheme="minorHAnsi"/>
                <w:iCs/>
              </w:rPr>
              <w:t>Placebo</w:t>
            </w:r>
          </w:p>
        </w:tc>
        <w:tc>
          <w:tcPr>
            <w:tcW w:w="2350" w:type="dxa"/>
            <w:gridSpan w:val="2"/>
            <w:tcBorders>
              <w:bottom w:val="nil"/>
            </w:tcBorders>
          </w:tcPr>
          <w:p w14:paraId="6EE0D166" w14:textId="2D770E0D" w:rsidR="00D27406" w:rsidRDefault="00D27406" w:rsidP="00D13686">
            <w:pPr>
              <w:spacing w:line="360" w:lineRule="auto"/>
              <w:jc w:val="center"/>
              <w:rPr>
                <w:rFonts w:eastAsia="MS Mincho" w:cstheme="minorHAnsi"/>
                <w:iCs/>
              </w:rPr>
            </w:pPr>
            <w:r>
              <w:rPr>
                <w:rFonts w:eastAsia="MS Mincho" w:cstheme="minorHAnsi"/>
                <w:iCs/>
              </w:rPr>
              <w:t>Denosumab</w:t>
            </w:r>
          </w:p>
        </w:tc>
        <w:tc>
          <w:tcPr>
            <w:tcW w:w="1109" w:type="dxa"/>
            <w:tcBorders>
              <w:bottom w:val="nil"/>
            </w:tcBorders>
          </w:tcPr>
          <w:p w14:paraId="41CE2A58" w14:textId="17A36031" w:rsidR="00D27406" w:rsidRDefault="00D27406" w:rsidP="00DE6189">
            <w:pPr>
              <w:spacing w:line="360" w:lineRule="auto"/>
              <w:rPr>
                <w:rFonts w:eastAsia="MS Mincho" w:cstheme="minorHAnsi"/>
                <w:iCs/>
              </w:rPr>
            </w:pPr>
            <w:r>
              <w:rPr>
                <w:rFonts w:eastAsia="MS Mincho" w:cstheme="minorHAnsi"/>
                <w:iCs/>
              </w:rPr>
              <w:t>P*</w:t>
            </w:r>
          </w:p>
        </w:tc>
      </w:tr>
      <w:tr w:rsidR="00D27406" w14:paraId="6529B33C" w14:textId="77777777" w:rsidTr="00671F9D">
        <w:tc>
          <w:tcPr>
            <w:tcW w:w="1997" w:type="dxa"/>
            <w:tcBorders>
              <w:top w:val="nil"/>
              <w:bottom w:val="single" w:sz="4" w:space="0" w:color="auto"/>
            </w:tcBorders>
          </w:tcPr>
          <w:p w14:paraId="200FE9CB" w14:textId="77777777" w:rsidR="00D27406" w:rsidRDefault="00D27406" w:rsidP="004355F4">
            <w:pPr>
              <w:spacing w:line="360" w:lineRule="auto"/>
              <w:rPr>
                <w:rFonts w:eastAsia="MS Mincho" w:cstheme="minorHAnsi"/>
                <w:iCs/>
              </w:rPr>
            </w:pPr>
          </w:p>
        </w:tc>
        <w:tc>
          <w:tcPr>
            <w:tcW w:w="1197" w:type="dxa"/>
            <w:tcBorders>
              <w:top w:val="nil"/>
              <w:bottom w:val="single" w:sz="4" w:space="0" w:color="auto"/>
            </w:tcBorders>
          </w:tcPr>
          <w:p w14:paraId="1D88DC34" w14:textId="57A315EA" w:rsidR="00D27406" w:rsidRDefault="00D27406" w:rsidP="004355F4">
            <w:pPr>
              <w:spacing w:line="360" w:lineRule="auto"/>
              <w:rPr>
                <w:rFonts w:eastAsia="MS Mincho" w:cstheme="minorHAnsi"/>
                <w:iCs/>
              </w:rPr>
            </w:pPr>
            <w:r>
              <w:rPr>
                <w:rFonts w:eastAsia="MS Mincho" w:cstheme="minorHAnsi"/>
                <w:iCs/>
              </w:rPr>
              <w:t>Mean</w:t>
            </w:r>
          </w:p>
        </w:tc>
        <w:tc>
          <w:tcPr>
            <w:tcW w:w="1337" w:type="dxa"/>
            <w:tcBorders>
              <w:top w:val="nil"/>
              <w:bottom w:val="single" w:sz="4" w:space="0" w:color="auto"/>
            </w:tcBorders>
          </w:tcPr>
          <w:p w14:paraId="267466FF" w14:textId="20A040ED" w:rsidR="00D27406" w:rsidRDefault="00D27406" w:rsidP="004355F4">
            <w:pPr>
              <w:spacing w:line="360" w:lineRule="auto"/>
              <w:rPr>
                <w:rFonts w:eastAsia="MS Mincho" w:cstheme="minorHAnsi"/>
                <w:iCs/>
              </w:rPr>
            </w:pPr>
            <w:r>
              <w:rPr>
                <w:rFonts w:eastAsia="MS Mincho" w:cstheme="minorHAnsi"/>
                <w:iCs/>
              </w:rPr>
              <w:t>95 % CI</w:t>
            </w:r>
          </w:p>
        </w:tc>
        <w:tc>
          <w:tcPr>
            <w:tcW w:w="1134" w:type="dxa"/>
            <w:tcBorders>
              <w:top w:val="nil"/>
              <w:bottom w:val="single" w:sz="4" w:space="0" w:color="auto"/>
            </w:tcBorders>
          </w:tcPr>
          <w:p w14:paraId="5AA00FA3" w14:textId="50279D44" w:rsidR="00D27406" w:rsidRDefault="00D27406" w:rsidP="004355F4">
            <w:pPr>
              <w:spacing w:line="360" w:lineRule="auto"/>
              <w:rPr>
                <w:rFonts w:eastAsia="MS Mincho" w:cstheme="minorHAnsi"/>
                <w:iCs/>
              </w:rPr>
            </w:pPr>
            <w:r>
              <w:rPr>
                <w:rFonts w:eastAsia="MS Mincho" w:cstheme="minorHAnsi"/>
                <w:iCs/>
              </w:rPr>
              <w:t>Mean</w:t>
            </w:r>
          </w:p>
        </w:tc>
        <w:tc>
          <w:tcPr>
            <w:tcW w:w="1216" w:type="dxa"/>
            <w:tcBorders>
              <w:top w:val="nil"/>
              <w:bottom w:val="single" w:sz="4" w:space="0" w:color="auto"/>
            </w:tcBorders>
          </w:tcPr>
          <w:p w14:paraId="4984D999" w14:textId="1AC9127F" w:rsidR="00D27406" w:rsidRDefault="00D27406" w:rsidP="004355F4">
            <w:pPr>
              <w:spacing w:line="360" w:lineRule="auto"/>
              <w:rPr>
                <w:rFonts w:eastAsia="MS Mincho" w:cstheme="minorHAnsi"/>
                <w:iCs/>
              </w:rPr>
            </w:pPr>
            <w:r>
              <w:rPr>
                <w:rFonts w:eastAsia="MS Mincho" w:cstheme="minorHAnsi"/>
                <w:iCs/>
              </w:rPr>
              <w:t>95 % CI</w:t>
            </w:r>
          </w:p>
        </w:tc>
        <w:tc>
          <w:tcPr>
            <w:tcW w:w="1109" w:type="dxa"/>
            <w:tcBorders>
              <w:top w:val="nil"/>
              <w:bottom w:val="single" w:sz="4" w:space="0" w:color="auto"/>
            </w:tcBorders>
          </w:tcPr>
          <w:p w14:paraId="089CA651" w14:textId="77777777" w:rsidR="00D27406" w:rsidRDefault="00D27406" w:rsidP="004355F4">
            <w:pPr>
              <w:spacing w:line="360" w:lineRule="auto"/>
              <w:rPr>
                <w:rFonts w:eastAsia="MS Mincho" w:cstheme="minorHAnsi"/>
                <w:iCs/>
              </w:rPr>
            </w:pPr>
          </w:p>
        </w:tc>
      </w:tr>
      <w:tr w:rsidR="00D27406" w14:paraId="593D7617" w14:textId="77777777" w:rsidTr="00671F9D">
        <w:tc>
          <w:tcPr>
            <w:tcW w:w="5665" w:type="dxa"/>
            <w:gridSpan w:val="4"/>
            <w:tcBorders>
              <w:top w:val="single" w:sz="4" w:space="0" w:color="auto"/>
            </w:tcBorders>
          </w:tcPr>
          <w:p w14:paraId="408D1A2A" w14:textId="3ED45E78" w:rsidR="00D27406" w:rsidRPr="00D27406" w:rsidRDefault="00D27406" w:rsidP="004355F4">
            <w:pPr>
              <w:spacing w:line="360" w:lineRule="auto"/>
              <w:rPr>
                <w:rFonts w:eastAsia="MS Mincho" w:cstheme="minorHAnsi"/>
                <w:i/>
                <w:iCs/>
              </w:rPr>
            </w:pPr>
            <w:r w:rsidRPr="00D27406">
              <w:rPr>
                <w:rFonts w:eastAsia="MS Mincho" w:cstheme="minorHAnsi"/>
                <w:i/>
                <w:iCs/>
              </w:rPr>
              <w:t>All osteoporotic fractures</w:t>
            </w:r>
          </w:p>
        </w:tc>
        <w:tc>
          <w:tcPr>
            <w:tcW w:w="1216" w:type="dxa"/>
            <w:tcBorders>
              <w:top w:val="single" w:sz="4" w:space="0" w:color="auto"/>
            </w:tcBorders>
          </w:tcPr>
          <w:p w14:paraId="00319D3F" w14:textId="77777777" w:rsidR="00D27406" w:rsidRDefault="00D27406" w:rsidP="004355F4">
            <w:pPr>
              <w:spacing w:line="360" w:lineRule="auto"/>
              <w:rPr>
                <w:rFonts w:eastAsia="MS Mincho" w:cstheme="minorHAnsi"/>
                <w:iCs/>
              </w:rPr>
            </w:pPr>
          </w:p>
        </w:tc>
        <w:tc>
          <w:tcPr>
            <w:tcW w:w="1109" w:type="dxa"/>
            <w:tcBorders>
              <w:top w:val="single" w:sz="4" w:space="0" w:color="auto"/>
            </w:tcBorders>
          </w:tcPr>
          <w:p w14:paraId="0A6A2127" w14:textId="77777777" w:rsidR="00D27406" w:rsidRDefault="00D27406" w:rsidP="004355F4">
            <w:pPr>
              <w:spacing w:line="360" w:lineRule="auto"/>
              <w:rPr>
                <w:rFonts w:eastAsia="MS Mincho" w:cstheme="minorHAnsi"/>
                <w:iCs/>
              </w:rPr>
            </w:pPr>
          </w:p>
        </w:tc>
      </w:tr>
      <w:tr w:rsidR="00D27406" w14:paraId="49C104B6" w14:textId="77777777" w:rsidTr="00671F9D">
        <w:tc>
          <w:tcPr>
            <w:tcW w:w="1997" w:type="dxa"/>
            <w:tcBorders>
              <w:bottom w:val="nil"/>
            </w:tcBorders>
          </w:tcPr>
          <w:p w14:paraId="3FF71CCE" w14:textId="6B2BCD2A" w:rsidR="00D27406" w:rsidRDefault="00D27406" w:rsidP="00DE6189">
            <w:pPr>
              <w:spacing w:line="360" w:lineRule="auto"/>
              <w:rPr>
                <w:rFonts w:eastAsia="MS Mincho" w:cstheme="minorHAnsi"/>
                <w:iCs/>
              </w:rPr>
            </w:pPr>
            <w:r w:rsidRPr="009A0CED">
              <w:rPr>
                <w:rFonts w:eastAsia="MS Mincho" w:cstheme="minorHAnsi"/>
                <w:iCs/>
                <w:lang w:val="en-US"/>
              </w:rPr>
              <w:t>Utility loss</w:t>
            </w:r>
            <w:r>
              <w:rPr>
                <w:rFonts w:eastAsia="MS Mincho" w:cstheme="minorHAnsi"/>
                <w:iCs/>
                <w:lang w:val="en-US"/>
              </w:rPr>
              <w:t>/1,000</w:t>
            </w:r>
            <w:r w:rsidR="009F4D5C">
              <w:rPr>
                <w:rFonts w:eastAsia="MS Mincho" w:cstheme="minorHAnsi"/>
                <w:iCs/>
                <w:lang w:val="en-US"/>
              </w:rPr>
              <w:t xml:space="preserve"> </w:t>
            </w:r>
          </w:p>
        </w:tc>
        <w:tc>
          <w:tcPr>
            <w:tcW w:w="1197" w:type="dxa"/>
            <w:tcBorders>
              <w:bottom w:val="nil"/>
            </w:tcBorders>
          </w:tcPr>
          <w:p w14:paraId="0618F3D0" w14:textId="02B9CA6C" w:rsidR="00D27406" w:rsidRDefault="00D27406" w:rsidP="00DE6189">
            <w:pPr>
              <w:spacing w:line="360" w:lineRule="auto"/>
              <w:rPr>
                <w:rFonts w:eastAsia="MS Mincho" w:cstheme="minorHAnsi"/>
                <w:iCs/>
              </w:rPr>
            </w:pPr>
            <w:r>
              <w:rPr>
                <w:rFonts w:eastAsia="MS Mincho" w:cstheme="minorHAnsi"/>
                <w:iCs/>
              </w:rPr>
              <w:t>21.7</w:t>
            </w:r>
          </w:p>
        </w:tc>
        <w:tc>
          <w:tcPr>
            <w:tcW w:w="1337" w:type="dxa"/>
            <w:tcBorders>
              <w:bottom w:val="nil"/>
            </w:tcBorders>
          </w:tcPr>
          <w:p w14:paraId="064E3866" w14:textId="608B684C" w:rsidR="00D27406" w:rsidRDefault="00D27406" w:rsidP="00DE6189">
            <w:pPr>
              <w:spacing w:line="360" w:lineRule="auto"/>
              <w:rPr>
                <w:rFonts w:eastAsia="MS Mincho" w:cstheme="minorHAnsi"/>
                <w:iCs/>
              </w:rPr>
            </w:pPr>
            <w:r>
              <w:rPr>
                <w:rFonts w:eastAsia="MS Mincho" w:cstheme="minorHAnsi"/>
                <w:iCs/>
              </w:rPr>
              <w:t>19.3-24.1</w:t>
            </w:r>
          </w:p>
        </w:tc>
        <w:tc>
          <w:tcPr>
            <w:tcW w:w="1134" w:type="dxa"/>
            <w:tcBorders>
              <w:bottom w:val="nil"/>
            </w:tcBorders>
          </w:tcPr>
          <w:p w14:paraId="01D65FA0" w14:textId="292FAFA1" w:rsidR="00D27406" w:rsidRDefault="00D27406" w:rsidP="00DE6189">
            <w:pPr>
              <w:spacing w:line="360" w:lineRule="auto"/>
              <w:rPr>
                <w:rFonts w:eastAsia="MS Mincho" w:cstheme="minorHAnsi"/>
                <w:iCs/>
              </w:rPr>
            </w:pPr>
            <w:r>
              <w:rPr>
                <w:rFonts w:eastAsia="MS Mincho" w:cstheme="minorHAnsi"/>
                <w:iCs/>
              </w:rPr>
              <w:t>12.5</w:t>
            </w:r>
          </w:p>
        </w:tc>
        <w:tc>
          <w:tcPr>
            <w:tcW w:w="1216" w:type="dxa"/>
            <w:tcBorders>
              <w:bottom w:val="nil"/>
            </w:tcBorders>
          </w:tcPr>
          <w:p w14:paraId="181F23F1" w14:textId="0706C0DD" w:rsidR="00D27406" w:rsidRDefault="00D27406" w:rsidP="00DE6189">
            <w:pPr>
              <w:spacing w:line="360" w:lineRule="auto"/>
              <w:rPr>
                <w:rFonts w:eastAsia="MS Mincho" w:cstheme="minorHAnsi"/>
                <w:iCs/>
              </w:rPr>
            </w:pPr>
            <w:r>
              <w:rPr>
                <w:rFonts w:eastAsia="MS Mincho" w:cstheme="minorHAnsi"/>
                <w:iCs/>
              </w:rPr>
              <w:t>10.7-14.3</w:t>
            </w:r>
          </w:p>
        </w:tc>
        <w:tc>
          <w:tcPr>
            <w:tcW w:w="1109" w:type="dxa"/>
            <w:tcBorders>
              <w:bottom w:val="nil"/>
            </w:tcBorders>
          </w:tcPr>
          <w:p w14:paraId="7DB28B79" w14:textId="3C091C80" w:rsidR="00D27406" w:rsidRDefault="00D27406" w:rsidP="00DE6189">
            <w:pPr>
              <w:spacing w:line="360" w:lineRule="auto"/>
              <w:rPr>
                <w:rFonts w:eastAsia="MS Mincho" w:cstheme="minorHAnsi"/>
                <w:iCs/>
              </w:rPr>
            </w:pPr>
            <w:r>
              <w:rPr>
                <w:rFonts w:eastAsia="MS Mincho" w:cstheme="minorHAnsi"/>
                <w:iCs/>
              </w:rPr>
              <w:t>&lt;0.001</w:t>
            </w:r>
          </w:p>
        </w:tc>
      </w:tr>
      <w:tr w:rsidR="00D27406" w14:paraId="2724D2E8" w14:textId="77777777" w:rsidTr="00671F9D">
        <w:tc>
          <w:tcPr>
            <w:tcW w:w="5665" w:type="dxa"/>
            <w:gridSpan w:val="4"/>
            <w:tcBorders>
              <w:top w:val="nil"/>
              <w:bottom w:val="nil"/>
            </w:tcBorders>
          </w:tcPr>
          <w:p w14:paraId="6812C465" w14:textId="20438C8D" w:rsidR="00D27406" w:rsidRPr="00D27406" w:rsidRDefault="00D27406" w:rsidP="00DE6189">
            <w:pPr>
              <w:spacing w:line="360" w:lineRule="auto"/>
              <w:rPr>
                <w:rFonts w:eastAsia="MS Mincho" w:cstheme="minorHAnsi"/>
                <w:i/>
                <w:iCs/>
              </w:rPr>
            </w:pPr>
            <w:r w:rsidRPr="00D27406">
              <w:rPr>
                <w:rFonts w:eastAsia="MS Mincho" w:cstheme="minorHAnsi"/>
                <w:i/>
                <w:iCs/>
              </w:rPr>
              <w:t>Excluding morphometric vertebral fracture</w:t>
            </w:r>
          </w:p>
        </w:tc>
        <w:tc>
          <w:tcPr>
            <w:tcW w:w="1216" w:type="dxa"/>
            <w:tcBorders>
              <w:top w:val="nil"/>
              <w:bottom w:val="nil"/>
            </w:tcBorders>
          </w:tcPr>
          <w:p w14:paraId="330555B2" w14:textId="77777777" w:rsidR="00D27406" w:rsidRDefault="00D27406" w:rsidP="00DE6189">
            <w:pPr>
              <w:spacing w:line="360" w:lineRule="auto"/>
              <w:rPr>
                <w:rFonts w:eastAsia="MS Mincho" w:cstheme="minorHAnsi"/>
                <w:iCs/>
              </w:rPr>
            </w:pPr>
          </w:p>
        </w:tc>
        <w:tc>
          <w:tcPr>
            <w:tcW w:w="1109" w:type="dxa"/>
            <w:tcBorders>
              <w:top w:val="nil"/>
              <w:bottom w:val="nil"/>
            </w:tcBorders>
          </w:tcPr>
          <w:p w14:paraId="6EB562EE" w14:textId="77777777" w:rsidR="00D27406" w:rsidRDefault="00D27406" w:rsidP="00DE6189">
            <w:pPr>
              <w:spacing w:line="360" w:lineRule="auto"/>
              <w:rPr>
                <w:rFonts w:eastAsia="MS Mincho" w:cstheme="minorHAnsi"/>
                <w:iCs/>
              </w:rPr>
            </w:pPr>
          </w:p>
        </w:tc>
      </w:tr>
      <w:tr w:rsidR="00D27406" w14:paraId="2E5F3B66" w14:textId="77777777" w:rsidTr="00671F9D">
        <w:tc>
          <w:tcPr>
            <w:tcW w:w="1997" w:type="dxa"/>
            <w:tcBorders>
              <w:top w:val="nil"/>
              <w:bottom w:val="single" w:sz="4" w:space="0" w:color="auto"/>
            </w:tcBorders>
          </w:tcPr>
          <w:p w14:paraId="531F6332" w14:textId="39FAD997" w:rsidR="00D27406" w:rsidRDefault="006A3ABA" w:rsidP="00DE6189">
            <w:pPr>
              <w:spacing w:line="360" w:lineRule="auto"/>
              <w:rPr>
                <w:rFonts w:eastAsia="MS Mincho" w:cstheme="minorHAnsi"/>
                <w:iCs/>
              </w:rPr>
            </w:pPr>
            <w:r w:rsidRPr="006A3ABA">
              <w:rPr>
                <w:rFonts w:eastAsia="MS Mincho" w:cstheme="minorHAnsi"/>
                <w:iCs/>
                <w:lang w:val="en-US"/>
              </w:rPr>
              <w:t>Utility loss/1,000</w:t>
            </w:r>
          </w:p>
        </w:tc>
        <w:tc>
          <w:tcPr>
            <w:tcW w:w="1197" w:type="dxa"/>
            <w:tcBorders>
              <w:top w:val="nil"/>
              <w:bottom w:val="single" w:sz="4" w:space="0" w:color="auto"/>
            </w:tcBorders>
          </w:tcPr>
          <w:p w14:paraId="762D4DE0" w14:textId="45D0F036" w:rsidR="00D27406" w:rsidRDefault="00D27406" w:rsidP="00DE6189">
            <w:pPr>
              <w:spacing w:line="360" w:lineRule="auto"/>
              <w:rPr>
                <w:rFonts w:eastAsia="MS Mincho" w:cstheme="minorHAnsi"/>
                <w:iCs/>
              </w:rPr>
            </w:pPr>
            <w:r>
              <w:rPr>
                <w:rFonts w:eastAsia="MS Mincho" w:cstheme="minorHAnsi"/>
                <w:iCs/>
              </w:rPr>
              <w:t>18.4</w:t>
            </w:r>
          </w:p>
        </w:tc>
        <w:tc>
          <w:tcPr>
            <w:tcW w:w="1337" w:type="dxa"/>
            <w:tcBorders>
              <w:top w:val="nil"/>
              <w:bottom w:val="single" w:sz="4" w:space="0" w:color="auto"/>
            </w:tcBorders>
          </w:tcPr>
          <w:p w14:paraId="43118CFA" w14:textId="60C7EDD9" w:rsidR="00D27406" w:rsidRPr="006A3ABA" w:rsidRDefault="00A07055" w:rsidP="00A07055">
            <w:pPr>
              <w:spacing w:line="360" w:lineRule="auto"/>
              <w:rPr>
                <w:rFonts w:eastAsia="MS Mincho" w:cstheme="minorHAnsi"/>
                <w:iCs/>
              </w:rPr>
            </w:pPr>
            <w:r w:rsidRPr="006A3ABA">
              <w:rPr>
                <w:rFonts w:eastAsia="MS Mincho" w:cstheme="minorHAnsi"/>
                <w:iCs/>
              </w:rPr>
              <w:t>16.1-20.7</w:t>
            </w:r>
          </w:p>
        </w:tc>
        <w:tc>
          <w:tcPr>
            <w:tcW w:w="1134" w:type="dxa"/>
            <w:tcBorders>
              <w:top w:val="nil"/>
              <w:bottom w:val="single" w:sz="4" w:space="0" w:color="auto"/>
            </w:tcBorders>
          </w:tcPr>
          <w:p w14:paraId="135A1D61" w14:textId="1E7ECA1E" w:rsidR="00D27406" w:rsidRPr="006A3ABA" w:rsidRDefault="00D27406" w:rsidP="00DE6189">
            <w:pPr>
              <w:spacing w:line="360" w:lineRule="auto"/>
              <w:rPr>
                <w:rFonts w:eastAsia="MS Mincho" w:cstheme="minorHAnsi"/>
                <w:iCs/>
              </w:rPr>
            </w:pPr>
            <w:r w:rsidRPr="006A3ABA">
              <w:rPr>
                <w:rFonts w:eastAsia="MS Mincho" w:cstheme="minorHAnsi"/>
                <w:iCs/>
              </w:rPr>
              <w:t>11.4</w:t>
            </w:r>
          </w:p>
        </w:tc>
        <w:tc>
          <w:tcPr>
            <w:tcW w:w="1216" w:type="dxa"/>
            <w:tcBorders>
              <w:top w:val="nil"/>
              <w:bottom w:val="single" w:sz="4" w:space="0" w:color="auto"/>
            </w:tcBorders>
          </w:tcPr>
          <w:p w14:paraId="0325BB74" w14:textId="70FC7B57" w:rsidR="00D27406" w:rsidRPr="006A3ABA" w:rsidRDefault="00A07055" w:rsidP="00A07055">
            <w:pPr>
              <w:spacing w:line="360" w:lineRule="auto"/>
              <w:rPr>
                <w:rFonts w:eastAsia="MS Mincho" w:cstheme="minorHAnsi"/>
                <w:iCs/>
              </w:rPr>
            </w:pPr>
            <w:r w:rsidRPr="006A3ABA">
              <w:rPr>
                <w:rFonts w:eastAsia="MS Mincho" w:cstheme="minorHAnsi"/>
                <w:iCs/>
              </w:rPr>
              <w:t>9.6-13.2</w:t>
            </w:r>
          </w:p>
        </w:tc>
        <w:tc>
          <w:tcPr>
            <w:tcW w:w="1109" w:type="dxa"/>
            <w:tcBorders>
              <w:top w:val="nil"/>
              <w:bottom w:val="single" w:sz="4" w:space="0" w:color="auto"/>
            </w:tcBorders>
          </w:tcPr>
          <w:p w14:paraId="599500DE" w14:textId="513C39D0" w:rsidR="00D27406" w:rsidRDefault="00D27406" w:rsidP="00DE6189">
            <w:pPr>
              <w:spacing w:line="360" w:lineRule="auto"/>
              <w:rPr>
                <w:rFonts w:eastAsia="MS Mincho" w:cstheme="minorHAnsi"/>
                <w:iCs/>
              </w:rPr>
            </w:pPr>
            <w:r w:rsidRPr="00D27406">
              <w:rPr>
                <w:rFonts w:eastAsia="MS Mincho" w:cstheme="minorHAnsi"/>
                <w:iCs/>
              </w:rPr>
              <w:t>&lt;0.001</w:t>
            </w:r>
          </w:p>
        </w:tc>
      </w:tr>
      <w:tr w:rsidR="00D27406" w14:paraId="534AC755" w14:textId="77777777" w:rsidTr="00671F9D">
        <w:tc>
          <w:tcPr>
            <w:tcW w:w="7990" w:type="dxa"/>
            <w:gridSpan w:val="6"/>
            <w:tcBorders>
              <w:top w:val="single" w:sz="4" w:space="0" w:color="auto"/>
              <w:bottom w:val="nil"/>
            </w:tcBorders>
          </w:tcPr>
          <w:p w14:paraId="17C30054" w14:textId="3909DE5A" w:rsidR="00D27406" w:rsidRDefault="00D27406" w:rsidP="00DE6189">
            <w:pPr>
              <w:spacing w:line="360" w:lineRule="auto"/>
              <w:rPr>
                <w:rFonts w:eastAsia="MS Mincho" w:cstheme="minorHAnsi"/>
                <w:iCs/>
              </w:rPr>
            </w:pPr>
            <w:r>
              <w:rPr>
                <w:rFonts w:eastAsia="MS Mincho" w:cstheme="minorHAnsi"/>
                <w:iCs/>
                <w:lang w:val="en-US"/>
              </w:rPr>
              <w:t>*</w:t>
            </w:r>
            <w:r w:rsidRPr="00D27406">
              <w:rPr>
                <w:rFonts w:eastAsia="MS Mincho" w:cstheme="minorHAnsi"/>
                <w:iCs/>
                <w:lang w:val="en-US"/>
              </w:rPr>
              <w:t>Two-sided, Fisher’s permutation test</w:t>
            </w:r>
          </w:p>
        </w:tc>
      </w:tr>
    </w:tbl>
    <w:p w14:paraId="692579AF" w14:textId="77777777" w:rsidR="00DE6189" w:rsidRPr="00DE6189" w:rsidRDefault="00DE6189" w:rsidP="00DE6189">
      <w:pPr>
        <w:spacing w:line="360" w:lineRule="auto"/>
        <w:rPr>
          <w:rFonts w:eastAsia="MS Mincho" w:cstheme="minorHAnsi"/>
          <w:iCs/>
        </w:rPr>
      </w:pPr>
    </w:p>
    <w:p w14:paraId="3390FCA4" w14:textId="26B71120" w:rsidR="000119D5" w:rsidRPr="009A7315" w:rsidRDefault="00456081" w:rsidP="004355F4">
      <w:pPr>
        <w:spacing w:line="360" w:lineRule="auto"/>
        <w:jc w:val="center"/>
        <w:rPr>
          <w:rFonts w:eastAsia="MS Mincho" w:cstheme="minorHAnsi"/>
          <w:b/>
          <w:iCs/>
        </w:rPr>
      </w:pPr>
      <w:r w:rsidRPr="00456081">
        <w:rPr>
          <w:rFonts w:eastAsia="MS Mincho" w:cstheme="minorHAnsi"/>
          <w:b/>
          <w:iCs/>
          <w:noProof/>
          <w:lang w:eastAsia="en-GB"/>
        </w:rPr>
        <w:lastRenderedPageBreak/>
        <w:drawing>
          <wp:inline distT="0" distB="0" distL="0" distR="0" wp14:anchorId="5818AE1F" wp14:editId="17A5F92E">
            <wp:extent cx="4572000" cy="2811780"/>
            <wp:effectExtent l="0" t="0" r="0" b="762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t="11777" b="6223"/>
                    <a:stretch/>
                  </pic:blipFill>
                  <pic:spPr bwMode="auto">
                    <a:xfrm>
                      <a:off x="0" y="0"/>
                      <a:ext cx="4572396" cy="2812024"/>
                    </a:xfrm>
                    <a:prstGeom prst="rect">
                      <a:avLst/>
                    </a:prstGeom>
                    <a:ln>
                      <a:noFill/>
                    </a:ln>
                    <a:extLst>
                      <a:ext uri="{53640926-AAD7-44D8-BBD7-CCE9431645EC}">
                        <a14:shadowObscured xmlns:a14="http://schemas.microsoft.com/office/drawing/2010/main"/>
                      </a:ext>
                    </a:extLst>
                  </pic:spPr>
                </pic:pic>
              </a:graphicData>
            </a:graphic>
          </wp:inline>
        </w:drawing>
      </w:r>
    </w:p>
    <w:p w14:paraId="70080C20" w14:textId="1580F7BC" w:rsidR="00671F9D" w:rsidRDefault="00671F9D" w:rsidP="00671F9D">
      <w:pPr>
        <w:spacing w:after="0" w:line="276" w:lineRule="auto"/>
        <w:ind w:left="993" w:right="1513"/>
        <w:rPr>
          <w:rFonts w:cstheme="minorHAnsi"/>
          <w:lang w:val="en-US"/>
        </w:rPr>
      </w:pPr>
      <w:r>
        <w:rPr>
          <w:rFonts w:cstheme="minorHAnsi"/>
          <w:b/>
          <w:lang w:val="en-US"/>
        </w:rPr>
        <w:t>Figure 2</w:t>
      </w:r>
      <w:r w:rsidRPr="00DE6189">
        <w:rPr>
          <w:rFonts w:cstheme="minorHAnsi"/>
          <w:lang w:val="en-US"/>
        </w:rPr>
        <w:t xml:space="preserve"> </w:t>
      </w:r>
      <w:r>
        <w:rPr>
          <w:rFonts w:cstheme="minorHAnsi"/>
          <w:lang w:val="en-US"/>
        </w:rPr>
        <w:t xml:space="preserve">Mean </w:t>
      </w:r>
      <w:r w:rsidR="00F608D1">
        <w:rPr>
          <w:rFonts w:cstheme="minorHAnsi"/>
          <w:lang w:val="en-US"/>
        </w:rPr>
        <w:t xml:space="preserve">cumulative </w:t>
      </w:r>
      <w:r>
        <w:rPr>
          <w:rFonts w:cstheme="minorHAnsi"/>
          <w:lang w:val="en-US"/>
        </w:rPr>
        <w:t>u</w:t>
      </w:r>
      <w:r w:rsidRPr="00DE6189">
        <w:rPr>
          <w:rFonts w:cstheme="minorHAnsi"/>
          <w:lang w:val="en-US"/>
        </w:rPr>
        <w:t>tility loss</w:t>
      </w:r>
      <w:r w:rsidR="009F4D5C">
        <w:rPr>
          <w:rFonts w:cstheme="minorHAnsi"/>
          <w:lang w:val="en-US"/>
        </w:rPr>
        <w:t xml:space="preserve"> per 1000 person</w:t>
      </w:r>
      <w:r w:rsidR="006A3ABA">
        <w:rPr>
          <w:rFonts w:cstheme="minorHAnsi"/>
          <w:lang w:val="en-US"/>
        </w:rPr>
        <w:t xml:space="preserve">s </w:t>
      </w:r>
      <w:r>
        <w:rPr>
          <w:rFonts w:cstheme="minorHAnsi"/>
          <w:lang w:val="en-US"/>
        </w:rPr>
        <w:t>(</w:t>
      </w:r>
      <w:r w:rsidRPr="00D13686">
        <w:rPr>
          <w:rFonts w:cstheme="minorHAnsi"/>
          <w:lang w:val="en-US"/>
        </w:rPr>
        <w:t>with 95 % confidence intervals; CI)</w:t>
      </w:r>
      <w:r>
        <w:rPr>
          <w:rFonts w:cstheme="minorHAnsi"/>
          <w:lang w:val="en-US"/>
        </w:rPr>
        <w:t xml:space="preserve"> </w:t>
      </w:r>
      <w:r w:rsidRPr="00DE6189">
        <w:rPr>
          <w:rFonts w:cstheme="minorHAnsi"/>
          <w:lang w:val="en-US"/>
        </w:rPr>
        <w:t>for the two treatment groups</w:t>
      </w:r>
      <w:r>
        <w:rPr>
          <w:rFonts w:cstheme="minorHAnsi"/>
          <w:lang w:val="en-US"/>
        </w:rPr>
        <w:t xml:space="preserve"> at the end of year 1, 2 and 3. </w:t>
      </w:r>
    </w:p>
    <w:p w14:paraId="291BF2FE" w14:textId="4A5A1A5F" w:rsidR="00583B6B" w:rsidRDefault="00583B6B" w:rsidP="00671F9D">
      <w:pPr>
        <w:spacing w:after="0" w:line="276" w:lineRule="auto"/>
        <w:ind w:left="993" w:right="1513"/>
        <w:rPr>
          <w:rFonts w:cstheme="minorHAnsi"/>
          <w:lang w:val="en-US"/>
        </w:rPr>
      </w:pPr>
    </w:p>
    <w:p w14:paraId="09BE7F5C" w14:textId="3A20A095" w:rsidR="00E402E5" w:rsidRPr="002F3E9C" w:rsidRDefault="00800CF6" w:rsidP="002F3E9C">
      <w:pPr>
        <w:spacing w:after="0" w:line="276" w:lineRule="auto"/>
        <w:ind w:right="95"/>
        <w:rPr>
          <w:rFonts w:cstheme="minorHAnsi"/>
          <w:sz w:val="24"/>
          <w:szCs w:val="24"/>
          <w:lang w:val="en-US"/>
        </w:rPr>
      </w:pPr>
      <w:r w:rsidRPr="002F3E9C">
        <w:rPr>
          <w:rFonts w:cstheme="minorHAnsi"/>
          <w:sz w:val="24"/>
          <w:szCs w:val="24"/>
          <w:lang w:val="en-US"/>
        </w:rPr>
        <w:t>In the context of new intervention studies,</w:t>
      </w:r>
      <w:r w:rsidR="00E402E5" w:rsidRPr="002F3E9C">
        <w:rPr>
          <w:rFonts w:cstheme="minorHAnsi"/>
          <w:sz w:val="24"/>
          <w:szCs w:val="24"/>
          <w:lang w:val="en-US"/>
        </w:rPr>
        <w:t xml:space="preserve"> the sample sizes required to have 80% power is shown in Table </w:t>
      </w:r>
      <w:r w:rsidR="00A82727" w:rsidRPr="002F3E9C">
        <w:rPr>
          <w:rFonts w:cstheme="minorHAnsi"/>
          <w:sz w:val="24"/>
          <w:szCs w:val="24"/>
          <w:lang w:val="en-US"/>
        </w:rPr>
        <w:t>3</w:t>
      </w:r>
      <w:r w:rsidR="00E402E5" w:rsidRPr="002F3E9C">
        <w:rPr>
          <w:rFonts w:cstheme="minorHAnsi"/>
          <w:sz w:val="24"/>
          <w:szCs w:val="24"/>
          <w:lang w:val="en-US"/>
        </w:rPr>
        <w:t xml:space="preserve"> for utility loss and fracture outcomes at specific sites.  Sample sizes of less than 3,000 are adequate in the case of utility loss and vertebral fracture but larger sample sizes would be necessary for other fracture outcomes.</w:t>
      </w:r>
    </w:p>
    <w:p w14:paraId="7DB27FCE" w14:textId="2E7997BA" w:rsidR="00583B6B" w:rsidRPr="00DE6189" w:rsidRDefault="00E402E5" w:rsidP="00800CF6">
      <w:pPr>
        <w:spacing w:after="0" w:line="276" w:lineRule="auto"/>
        <w:ind w:right="95"/>
        <w:rPr>
          <w:rFonts w:cstheme="minorHAnsi"/>
          <w:lang w:val="en-US"/>
        </w:rPr>
      </w:pPr>
      <w:r>
        <w:rPr>
          <w:rFonts w:cstheme="minorHAnsi"/>
          <w:lang w:val="en-US"/>
        </w:rPr>
        <w:t xml:space="preserve"> </w:t>
      </w:r>
      <w:r w:rsidR="00800CF6">
        <w:rPr>
          <w:rFonts w:cstheme="minorHAnsi"/>
          <w:lang w:val="en-US"/>
        </w:rPr>
        <w:t xml:space="preserve"> </w:t>
      </w:r>
    </w:p>
    <w:p w14:paraId="34ADAAEC" w14:textId="2E4F7165" w:rsidR="00800CF6" w:rsidRPr="00800CF6" w:rsidRDefault="00800CF6" w:rsidP="00800CF6">
      <w:pPr>
        <w:spacing w:line="276" w:lineRule="auto"/>
        <w:rPr>
          <w:rFonts w:eastAsia="MS Mincho" w:cstheme="minorHAnsi"/>
          <w:iCs/>
        </w:rPr>
      </w:pPr>
      <w:r>
        <w:rPr>
          <w:rFonts w:eastAsia="MS Mincho" w:cstheme="minorHAnsi"/>
          <w:b/>
          <w:iCs/>
        </w:rPr>
        <w:t xml:space="preserve">Table </w:t>
      </w:r>
      <w:r w:rsidR="00A82727">
        <w:rPr>
          <w:rFonts w:eastAsia="MS Mincho" w:cstheme="minorHAnsi"/>
          <w:b/>
          <w:iCs/>
        </w:rPr>
        <w:t>3</w:t>
      </w:r>
      <w:r>
        <w:rPr>
          <w:rFonts w:eastAsia="MS Mincho" w:cstheme="minorHAnsi"/>
          <w:b/>
          <w:iCs/>
        </w:rPr>
        <w:t xml:space="preserve">.  </w:t>
      </w:r>
      <w:r w:rsidRPr="00800CF6">
        <w:rPr>
          <w:rFonts w:eastAsia="MS Mincho" w:cstheme="minorHAnsi"/>
          <w:iCs/>
        </w:rPr>
        <w:t xml:space="preserve">Rank order of probability </w:t>
      </w:r>
      <w:r w:rsidR="00FC02D9">
        <w:rPr>
          <w:rFonts w:eastAsia="MS Mincho" w:cstheme="minorHAnsi"/>
          <w:iCs/>
        </w:rPr>
        <w:t xml:space="preserve">(p) </w:t>
      </w:r>
      <w:r w:rsidRPr="00800CF6">
        <w:rPr>
          <w:rFonts w:eastAsia="MS Mincho" w:cstheme="minorHAnsi"/>
          <w:iCs/>
        </w:rPr>
        <w:t>values for various fracture</w:t>
      </w:r>
      <w:r w:rsidR="00FC02D9">
        <w:rPr>
          <w:rFonts w:eastAsia="MS Mincho" w:cstheme="minorHAnsi"/>
          <w:iCs/>
        </w:rPr>
        <w:t>-</w:t>
      </w:r>
      <w:r w:rsidR="00531D61">
        <w:rPr>
          <w:rFonts w:eastAsia="MS Mincho" w:cstheme="minorHAnsi"/>
          <w:iCs/>
        </w:rPr>
        <w:t xml:space="preserve">related </w:t>
      </w:r>
      <w:r w:rsidRPr="00800CF6">
        <w:rPr>
          <w:rFonts w:eastAsia="MS Mincho" w:cstheme="minorHAnsi"/>
          <w:iCs/>
        </w:rPr>
        <w:t>outcomes</w:t>
      </w:r>
      <w:r w:rsidRPr="00800CF6">
        <w:rPr>
          <w:iCs/>
        </w:rPr>
        <w:t xml:space="preserve"> </w:t>
      </w:r>
      <w:r>
        <w:rPr>
          <w:iCs/>
        </w:rPr>
        <w:t xml:space="preserve">comparing denosumab with placebo </w:t>
      </w:r>
      <w:r w:rsidRPr="00800CF6">
        <w:rPr>
          <w:iCs/>
        </w:rPr>
        <w:t>a</w:t>
      </w:r>
      <w:r>
        <w:rPr>
          <w:iCs/>
        </w:rPr>
        <w:t xml:space="preserve">nd sample size needed in a new study </w:t>
      </w:r>
      <w:r w:rsidRPr="00800CF6">
        <w:rPr>
          <w:rFonts w:eastAsia="MS Mincho" w:cstheme="minorHAnsi"/>
          <w:iCs/>
        </w:rPr>
        <w:t xml:space="preserve">to achieve 80% power using 5% significance level.  </w:t>
      </w:r>
    </w:p>
    <w:tbl>
      <w:tblPr>
        <w:tblStyle w:val="TableGrid"/>
        <w:tblW w:w="0" w:type="auto"/>
        <w:tblLook w:val="04A0" w:firstRow="1" w:lastRow="0" w:firstColumn="1" w:lastColumn="0" w:noHBand="0" w:noVBand="1"/>
      </w:tblPr>
      <w:tblGrid>
        <w:gridCol w:w="4815"/>
        <w:gridCol w:w="1559"/>
        <w:gridCol w:w="284"/>
        <w:gridCol w:w="2074"/>
      </w:tblGrid>
      <w:tr w:rsidR="00800CF6" w:rsidRPr="00DC2A3D" w14:paraId="3BBD7A93" w14:textId="77777777" w:rsidTr="00E402E5">
        <w:tc>
          <w:tcPr>
            <w:tcW w:w="4815" w:type="dxa"/>
          </w:tcPr>
          <w:p w14:paraId="18EB3165" w14:textId="08D104B2" w:rsidR="00800CF6" w:rsidRPr="00AD2C00" w:rsidRDefault="00004BA8" w:rsidP="00E402E5">
            <w:pPr>
              <w:spacing w:line="360" w:lineRule="auto"/>
              <w:rPr>
                <w:rFonts w:eastAsia="MS Mincho" w:cstheme="minorHAnsi"/>
                <w:iCs/>
                <w:sz w:val="20"/>
                <w:szCs w:val="20"/>
                <w:lang w:val="en-US"/>
              </w:rPr>
            </w:pPr>
            <w:r>
              <w:rPr>
                <w:rFonts w:eastAsia="MS Mincho" w:cstheme="minorHAnsi"/>
                <w:iCs/>
                <w:sz w:val="20"/>
                <w:szCs w:val="20"/>
                <w:lang w:val="en-US"/>
              </w:rPr>
              <w:t>Study outcome</w:t>
            </w:r>
          </w:p>
        </w:tc>
        <w:tc>
          <w:tcPr>
            <w:tcW w:w="1559" w:type="dxa"/>
          </w:tcPr>
          <w:p w14:paraId="11D2B1A2" w14:textId="77777777" w:rsidR="00800CF6" w:rsidRPr="00AD2C00" w:rsidRDefault="00800CF6" w:rsidP="00E402E5">
            <w:pPr>
              <w:spacing w:line="360" w:lineRule="auto"/>
              <w:rPr>
                <w:rFonts w:eastAsia="MS Mincho" w:cstheme="minorHAnsi"/>
                <w:iCs/>
                <w:sz w:val="20"/>
                <w:szCs w:val="20"/>
                <w:lang w:val="en-US"/>
              </w:rPr>
            </w:pPr>
            <w:r w:rsidRPr="00AD2C00">
              <w:rPr>
                <w:rFonts w:eastAsia="MS Mincho" w:cstheme="minorHAnsi"/>
                <w:iCs/>
                <w:sz w:val="20"/>
                <w:szCs w:val="20"/>
                <w:lang w:val="en-US"/>
              </w:rPr>
              <w:t>p</w:t>
            </w:r>
          </w:p>
        </w:tc>
        <w:tc>
          <w:tcPr>
            <w:tcW w:w="284" w:type="dxa"/>
          </w:tcPr>
          <w:p w14:paraId="5AF54155" w14:textId="77777777" w:rsidR="00800CF6" w:rsidRPr="00DC2A3D" w:rsidRDefault="00800CF6" w:rsidP="00E402E5">
            <w:pPr>
              <w:spacing w:line="360" w:lineRule="auto"/>
              <w:rPr>
                <w:rFonts w:eastAsia="MS Mincho" w:cstheme="minorHAnsi"/>
                <w:b/>
                <w:iCs/>
                <w:sz w:val="20"/>
                <w:szCs w:val="20"/>
                <w:lang w:val="en-US"/>
              </w:rPr>
            </w:pPr>
          </w:p>
        </w:tc>
        <w:tc>
          <w:tcPr>
            <w:tcW w:w="2074" w:type="dxa"/>
          </w:tcPr>
          <w:p w14:paraId="0DD83D89" w14:textId="77777777" w:rsidR="00800CF6" w:rsidRPr="007B5E50" w:rsidRDefault="00800CF6" w:rsidP="00E402E5">
            <w:pPr>
              <w:spacing w:line="360" w:lineRule="auto"/>
              <w:rPr>
                <w:rFonts w:eastAsia="MS Mincho" w:cstheme="minorHAnsi"/>
                <w:iCs/>
                <w:sz w:val="20"/>
                <w:szCs w:val="20"/>
                <w:lang w:val="en-US"/>
              </w:rPr>
            </w:pPr>
            <w:r>
              <w:rPr>
                <w:rFonts w:eastAsia="MS Mincho" w:cstheme="minorHAnsi"/>
                <w:iCs/>
                <w:sz w:val="20"/>
                <w:szCs w:val="20"/>
                <w:lang w:val="en-US"/>
              </w:rPr>
              <w:t>Sample size</w:t>
            </w:r>
          </w:p>
        </w:tc>
      </w:tr>
      <w:tr w:rsidR="00800CF6" w:rsidRPr="00DC2A3D" w14:paraId="18753336" w14:textId="77777777" w:rsidTr="00E402E5">
        <w:tc>
          <w:tcPr>
            <w:tcW w:w="4815" w:type="dxa"/>
          </w:tcPr>
          <w:p w14:paraId="6F143004" w14:textId="77777777" w:rsidR="00800CF6" w:rsidRPr="00DC2A3D" w:rsidRDefault="00800CF6" w:rsidP="00E402E5">
            <w:pPr>
              <w:spacing w:line="360" w:lineRule="auto"/>
              <w:rPr>
                <w:rFonts w:eastAsia="MS Mincho" w:cstheme="minorHAnsi"/>
                <w:b/>
                <w:iCs/>
                <w:sz w:val="20"/>
                <w:szCs w:val="20"/>
                <w:lang w:val="en-US"/>
              </w:rPr>
            </w:pPr>
            <w:r w:rsidRPr="00DC2A3D">
              <w:rPr>
                <w:sz w:val="20"/>
                <w:szCs w:val="20"/>
                <w:lang w:val="en-US"/>
              </w:rPr>
              <w:t xml:space="preserve">New morphometric vertebral fracture  </w:t>
            </w:r>
          </w:p>
        </w:tc>
        <w:tc>
          <w:tcPr>
            <w:tcW w:w="1559" w:type="dxa"/>
          </w:tcPr>
          <w:p w14:paraId="748308C1" w14:textId="77777777" w:rsidR="00800CF6" w:rsidRPr="00DC2A3D" w:rsidRDefault="00800CF6" w:rsidP="00E402E5">
            <w:pPr>
              <w:spacing w:line="360" w:lineRule="auto"/>
              <w:rPr>
                <w:rFonts w:eastAsia="MS Mincho" w:cstheme="minorHAnsi"/>
                <w:b/>
                <w:iCs/>
                <w:sz w:val="20"/>
                <w:szCs w:val="20"/>
                <w:lang w:val="en-US"/>
              </w:rPr>
            </w:pPr>
            <w:r w:rsidRPr="00154840">
              <w:t>6.0E-27</w:t>
            </w:r>
            <w:r w:rsidRPr="00DC2A3D">
              <w:rPr>
                <w:vertAlign w:val="superscript"/>
              </w:rPr>
              <w:t>a</w:t>
            </w:r>
          </w:p>
        </w:tc>
        <w:tc>
          <w:tcPr>
            <w:tcW w:w="284" w:type="dxa"/>
          </w:tcPr>
          <w:p w14:paraId="61F3C554" w14:textId="77777777" w:rsidR="00800CF6" w:rsidRPr="00DC2A3D" w:rsidRDefault="00800CF6" w:rsidP="00E402E5">
            <w:pPr>
              <w:spacing w:line="360" w:lineRule="auto"/>
              <w:rPr>
                <w:rFonts w:eastAsia="MS Mincho" w:cstheme="minorHAnsi"/>
                <w:b/>
                <w:iCs/>
                <w:sz w:val="20"/>
                <w:szCs w:val="20"/>
                <w:lang w:val="en-US"/>
              </w:rPr>
            </w:pPr>
          </w:p>
        </w:tc>
        <w:tc>
          <w:tcPr>
            <w:tcW w:w="2074" w:type="dxa"/>
          </w:tcPr>
          <w:p w14:paraId="5FE61309" w14:textId="77777777" w:rsidR="00800CF6" w:rsidRPr="00DC2A3D" w:rsidRDefault="00800CF6" w:rsidP="00E402E5">
            <w:pPr>
              <w:spacing w:line="360" w:lineRule="auto"/>
              <w:rPr>
                <w:rFonts w:eastAsia="MS Mincho" w:cstheme="minorHAnsi"/>
                <w:b/>
                <w:iCs/>
                <w:sz w:val="20"/>
                <w:szCs w:val="20"/>
                <w:lang w:val="en-US"/>
              </w:rPr>
            </w:pPr>
            <w:r w:rsidRPr="00154840">
              <w:t>&lt;2</w:t>
            </w:r>
            <w:r>
              <w:t>,</w:t>
            </w:r>
            <w:r w:rsidRPr="00154840">
              <w:t>733</w:t>
            </w:r>
          </w:p>
        </w:tc>
      </w:tr>
      <w:tr w:rsidR="00800CF6" w:rsidRPr="00DC2A3D" w14:paraId="19CB3EBD" w14:textId="77777777" w:rsidTr="00E402E5">
        <w:tc>
          <w:tcPr>
            <w:tcW w:w="4815" w:type="dxa"/>
          </w:tcPr>
          <w:p w14:paraId="633A6A85" w14:textId="77777777" w:rsidR="00800CF6" w:rsidRPr="00DC2A3D" w:rsidRDefault="00800CF6" w:rsidP="00E402E5">
            <w:pPr>
              <w:spacing w:line="360" w:lineRule="auto"/>
              <w:rPr>
                <w:rFonts w:eastAsia="MS Mincho" w:cstheme="minorHAnsi"/>
                <w:b/>
                <w:iCs/>
                <w:sz w:val="20"/>
                <w:szCs w:val="20"/>
                <w:lang w:val="en-US"/>
              </w:rPr>
            </w:pPr>
            <w:r w:rsidRPr="00DC2A3D">
              <w:rPr>
                <w:sz w:val="20"/>
                <w:szCs w:val="20"/>
                <w:lang w:val="en-US"/>
              </w:rPr>
              <w:t>Utility loss (with morphometric vertebral fracture)</w:t>
            </w:r>
          </w:p>
        </w:tc>
        <w:tc>
          <w:tcPr>
            <w:tcW w:w="1559" w:type="dxa"/>
          </w:tcPr>
          <w:p w14:paraId="53154A3B" w14:textId="77777777" w:rsidR="00800CF6" w:rsidRPr="00DC2A3D" w:rsidRDefault="00800CF6" w:rsidP="00E402E5">
            <w:pPr>
              <w:spacing w:line="360" w:lineRule="auto"/>
              <w:rPr>
                <w:rFonts w:eastAsia="MS Mincho" w:cstheme="minorHAnsi"/>
                <w:b/>
                <w:iCs/>
                <w:sz w:val="20"/>
                <w:szCs w:val="20"/>
                <w:lang w:val="en-US"/>
              </w:rPr>
            </w:pPr>
            <w:r w:rsidRPr="004C1C62">
              <w:rPr>
                <w:rFonts w:cstheme="minorHAnsi"/>
                <w:lang w:val="en-US"/>
              </w:rPr>
              <w:t>2.0E-10</w:t>
            </w:r>
          </w:p>
        </w:tc>
        <w:tc>
          <w:tcPr>
            <w:tcW w:w="284" w:type="dxa"/>
          </w:tcPr>
          <w:p w14:paraId="72CD9212" w14:textId="77777777" w:rsidR="00800CF6" w:rsidRPr="00DC2A3D" w:rsidRDefault="00800CF6" w:rsidP="00E402E5">
            <w:pPr>
              <w:spacing w:line="360" w:lineRule="auto"/>
              <w:rPr>
                <w:rFonts w:eastAsia="MS Mincho" w:cstheme="minorHAnsi"/>
                <w:b/>
                <w:iCs/>
                <w:sz w:val="20"/>
                <w:szCs w:val="20"/>
                <w:lang w:val="en-US"/>
              </w:rPr>
            </w:pPr>
          </w:p>
        </w:tc>
        <w:tc>
          <w:tcPr>
            <w:tcW w:w="2074" w:type="dxa"/>
          </w:tcPr>
          <w:p w14:paraId="5369B82B" w14:textId="77777777" w:rsidR="00800CF6" w:rsidRPr="00DC2A3D" w:rsidRDefault="00800CF6" w:rsidP="00E402E5">
            <w:pPr>
              <w:spacing w:line="360" w:lineRule="auto"/>
              <w:rPr>
                <w:rFonts w:eastAsia="MS Mincho" w:cstheme="minorHAnsi"/>
                <w:b/>
                <w:iCs/>
                <w:sz w:val="20"/>
                <w:szCs w:val="20"/>
                <w:lang w:val="en-US"/>
              </w:rPr>
            </w:pPr>
            <w:r w:rsidRPr="004C1C62">
              <w:t>&lt;2</w:t>
            </w:r>
            <w:r>
              <w:t>,</w:t>
            </w:r>
            <w:r w:rsidRPr="004C1C62">
              <w:t>733</w:t>
            </w:r>
          </w:p>
        </w:tc>
      </w:tr>
      <w:tr w:rsidR="00800CF6" w:rsidRPr="00DC2A3D" w14:paraId="6E119344" w14:textId="77777777" w:rsidTr="00E402E5">
        <w:tc>
          <w:tcPr>
            <w:tcW w:w="4815" w:type="dxa"/>
          </w:tcPr>
          <w:p w14:paraId="25328877" w14:textId="77777777" w:rsidR="00800CF6" w:rsidRPr="00DC2A3D" w:rsidRDefault="00800CF6" w:rsidP="00E402E5">
            <w:pPr>
              <w:spacing w:line="360" w:lineRule="auto"/>
              <w:rPr>
                <w:sz w:val="20"/>
                <w:szCs w:val="20"/>
                <w:lang w:val="en-US"/>
              </w:rPr>
            </w:pPr>
            <w:r w:rsidRPr="00DC2A3D">
              <w:rPr>
                <w:sz w:val="20"/>
                <w:szCs w:val="20"/>
                <w:lang w:val="en-US"/>
              </w:rPr>
              <w:t>Clinical vertebral fracture</w:t>
            </w:r>
          </w:p>
        </w:tc>
        <w:tc>
          <w:tcPr>
            <w:tcW w:w="1559" w:type="dxa"/>
          </w:tcPr>
          <w:p w14:paraId="1EAA12BA" w14:textId="77777777" w:rsidR="00800CF6" w:rsidRPr="00DC2A3D" w:rsidRDefault="00800CF6" w:rsidP="00E402E5">
            <w:pPr>
              <w:spacing w:line="360" w:lineRule="auto"/>
              <w:rPr>
                <w:rFonts w:eastAsia="MS Mincho" w:cstheme="minorHAnsi"/>
                <w:b/>
                <w:iCs/>
                <w:sz w:val="20"/>
                <w:szCs w:val="20"/>
                <w:lang w:val="en-US"/>
              </w:rPr>
            </w:pPr>
            <w:r w:rsidRPr="00154840">
              <w:t>1.6E-7</w:t>
            </w:r>
            <w:r w:rsidRPr="00AD2C00">
              <w:rPr>
                <w:vertAlign w:val="superscript"/>
              </w:rPr>
              <w:t>a</w:t>
            </w:r>
          </w:p>
        </w:tc>
        <w:tc>
          <w:tcPr>
            <w:tcW w:w="284" w:type="dxa"/>
          </w:tcPr>
          <w:p w14:paraId="7D9D26B5" w14:textId="77777777" w:rsidR="00800CF6" w:rsidRPr="00DC2A3D" w:rsidRDefault="00800CF6" w:rsidP="00E402E5">
            <w:pPr>
              <w:spacing w:line="360" w:lineRule="auto"/>
              <w:rPr>
                <w:rFonts w:eastAsia="MS Mincho" w:cstheme="minorHAnsi"/>
                <w:b/>
                <w:iCs/>
                <w:sz w:val="20"/>
                <w:szCs w:val="20"/>
                <w:lang w:val="en-US"/>
              </w:rPr>
            </w:pPr>
          </w:p>
        </w:tc>
        <w:tc>
          <w:tcPr>
            <w:tcW w:w="2074" w:type="dxa"/>
          </w:tcPr>
          <w:p w14:paraId="10E2F65A" w14:textId="77777777" w:rsidR="00800CF6" w:rsidRPr="00DC2A3D" w:rsidRDefault="00800CF6" w:rsidP="00E402E5">
            <w:pPr>
              <w:spacing w:line="360" w:lineRule="auto"/>
              <w:rPr>
                <w:rFonts w:eastAsia="MS Mincho" w:cstheme="minorHAnsi"/>
                <w:b/>
                <w:iCs/>
                <w:sz w:val="20"/>
                <w:szCs w:val="20"/>
                <w:lang w:val="en-US"/>
              </w:rPr>
            </w:pPr>
            <w:r w:rsidRPr="00154840">
              <w:t>&lt;2</w:t>
            </w:r>
            <w:r>
              <w:t>,</w:t>
            </w:r>
            <w:r w:rsidRPr="00154840">
              <w:t>733</w:t>
            </w:r>
          </w:p>
        </w:tc>
      </w:tr>
      <w:tr w:rsidR="00800CF6" w:rsidRPr="00DC2A3D" w14:paraId="37B50986" w14:textId="77777777" w:rsidTr="00E402E5">
        <w:tc>
          <w:tcPr>
            <w:tcW w:w="4815" w:type="dxa"/>
          </w:tcPr>
          <w:p w14:paraId="334B76DD" w14:textId="77777777" w:rsidR="00800CF6" w:rsidRPr="00DC2A3D" w:rsidRDefault="00800CF6" w:rsidP="00E402E5">
            <w:pPr>
              <w:spacing w:line="360" w:lineRule="auto"/>
              <w:rPr>
                <w:rFonts w:eastAsia="MS Mincho" w:cstheme="minorHAnsi"/>
                <w:b/>
                <w:iCs/>
                <w:sz w:val="20"/>
                <w:szCs w:val="20"/>
                <w:lang w:val="en-US"/>
              </w:rPr>
            </w:pPr>
            <w:r w:rsidRPr="00DC2A3D">
              <w:rPr>
                <w:rFonts w:eastAsia="Batang" w:cstheme="minorHAnsi"/>
                <w:sz w:val="20"/>
                <w:szCs w:val="20"/>
                <w:lang w:val="en-US"/>
              </w:rPr>
              <w:t>Utility loss (without morphometric vertebral fracture)</w:t>
            </w:r>
          </w:p>
        </w:tc>
        <w:tc>
          <w:tcPr>
            <w:tcW w:w="1559" w:type="dxa"/>
          </w:tcPr>
          <w:p w14:paraId="711BCA22" w14:textId="77777777" w:rsidR="00800CF6" w:rsidRPr="00DC2A3D" w:rsidRDefault="00800CF6" w:rsidP="00E402E5">
            <w:pPr>
              <w:spacing w:line="360" w:lineRule="auto"/>
              <w:rPr>
                <w:rFonts w:eastAsia="MS Mincho" w:cstheme="minorHAnsi"/>
                <w:b/>
                <w:iCs/>
                <w:sz w:val="20"/>
                <w:szCs w:val="20"/>
                <w:lang w:val="en-US"/>
              </w:rPr>
            </w:pPr>
            <w:r w:rsidRPr="004C1C62">
              <w:rPr>
                <w:rFonts w:cstheme="minorHAnsi"/>
                <w:lang w:val="en-US"/>
              </w:rPr>
              <w:t>8.6E-7</w:t>
            </w:r>
          </w:p>
        </w:tc>
        <w:tc>
          <w:tcPr>
            <w:tcW w:w="284" w:type="dxa"/>
          </w:tcPr>
          <w:p w14:paraId="52266FFD" w14:textId="77777777" w:rsidR="00800CF6" w:rsidRPr="00DC2A3D" w:rsidRDefault="00800CF6" w:rsidP="00E402E5">
            <w:pPr>
              <w:spacing w:line="360" w:lineRule="auto"/>
              <w:rPr>
                <w:rFonts w:eastAsia="MS Mincho" w:cstheme="minorHAnsi"/>
                <w:b/>
                <w:iCs/>
                <w:sz w:val="20"/>
                <w:szCs w:val="20"/>
                <w:lang w:val="en-US"/>
              </w:rPr>
            </w:pPr>
          </w:p>
        </w:tc>
        <w:tc>
          <w:tcPr>
            <w:tcW w:w="2074" w:type="dxa"/>
          </w:tcPr>
          <w:p w14:paraId="27A31DA5" w14:textId="77777777" w:rsidR="00800CF6" w:rsidRPr="00DC2A3D" w:rsidRDefault="00800CF6" w:rsidP="00E402E5">
            <w:pPr>
              <w:spacing w:line="360" w:lineRule="auto"/>
              <w:rPr>
                <w:rFonts w:eastAsia="MS Mincho" w:cstheme="minorHAnsi"/>
                <w:b/>
                <w:iCs/>
                <w:sz w:val="20"/>
                <w:szCs w:val="20"/>
                <w:lang w:val="en-US"/>
              </w:rPr>
            </w:pPr>
            <w:r w:rsidRPr="004C1C62">
              <w:t>&lt;2</w:t>
            </w:r>
            <w:r>
              <w:t>,</w:t>
            </w:r>
            <w:r w:rsidRPr="004C1C62">
              <w:t>733</w:t>
            </w:r>
          </w:p>
        </w:tc>
      </w:tr>
      <w:tr w:rsidR="00800CF6" w:rsidRPr="00DC2A3D" w14:paraId="1A742F14" w14:textId="77777777" w:rsidTr="00E402E5">
        <w:tc>
          <w:tcPr>
            <w:tcW w:w="4815" w:type="dxa"/>
          </w:tcPr>
          <w:p w14:paraId="373B3791" w14:textId="77777777" w:rsidR="00800CF6" w:rsidRPr="00DC2A3D" w:rsidRDefault="00800CF6" w:rsidP="00E402E5">
            <w:pPr>
              <w:spacing w:line="360" w:lineRule="auto"/>
              <w:rPr>
                <w:rFonts w:eastAsia="MS Mincho" w:cstheme="minorHAnsi"/>
                <w:b/>
                <w:iCs/>
                <w:sz w:val="20"/>
                <w:szCs w:val="20"/>
                <w:lang w:val="en-US"/>
              </w:rPr>
            </w:pPr>
            <w:r w:rsidRPr="00DC2A3D">
              <w:rPr>
                <w:rFonts w:eastAsia="Batang" w:cstheme="minorHAnsi"/>
                <w:sz w:val="20"/>
                <w:szCs w:val="20"/>
                <w:lang w:val="en-US"/>
              </w:rPr>
              <w:t>Multiple morphometric vertebral fracture</w:t>
            </w:r>
          </w:p>
        </w:tc>
        <w:tc>
          <w:tcPr>
            <w:tcW w:w="1559" w:type="dxa"/>
          </w:tcPr>
          <w:p w14:paraId="75CF8000" w14:textId="77777777" w:rsidR="00800CF6" w:rsidRPr="00DC2A3D" w:rsidRDefault="00800CF6" w:rsidP="00E402E5">
            <w:pPr>
              <w:spacing w:line="360" w:lineRule="auto"/>
              <w:rPr>
                <w:rFonts w:eastAsia="MS Mincho" w:cstheme="minorHAnsi"/>
                <w:b/>
                <w:iCs/>
                <w:sz w:val="20"/>
                <w:szCs w:val="20"/>
                <w:lang w:val="en-US"/>
              </w:rPr>
            </w:pPr>
            <w:r w:rsidRPr="00154840">
              <w:t>1.5E-4</w:t>
            </w:r>
            <w:r w:rsidRPr="00AD2C00">
              <w:rPr>
                <w:vertAlign w:val="superscript"/>
              </w:rPr>
              <w:t>a</w:t>
            </w:r>
          </w:p>
        </w:tc>
        <w:tc>
          <w:tcPr>
            <w:tcW w:w="284" w:type="dxa"/>
          </w:tcPr>
          <w:p w14:paraId="346E8765" w14:textId="77777777" w:rsidR="00800CF6" w:rsidRPr="00DC2A3D" w:rsidRDefault="00800CF6" w:rsidP="00E402E5">
            <w:pPr>
              <w:spacing w:line="360" w:lineRule="auto"/>
              <w:rPr>
                <w:rFonts w:eastAsia="MS Mincho" w:cstheme="minorHAnsi"/>
                <w:b/>
                <w:iCs/>
                <w:sz w:val="20"/>
                <w:szCs w:val="20"/>
                <w:lang w:val="en-US"/>
              </w:rPr>
            </w:pPr>
          </w:p>
        </w:tc>
        <w:tc>
          <w:tcPr>
            <w:tcW w:w="2074" w:type="dxa"/>
          </w:tcPr>
          <w:p w14:paraId="0F4D103A" w14:textId="77777777" w:rsidR="00800CF6" w:rsidRPr="00DC2A3D" w:rsidRDefault="00800CF6" w:rsidP="00E402E5">
            <w:pPr>
              <w:spacing w:line="360" w:lineRule="auto"/>
              <w:rPr>
                <w:rFonts w:eastAsia="MS Mincho" w:cstheme="minorHAnsi"/>
                <w:b/>
                <w:iCs/>
                <w:sz w:val="20"/>
                <w:szCs w:val="20"/>
                <w:lang w:val="en-US"/>
              </w:rPr>
            </w:pPr>
            <w:r w:rsidRPr="00154840">
              <w:t>4</w:t>
            </w:r>
            <w:r>
              <w:t>,</w:t>
            </w:r>
            <w:r w:rsidRPr="00154840">
              <w:t>216</w:t>
            </w:r>
          </w:p>
        </w:tc>
      </w:tr>
      <w:tr w:rsidR="00800CF6" w:rsidRPr="00DC2A3D" w14:paraId="4F865671" w14:textId="77777777" w:rsidTr="00E402E5">
        <w:tc>
          <w:tcPr>
            <w:tcW w:w="4815" w:type="dxa"/>
          </w:tcPr>
          <w:p w14:paraId="763ED9F8" w14:textId="77777777" w:rsidR="00800CF6" w:rsidRPr="00DC2A3D" w:rsidRDefault="00800CF6" w:rsidP="00E402E5">
            <w:pPr>
              <w:spacing w:line="360" w:lineRule="auto"/>
              <w:rPr>
                <w:rFonts w:eastAsia="MS Mincho" w:cstheme="minorHAnsi"/>
                <w:b/>
                <w:iCs/>
                <w:sz w:val="20"/>
                <w:szCs w:val="20"/>
                <w:lang w:val="en-US"/>
              </w:rPr>
            </w:pPr>
            <w:r w:rsidRPr="00DC2A3D">
              <w:rPr>
                <w:rFonts w:eastAsia="Batang" w:cstheme="minorHAnsi"/>
                <w:sz w:val="20"/>
                <w:szCs w:val="20"/>
                <w:lang w:val="en-US"/>
              </w:rPr>
              <w:t>Nonvertebral fracture</w:t>
            </w:r>
          </w:p>
        </w:tc>
        <w:tc>
          <w:tcPr>
            <w:tcW w:w="1559" w:type="dxa"/>
          </w:tcPr>
          <w:p w14:paraId="643CF8C7" w14:textId="77777777" w:rsidR="00800CF6" w:rsidRPr="00DC2A3D" w:rsidRDefault="00800CF6" w:rsidP="00E402E5">
            <w:pPr>
              <w:spacing w:line="360" w:lineRule="auto"/>
              <w:rPr>
                <w:rFonts w:eastAsia="MS Mincho" w:cstheme="minorHAnsi"/>
                <w:b/>
                <w:iCs/>
                <w:sz w:val="20"/>
                <w:szCs w:val="20"/>
                <w:lang w:val="en-US"/>
              </w:rPr>
            </w:pPr>
            <w:r w:rsidRPr="00154840">
              <w:t>0.01</w:t>
            </w:r>
          </w:p>
        </w:tc>
        <w:tc>
          <w:tcPr>
            <w:tcW w:w="284" w:type="dxa"/>
          </w:tcPr>
          <w:p w14:paraId="1220C389" w14:textId="77777777" w:rsidR="00800CF6" w:rsidRPr="00DC2A3D" w:rsidRDefault="00800CF6" w:rsidP="00E402E5">
            <w:pPr>
              <w:spacing w:line="360" w:lineRule="auto"/>
              <w:rPr>
                <w:rFonts w:eastAsia="MS Mincho" w:cstheme="minorHAnsi"/>
                <w:b/>
                <w:iCs/>
                <w:sz w:val="20"/>
                <w:szCs w:val="20"/>
                <w:lang w:val="en-US"/>
              </w:rPr>
            </w:pPr>
          </w:p>
        </w:tc>
        <w:tc>
          <w:tcPr>
            <w:tcW w:w="2074" w:type="dxa"/>
          </w:tcPr>
          <w:p w14:paraId="0DFA1F10" w14:textId="77777777" w:rsidR="00800CF6" w:rsidRPr="00DC2A3D" w:rsidRDefault="00800CF6" w:rsidP="00E402E5">
            <w:pPr>
              <w:spacing w:line="360" w:lineRule="auto"/>
              <w:rPr>
                <w:rFonts w:eastAsia="MS Mincho" w:cstheme="minorHAnsi"/>
                <w:b/>
                <w:iCs/>
                <w:sz w:val="20"/>
                <w:szCs w:val="20"/>
                <w:lang w:val="en-US"/>
              </w:rPr>
            </w:pPr>
            <w:r w:rsidRPr="00154840">
              <w:t>9</w:t>
            </w:r>
            <w:r>
              <w:t>,</w:t>
            </w:r>
            <w:r w:rsidRPr="00154840">
              <w:t>213</w:t>
            </w:r>
          </w:p>
        </w:tc>
      </w:tr>
      <w:tr w:rsidR="00800CF6" w:rsidRPr="00DC2A3D" w14:paraId="0BEFC4B4" w14:textId="77777777" w:rsidTr="00E402E5">
        <w:tc>
          <w:tcPr>
            <w:tcW w:w="4815" w:type="dxa"/>
          </w:tcPr>
          <w:p w14:paraId="6FAF1EA4" w14:textId="77777777" w:rsidR="00800CF6" w:rsidRPr="00DC2A3D" w:rsidRDefault="00800CF6" w:rsidP="00E402E5">
            <w:pPr>
              <w:spacing w:line="360" w:lineRule="auto"/>
              <w:rPr>
                <w:rFonts w:eastAsia="MS Mincho" w:cstheme="minorHAnsi"/>
                <w:b/>
                <w:iCs/>
                <w:sz w:val="20"/>
                <w:szCs w:val="20"/>
                <w:lang w:val="en-US"/>
              </w:rPr>
            </w:pPr>
            <w:r w:rsidRPr="00DC2A3D">
              <w:rPr>
                <w:rFonts w:eastAsia="Batang" w:cstheme="minorHAnsi"/>
                <w:sz w:val="20"/>
                <w:szCs w:val="20"/>
                <w:lang w:val="en-US"/>
              </w:rPr>
              <w:t>Hip fracture</w:t>
            </w:r>
          </w:p>
        </w:tc>
        <w:tc>
          <w:tcPr>
            <w:tcW w:w="1559" w:type="dxa"/>
          </w:tcPr>
          <w:p w14:paraId="2C376181" w14:textId="77777777" w:rsidR="00800CF6" w:rsidRPr="00DC2A3D" w:rsidRDefault="00800CF6" w:rsidP="00E402E5">
            <w:pPr>
              <w:spacing w:line="360" w:lineRule="auto"/>
              <w:rPr>
                <w:rFonts w:eastAsia="MS Mincho" w:cstheme="minorHAnsi"/>
                <w:b/>
                <w:iCs/>
                <w:sz w:val="20"/>
                <w:szCs w:val="20"/>
                <w:lang w:val="en-US"/>
              </w:rPr>
            </w:pPr>
            <w:r w:rsidRPr="00154840">
              <w:t>0.04</w:t>
            </w:r>
          </w:p>
        </w:tc>
        <w:tc>
          <w:tcPr>
            <w:tcW w:w="284" w:type="dxa"/>
          </w:tcPr>
          <w:p w14:paraId="63A4694E" w14:textId="77777777" w:rsidR="00800CF6" w:rsidRPr="00DC2A3D" w:rsidRDefault="00800CF6" w:rsidP="00E402E5">
            <w:pPr>
              <w:spacing w:line="360" w:lineRule="auto"/>
              <w:rPr>
                <w:rFonts w:eastAsia="MS Mincho" w:cstheme="minorHAnsi"/>
                <w:b/>
                <w:iCs/>
                <w:sz w:val="20"/>
                <w:szCs w:val="20"/>
                <w:lang w:val="en-US"/>
              </w:rPr>
            </w:pPr>
          </w:p>
        </w:tc>
        <w:tc>
          <w:tcPr>
            <w:tcW w:w="2074" w:type="dxa"/>
          </w:tcPr>
          <w:p w14:paraId="3568AE34" w14:textId="77777777" w:rsidR="00800CF6" w:rsidRPr="00DC2A3D" w:rsidRDefault="00800CF6" w:rsidP="00E402E5">
            <w:pPr>
              <w:spacing w:line="360" w:lineRule="auto"/>
              <w:rPr>
                <w:rFonts w:eastAsia="MS Mincho" w:cstheme="minorHAnsi"/>
                <w:b/>
                <w:iCs/>
                <w:sz w:val="20"/>
                <w:szCs w:val="20"/>
                <w:lang w:val="en-US"/>
              </w:rPr>
            </w:pPr>
            <w:r w:rsidRPr="00154840">
              <w:t>14</w:t>
            </w:r>
            <w:r>
              <w:t>,</w:t>
            </w:r>
            <w:r w:rsidRPr="00154840">
              <w:t>523</w:t>
            </w:r>
          </w:p>
        </w:tc>
      </w:tr>
      <w:tr w:rsidR="00800CF6" w:rsidRPr="00DC2A3D" w14:paraId="7D4ABCD7" w14:textId="77777777" w:rsidTr="00E402E5">
        <w:tc>
          <w:tcPr>
            <w:tcW w:w="8732" w:type="dxa"/>
            <w:gridSpan w:val="4"/>
          </w:tcPr>
          <w:p w14:paraId="0859EFA2" w14:textId="5ABBBA29" w:rsidR="00800CF6" w:rsidRPr="00DC2A3D" w:rsidRDefault="00800CF6" w:rsidP="00E402E5">
            <w:pPr>
              <w:spacing w:line="360" w:lineRule="auto"/>
              <w:rPr>
                <w:rFonts w:eastAsia="MS Mincho" w:cstheme="minorHAnsi"/>
                <w:b/>
                <w:iCs/>
                <w:sz w:val="20"/>
                <w:szCs w:val="20"/>
                <w:lang w:val="en-US"/>
              </w:rPr>
            </w:pPr>
            <w:r w:rsidRPr="00DC2A3D">
              <w:rPr>
                <w:rFonts w:eastAsia="MS Mincho" w:cstheme="minorHAnsi"/>
                <w:iCs/>
                <w:vertAlign w:val="superscript"/>
                <w:lang w:val="en-US"/>
              </w:rPr>
              <w:t>a</w:t>
            </w:r>
            <w:r w:rsidRPr="00DC2A3D">
              <w:rPr>
                <w:rFonts w:eastAsia="MS Mincho" w:cstheme="minorHAnsi"/>
                <w:iCs/>
                <w:lang w:val="en-US"/>
              </w:rPr>
              <w:t xml:space="preserve"> Calculated</w:t>
            </w:r>
            <w:r>
              <w:rPr>
                <w:rFonts w:eastAsia="MS Mincho" w:cstheme="minorHAnsi"/>
                <w:iCs/>
                <w:lang w:val="en-US"/>
              </w:rPr>
              <w:t xml:space="preserve"> from </w:t>
            </w:r>
            <w:bookmarkStart w:id="11" w:name="_Hlk497492414"/>
            <w:r w:rsidR="00566FDD">
              <w:rPr>
                <w:rFonts w:eastAsia="MS Mincho" w:cstheme="minorHAnsi"/>
                <w:iCs/>
                <w:lang w:val="en-US"/>
              </w:rPr>
              <w:t>h</w:t>
            </w:r>
            <w:r>
              <w:rPr>
                <w:rFonts w:eastAsia="MS Mincho" w:cstheme="minorHAnsi"/>
                <w:iCs/>
                <w:lang w:val="en-US"/>
              </w:rPr>
              <w:t xml:space="preserve">azard ratio and confidence interval given in </w:t>
            </w:r>
            <w:r w:rsidR="00532EA5">
              <w:rPr>
                <w:sz w:val="24"/>
                <w:szCs w:val="24"/>
              </w:rPr>
              <w:t>[16]</w:t>
            </w:r>
            <w:r>
              <w:rPr>
                <w:rFonts w:eastAsia="MS Mincho" w:cstheme="minorHAnsi"/>
                <w:iCs/>
                <w:lang w:val="en-US"/>
              </w:rPr>
              <w:t>.</w:t>
            </w:r>
            <w:bookmarkEnd w:id="11"/>
            <w:r>
              <w:rPr>
                <w:rFonts w:eastAsia="MS Mincho" w:cstheme="minorHAnsi"/>
                <w:iCs/>
                <w:lang w:val="en-US"/>
              </w:rPr>
              <w:t xml:space="preserve"> </w:t>
            </w:r>
          </w:p>
        </w:tc>
      </w:tr>
    </w:tbl>
    <w:p w14:paraId="6233B023" w14:textId="0E19BF1F" w:rsidR="00800CF6" w:rsidRPr="00800CF6" w:rsidRDefault="00800CF6" w:rsidP="00DE6189">
      <w:pPr>
        <w:spacing w:line="360" w:lineRule="auto"/>
        <w:rPr>
          <w:rFonts w:eastAsia="MS Mincho" w:cstheme="minorHAnsi"/>
          <w:b/>
          <w:iCs/>
          <w:lang w:val="en-US"/>
        </w:rPr>
      </w:pPr>
    </w:p>
    <w:p w14:paraId="0F838641" w14:textId="77777777" w:rsidR="00800CF6" w:rsidRDefault="00800CF6" w:rsidP="00DE6189">
      <w:pPr>
        <w:spacing w:line="360" w:lineRule="auto"/>
        <w:rPr>
          <w:rFonts w:eastAsia="MS Mincho" w:cstheme="minorHAnsi"/>
          <w:b/>
          <w:iCs/>
        </w:rPr>
      </w:pPr>
    </w:p>
    <w:p w14:paraId="5EA04B78" w14:textId="77777777" w:rsidR="006A3ABA" w:rsidRDefault="006A3ABA" w:rsidP="00C85629">
      <w:pPr>
        <w:spacing w:line="276" w:lineRule="auto"/>
        <w:rPr>
          <w:rFonts w:eastAsia="MS Mincho" w:cstheme="minorHAnsi"/>
          <w:b/>
          <w:iCs/>
          <w:sz w:val="28"/>
          <w:szCs w:val="28"/>
        </w:rPr>
      </w:pPr>
    </w:p>
    <w:p w14:paraId="665D6059" w14:textId="2C65F622" w:rsidR="00DE6189" w:rsidRPr="006A3ABA" w:rsidRDefault="00DE6189" w:rsidP="00C85629">
      <w:pPr>
        <w:spacing w:line="276" w:lineRule="auto"/>
        <w:rPr>
          <w:rFonts w:eastAsia="MS Mincho" w:cstheme="minorHAnsi"/>
          <w:b/>
          <w:iCs/>
          <w:sz w:val="28"/>
          <w:szCs w:val="28"/>
        </w:rPr>
      </w:pPr>
      <w:r w:rsidRPr="006A3ABA">
        <w:rPr>
          <w:rFonts w:eastAsia="MS Mincho" w:cstheme="minorHAnsi"/>
          <w:b/>
          <w:iCs/>
          <w:sz w:val="28"/>
          <w:szCs w:val="28"/>
        </w:rPr>
        <w:lastRenderedPageBreak/>
        <w:t>Discussion</w:t>
      </w:r>
    </w:p>
    <w:p w14:paraId="60C2AAAF" w14:textId="48DB1811" w:rsidR="001E165D" w:rsidRPr="00103003" w:rsidRDefault="00E402E5" w:rsidP="00103003">
      <w:pPr>
        <w:spacing w:after="0" w:line="276" w:lineRule="auto"/>
        <w:rPr>
          <w:rFonts w:cstheme="minorHAnsi"/>
          <w:sz w:val="24"/>
          <w:szCs w:val="24"/>
        </w:rPr>
      </w:pPr>
      <w:r w:rsidRPr="00103003">
        <w:rPr>
          <w:rFonts w:cstheme="minorHAnsi"/>
          <w:sz w:val="24"/>
          <w:szCs w:val="24"/>
          <w:lang w:val="en-US"/>
        </w:rPr>
        <w:t xml:space="preserve">The </w:t>
      </w:r>
      <w:r w:rsidR="00B90C3F" w:rsidRPr="00103003">
        <w:rPr>
          <w:rFonts w:cstheme="minorHAnsi"/>
          <w:sz w:val="24"/>
          <w:szCs w:val="24"/>
          <w:lang w:val="en-US"/>
        </w:rPr>
        <w:t xml:space="preserve">present </w:t>
      </w:r>
      <w:r w:rsidR="004F6A17" w:rsidRPr="00103003">
        <w:rPr>
          <w:rFonts w:cstheme="minorHAnsi"/>
          <w:sz w:val="24"/>
          <w:szCs w:val="24"/>
          <w:lang w:val="en-US"/>
        </w:rPr>
        <w:t xml:space="preserve">study provides a framework whereby efficacy can be evaluated </w:t>
      </w:r>
      <w:r w:rsidR="00E4072B" w:rsidRPr="00103003">
        <w:rPr>
          <w:rFonts w:cstheme="minorHAnsi"/>
          <w:sz w:val="24"/>
          <w:szCs w:val="24"/>
          <w:lang w:val="en-US"/>
        </w:rPr>
        <w:t xml:space="preserve">by utility loss </w:t>
      </w:r>
      <w:r w:rsidR="004F6A17" w:rsidRPr="00103003">
        <w:rPr>
          <w:rFonts w:cstheme="minorHAnsi"/>
          <w:sz w:val="24"/>
          <w:szCs w:val="24"/>
          <w:lang w:val="en-US"/>
        </w:rPr>
        <w:t xml:space="preserve">in phase 3 intervention studies of osteoporosis in addition to the more traditional end points.  The approach has the merit of providing </w:t>
      </w:r>
      <w:r w:rsidR="004F6A17" w:rsidRPr="00103003">
        <w:rPr>
          <w:rFonts w:cstheme="minorHAnsi"/>
          <w:sz w:val="24"/>
          <w:szCs w:val="24"/>
        </w:rPr>
        <w:t>an integrated estimate of efficacy that combine</w:t>
      </w:r>
      <w:r w:rsidR="00FA1A0C" w:rsidRPr="00103003">
        <w:rPr>
          <w:rFonts w:cstheme="minorHAnsi"/>
          <w:sz w:val="24"/>
          <w:szCs w:val="24"/>
        </w:rPr>
        <w:t>s</w:t>
      </w:r>
      <w:r w:rsidR="004F6A17" w:rsidRPr="00103003">
        <w:rPr>
          <w:rFonts w:cstheme="minorHAnsi"/>
          <w:sz w:val="24"/>
          <w:szCs w:val="24"/>
        </w:rPr>
        <w:t xml:space="preserve"> all fracture outcomes of clinical relevance</w:t>
      </w:r>
      <w:r w:rsidR="00E4072B" w:rsidRPr="00103003">
        <w:rPr>
          <w:rFonts w:cstheme="minorHAnsi"/>
          <w:sz w:val="24"/>
          <w:szCs w:val="24"/>
        </w:rPr>
        <w:t>,</w:t>
      </w:r>
      <w:r w:rsidR="004F6A17" w:rsidRPr="00103003">
        <w:rPr>
          <w:rFonts w:cstheme="minorHAnsi"/>
          <w:sz w:val="24"/>
          <w:szCs w:val="24"/>
        </w:rPr>
        <w:t xml:space="preserve"> weighted according to the utility loss </w:t>
      </w:r>
      <w:r w:rsidR="00FA1A0C" w:rsidRPr="00103003">
        <w:rPr>
          <w:rFonts w:cstheme="minorHAnsi"/>
          <w:sz w:val="24"/>
          <w:szCs w:val="24"/>
        </w:rPr>
        <w:t>occasioned</w:t>
      </w:r>
      <w:r w:rsidR="004F6A17" w:rsidRPr="00103003">
        <w:rPr>
          <w:rFonts w:cstheme="minorHAnsi"/>
          <w:sz w:val="24"/>
          <w:szCs w:val="24"/>
        </w:rPr>
        <w:t xml:space="preserve"> by each fracture event</w:t>
      </w:r>
      <w:r w:rsidR="00FA1A0C" w:rsidRPr="00103003">
        <w:rPr>
          <w:rFonts w:cstheme="minorHAnsi"/>
          <w:sz w:val="24"/>
          <w:szCs w:val="24"/>
        </w:rPr>
        <w:t>.  In the present study, treatment with denosumab was associated with a 42 % lower loss of utility than treatment with placebo</w:t>
      </w:r>
      <w:r w:rsidR="00521E23" w:rsidRPr="00103003">
        <w:rPr>
          <w:rFonts w:cstheme="minorHAnsi"/>
          <w:sz w:val="24"/>
          <w:szCs w:val="24"/>
        </w:rPr>
        <w:t xml:space="preserve">.  </w:t>
      </w:r>
      <w:r w:rsidR="00FA1A0C" w:rsidRPr="00103003">
        <w:rPr>
          <w:rFonts w:cstheme="minorHAnsi"/>
          <w:sz w:val="24"/>
          <w:szCs w:val="24"/>
        </w:rPr>
        <w:t>A further characteristic is that the application of the technique does not require larger sample sizes than those needed for specific fracture outcomes</w:t>
      </w:r>
      <w:r w:rsidR="00521E23" w:rsidRPr="00103003">
        <w:rPr>
          <w:rFonts w:cstheme="minorHAnsi"/>
          <w:sz w:val="24"/>
          <w:szCs w:val="24"/>
        </w:rPr>
        <w:t xml:space="preserve">.  </w:t>
      </w:r>
      <w:r w:rsidR="00FA1A0C" w:rsidRPr="00103003">
        <w:rPr>
          <w:rFonts w:cstheme="minorHAnsi"/>
          <w:sz w:val="24"/>
          <w:szCs w:val="24"/>
        </w:rPr>
        <w:t>Indeed, the converse is true for several fracture outcomes.  For example, the samp</w:t>
      </w:r>
      <w:r w:rsidR="001E165D" w:rsidRPr="00103003">
        <w:rPr>
          <w:rFonts w:cstheme="minorHAnsi"/>
          <w:sz w:val="24"/>
          <w:szCs w:val="24"/>
        </w:rPr>
        <w:t>l</w:t>
      </w:r>
      <w:r w:rsidR="00FA1A0C" w:rsidRPr="00103003">
        <w:rPr>
          <w:rFonts w:cstheme="minorHAnsi"/>
          <w:sz w:val="24"/>
          <w:szCs w:val="24"/>
        </w:rPr>
        <w:t xml:space="preserve">e size required to </w:t>
      </w:r>
      <w:r w:rsidR="001E165D" w:rsidRPr="00103003">
        <w:rPr>
          <w:rFonts w:cstheme="minorHAnsi"/>
          <w:sz w:val="24"/>
          <w:szCs w:val="24"/>
        </w:rPr>
        <w:t>determine a significant effect of denosumab on hip fracture with 80 % power would be in the order of 15,000 patients whereas for a utility outcome</w:t>
      </w:r>
      <w:r w:rsidR="00807E91">
        <w:rPr>
          <w:rFonts w:cstheme="minorHAnsi"/>
          <w:sz w:val="24"/>
          <w:szCs w:val="24"/>
        </w:rPr>
        <w:t xml:space="preserve"> occasioned by hip fracture</w:t>
      </w:r>
      <w:r w:rsidR="001E165D" w:rsidRPr="00103003">
        <w:rPr>
          <w:rFonts w:cstheme="minorHAnsi"/>
          <w:sz w:val="24"/>
          <w:szCs w:val="24"/>
        </w:rPr>
        <w:t>, less than 3000 patients would be required.</w:t>
      </w:r>
    </w:p>
    <w:p w14:paraId="3910C395" w14:textId="77777777" w:rsidR="00C85629" w:rsidRPr="00103003" w:rsidRDefault="00C85629" w:rsidP="00103003">
      <w:pPr>
        <w:spacing w:after="0" w:line="276" w:lineRule="auto"/>
        <w:rPr>
          <w:rFonts w:cstheme="minorHAnsi"/>
          <w:sz w:val="24"/>
          <w:szCs w:val="24"/>
        </w:rPr>
      </w:pPr>
    </w:p>
    <w:p w14:paraId="535AC088" w14:textId="633A3743" w:rsidR="008D641C" w:rsidRDefault="001E165D" w:rsidP="00630413">
      <w:pPr>
        <w:spacing w:after="0" w:line="276" w:lineRule="auto"/>
        <w:rPr>
          <w:rFonts w:cstheme="minorHAnsi"/>
        </w:rPr>
      </w:pPr>
      <w:r w:rsidRPr="00630413">
        <w:rPr>
          <w:rFonts w:cstheme="minorHAnsi"/>
          <w:sz w:val="24"/>
          <w:szCs w:val="24"/>
        </w:rPr>
        <w:t>The question arises of the potential impact on the regulatory environment.  In the context of osteoporosis, pharmaceutical companies are directed away from investments in osteoporosis, in part because of the large sample sizes, long follow</w:t>
      </w:r>
      <w:r w:rsidR="00B33839" w:rsidRPr="00630413">
        <w:rPr>
          <w:rFonts w:cstheme="minorHAnsi"/>
          <w:sz w:val="24"/>
          <w:szCs w:val="24"/>
        </w:rPr>
        <w:t>-</w:t>
      </w:r>
      <w:r w:rsidRPr="00630413">
        <w:rPr>
          <w:rFonts w:cstheme="minorHAnsi"/>
          <w:sz w:val="24"/>
          <w:szCs w:val="24"/>
        </w:rPr>
        <w:t xml:space="preserve">up and heavy financial penalties.   </w:t>
      </w:r>
      <w:r w:rsidR="000762D6" w:rsidRPr="00630413">
        <w:rPr>
          <w:rFonts w:cstheme="minorHAnsi"/>
          <w:sz w:val="24"/>
          <w:szCs w:val="24"/>
        </w:rPr>
        <w:t xml:space="preserve">Moreover, the </w:t>
      </w:r>
      <w:r w:rsidR="00C85629" w:rsidRPr="00630413">
        <w:rPr>
          <w:rFonts w:cstheme="minorHAnsi"/>
          <w:sz w:val="24"/>
          <w:szCs w:val="24"/>
        </w:rPr>
        <w:t xml:space="preserve">advent of effective agents for the treatment of osteoporosis has led to the view that placebo-controlled trials to test new agents for efficacy are no longer appropriate since proven treatments are available.  Sponsors and regulatory agencies have to </w:t>
      </w:r>
      <w:r w:rsidR="003302F7" w:rsidRPr="00630413">
        <w:rPr>
          <w:rFonts w:cstheme="minorHAnsi"/>
          <w:sz w:val="24"/>
          <w:szCs w:val="24"/>
        </w:rPr>
        <w:t>consider</w:t>
      </w:r>
      <w:r w:rsidR="00C85629" w:rsidRPr="00630413">
        <w:rPr>
          <w:rFonts w:cstheme="minorHAnsi"/>
          <w:sz w:val="24"/>
          <w:szCs w:val="24"/>
        </w:rPr>
        <w:t xml:space="preserve"> studies of equivalence or non</w:t>
      </w:r>
      <w:r w:rsidR="00B33839" w:rsidRPr="00630413">
        <w:rPr>
          <w:rFonts w:cstheme="minorHAnsi"/>
          <w:sz w:val="24"/>
          <w:szCs w:val="24"/>
        </w:rPr>
        <w:t>-</w:t>
      </w:r>
      <w:r w:rsidR="00C85629" w:rsidRPr="00630413">
        <w:rPr>
          <w:rFonts w:cstheme="minorHAnsi"/>
          <w:sz w:val="24"/>
          <w:szCs w:val="24"/>
        </w:rPr>
        <w:t>inferiority</w:t>
      </w:r>
      <w:r w:rsidR="00B33839" w:rsidRPr="00630413">
        <w:rPr>
          <w:rFonts w:cstheme="minorHAnsi"/>
          <w:sz w:val="24"/>
          <w:szCs w:val="24"/>
        </w:rPr>
        <w:t>,</w:t>
      </w:r>
      <w:r w:rsidR="00C85629" w:rsidRPr="00630413">
        <w:rPr>
          <w:rFonts w:cstheme="minorHAnsi"/>
          <w:sz w:val="24"/>
          <w:szCs w:val="24"/>
        </w:rPr>
        <w:t xml:space="preserve"> which raise more problems than they resolve </w:t>
      </w:r>
      <w:r w:rsidR="0098279D">
        <w:rPr>
          <w:rFonts w:cstheme="minorHAnsi"/>
          <w:sz w:val="24"/>
          <w:szCs w:val="24"/>
        </w:rPr>
        <w:t>[24]</w:t>
      </w:r>
      <w:r w:rsidR="00C85629" w:rsidRPr="00630413">
        <w:rPr>
          <w:rFonts w:cstheme="minorHAnsi"/>
          <w:sz w:val="24"/>
          <w:szCs w:val="24"/>
        </w:rPr>
        <w:t>.</w:t>
      </w:r>
      <w:r w:rsidR="003302F7">
        <w:rPr>
          <w:rFonts w:cstheme="minorHAnsi"/>
        </w:rPr>
        <w:t xml:space="preserve">  </w:t>
      </w:r>
      <w:r w:rsidR="003302F7" w:rsidRPr="008517B0">
        <w:rPr>
          <w:rFonts w:cstheme="minorHAnsi"/>
          <w:sz w:val="24"/>
          <w:szCs w:val="24"/>
        </w:rPr>
        <w:t xml:space="preserve">For these reasons, much attention has been directed to the </w:t>
      </w:r>
      <w:r w:rsidR="00BF1D42" w:rsidRPr="008517B0">
        <w:rPr>
          <w:rFonts w:cstheme="minorHAnsi"/>
          <w:sz w:val="24"/>
          <w:szCs w:val="24"/>
        </w:rPr>
        <w:t>way</w:t>
      </w:r>
      <w:r w:rsidR="003302F7" w:rsidRPr="008517B0">
        <w:rPr>
          <w:rFonts w:cstheme="minorHAnsi"/>
          <w:sz w:val="24"/>
          <w:szCs w:val="24"/>
        </w:rPr>
        <w:t xml:space="preserve"> clinical trials might be less burdensome, for example, with the use of changes in bone mineral density as a surrogate for fracture</w:t>
      </w:r>
      <w:r w:rsidR="000973EC">
        <w:rPr>
          <w:rFonts w:cstheme="minorHAnsi"/>
          <w:sz w:val="24"/>
          <w:szCs w:val="24"/>
        </w:rPr>
        <w:t xml:space="preserve"> </w:t>
      </w:r>
      <w:r w:rsidR="002C4AF3">
        <w:rPr>
          <w:rFonts w:cstheme="minorHAnsi"/>
          <w:sz w:val="24"/>
          <w:szCs w:val="24"/>
        </w:rPr>
        <w:t>[25, 26]</w:t>
      </w:r>
      <w:r w:rsidR="00BF1D42" w:rsidRPr="008517B0">
        <w:rPr>
          <w:rFonts w:cstheme="minorHAnsi"/>
          <w:sz w:val="24"/>
          <w:szCs w:val="24"/>
        </w:rPr>
        <w:t>.</w:t>
      </w:r>
      <w:r w:rsidR="00BF1D42">
        <w:rPr>
          <w:rFonts w:cstheme="minorHAnsi"/>
        </w:rPr>
        <w:t xml:space="preserve"> </w:t>
      </w:r>
      <w:r w:rsidR="00AC3AD1">
        <w:rPr>
          <w:rFonts w:cstheme="minorHAnsi"/>
        </w:rPr>
        <w:t xml:space="preserve"> </w:t>
      </w:r>
    </w:p>
    <w:p w14:paraId="16981550" w14:textId="77777777" w:rsidR="008D641C" w:rsidRDefault="008D641C" w:rsidP="00630413">
      <w:pPr>
        <w:spacing w:after="0" w:line="276" w:lineRule="auto"/>
        <w:rPr>
          <w:rFonts w:cstheme="minorHAnsi"/>
        </w:rPr>
      </w:pPr>
    </w:p>
    <w:p w14:paraId="36CA3BFC" w14:textId="3A57C461" w:rsidR="009E3287" w:rsidRPr="00E51B23" w:rsidRDefault="00AC3AD1" w:rsidP="009E3287">
      <w:pPr>
        <w:spacing w:after="0" w:line="276" w:lineRule="auto"/>
        <w:rPr>
          <w:rFonts w:cstheme="minorHAnsi"/>
          <w:sz w:val="24"/>
          <w:szCs w:val="24"/>
        </w:rPr>
      </w:pPr>
      <w:r w:rsidRPr="00E51B23">
        <w:rPr>
          <w:rFonts w:cstheme="minorHAnsi"/>
          <w:sz w:val="24"/>
          <w:szCs w:val="24"/>
        </w:rPr>
        <w:t>Several meta-analyses</w:t>
      </w:r>
      <w:r w:rsidR="008D641C" w:rsidRPr="00E51B23">
        <w:rPr>
          <w:rFonts w:cstheme="minorHAnsi"/>
          <w:sz w:val="24"/>
          <w:szCs w:val="24"/>
        </w:rPr>
        <w:t xml:space="preserve"> </w:t>
      </w:r>
      <w:r w:rsidR="00EA1164" w:rsidRPr="00E51B23">
        <w:rPr>
          <w:rFonts w:cstheme="minorHAnsi"/>
          <w:sz w:val="24"/>
          <w:szCs w:val="24"/>
        </w:rPr>
        <w:t xml:space="preserve">of phase 3 studies </w:t>
      </w:r>
      <w:r w:rsidR="008D641C" w:rsidRPr="00E51B23">
        <w:rPr>
          <w:rFonts w:cstheme="minorHAnsi"/>
          <w:sz w:val="24"/>
          <w:szCs w:val="24"/>
        </w:rPr>
        <w:t xml:space="preserve">have </w:t>
      </w:r>
      <w:r w:rsidR="0004282D" w:rsidRPr="00E51B23">
        <w:rPr>
          <w:rFonts w:cstheme="minorHAnsi"/>
          <w:sz w:val="24"/>
          <w:szCs w:val="24"/>
        </w:rPr>
        <w:t>described the</w:t>
      </w:r>
      <w:r w:rsidR="008D641C" w:rsidRPr="00E51B23">
        <w:rPr>
          <w:rFonts w:cstheme="minorHAnsi"/>
          <w:sz w:val="24"/>
          <w:szCs w:val="24"/>
        </w:rPr>
        <w:t xml:space="preserve"> relationship between </w:t>
      </w:r>
      <w:r w:rsidR="000169F4" w:rsidRPr="00E51B23">
        <w:rPr>
          <w:rFonts w:cstheme="minorHAnsi"/>
          <w:sz w:val="24"/>
          <w:szCs w:val="24"/>
        </w:rPr>
        <w:t>changes in BMD and changes in fracture risk</w:t>
      </w:r>
      <w:r w:rsidR="002A1848" w:rsidRPr="00E51B23">
        <w:rPr>
          <w:rFonts w:cstheme="minorHAnsi"/>
          <w:sz w:val="24"/>
          <w:szCs w:val="24"/>
        </w:rPr>
        <w:t xml:space="preserve"> </w:t>
      </w:r>
      <w:r w:rsidR="00230A77">
        <w:rPr>
          <w:rFonts w:cstheme="minorHAnsi"/>
          <w:sz w:val="24"/>
          <w:szCs w:val="24"/>
        </w:rPr>
        <w:t>[</w:t>
      </w:r>
      <w:r w:rsidR="006B5A5A">
        <w:rPr>
          <w:rFonts w:cstheme="minorHAnsi"/>
          <w:sz w:val="24"/>
          <w:szCs w:val="24"/>
        </w:rPr>
        <w:t>27, 28</w:t>
      </w:r>
      <w:r w:rsidR="00230A77">
        <w:rPr>
          <w:rFonts w:cstheme="minorHAnsi"/>
          <w:sz w:val="24"/>
          <w:szCs w:val="24"/>
        </w:rPr>
        <w:t>, 29</w:t>
      </w:r>
      <w:r w:rsidR="00D031FF">
        <w:rPr>
          <w:rFonts w:cstheme="minorHAnsi"/>
          <w:sz w:val="24"/>
          <w:szCs w:val="24"/>
        </w:rPr>
        <w:t>, 30</w:t>
      </w:r>
      <w:r w:rsidR="00230A77">
        <w:rPr>
          <w:rFonts w:cstheme="minorHAnsi"/>
          <w:sz w:val="24"/>
          <w:szCs w:val="24"/>
        </w:rPr>
        <w:t>]</w:t>
      </w:r>
      <w:r w:rsidR="00AC3985">
        <w:rPr>
          <w:rFonts w:cstheme="minorHAnsi"/>
          <w:sz w:val="24"/>
          <w:szCs w:val="24"/>
        </w:rPr>
        <w:t>.</w:t>
      </w:r>
      <w:r w:rsidR="00392540" w:rsidRPr="00E51B23">
        <w:rPr>
          <w:rFonts w:cstheme="minorHAnsi"/>
          <w:sz w:val="24"/>
          <w:szCs w:val="24"/>
        </w:rPr>
        <w:t xml:space="preserve">  The most recent</w:t>
      </w:r>
      <w:r w:rsidR="00E46C44" w:rsidRPr="00E51B23">
        <w:rPr>
          <w:rFonts w:cstheme="minorHAnsi"/>
          <w:sz w:val="24"/>
          <w:szCs w:val="24"/>
        </w:rPr>
        <w:t xml:space="preserve"> assessed</w:t>
      </w:r>
      <w:r w:rsidR="00E46C44" w:rsidRPr="00E51B23">
        <w:rPr>
          <w:sz w:val="24"/>
          <w:szCs w:val="24"/>
        </w:rPr>
        <w:t xml:space="preserve"> </w:t>
      </w:r>
      <w:r w:rsidR="00E46C44" w:rsidRPr="00E51B23">
        <w:rPr>
          <w:rFonts w:cstheme="minorHAnsi"/>
          <w:sz w:val="24"/>
          <w:szCs w:val="24"/>
        </w:rPr>
        <w:t>38 placebo-controlled trials</w:t>
      </w:r>
      <w:r w:rsidR="00557A13" w:rsidRPr="00E51B23">
        <w:rPr>
          <w:rFonts w:cstheme="minorHAnsi"/>
          <w:sz w:val="24"/>
          <w:szCs w:val="24"/>
        </w:rPr>
        <w:t xml:space="preserve"> and a met</w:t>
      </w:r>
      <w:r w:rsidR="002B16E6" w:rsidRPr="00E51B23">
        <w:rPr>
          <w:rFonts w:cstheme="minorHAnsi"/>
          <w:sz w:val="24"/>
          <w:szCs w:val="24"/>
        </w:rPr>
        <w:t>a</w:t>
      </w:r>
      <w:r w:rsidR="00557A13" w:rsidRPr="00E51B23">
        <w:rPr>
          <w:rFonts w:cstheme="minorHAnsi"/>
          <w:sz w:val="24"/>
          <w:szCs w:val="24"/>
        </w:rPr>
        <w:t>-</w:t>
      </w:r>
      <w:r w:rsidR="002B16E6" w:rsidRPr="00E51B23">
        <w:rPr>
          <w:rFonts w:cstheme="minorHAnsi"/>
          <w:sz w:val="24"/>
          <w:szCs w:val="24"/>
        </w:rPr>
        <w:t xml:space="preserve">regression </w:t>
      </w:r>
      <w:r w:rsidR="009E3287" w:rsidRPr="00E51B23">
        <w:rPr>
          <w:rFonts w:cstheme="minorHAnsi"/>
          <w:sz w:val="24"/>
          <w:szCs w:val="24"/>
        </w:rPr>
        <w:t xml:space="preserve">indicated that greater improvements in total hip, femoral neck BMD, and lumbar spine BMD were all strongly </w:t>
      </w:r>
      <w:r w:rsidR="00D64BE5" w:rsidRPr="00E51B23">
        <w:rPr>
          <w:rFonts w:cstheme="minorHAnsi"/>
          <w:sz w:val="24"/>
          <w:szCs w:val="24"/>
        </w:rPr>
        <w:t>(</w:t>
      </w:r>
      <w:r w:rsidR="00D64BE5" w:rsidRPr="00E51B23">
        <w:rPr>
          <w:rFonts w:cstheme="minorHAnsi"/>
          <w:i/>
          <w:iCs/>
          <w:sz w:val="24"/>
          <w:szCs w:val="24"/>
        </w:rPr>
        <w:t>sic)</w:t>
      </w:r>
      <w:r w:rsidR="00D64BE5" w:rsidRPr="00E51B23">
        <w:rPr>
          <w:rFonts w:cstheme="minorHAnsi"/>
          <w:sz w:val="24"/>
          <w:szCs w:val="24"/>
        </w:rPr>
        <w:t xml:space="preserve"> </w:t>
      </w:r>
      <w:r w:rsidR="009E3287" w:rsidRPr="00E51B23">
        <w:rPr>
          <w:rFonts w:cstheme="minorHAnsi"/>
          <w:sz w:val="24"/>
          <w:szCs w:val="24"/>
        </w:rPr>
        <w:t>associated with a greater</w:t>
      </w:r>
    </w:p>
    <w:p w14:paraId="7E75C746" w14:textId="58CD302B" w:rsidR="00281A76" w:rsidRPr="00E51B23" w:rsidRDefault="009E3287" w:rsidP="005C2F53">
      <w:pPr>
        <w:spacing w:after="0" w:line="276" w:lineRule="auto"/>
        <w:rPr>
          <w:rFonts w:cstheme="minorHAnsi"/>
          <w:sz w:val="24"/>
          <w:szCs w:val="24"/>
        </w:rPr>
      </w:pPr>
      <w:r w:rsidRPr="00E51B23">
        <w:rPr>
          <w:rFonts w:cstheme="minorHAnsi"/>
          <w:sz w:val="24"/>
          <w:szCs w:val="24"/>
        </w:rPr>
        <w:t xml:space="preserve">reduction in </w:t>
      </w:r>
      <w:r w:rsidR="00B10A56" w:rsidRPr="00E51B23">
        <w:rPr>
          <w:rFonts w:cstheme="minorHAnsi"/>
          <w:sz w:val="24"/>
          <w:szCs w:val="24"/>
        </w:rPr>
        <w:t>vertebral and</w:t>
      </w:r>
      <w:r w:rsidR="003F5EA6" w:rsidRPr="00E51B23">
        <w:rPr>
          <w:rFonts w:cstheme="minorHAnsi"/>
          <w:sz w:val="24"/>
          <w:szCs w:val="24"/>
        </w:rPr>
        <w:t xml:space="preserve"> hip </w:t>
      </w:r>
      <w:r w:rsidRPr="00E51B23">
        <w:rPr>
          <w:rFonts w:cstheme="minorHAnsi"/>
          <w:sz w:val="24"/>
          <w:szCs w:val="24"/>
        </w:rPr>
        <w:t>fracture</w:t>
      </w:r>
      <w:r w:rsidR="00230A77">
        <w:rPr>
          <w:rFonts w:cstheme="minorHAnsi"/>
          <w:sz w:val="24"/>
          <w:szCs w:val="24"/>
        </w:rPr>
        <w:t xml:space="preserve"> [29</w:t>
      </w:r>
      <w:r w:rsidR="00D031FF">
        <w:rPr>
          <w:rFonts w:cstheme="minorHAnsi"/>
          <w:sz w:val="24"/>
          <w:szCs w:val="24"/>
        </w:rPr>
        <w:t>, 30</w:t>
      </w:r>
      <w:r w:rsidR="00230A77">
        <w:rPr>
          <w:rFonts w:cstheme="minorHAnsi"/>
          <w:sz w:val="24"/>
          <w:szCs w:val="24"/>
        </w:rPr>
        <w:t>]</w:t>
      </w:r>
      <w:r w:rsidR="005C2F53" w:rsidRPr="00E51B23">
        <w:rPr>
          <w:rFonts w:cstheme="minorHAnsi"/>
          <w:sz w:val="24"/>
          <w:szCs w:val="24"/>
        </w:rPr>
        <w:t>.  The authors conclude</w:t>
      </w:r>
      <w:r w:rsidR="00D64BE5" w:rsidRPr="00E51B23">
        <w:rPr>
          <w:rFonts w:cstheme="minorHAnsi"/>
          <w:sz w:val="24"/>
          <w:szCs w:val="24"/>
        </w:rPr>
        <w:t>d</w:t>
      </w:r>
      <w:r w:rsidR="005C2F53" w:rsidRPr="00E51B23">
        <w:rPr>
          <w:rFonts w:cstheme="minorHAnsi"/>
          <w:sz w:val="24"/>
          <w:szCs w:val="24"/>
        </w:rPr>
        <w:t xml:space="preserve"> </w:t>
      </w:r>
      <w:r w:rsidR="00B10A56" w:rsidRPr="00E51B23">
        <w:rPr>
          <w:rFonts w:cstheme="minorHAnsi"/>
          <w:sz w:val="24"/>
          <w:szCs w:val="24"/>
        </w:rPr>
        <w:t xml:space="preserve">that the regression </w:t>
      </w:r>
      <w:r w:rsidR="005C2F53" w:rsidRPr="00E51B23">
        <w:rPr>
          <w:rFonts w:cstheme="minorHAnsi"/>
          <w:sz w:val="24"/>
          <w:szCs w:val="24"/>
        </w:rPr>
        <w:t>provide</w:t>
      </w:r>
      <w:r w:rsidR="00B10A56" w:rsidRPr="00E51B23">
        <w:rPr>
          <w:rFonts w:cstheme="minorHAnsi"/>
          <w:sz w:val="24"/>
          <w:szCs w:val="24"/>
        </w:rPr>
        <w:t>s</w:t>
      </w:r>
      <w:r w:rsidR="005C2F53" w:rsidRPr="00E51B23">
        <w:rPr>
          <w:rFonts w:cstheme="minorHAnsi"/>
          <w:sz w:val="24"/>
          <w:szCs w:val="24"/>
        </w:rPr>
        <w:t xml:space="preserve"> compelling evidence that improvements in</w:t>
      </w:r>
      <w:r w:rsidR="00B10A56" w:rsidRPr="00E51B23">
        <w:rPr>
          <w:rFonts w:cstheme="minorHAnsi"/>
          <w:sz w:val="24"/>
          <w:szCs w:val="24"/>
        </w:rPr>
        <w:t xml:space="preserve"> </w:t>
      </w:r>
      <w:r w:rsidR="005C2F53" w:rsidRPr="00E51B23">
        <w:rPr>
          <w:rFonts w:cstheme="minorHAnsi"/>
          <w:sz w:val="24"/>
          <w:szCs w:val="24"/>
        </w:rPr>
        <w:t>BMD with osteoporosis therapies may be useful surrogate endpoints for fracture in trials of new therapeutic agents.</w:t>
      </w:r>
      <w:r w:rsidR="004F65FC" w:rsidRPr="00E51B23">
        <w:rPr>
          <w:rFonts w:cstheme="minorHAnsi"/>
          <w:sz w:val="24"/>
          <w:szCs w:val="24"/>
        </w:rPr>
        <w:t xml:space="preserve"> </w:t>
      </w:r>
      <w:r w:rsidR="000A2C06">
        <w:rPr>
          <w:rFonts w:cstheme="minorHAnsi"/>
          <w:sz w:val="24"/>
          <w:szCs w:val="24"/>
        </w:rPr>
        <w:t xml:space="preserve"> </w:t>
      </w:r>
      <w:r w:rsidR="004F65FC" w:rsidRPr="00E51B23">
        <w:rPr>
          <w:rFonts w:cstheme="minorHAnsi"/>
          <w:sz w:val="24"/>
          <w:szCs w:val="24"/>
        </w:rPr>
        <w:t xml:space="preserve">Whereas the </w:t>
      </w:r>
      <w:r w:rsidR="00640B9D" w:rsidRPr="00E51B23">
        <w:rPr>
          <w:rFonts w:cstheme="minorHAnsi"/>
          <w:sz w:val="24"/>
          <w:szCs w:val="24"/>
        </w:rPr>
        <w:t>conclusion</w:t>
      </w:r>
      <w:r w:rsidR="004F65FC" w:rsidRPr="00E51B23">
        <w:rPr>
          <w:rFonts w:cstheme="minorHAnsi"/>
          <w:sz w:val="24"/>
          <w:szCs w:val="24"/>
        </w:rPr>
        <w:t xml:space="preserve"> that </w:t>
      </w:r>
      <w:r w:rsidR="00013DD5" w:rsidRPr="00E51B23">
        <w:rPr>
          <w:rFonts w:cstheme="minorHAnsi"/>
          <w:sz w:val="24"/>
          <w:szCs w:val="24"/>
        </w:rPr>
        <w:t>increases in BMD</w:t>
      </w:r>
      <w:r w:rsidR="006E6A44" w:rsidRPr="00E51B23">
        <w:rPr>
          <w:rFonts w:cstheme="minorHAnsi"/>
          <w:sz w:val="24"/>
          <w:szCs w:val="24"/>
        </w:rPr>
        <w:t xml:space="preserve"> are associated with decreas</w:t>
      </w:r>
      <w:r w:rsidR="00FD53AE" w:rsidRPr="00E51B23">
        <w:rPr>
          <w:rFonts w:cstheme="minorHAnsi"/>
          <w:sz w:val="24"/>
          <w:szCs w:val="24"/>
        </w:rPr>
        <w:t>e</w:t>
      </w:r>
      <w:r w:rsidR="006E6A44" w:rsidRPr="00E51B23">
        <w:rPr>
          <w:rFonts w:cstheme="minorHAnsi"/>
          <w:sz w:val="24"/>
          <w:szCs w:val="24"/>
        </w:rPr>
        <w:t xml:space="preserve">s in </w:t>
      </w:r>
      <w:r w:rsidR="00FD53AE" w:rsidRPr="00E51B23">
        <w:rPr>
          <w:rFonts w:cstheme="minorHAnsi"/>
          <w:sz w:val="24"/>
          <w:szCs w:val="24"/>
        </w:rPr>
        <w:t>f</w:t>
      </w:r>
      <w:r w:rsidR="006E6A44" w:rsidRPr="00E51B23">
        <w:rPr>
          <w:rFonts w:cstheme="minorHAnsi"/>
          <w:sz w:val="24"/>
          <w:szCs w:val="24"/>
        </w:rPr>
        <w:t>racture ris</w:t>
      </w:r>
      <w:r w:rsidR="00FD53AE" w:rsidRPr="00E51B23">
        <w:rPr>
          <w:rFonts w:cstheme="minorHAnsi"/>
          <w:sz w:val="24"/>
          <w:szCs w:val="24"/>
        </w:rPr>
        <w:t>k</w:t>
      </w:r>
      <w:r w:rsidR="00640B9D" w:rsidRPr="00E51B23">
        <w:rPr>
          <w:rFonts w:cstheme="minorHAnsi"/>
          <w:sz w:val="24"/>
          <w:szCs w:val="24"/>
        </w:rPr>
        <w:t xml:space="preserve"> </w:t>
      </w:r>
      <w:r w:rsidR="00BD2CD0" w:rsidRPr="00E51B23">
        <w:rPr>
          <w:rFonts w:cstheme="minorHAnsi"/>
          <w:sz w:val="24"/>
          <w:szCs w:val="24"/>
        </w:rPr>
        <w:t>is</w:t>
      </w:r>
      <w:r w:rsidR="00640B9D" w:rsidRPr="00E51B23">
        <w:rPr>
          <w:rFonts w:cstheme="minorHAnsi"/>
          <w:sz w:val="24"/>
          <w:szCs w:val="24"/>
        </w:rPr>
        <w:t xml:space="preserve"> strong, the</w:t>
      </w:r>
      <w:r w:rsidR="00BD2CD0" w:rsidRPr="00E51B23">
        <w:rPr>
          <w:rFonts w:cstheme="minorHAnsi"/>
          <w:sz w:val="24"/>
          <w:szCs w:val="24"/>
        </w:rPr>
        <w:t xml:space="preserve"> claim for </w:t>
      </w:r>
      <w:r w:rsidR="003448C8" w:rsidRPr="00E51B23">
        <w:rPr>
          <w:rFonts w:cstheme="minorHAnsi"/>
          <w:sz w:val="24"/>
          <w:szCs w:val="24"/>
        </w:rPr>
        <w:t>the adequacy of BMD changes as a surrogate</w:t>
      </w:r>
      <w:r w:rsidR="002F3C9F" w:rsidRPr="00E51B23">
        <w:rPr>
          <w:rFonts w:cstheme="minorHAnsi"/>
          <w:sz w:val="24"/>
          <w:szCs w:val="24"/>
        </w:rPr>
        <w:t xml:space="preserve"> for fracture outcomes is </w:t>
      </w:r>
      <w:r w:rsidR="00FE0CCC" w:rsidRPr="00E51B23">
        <w:rPr>
          <w:rFonts w:cstheme="minorHAnsi"/>
          <w:sz w:val="24"/>
          <w:szCs w:val="24"/>
        </w:rPr>
        <w:t>wanting due</w:t>
      </w:r>
      <w:r w:rsidR="006D4C8A" w:rsidRPr="00E51B23">
        <w:rPr>
          <w:rFonts w:cstheme="minorHAnsi"/>
          <w:sz w:val="24"/>
          <w:szCs w:val="24"/>
        </w:rPr>
        <w:t xml:space="preserve"> to the </w:t>
      </w:r>
      <w:r w:rsidR="00880906" w:rsidRPr="00E51B23">
        <w:rPr>
          <w:rFonts w:cstheme="minorHAnsi"/>
          <w:sz w:val="24"/>
          <w:szCs w:val="24"/>
        </w:rPr>
        <w:t xml:space="preserve">poor coefficients of </w:t>
      </w:r>
      <w:r w:rsidR="00FE0CCC" w:rsidRPr="00E51B23">
        <w:rPr>
          <w:rFonts w:cstheme="minorHAnsi"/>
          <w:sz w:val="24"/>
          <w:szCs w:val="24"/>
        </w:rPr>
        <w:t>determination</w:t>
      </w:r>
      <w:r w:rsidR="00880906" w:rsidRPr="00E51B23">
        <w:rPr>
          <w:rFonts w:cstheme="minorHAnsi"/>
          <w:sz w:val="24"/>
          <w:szCs w:val="24"/>
        </w:rPr>
        <w:t xml:space="preserve">.  For </w:t>
      </w:r>
      <w:r w:rsidR="00C901BE" w:rsidRPr="00E51B23">
        <w:rPr>
          <w:rFonts w:cstheme="minorHAnsi"/>
          <w:sz w:val="24"/>
          <w:szCs w:val="24"/>
        </w:rPr>
        <w:t>a decrease in hip fracture risk</w:t>
      </w:r>
      <w:r w:rsidR="009432E8" w:rsidRPr="00E51B23">
        <w:rPr>
          <w:rFonts w:cstheme="minorHAnsi"/>
          <w:sz w:val="24"/>
          <w:szCs w:val="24"/>
        </w:rPr>
        <w:t>, for example, r</w:t>
      </w:r>
      <w:r w:rsidR="009432E8" w:rsidRPr="00E51B23">
        <w:rPr>
          <w:rFonts w:cstheme="minorHAnsi"/>
          <w:sz w:val="24"/>
          <w:szCs w:val="24"/>
          <w:vertAlign w:val="superscript"/>
        </w:rPr>
        <w:t>2</w:t>
      </w:r>
      <w:r w:rsidR="009432E8" w:rsidRPr="00E51B23">
        <w:rPr>
          <w:rFonts w:cstheme="minorHAnsi"/>
          <w:sz w:val="24"/>
          <w:szCs w:val="24"/>
        </w:rPr>
        <w:t xml:space="preserve"> ranged </w:t>
      </w:r>
      <w:r w:rsidR="00F40DEB" w:rsidRPr="00E51B23">
        <w:rPr>
          <w:rFonts w:cstheme="minorHAnsi"/>
          <w:sz w:val="24"/>
          <w:szCs w:val="24"/>
        </w:rPr>
        <w:t xml:space="preserve">from 22-48% </w:t>
      </w:r>
      <w:r w:rsidR="00B0524D" w:rsidRPr="00E51B23">
        <w:rPr>
          <w:rFonts w:cstheme="minorHAnsi"/>
          <w:sz w:val="24"/>
          <w:szCs w:val="24"/>
        </w:rPr>
        <w:t xml:space="preserve">for the association </w:t>
      </w:r>
      <w:r w:rsidR="006E1C58" w:rsidRPr="00E51B23">
        <w:rPr>
          <w:rFonts w:cstheme="minorHAnsi"/>
          <w:sz w:val="24"/>
          <w:szCs w:val="24"/>
        </w:rPr>
        <w:t>w</w:t>
      </w:r>
      <w:r w:rsidR="0054471E" w:rsidRPr="00E51B23">
        <w:rPr>
          <w:rFonts w:cstheme="minorHAnsi"/>
          <w:sz w:val="24"/>
          <w:szCs w:val="24"/>
        </w:rPr>
        <w:t>ith changes in lumbar and total hip BMD, respectively.</w:t>
      </w:r>
      <w:r w:rsidR="00434BC0" w:rsidRPr="00E51B23">
        <w:rPr>
          <w:rFonts w:cstheme="minorHAnsi"/>
          <w:sz w:val="24"/>
          <w:szCs w:val="24"/>
        </w:rPr>
        <w:t xml:space="preserve"> </w:t>
      </w:r>
      <w:r w:rsidR="006E1C58" w:rsidRPr="00E51B23">
        <w:rPr>
          <w:rFonts w:cstheme="minorHAnsi"/>
          <w:sz w:val="24"/>
          <w:szCs w:val="24"/>
        </w:rPr>
        <w:t xml:space="preserve"> </w:t>
      </w:r>
      <w:r w:rsidR="00281A76" w:rsidRPr="00E51B23">
        <w:rPr>
          <w:rFonts w:cstheme="minorHAnsi"/>
          <w:sz w:val="24"/>
          <w:szCs w:val="24"/>
        </w:rPr>
        <w:t>Thus</w:t>
      </w:r>
      <w:r w:rsidR="00BF0C26" w:rsidRPr="00E51B23">
        <w:rPr>
          <w:rFonts w:cstheme="minorHAnsi"/>
          <w:sz w:val="24"/>
          <w:szCs w:val="24"/>
        </w:rPr>
        <w:t>,</w:t>
      </w:r>
      <w:r w:rsidR="00281A76" w:rsidRPr="00E51B23">
        <w:rPr>
          <w:rFonts w:cstheme="minorHAnsi"/>
          <w:sz w:val="24"/>
          <w:szCs w:val="24"/>
        </w:rPr>
        <w:t xml:space="preserve"> if changes in BMD were used as a surrogate marker for antifracture efficacy, the</w:t>
      </w:r>
      <w:r w:rsidR="00566198" w:rsidRPr="00E51B23">
        <w:rPr>
          <w:rFonts w:cstheme="minorHAnsi"/>
          <w:sz w:val="24"/>
          <w:szCs w:val="24"/>
        </w:rPr>
        <w:t xml:space="preserve"> </w:t>
      </w:r>
      <w:r w:rsidR="009B5FFA" w:rsidRPr="00E51B23">
        <w:rPr>
          <w:rFonts w:cstheme="minorHAnsi"/>
          <w:sz w:val="24"/>
          <w:szCs w:val="24"/>
        </w:rPr>
        <w:t>confidence interval</w:t>
      </w:r>
      <w:r w:rsidR="00566198" w:rsidRPr="00E51B23">
        <w:rPr>
          <w:rFonts w:cstheme="minorHAnsi"/>
          <w:sz w:val="24"/>
          <w:szCs w:val="24"/>
        </w:rPr>
        <w:t xml:space="preserve"> </w:t>
      </w:r>
      <w:r w:rsidR="009E4412" w:rsidRPr="00E51B23">
        <w:rPr>
          <w:rFonts w:cstheme="minorHAnsi"/>
          <w:sz w:val="24"/>
          <w:szCs w:val="24"/>
        </w:rPr>
        <w:t>of</w:t>
      </w:r>
      <w:r w:rsidR="00281A76" w:rsidRPr="00E51B23">
        <w:rPr>
          <w:rFonts w:cstheme="minorHAnsi"/>
          <w:sz w:val="24"/>
          <w:szCs w:val="24"/>
        </w:rPr>
        <w:t xml:space="preserve"> </w:t>
      </w:r>
      <w:r w:rsidR="005A28A5" w:rsidRPr="00E51B23">
        <w:rPr>
          <w:rFonts w:cstheme="minorHAnsi"/>
          <w:sz w:val="24"/>
          <w:szCs w:val="24"/>
        </w:rPr>
        <w:t xml:space="preserve">estimated </w:t>
      </w:r>
      <w:r w:rsidR="00281A76" w:rsidRPr="00E51B23">
        <w:rPr>
          <w:rFonts w:cstheme="minorHAnsi"/>
          <w:sz w:val="24"/>
          <w:szCs w:val="24"/>
        </w:rPr>
        <w:t xml:space="preserve">fracture reductions </w:t>
      </w:r>
      <w:r w:rsidR="00566198" w:rsidRPr="00E51B23">
        <w:rPr>
          <w:rFonts w:cstheme="minorHAnsi"/>
          <w:sz w:val="24"/>
          <w:szCs w:val="24"/>
        </w:rPr>
        <w:t xml:space="preserve">would be appreciable </w:t>
      </w:r>
      <w:r w:rsidR="002D7539" w:rsidRPr="00E51B23">
        <w:rPr>
          <w:rFonts w:cstheme="minorHAnsi"/>
          <w:sz w:val="24"/>
          <w:szCs w:val="24"/>
        </w:rPr>
        <w:t>such that no n</w:t>
      </w:r>
      <w:r w:rsidR="00D43C3C" w:rsidRPr="00E51B23">
        <w:rPr>
          <w:rFonts w:cstheme="minorHAnsi"/>
          <w:sz w:val="24"/>
          <w:szCs w:val="24"/>
        </w:rPr>
        <w:t>e</w:t>
      </w:r>
      <w:r w:rsidR="002D7539" w:rsidRPr="00E51B23">
        <w:rPr>
          <w:rFonts w:cstheme="minorHAnsi"/>
          <w:sz w:val="24"/>
          <w:szCs w:val="24"/>
        </w:rPr>
        <w:t xml:space="preserve">w treatments could be confidently </w:t>
      </w:r>
      <w:r w:rsidR="00AE24AB" w:rsidRPr="00E51B23">
        <w:rPr>
          <w:rFonts w:cstheme="minorHAnsi"/>
          <w:sz w:val="24"/>
          <w:szCs w:val="24"/>
        </w:rPr>
        <w:t>compared with the current therapeutic armamentarium.</w:t>
      </w:r>
      <w:r w:rsidR="00C6323F" w:rsidRPr="00E51B23">
        <w:rPr>
          <w:rFonts w:cstheme="minorHAnsi"/>
          <w:sz w:val="24"/>
          <w:szCs w:val="24"/>
        </w:rPr>
        <w:t xml:space="preserve">  The strategy also does nothing to </w:t>
      </w:r>
      <w:r w:rsidR="00C13816" w:rsidRPr="00E51B23">
        <w:rPr>
          <w:rFonts w:cstheme="minorHAnsi"/>
          <w:sz w:val="24"/>
          <w:szCs w:val="24"/>
        </w:rPr>
        <w:t>alleviate the expense incurred</w:t>
      </w:r>
      <w:r w:rsidR="00E51B23" w:rsidRPr="00E51B23">
        <w:rPr>
          <w:rFonts w:cstheme="minorHAnsi"/>
          <w:sz w:val="24"/>
          <w:szCs w:val="24"/>
        </w:rPr>
        <w:t xml:space="preserve"> in requiring BMD tests.</w:t>
      </w:r>
    </w:p>
    <w:p w14:paraId="6D493332" w14:textId="2C3DF2DC" w:rsidR="00E51B23" w:rsidRDefault="00E51B23" w:rsidP="005C2F53">
      <w:pPr>
        <w:spacing w:after="0" w:line="276" w:lineRule="auto"/>
        <w:rPr>
          <w:rFonts w:cstheme="minorHAnsi"/>
        </w:rPr>
      </w:pPr>
    </w:p>
    <w:p w14:paraId="47319841" w14:textId="46507098" w:rsidR="006F775E" w:rsidRPr="00391692" w:rsidRDefault="00E51B23" w:rsidP="00630413">
      <w:pPr>
        <w:spacing w:after="0" w:line="276" w:lineRule="auto"/>
        <w:rPr>
          <w:rFonts w:cstheme="minorHAnsi"/>
          <w:sz w:val="24"/>
          <w:szCs w:val="24"/>
        </w:rPr>
      </w:pPr>
      <w:r w:rsidRPr="00391692">
        <w:rPr>
          <w:rFonts w:cstheme="minorHAnsi"/>
          <w:sz w:val="24"/>
          <w:szCs w:val="24"/>
        </w:rPr>
        <w:lastRenderedPageBreak/>
        <w:t>Against this background,</w:t>
      </w:r>
      <w:r w:rsidR="00AA0903" w:rsidRPr="00391692">
        <w:rPr>
          <w:rFonts w:cstheme="minorHAnsi"/>
          <w:sz w:val="24"/>
          <w:szCs w:val="24"/>
        </w:rPr>
        <w:t xml:space="preserve"> </w:t>
      </w:r>
      <w:r w:rsidR="00BF1D42" w:rsidRPr="00391692">
        <w:rPr>
          <w:rFonts w:cstheme="minorHAnsi"/>
          <w:sz w:val="24"/>
          <w:szCs w:val="24"/>
        </w:rPr>
        <w:t xml:space="preserve">the </w:t>
      </w:r>
      <w:r w:rsidR="00B45E15">
        <w:rPr>
          <w:rFonts w:cstheme="minorHAnsi"/>
          <w:sz w:val="24"/>
          <w:szCs w:val="24"/>
        </w:rPr>
        <w:t>a</w:t>
      </w:r>
      <w:r w:rsidR="00305000">
        <w:rPr>
          <w:rFonts w:cstheme="minorHAnsi"/>
          <w:sz w:val="24"/>
          <w:szCs w:val="24"/>
        </w:rPr>
        <w:t>pplication</w:t>
      </w:r>
      <w:r w:rsidR="00BF1D42" w:rsidRPr="00391692">
        <w:rPr>
          <w:rFonts w:cstheme="minorHAnsi"/>
          <w:sz w:val="24"/>
          <w:szCs w:val="24"/>
        </w:rPr>
        <w:t xml:space="preserve"> of cumulative utility losses may provide an efficient way to </w:t>
      </w:r>
      <w:r w:rsidR="00AA0903" w:rsidRPr="00391692">
        <w:rPr>
          <w:rFonts w:cstheme="minorHAnsi"/>
          <w:sz w:val="24"/>
          <w:szCs w:val="24"/>
        </w:rPr>
        <w:t>optimise phase 3 trials</w:t>
      </w:r>
      <w:r w:rsidR="00BF1D42" w:rsidRPr="00391692">
        <w:rPr>
          <w:rFonts w:cstheme="minorHAnsi"/>
          <w:sz w:val="24"/>
          <w:szCs w:val="24"/>
        </w:rPr>
        <w:t xml:space="preserve"> with data of clinical relevance.  In</w:t>
      </w:r>
      <w:r w:rsidR="0088666C" w:rsidRPr="00391692">
        <w:rPr>
          <w:rFonts w:cstheme="minorHAnsi"/>
          <w:sz w:val="24"/>
          <w:szCs w:val="24"/>
        </w:rPr>
        <w:t>deed</w:t>
      </w:r>
      <w:r w:rsidR="00BF1D42" w:rsidRPr="00391692">
        <w:rPr>
          <w:rFonts w:cstheme="minorHAnsi"/>
          <w:sz w:val="24"/>
          <w:szCs w:val="24"/>
        </w:rPr>
        <w:t xml:space="preserve">, utility losses </w:t>
      </w:r>
      <w:r w:rsidR="0088666C" w:rsidRPr="00391692">
        <w:rPr>
          <w:rFonts w:cstheme="minorHAnsi"/>
          <w:sz w:val="24"/>
          <w:szCs w:val="24"/>
        </w:rPr>
        <w:t>might</w:t>
      </w:r>
      <w:r w:rsidR="00BF1D42" w:rsidRPr="00391692">
        <w:rPr>
          <w:rFonts w:cstheme="minorHAnsi"/>
          <w:sz w:val="24"/>
          <w:szCs w:val="24"/>
        </w:rPr>
        <w:t xml:space="preserve"> be used to gain registration with accompanying trend</w:t>
      </w:r>
      <w:r w:rsidR="006F775E" w:rsidRPr="00391692">
        <w:rPr>
          <w:rFonts w:cstheme="minorHAnsi"/>
          <w:sz w:val="24"/>
          <w:szCs w:val="24"/>
        </w:rPr>
        <w:t>s</w:t>
      </w:r>
      <w:r w:rsidR="00BF1D42" w:rsidRPr="00391692">
        <w:rPr>
          <w:rFonts w:cstheme="minorHAnsi"/>
          <w:sz w:val="24"/>
          <w:szCs w:val="24"/>
        </w:rPr>
        <w:t xml:space="preserve"> </w:t>
      </w:r>
      <w:r w:rsidR="006F775E" w:rsidRPr="00391692">
        <w:rPr>
          <w:rFonts w:cstheme="minorHAnsi"/>
          <w:sz w:val="24"/>
          <w:szCs w:val="24"/>
        </w:rPr>
        <w:t>for</w:t>
      </w:r>
      <w:r w:rsidR="00BF1D42" w:rsidRPr="00391692">
        <w:rPr>
          <w:rFonts w:cstheme="minorHAnsi"/>
          <w:sz w:val="24"/>
          <w:szCs w:val="24"/>
        </w:rPr>
        <w:t xml:space="preserve"> specific fracture outco</w:t>
      </w:r>
      <w:r w:rsidR="006F775E" w:rsidRPr="00391692">
        <w:rPr>
          <w:rFonts w:cstheme="minorHAnsi"/>
          <w:sz w:val="24"/>
          <w:szCs w:val="24"/>
        </w:rPr>
        <w:t>m</w:t>
      </w:r>
      <w:r w:rsidR="00BF1D42" w:rsidRPr="00391692">
        <w:rPr>
          <w:rFonts w:cstheme="minorHAnsi"/>
          <w:sz w:val="24"/>
          <w:szCs w:val="24"/>
        </w:rPr>
        <w:t xml:space="preserve">es. </w:t>
      </w:r>
      <w:r w:rsidR="009B62CE" w:rsidRPr="00391692">
        <w:rPr>
          <w:rFonts w:cstheme="minorHAnsi"/>
          <w:sz w:val="24"/>
          <w:szCs w:val="24"/>
        </w:rPr>
        <w:t xml:space="preserve"> Moreover</w:t>
      </w:r>
      <w:r w:rsidR="00921F9F" w:rsidRPr="00391692">
        <w:rPr>
          <w:rFonts w:cstheme="minorHAnsi"/>
          <w:sz w:val="24"/>
          <w:szCs w:val="24"/>
        </w:rPr>
        <w:t>,</w:t>
      </w:r>
      <w:r w:rsidR="009B62CE" w:rsidRPr="00391692">
        <w:rPr>
          <w:rFonts w:cstheme="minorHAnsi"/>
          <w:sz w:val="24"/>
          <w:szCs w:val="24"/>
        </w:rPr>
        <w:t xml:space="preserve"> the </w:t>
      </w:r>
      <w:r w:rsidR="00921F9F" w:rsidRPr="00391692">
        <w:rPr>
          <w:rFonts w:cstheme="minorHAnsi"/>
          <w:sz w:val="24"/>
          <w:szCs w:val="24"/>
        </w:rPr>
        <w:t>cost</w:t>
      </w:r>
      <w:r w:rsidR="009B62CE" w:rsidRPr="00391692">
        <w:rPr>
          <w:rFonts w:cstheme="minorHAnsi"/>
          <w:sz w:val="24"/>
          <w:szCs w:val="24"/>
        </w:rPr>
        <w:t xml:space="preserve"> of BMD testing</w:t>
      </w:r>
      <w:r w:rsidR="00921F9F" w:rsidRPr="00391692">
        <w:rPr>
          <w:rFonts w:cstheme="minorHAnsi"/>
          <w:sz w:val="24"/>
          <w:szCs w:val="24"/>
        </w:rPr>
        <w:t xml:space="preserve"> </w:t>
      </w:r>
      <w:r w:rsidR="00E268FF" w:rsidRPr="00391692">
        <w:rPr>
          <w:rFonts w:cstheme="minorHAnsi"/>
          <w:sz w:val="24"/>
          <w:szCs w:val="24"/>
        </w:rPr>
        <w:t>might additionally</w:t>
      </w:r>
      <w:r w:rsidR="00921F9F" w:rsidRPr="00391692">
        <w:rPr>
          <w:rFonts w:cstheme="minorHAnsi"/>
          <w:sz w:val="24"/>
          <w:szCs w:val="24"/>
        </w:rPr>
        <w:t xml:space="preserve"> be avoided</w:t>
      </w:r>
      <w:r w:rsidR="00E268FF" w:rsidRPr="00391692">
        <w:rPr>
          <w:rFonts w:cstheme="minorHAnsi"/>
          <w:sz w:val="24"/>
          <w:szCs w:val="24"/>
        </w:rPr>
        <w:t>.</w:t>
      </w:r>
    </w:p>
    <w:p w14:paraId="065AAE15" w14:textId="77777777" w:rsidR="006F775E" w:rsidRDefault="006F775E" w:rsidP="00C85629">
      <w:pPr>
        <w:spacing w:after="0" w:line="276" w:lineRule="auto"/>
        <w:rPr>
          <w:rFonts w:cstheme="minorHAnsi"/>
        </w:rPr>
      </w:pPr>
    </w:p>
    <w:p w14:paraId="180CB0DA" w14:textId="160611BD" w:rsidR="00FA1A0C" w:rsidRPr="005C4A43" w:rsidRDefault="006F775E" w:rsidP="00C85629">
      <w:pPr>
        <w:spacing w:after="0" w:line="276" w:lineRule="auto"/>
        <w:rPr>
          <w:rFonts w:cstheme="minorHAnsi"/>
          <w:bCs/>
          <w:sz w:val="24"/>
          <w:szCs w:val="24"/>
        </w:rPr>
      </w:pPr>
      <w:r w:rsidRPr="005C4A43">
        <w:rPr>
          <w:rFonts w:cstheme="minorHAnsi"/>
          <w:sz w:val="24"/>
          <w:szCs w:val="24"/>
        </w:rPr>
        <w:t xml:space="preserve">The use of utilities is not new in the sense that </w:t>
      </w:r>
      <w:r w:rsidR="006D4CC3" w:rsidRPr="005C4A43">
        <w:rPr>
          <w:rFonts w:cstheme="minorHAnsi"/>
          <w:sz w:val="24"/>
          <w:szCs w:val="24"/>
        </w:rPr>
        <w:t>it is</w:t>
      </w:r>
      <w:r w:rsidRPr="005C4A43">
        <w:rPr>
          <w:rFonts w:cstheme="minorHAnsi"/>
          <w:sz w:val="24"/>
          <w:szCs w:val="24"/>
        </w:rPr>
        <w:t xml:space="preserve"> a component of health utility assessment </w:t>
      </w:r>
      <w:r w:rsidR="006D4CC3" w:rsidRPr="005C4A43">
        <w:rPr>
          <w:rFonts w:cstheme="minorHAnsi"/>
          <w:bCs/>
          <w:sz w:val="24"/>
          <w:szCs w:val="24"/>
          <w:lang w:val="en-US"/>
        </w:rPr>
        <w:t>to assess the cost-effectiveness of interventions</w:t>
      </w:r>
      <w:r w:rsidR="00281503">
        <w:rPr>
          <w:rFonts w:cstheme="minorHAnsi"/>
          <w:bCs/>
          <w:sz w:val="24"/>
          <w:szCs w:val="24"/>
          <w:lang w:val="en-US"/>
        </w:rPr>
        <w:t xml:space="preserve"> [3</w:t>
      </w:r>
      <w:r w:rsidR="00D031FF">
        <w:rPr>
          <w:rFonts w:cstheme="minorHAnsi"/>
          <w:bCs/>
          <w:sz w:val="24"/>
          <w:szCs w:val="24"/>
          <w:lang w:val="en-US"/>
        </w:rPr>
        <w:t>1</w:t>
      </w:r>
      <w:r w:rsidR="00281503">
        <w:rPr>
          <w:rFonts w:cstheme="minorHAnsi"/>
          <w:bCs/>
          <w:sz w:val="24"/>
          <w:szCs w:val="24"/>
          <w:lang w:val="en-US"/>
        </w:rPr>
        <w:t>, 3</w:t>
      </w:r>
      <w:r w:rsidR="00D031FF">
        <w:rPr>
          <w:rFonts w:cstheme="minorHAnsi"/>
          <w:bCs/>
          <w:sz w:val="24"/>
          <w:szCs w:val="24"/>
          <w:lang w:val="en-US"/>
        </w:rPr>
        <w:t>2</w:t>
      </w:r>
      <w:r w:rsidR="00281503">
        <w:rPr>
          <w:rFonts w:cstheme="minorHAnsi"/>
          <w:bCs/>
          <w:sz w:val="24"/>
          <w:szCs w:val="24"/>
          <w:lang w:val="en-US"/>
        </w:rPr>
        <w:t>]</w:t>
      </w:r>
      <w:r w:rsidR="00A756CB">
        <w:rPr>
          <w:rFonts w:cstheme="minorHAnsi"/>
          <w:bCs/>
          <w:sz w:val="24"/>
          <w:szCs w:val="24"/>
          <w:lang w:val="en-US"/>
        </w:rPr>
        <w:t xml:space="preserve">. </w:t>
      </w:r>
      <w:r w:rsidR="006D4CC3" w:rsidRPr="005C4A43">
        <w:rPr>
          <w:rFonts w:cstheme="minorHAnsi"/>
          <w:bCs/>
          <w:sz w:val="24"/>
          <w:szCs w:val="24"/>
          <w:lang w:val="en-US"/>
        </w:rPr>
        <w:t xml:space="preserve"> Such health economic analyses are traditionally applied after the completion of</w:t>
      </w:r>
      <w:r w:rsidR="003302F7" w:rsidRPr="005C4A43">
        <w:rPr>
          <w:rFonts w:cstheme="minorHAnsi"/>
          <w:sz w:val="24"/>
          <w:szCs w:val="24"/>
        </w:rPr>
        <w:t xml:space="preserve"> </w:t>
      </w:r>
      <w:r w:rsidR="006D4CC3" w:rsidRPr="005C4A43">
        <w:rPr>
          <w:rFonts w:cstheme="minorHAnsi"/>
          <w:bCs/>
          <w:sz w:val="24"/>
          <w:szCs w:val="24"/>
          <w:lang w:val="en-US"/>
        </w:rPr>
        <w:t>phase 3 studies</w:t>
      </w:r>
      <w:r w:rsidR="00E130D7" w:rsidRPr="005C4A43">
        <w:rPr>
          <w:rFonts w:cstheme="minorHAnsi"/>
          <w:bCs/>
          <w:sz w:val="24"/>
          <w:szCs w:val="24"/>
          <w:lang w:val="en-US"/>
        </w:rPr>
        <w:t>,</w:t>
      </w:r>
      <w:r w:rsidR="006D4CC3" w:rsidRPr="005C4A43">
        <w:rPr>
          <w:rFonts w:cstheme="minorHAnsi"/>
          <w:bCs/>
          <w:sz w:val="24"/>
          <w:szCs w:val="24"/>
          <w:lang w:val="en-US"/>
        </w:rPr>
        <w:t xml:space="preserve"> most often to justify reimbursement.  </w:t>
      </w:r>
      <w:r w:rsidR="00E130D7" w:rsidRPr="005C4A43">
        <w:rPr>
          <w:rFonts w:cstheme="minorHAnsi"/>
          <w:bCs/>
          <w:sz w:val="24"/>
          <w:szCs w:val="24"/>
          <w:lang w:val="en-US"/>
        </w:rPr>
        <w:t>In contrast, t</w:t>
      </w:r>
      <w:r w:rsidR="006D4CC3" w:rsidRPr="005C4A43">
        <w:rPr>
          <w:rFonts w:cstheme="minorHAnsi"/>
          <w:bCs/>
          <w:sz w:val="24"/>
          <w:szCs w:val="24"/>
          <w:lang w:val="en-US"/>
        </w:rPr>
        <w:t xml:space="preserve">he present study </w:t>
      </w:r>
      <w:r w:rsidR="00E130D7" w:rsidRPr="005C4A43">
        <w:rPr>
          <w:rFonts w:cstheme="minorHAnsi"/>
          <w:bCs/>
          <w:sz w:val="24"/>
          <w:szCs w:val="24"/>
          <w:lang w:val="en-US"/>
        </w:rPr>
        <w:t>incorporates utility losses as an endpoint.  There are, however, some differences in their use.  First,</w:t>
      </w:r>
      <w:r w:rsidR="00E130D7" w:rsidRPr="005C4A43">
        <w:rPr>
          <w:bCs/>
          <w:sz w:val="24"/>
          <w:szCs w:val="24"/>
        </w:rPr>
        <w:t xml:space="preserve"> </w:t>
      </w:r>
      <w:r w:rsidR="00EA4E6D" w:rsidRPr="005C4A43">
        <w:rPr>
          <w:rFonts w:cstheme="minorHAnsi"/>
          <w:bCs/>
          <w:sz w:val="24"/>
          <w:szCs w:val="24"/>
        </w:rPr>
        <w:t>i</w:t>
      </w:r>
      <w:r w:rsidR="00E130D7" w:rsidRPr="005C4A43">
        <w:rPr>
          <w:rFonts w:cstheme="minorHAnsi"/>
          <w:bCs/>
          <w:sz w:val="24"/>
          <w:szCs w:val="24"/>
        </w:rPr>
        <w:t xml:space="preserve">n the </w:t>
      </w:r>
      <w:r w:rsidR="00EA4E6D" w:rsidRPr="005C4A43">
        <w:rPr>
          <w:rFonts w:cstheme="minorHAnsi"/>
          <w:bCs/>
          <w:sz w:val="24"/>
          <w:szCs w:val="24"/>
        </w:rPr>
        <w:t xml:space="preserve">present study, no utility loss was ascribed in the </w:t>
      </w:r>
      <w:r w:rsidR="00E130D7" w:rsidRPr="005C4A43">
        <w:rPr>
          <w:rFonts w:cstheme="minorHAnsi"/>
          <w:bCs/>
          <w:sz w:val="24"/>
          <w:szCs w:val="24"/>
        </w:rPr>
        <w:t xml:space="preserve">case of death, </w:t>
      </w:r>
      <w:r w:rsidR="00EA4E6D" w:rsidRPr="005C4A43">
        <w:rPr>
          <w:rFonts w:cstheme="minorHAnsi"/>
          <w:bCs/>
          <w:sz w:val="24"/>
          <w:szCs w:val="24"/>
        </w:rPr>
        <w:t xml:space="preserve">whereas this a component of cost-utility analysis.  The rational for the departure is that </w:t>
      </w:r>
      <w:r w:rsidR="00E130D7" w:rsidRPr="005C4A43">
        <w:rPr>
          <w:rFonts w:cstheme="minorHAnsi"/>
          <w:bCs/>
          <w:sz w:val="24"/>
          <w:szCs w:val="24"/>
        </w:rPr>
        <w:t xml:space="preserve">the aim of the </w:t>
      </w:r>
      <w:r w:rsidR="00EA4E6D" w:rsidRPr="005C4A43">
        <w:rPr>
          <w:rFonts w:cstheme="minorHAnsi"/>
          <w:bCs/>
          <w:sz w:val="24"/>
          <w:szCs w:val="24"/>
        </w:rPr>
        <w:t xml:space="preserve">present </w:t>
      </w:r>
      <w:r w:rsidR="00E130D7" w:rsidRPr="005C4A43">
        <w:rPr>
          <w:rFonts w:cstheme="minorHAnsi"/>
          <w:bCs/>
          <w:sz w:val="24"/>
          <w:szCs w:val="24"/>
        </w:rPr>
        <w:t xml:space="preserve">study was to </w:t>
      </w:r>
      <w:r w:rsidR="001D3FAD">
        <w:rPr>
          <w:rFonts w:cstheme="minorHAnsi"/>
          <w:bCs/>
          <w:sz w:val="24"/>
          <w:szCs w:val="24"/>
        </w:rPr>
        <w:t xml:space="preserve">solely to </w:t>
      </w:r>
      <w:r w:rsidR="00E130D7" w:rsidRPr="005C4A43">
        <w:rPr>
          <w:rFonts w:cstheme="minorHAnsi"/>
          <w:bCs/>
          <w:sz w:val="24"/>
          <w:szCs w:val="24"/>
        </w:rPr>
        <w:t xml:space="preserve">determine the </w:t>
      </w:r>
      <w:r w:rsidR="00117BF1">
        <w:rPr>
          <w:rFonts w:cstheme="minorHAnsi"/>
          <w:bCs/>
          <w:sz w:val="24"/>
          <w:szCs w:val="24"/>
        </w:rPr>
        <w:t>impact</w:t>
      </w:r>
      <w:r w:rsidR="00E130D7" w:rsidRPr="005C4A43">
        <w:rPr>
          <w:rFonts w:cstheme="minorHAnsi"/>
          <w:bCs/>
          <w:sz w:val="24"/>
          <w:szCs w:val="24"/>
        </w:rPr>
        <w:t xml:space="preserve"> of the </w:t>
      </w:r>
      <w:r w:rsidR="00117BF1">
        <w:rPr>
          <w:rFonts w:cstheme="minorHAnsi"/>
          <w:bCs/>
          <w:sz w:val="24"/>
          <w:szCs w:val="24"/>
        </w:rPr>
        <w:t>intervention</w:t>
      </w:r>
      <w:r w:rsidR="00E130D7" w:rsidRPr="005C4A43">
        <w:rPr>
          <w:rFonts w:cstheme="minorHAnsi"/>
          <w:bCs/>
          <w:sz w:val="24"/>
          <w:szCs w:val="24"/>
        </w:rPr>
        <w:t xml:space="preserve"> </w:t>
      </w:r>
      <w:r w:rsidR="00117BF1">
        <w:rPr>
          <w:rFonts w:cstheme="minorHAnsi"/>
          <w:bCs/>
          <w:sz w:val="24"/>
          <w:szCs w:val="24"/>
        </w:rPr>
        <w:t xml:space="preserve">on </w:t>
      </w:r>
      <w:r w:rsidR="00BA1BEF">
        <w:rPr>
          <w:rFonts w:cstheme="minorHAnsi"/>
          <w:bCs/>
          <w:sz w:val="24"/>
          <w:szCs w:val="24"/>
        </w:rPr>
        <w:t>the fracture outcome</w:t>
      </w:r>
      <w:r w:rsidR="00E130D7" w:rsidRPr="005C4A43">
        <w:rPr>
          <w:rFonts w:cstheme="minorHAnsi"/>
          <w:bCs/>
          <w:sz w:val="24"/>
          <w:szCs w:val="24"/>
        </w:rPr>
        <w:t>. For the same reason, side-effects were not included.</w:t>
      </w:r>
      <w:r w:rsidR="0073557F" w:rsidRPr="005C4A43">
        <w:rPr>
          <w:rFonts w:cstheme="minorHAnsi"/>
          <w:bCs/>
          <w:sz w:val="24"/>
          <w:szCs w:val="24"/>
        </w:rPr>
        <w:t xml:space="preserve"> </w:t>
      </w:r>
      <w:r w:rsidR="00EA4E6D" w:rsidRPr="005C4A43">
        <w:rPr>
          <w:rFonts w:cstheme="minorHAnsi"/>
          <w:bCs/>
          <w:sz w:val="24"/>
          <w:szCs w:val="24"/>
        </w:rPr>
        <w:t xml:space="preserve"> Second, we incorporated all relevant fractures whereas in the case of multiple </w:t>
      </w:r>
      <w:r w:rsidR="00E4072B" w:rsidRPr="005C4A43">
        <w:rPr>
          <w:rFonts w:cstheme="minorHAnsi"/>
          <w:bCs/>
          <w:sz w:val="24"/>
          <w:szCs w:val="24"/>
        </w:rPr>
        <w:t xml:space="preserve">concurrent </w:t>
      </w:r>
      <w:r w:rsidR="00EA4E6D" w:rsidRPr="005C4A43">
        <w:rPr>
          <w:rFonts w:cstheme="minorHAnsi"/>
          <w:bCs/>
          <w:sz w:val="24"/>
          <w:szCs w:val="24"/>
        </w:rPr>
        <w:t xml:space="preserve">fractures, </w:t>
      </w:r>
      <w:r w:rsidR="00E4072B" w:rsidRPr="005C4A43">
        <w:rPr>
          <w:rFonts w:cstheme="minorHAnsi"/>
          <w:bCs/>
          <w:sz w:val="24"/>
          <w:szCs w:val="24"/>
        </w:rPr>
        <w:t xml:space="preserve">only </w:t>
      </w:r>
      <w:r w:rsidR="00EA4E6D" w:rsidRPr="005C4A43">
        <w:rPr>
          <w:rFonts w:cstheme="minorHAnsi"/>
          <w:bCs/>
          <w:sz w:val="24"/>
          <w:szCs w:val="24"/>
        </w:rPr>
        <w:t xml:space="preserve">the fracture with the highest utility loss is </w:t>
      </w:r>
      <w:r w:rsidR="006A3ABA" w:rsidRPr="005C4A43">
        <w:rPr>
          <w:rFonts w:cstheme="minorHAnsi"/>
          <w:bCs/>
          <w:sz w:val="24"/>
          <w:szCs w:val="24"/>
        </w:rPr>
        <w:t xml:space="preserve">usually </w:t>
      </w:r>
      <w:r w:rsidR="00EA4E6D" w:rsidRPr="005C4A43">
        <w:rPr>
          <w:rFonts w:cstheme="minorHAnsi"/>
          <w:bCs/>
          <w:sz w:val="24"/>
          <w:szCs w:val="24"/>
        </w:rPr>
        <w:t>considered in heath economic analyses.</w:t>
      </w:r>
    </w:p>
    <w:p w14:paraId="2064A5F5" w14:textId="6E94DE36" w:rsidR="00EA4E6D" w:rsidRDefault="00EA4E6D" w:rsidP="00C85629">
      <w:pPr>
        <w:spacing w:after="0" w:line="276" w:lineRule="auto"/>
        <w:rPr>
          <w:rFonts w:cstheme="minorHAnsi"/>
          <w:bCs/>
        </w:rPr>
      </w:pPr>
    </w:p>
    <w:p w14:paraId="7DB3C450" w14:textId="6F893A5F" w:rsidR="00C9622C" w:rsidRPr="0058056A" w:rsidRDefault="00EA4E6D" w:rsidP="0058056A">
      <w:pPr>
        <w:spacing w:after="0" w:line="276" w:lineRule="auto"/>
        <w:rPr>
          <w:rFonts w:cstheme="minorHAnsi"/>
          <w:bCs/>
          <w:sz w:val="24"/>
          <w:szCs w:val="24"/>
        </w:rPr>
      </w:pPr>
      <w:r w:rsidRPr="0058056A">
        <w:rPr>
          <w:rFonts w:cstheme="minorHAnsi"/>
          <w:bCs/>
          <w:sz w:val="24"/>
          <w:szCs w:val="24"/>
        </w:rPr>
        <w:t>The present study has a number of limitations.  We used population health</w:t>
      </w:r>
      <w:r w:rsidR="00B33839" w:rsidRPr="0058056A">
        <w:rPr>
          <w:rFonts w:cstheme="minorHAnsi"/>
          <w:bCs/>
          <w:sz w:val="24"/>
          <w:szCs w:val="24"/>
        </w:rPr>
        <w:t>-</w:t>
      </w:r>
      <w:r w:rsidRPr="0058056A">
        <w:rPr>
          <w:rFonts w:cstheme="minorHAnsi"/>
          <w:bCs/>
          <w:sz w:val="24"/>
          <w:szCs w:val="24"/>
        </w:rPr>
        <w:t xml:space="preserve">state values from the </w:t>
      </w:r>
      <w:r w:rsidR="00A756CB" w:rsidRPr="0058056A">
        <w:rPr>
          <w:rFonts w:cstheme="minorHAnsi"/>
          <w:bCs/>
          <w:sz w:val="24"/>
          <w:szCs w:val="24"/>
        </w:rPr>
        <w:t>UK,</w:t>
      </w:r>
      <w:r w:rsidRPr="0058056A">
        <w:rPr>
          <w:rFonts w:cstheme="minorHAnsi"/>
          <w:bCs/>
          <w:sz w:val="24"/>
          <w:szCs w:val="24"/>
        </w:rPr>
        <w:t xml:space="preserve"> and these are likely to differ in the different countries that </w:t>
      </w:r>
      <w:r w:rsidR="008554B6">
        <w:rPr>
          <w:rFonts w:cstheme="minorHAnsi"/>
          <w:bCs/>
          <w:sz w:val="24"/>
          <w:szCs w:val="24"/>
        </w:rPr>
        <w:t xml:space="preserve">were </w:t>
      </w:r>
      <w:r w:rsidRPr="0058056A">
        <w:rPr>
          <w:rFonts w:cstheme="minorHAnsi"/>
          <w:bCs/>
          <w:sz w:val="24"/>
          <w:szCs w:val="24"/>
        </w:rPr>
        <w:t xml:space="preserve">recruited to the </w:t>
      </w:r>
      <w:r w:rsidR="00C9622C" w:rsidRPr="0058056A">
        <w:rPr>
          <w:rFonts w:cstheme="minorHAnsi"/>
          <w:bCs/>
          <w:sz w:val="24"/>
          <w:szCs w:val="24"/>
        </w:rPr>
        <w:t xml:space="preserve">FREEDOM trial.  The assumption is also made that a patient has a normal health state value for age at entry to the study.  This is unlikely to be correct due to the high prevalence of co-existing morbidity in women with osteoporosis.  However, the limitations are applied to both placebo and actively treated patients and is unlikely, </w:t>
      </w:r>
      <w:r w:rsidR="00EA152C" w:rsidRPr="0058056A">
        <w:rPr>
          <w:rFonts w:cstheme="minorHAnsi"/>
          <w:bCs/>
          <w:sz w:val="24"/>
          <w:szCs w:val="24"/>
        </w:rPr>
        <w:t>therefore,</w:t>
      </w:r>
      <w:r w:rsidR="00C9622C" w:rsidRPr="0058056A">
        <w:rPr>
          <w:rFonts w:cstheme="minorHAnsi"/>
          <w:bCs/>
          <w:sz w:val="24"/>
          <w:szCs w:val="24"/>
        </w:rPr>
        <w:t xml:space="preserve"> to bias the comparative effects of denosumab versus placebo.</w:t>
      </w:r>
    </w:p>
    <w:p w14:paraId="62AE5E05" w14:textId="3086A439" w:rsidR="00622B5A" w:rsidRPr="0058056A" w:rsidRDefault="00622B5A" w:rsidP="0058056A">
      <w:pPr>
        <w:spacing w:after="0" w:line="276" w:lineRule="auto"/>
        <w:rPr>
          <w:rFonts w:cstheme="minorHAnsi"/>
          <w:bCs/>
          <w:sz w:val="24"/>
          <w:szCs w:val="24"/>
        </w:rPr>
      </w:pPr>
    </w:p>
    <w:p w14:paraId="6ADDCD80" w14:textId="239CD7D9" w:rsidR="00622B5A" w:rsidRPr="0058056A" w:rsidRDefault="00620B60" w:rsidP="0058056A">
      <w:pPr>
        <w:spacing w:after="0" w:line="276" w:lineRule="auto"/>
        <w:rPr>
          <w:rFonts w:cstheme="minorHAnsi"/>
          <w:bCs/>
          <w:sz w:val="24"/>
          <w:szCs w:val="24"/>
        </w:rPr>
      </w:pPr>
      <w:r>
        <w:rPr>
          <w:rFonts w:cstheme="minorHAnsi"/>
          <w:bCs/>
          <w:sz w:val="24"/>
          <w:szCs w:val="24"/>
        </w:rPr>
        <w:t xml:space="preserve">In addition to </w:t>
      </w:r>
      <w:r w:rsidR="000B2CF9">
        <w:rPr>
          <w:rFonts w:cstheme="minorHAnsi"/>
          <w:bCs/>
          <w:sz w:val="24"/>
          <w:szCs w:val="24"/>
        </w:rPr>
        <w:t>validation in other phase 3 settings, future</w:t>
      </w:r>
      <w:r w:rsidR="00622B5A" w:rsidRPr="0058056A">
        <w:rPr>
          <w:rFonts w:cstheme="minorHAnsi"/>
          <w:bCs/>
          <w:sz w:val="24"/>
          <w:szCs w:val="24"/>
        </w:rPr>
        <w:t xml:space="preserve"> work might include assigning a monetary value to disutility. The value of a QALY may differ between and within countries due to a number of factors including degree of prosperity, cultural attitudes and the opportunity costs of resources devoted in obtaining a marginal QALY.  </w:t>
      </w:r>
      <w:r w:rsidR="00850AB1" w:rsidRPr="0058056A">
        <w:rPr>
          <w:rFonts w:cstheme="minorHAnsi"/>
          <w:bCs/>
          <w:sz w:val="24"/>
          <w:szCs w:val="24"/>
        </w:rPr>
        <w:t>Previously used approaches</w:t>
      </w:r>
      <w:r w:rsidR="005F13C3" w:rsidRPr="0058056A">
        <w:rPr>
          <w:rFonts w:cstheme="minorHAnsi"/>
          <w:bCs/>
          <w:sz w:val="24"/>
          <w:szCs w:val="24"/>
        </w:rPr>
        <w:t xml:space="preserve"> </w:t>
      </w:r>
      <w:r w:rsidR="00622B5A" w:rsidRPr="0058056A">
        <w:rPr>
          <w:rFonts w:cstheme="minorHAnsi"/>
          <w:bCs/>
          <w:sz w:val="24"/>
          <w:szCs w:val="24"/>
        </w:rPr>
        <w:t xml:space="preserve">set the value of a QALY at 2 × </w:t>
      </w:r>
      <w:r w:rsidR="00FF7A0E" w:rsidRPr="0058056A">
        <w:rPr>
          <w:rFonts w:cstheme="minorHAnsi"/>
          <w:bCs/>
          <w:sz w:val="24"/>
          <w:szCs w:val="24"/>
        </w:rPr>
        <w:t>gross domestic product (</w:t>
      </w:r>
      <w:r w:rsidR="00622B5A" w:rsidRPr="0058056A">
        <w:rPr>
          <w:rFonts w:cstheme="minorHAnsi"/>
          <w:bCs/>
          <w:sz w:val="24"/>
          <w:szCs w:val="24"/>
        </w:rPr>
        <w:t>GDP</w:t>
      </w:r>
      <w:r w:rsidR="00FF7A0E" w:rsidRPr="0058056A">
        <w:rPr>
          <w:rFonts w:cstheme="minorHAnsi"/>
          <w:bCs/>
          <w:sz w:val="24"/>
          <w:szCs w:val="24"/>
        </w:rPr>
        <w:t>)</w:t>
      </w:r>
      <w:r w:rsidR="00622B5A" w:rsidRPr="0058056A">
        <w:rPr>
          <w:rFonts w:cstheme="minorHAnsi"/>
          <w:bCs/>
          <w:sz w:val="24"/>
          <w:szCs w:val="24"/>
        </w:rPr>
        <w:t xml:space="preserve"> per capita for the reference country</w:t>
      </w:r>
      <w:r w:rsidR="00504278">
        <w:rPr>
          <w:rFonts w:cstheme="minorHAnsi"/>
          <w:bCs/>
          <w:sz w:val="24"/>
          <w:szCs w:val="24"/>
        </w:rPr>
        <w:t xml:space="preserve"> [3</w:t>
      </w:r>
      <w:r w:rsidR="00D031FF">
        <w:rPr>
          <w:rFonts w:cstheme="minorHAnsi"/>
          <w:bCs/>
          <w:sz w:val="24"/>
          <w:szCs w:val="24"/>
        </w:rPr>
        <w:t>3</w:t>
      </w:r>
      <w:r w:rsidR="00504278">
        <w:rPr>
          <w:rFonts w:cstheme="minorHAnsi"/>
          <w:bCs/>
          <w:sz w:val="24"/>
          <w:szCs w:val="24"/>
        </w:rPr>
        <w:t>, 3</w:t>
      </w:r>
      <w:r w:rsidR="00D031FF">
        <w:rPr>
          <w:rFonts w:cstheme="minorHAnsi"/>
          <w:bCs/>
          <w:sz w:val="24"/>
          <w:szCs w:val="24"/>
        </w:rPr>
        <w:t>4</w:t>
      </w:r>
      <w:r w:rsidR="00504278">
        <w:rPr>
          <w:rFonts w:cstheme="minorHAnsi"/>
          <w:bCs/>
          <w:sz w:val="24"/>
          <w:szCs w:val="24"/>
        </w:rPr>
        <w:t>]</w:t>
      </w:r>
      <w:r w:rsidR="00A756CB">
        <w:rPr>
          <w:rFonts w:cstheme="minorHAnsi"/>
          <w:bCs/>
          <w:sz w:val="24"/>
          <w:szCs w:val="24"/>
        </w:rPr>
        <w:t xml:space="preserve">. </w:t>
      </w:r>
      <w:r w:rsidR="005F13C3" w:rsidRPr="0058056A">
        <w:rPr>
          <w:rFonts w:cstheme="minorHAnsi"/>
          <w:bCs/>
          <w:sz w:val="24"/>
          <w:szCs w:val="24"/>
        </w:rPr>
        <w:t xml:space="preserve"> </w:t>
      </w:r>
      <w:r w:rsidR="00622B5A" w:rsidRPr="0058056A">
        <w:rPr>
          <w:rFonts w:cstheme="minorHAnsi"/>
          <w:bCs/>
          <w:sz w:val="24"/>
          <w:szCs w:val="24"/>
        </w:rPr>
        <w:t xml:space="preserve">Knowing the monetary value of a marginal QALY, the cost of </w:t>
      </w:r>
      <w:r w:rsidR="00F33920" w:rsidRPr="0058056A">
        <w:rPr>
          <w:rFonts w:cstheme="minorHAnsi"/>
          <w:bCs/>
          <w:sz w:val="24"/>
          <w:szCs w:val="24"/>
        </w:rPr>
        <w:t>intervention</w:t>
      </w:r>
      <w:r w:rsidR="00622B5A" w:rsidRPr="0058056A">
        <w:rPr>
          <w:rFonts w:cstheme="minorHAnsi"/>
          <w:bCs/>
          <w:sz w:val="24"/>
          <w:szCs w:val="24"/>
        </w:rPr>
        <w:t xml:space="preserve"> and the marginal QALY gains with treatment will permit a conservative estimate of the net societal cost of intervention.</w:t>
      </w:r>
    </w:p>
    <w:p w14:paraId="6A25F6C8" w14:textId="77777777" w:rsidR="00622B5A" w:rsidRPr="0058056A" w:rsidRDefault="00622B5A" w:rsidP="0058056A">
      <w:pPr>
        <w:spacing w:after="0" w:line="276" w:lineRule="auto"/>
        <w:rPr>
          <w:rFonts w:cstheme="minorHAnsi"/>
          <w:bCs/>
          <w:sz w:val="24"/>
          <w:szCs w:val="24"/>
        </w:rPr>
      </w:pPr>
    </w:p>
    <w:p w14:paraId="34AC9CA7" w14:textId="78C12AD7" w:rsidR="00C9622C" w:rsidRPr="0058056A" w:rsidRDefault="00622B5A" w:rsidP="0058056A">
      <w:pPr>
        <w:spacing w:line="276" w:lineRule="auto"/>
        <w:rPr>
          <w:sz w:val="24"/>
          <w:szCs w:val="24"/>
        </w:rPr>
      </w:pPr>
      <w:r w:rsidRPr="0058056A">
        <w:rPr>
          <w:sz w:val="24"/>
          <w:szCs w:val="24"/>
        </w:rPr>
        <w:t>We conclude that d</w:t>
      </w:r>
      <w:r w:rsidR="00C9622C" w:rsidRPr="0058056A">
        <w:rPr>
          <w:sz w:val="24"/>
          <w:szCs w:val="24"/>
        </w:rPr>
        <w:t xml:space="preserve">enosumab significantly decreased utility loss.  The use of metrics that combine fracture outcomes may provide added power </w:t>
      </w:r>
      <w:r w:rsidRPr="0058056A">
        <w:rPr>
          <w:sz w:val="24"/>
          <w:szCs w:val="24"/>
        </w:rPr>
        <w:t xml:space="preserve">and flexibility </w:t>
      </w:r>
      <w:r w:rsidR="00C9622C" w:rsidRPr="0058056A">
        <w:rPr>
          <w:sz w:val="24"/>
          <w:szCs w:val="24"/>
        </w:rPr>
        <w:t>to phase 3 studies.</w:t>
      </w:r>
    </w:p>
    <w:p w14:paraId="1A20591C" w14:textId="77777777" w:rsidR="00D25F0F" w:rsidRPr="004C253B" w:rsidRDefault="00D25F0F" w:rsidP="00D25F0F"/>
    <w:p w14:paraId="65966C47" w14:textId="4869750B" w:rsidR="00D25F0F" w:rsidRPr="007D5683" w:rsidRDefault="005C6F39" w:rsidP="00D25F0F">
      <w:pPr>
        <w:rPr>
          <w:b/>
          <w:bCs/>
          <w:sz w:val="24"/>
          <w:szCs w:val="24"/>
        </w:rPr>
      </w:pPr>
      <w:r w:rsidRPr="007D5683">
        <w:rPr>
          <w:b/>
          <w:bCs/>
          <w:sz w:val="24"/>
          <w:szCs w:val="24"/>
        </w:rPr>
        <w:t>Acknowledgement</w:t>
      </w:r>
    </w:p>
    <w:p w14:paraId="10BC13A5" w14:textId="3BC27350" w:rsidR="00337F2B" w:rsidRPr="007D5683" w:rsidRDefault="00B122D6" w:rsidP="007F4115">
      <w:pPr>
        <w:rPr>
          <w:sz w:val="24"/>
          <w:szCs w:val="24"/>
        </w:rPr>
      </w:pPr>
      <w:r w:rsidRPr="007D5683">
        <w:rPr>
          <w:sz w:val="24"/>
          <w:szCs w:val="24"/>
        </w:rPr>
        <w:t xml:space="preserve">We are grateful to </w:t>
      </w:r>
      <w:r w:rsidR="001F610A" w:rsidRPr="007D5683">
        <w:rPr>
          <w:sz w:val="24"/>
          <w:szCs w:val="24"/>
        </w:rPr>
        <w:t xml:space="preserve">Amgen, </w:t>
      </w:r>
      <w:r w:rsidR="00A01963" w:rsidRPr="007D5683">
        <w:rPr>
          <w:sz w:val="24"/>
          <w:szCs w:val="24"/>
        </w:rPr>
        <w:t>Thousand Oaks, California for providing the phase 3 data of the FREEDOM study</w:t>
      </w:r>
      <w:r w:rsidR="008433FD" w:rsidRPr="007D5683">
        <w:rPr>
          <w:sz w:val="24"/>
          <w:szCs w:val="24"/>
        </w:rPr>
        <w:t xml:space="preserve"> </w:t>
      </w:r>
      <w:r w:rsidR="007D5683" w:rsidRPr="007D5683">
        <w:rPr>
          <w:sz w:val="24"/>
          <w:szCs w:val="24"/>
        </w:rPr>
        <w:t>pursuant</w:t>
      </w:r>
      <w:r w:rsidR="008433FD" w:rsidRPr="007D5683">
        <w:rPr>
          <w:sz w:val="24"/>
          <w:szCs w:val="24"/>
        </w:rPr>
        <w:t xml:space="preserve"> to a</w:t>
      </w:r>
      <w:r w:rsidR="00A01963" w:rsidRPr="007D5683">
        <w:rPr>
          <w:sz w:val="24"/>
          <w:szCs w:val="24"/>
        </w:rPr>
        <w:t xml:space="preserve"> </w:t>
      </w:r>
      <w:r w:rsidR="007F4115" w:rsidRPr="007D5683">
        <w:rPr>
          <w:sz w:val="24"/>
          <w:szCs w:val="24"/>
        </w:rPr>
        <w:t>data sharing agreement</w:t>
      </w:r>
      <w:r w:rsidR="007D5683" w:rsidRPr="007D5683">
        <w:rPr>
          <w:sz w:val="24"/>
          <w:szCs w:val="24"/>
        </w:rPr>
        <w:t>.</w:t>
      </w:r>
      <w:r w:rsidR="007F4115" w:rsidRPr="007D5683">
        <w:rPr>
          <w:sz w:val="24"/>
          <w:szCs w:val="24"/>
        </w:rPr>
        <w:t xml:space="preserve"> </w:t>
      </w:r>
    </w:p>
    <w:p w14:paraId="3B8E047B" w14:textId="77777777" w:rsidR="00A91955" w:rsidRDefault="00A91955" w:rsidP="00D25F0F">
      <w:pPr>
        <w:rPr>
          <w:b/>
          <w:bCs/>
          <w:sz w:val="24"/>
          <w:szCs w:val="24"/>
        </w:rPr>
      </w:pPr>
    </w:p>
    <w:p w14:paraId="56C4C073" w14:textId="74ECCD54" w:rsidR="00D25F0F" w:rsidRDefault="00D25F0F" w:rsidP="00D25F0F">
      <w:pPr>
        <w:rPr>
          <w:b/>
          <w:bCs/>
          <w:sz w:val="24"/>
          <w:szCs w:val="24"/>
        </w:rPr>
      </w:pPr>
      <w:r w:rsidRPr="007D5683">
        <w:rPr>
          <w:b/>
          <w:bCs/>
          <w:sz w:val="24"/>
          <w:szCs w:val="24"/>
        </w:rPr>
        <w:t>References</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
        <w:gridCol w:w="7985"/>
      </w:tblGrid>
      <w:tr w:rsidR="00FE606F" w:rsidRPr="00E44BBB" w14:paraId="50CA623D" w14:textId="77777777" w:rsidTr="00FE606F">
        <w:tc>
          <w:tcPr>
            <w:tcW w:w="495" w:type="dxa"/>
          </w:tcPr>
          <w:p w14:paraId="083F771C" w14:textId="2DF53717" w:rsidR="00FE606F" w:rsidRPr="00E44BBB" w:rsidRDefault="00FE606F" w:rsidP="00D031FF">
            <w:pPr>
              <w:spacing w:before="240"/>
              <w:jc w:val="right"/>
              <w:rPr>
                <w:rFonts w:ascii="Calibri" w:eastAsia="Calibri" w:hAnsi="Calibri" w:cs="Times New Roman"/>
              </w:rPr>
            </w:pPr>
            <w:r w:rsidRPr="00E44BBB">
              <w:rPr>
                <w:rFonts w:ascii="Calibri" w:eastAsia="Calibri" w:hAnsi="Calibri" w:cs="Times New Roman"/>
              </w:rPr>
              <w:t>1.</w:t>
            </w:r>
          </w:p>
        </w:tc>
        <w:tc>
          <w:tcPr>
            <w:tcW w:w="7985" w:type="dxa"/>
          </w:tcPr>
          <w:p w14:paraId="73F31DC7" w14:textId="65332585" w:rsidR="00FE606F" w:rsidRPr="00E44BBB" w:rsidRDefault="00FE606F" w:rsidP="00D031FF">
            <w:pPr>
              <w:spacing w:before="240"/>
              <w:rPr>
                <w:rFonts w:ascii="Calibri" w:eastAsia="Calibri" w:hAnsi="Calibri" w:cs="Times New Roman"/>
              </w:rPr>
            </w:pPr>
            <w:r w:rsidRPr="00E44BBB">
              <w:rPr>
                <w:rFonts w:ascii="Calibri" w:eastAsia="Calibri" w:hAnsi="Calibri" w:cs="Times New Roman"/>
              </w:rPr>
              <w:t>Committee for Medicinal Products for Human Use (</w:t>
            </w:r>
            <w:smartTag w:uri="urn:schemas-microsoft-com:office:smarttags" w:element="stockticker">
              <w:r w:rsidRPr="00E44BBB">
                <w:rPr>
                  <w:rFonts w:ascii="Calibri" w:eastAsia="Calibri" w:hAnsi="Calibri" w:cs="Times New Roman"/>
                </w:rPr>
                <w:t>CHMP</w:t>
              </w:r>
            </w:smartTag>
            <w:r w:rsidRPr="00E44BBB">
              <w:rPr>
                <w:rFonts w:ascii="Calibri" w:eastAsia="Calibri" w:hAnsi="Calibri" w:cs="Times New Roman"/>
              </w:rPr>
              <w:t xml:space="preserve">) (2006) Guideline on the evaluation of medicinal products in the treatment of primary osteoporosis.  Ref CPMP/EWP/552/95Rev.2.  London, </w:t>
            </w:r>
            <w:smartTag w:uri="urn:schemas-microsoft-com:office:smarttags" w:element="stockticker">
              <w:r w:rsidRPr="00E44BBB">
                <w:rPr>
                  <w:rFonts w:ascii="Calibri" w:eastAsia="Calibri" w:hAnsi="Calibri" w:cs="Times New Roman"/>
                </w:rPr>
                <w:t>CHMP</w:t>
              </w:r>
            </w:smartTag>
            <w:r w:rsidRPr="00E44BBB">
              <w:rPr>
                <w:rFonts w:ascii="Calibri" w:eastAsia="Calibri" w:hAnsi="Calibri" w:cs="Times New Roman"/>
              </w:rPr>
              <w:t>.</w:t>
            </w:r>
            <w:r>
              <w:rPr>
                <w:rFonts w:ascii="Calibri" w:eastAsia="Calibri" w:hAnsi="Calibri" w:cs="Times New Roman"/>
              </w:rPr>
              <w:t xml:space="preserve"> </w:t>
            </w:r>
            <w:r w:rsidRPr="00E44BBB">
              <w:rPr>
                <w:rFonts w:ascii="Calibri" w:eastAsia="Calibri" w:hAnsi="Calibri" w:cs="Times New Roman"/>
              </w:rPr>
              <w:t xml:space="preserve"> Nov 2006</w:t>
            </w:r>
          </w:p>
        </w:tc>
      </w:tr>
      <w:tr w:rsidR="00FE606F" w:rsidRPr="00E44BBB" w14:paraId="7663D938" w14:textId="77777777" w:rsidTr="00FE606F">
        <w:tc>
          <w:tcPr>
            <w:tcW w:w="495" w:type="dxa"/>
          </w:tcPr>
          <w:p w14:paraId="69600609" w14:textId="334F3EA7" w:rsidR="00FE606F" w:rsidRPr="00E44BBB" w:rsidRDefault="00FE606F" w:rsidP="00D031FF">
            <w:pPr>
              <w:spacing w:before="240"/>
              <w:jc w:val="right"/>
              <w:rPr>
                <w:rFonts w:ascii="Calibri" w:eastAsia="Calibri" w:hAnsi="Calibri" w:cs="Times New Roman"/>
              </w:rPr>
            </w:pPr>
            <w:r w:rsidRPr="00E44BBB">
              <w:rPr>
                <w:rFonts w:ascii="Calibri" w:eastAsia="Calibri" w:hAnsi="Calibri" w:cs="Times New Roman"/>
              </w:rPr>
              <w:t>2.</w:t>
            </w:r>
          </w:p>
        </w:tc>
        <w:tc>
          <w:tcPr>
            <w:tcW w:w="7985" w:type="dxa"/>
          </w:tcPr>
          <w:p w14:paraId="2DC8409F" w14:textId="76333ED9" w:rsidR="00FE606F" w:rsidRPr="00E44BBB" w:rsidRDefault="00FE606F" w:rsidP="00D031FF">
            <w:pPr>
              <w:spacing w:before="240"/>
              <w:rPr>
                <w:rFonts w:ascii="Calibri" w:eastAsia="Calibri" w:hAnsi="Calibri" w:cs="Times New Roman"/>
              </w:rPr>
            </w:pPr>
            <w:r w:rsidRPr="00E44BBB">
              <w:rPr>
                <w:rFonts w:ascii="Calibri" w:eastAsia="Calibri" w:hAnsi="Calibri" w:cs="Times New Roman"/>
                <w:iCs/>
              </w:rPr>
              <w:t xml:space="preserve">Food and Drug Administration (1994) Guidelines for preclinical and clinical evaluation of agents used in the prevention or treatment of postmenopausal osteoporosis. </w:t>
            </w:r>
            <w:r>
              <w:rPr>
                <w:rFonts w:ascii="Calibri" w:eastAsia="Calibri" w:hAnsi="Calibri" w:cs="Times New Roman"/>
                <w:iCs/>
              </w:rPr>
              <w:t xml:space="preserve"> </w:t>
            </w:r>
            <w:r w:rsidRPr="00E44BBB">
              <w:rPr>
                <w:rFonts w:ascii="Calibri" w:eastAsia="Calibri" w:hAnsi="Calibri" w:cs="Times New Roman"/>
                <w:iCs/>
              </w:rPr>
              <w:t xml:space="preserve">Rockville, MD: Division of Metabolism and Endocrine Drug Products. </w:t>
            </w:r>
          </w:p>
        </w:tc>
      </w:tr>
      <w:tr w:rsidR="00FE606F" w:rsidRPr="00E44BBB" w14:paraId="449FB846" w14:textId="77777777" w:rsidTr="00FE606F">
        <w:tc>
          <w:tcPr>
            <w:tcW w:w="495" w:type="dxa"/>
          </w:tcPr>
          <w:p w14:paraId="3DD0C6E6" w14:textId="02236995" w:rsidR="00FE606F" w:rsidRPr="00E44BBB" w:rsidRDefault="00FE606F" w:rsidP="00D031FF">
            <w:pPr>
              <w:spacing w:before="240"/>
              <w:jc w:val="right"/>
              <w:rPr>
                <w:rFonts w:ascii="Calibri" w:eastAsia="Calibri" w:hAnsi="Calibri" w:cs="Times New Roman"/>
              </w:rPr>
            </w:pPr>
            <w:r w:rsidRPr="00E44BBB">
              <w:rPr>
                <w:rFonts w:ascii="Calibri" w:eastAsia="Calibri" w:hAnsi="Calibri" w:cs="Times New Roman"/>
              </w:rPr>
              <w:t>3.</w:t>
            </w:r>
          </w:p>
        </w:tc>
        <w:tc>
          <w:tcPr>
            <w:tcW w:w="7985" w:type="dxa"/>
          </w:tcPr>
          <w:p w14:paraId="2DCA4AAE" w14:textId="5D38C039" w:rsidR="00FE606F" w:rsidRPr="00E44BBB" w:rsidRDefault="00FE606F" w:rsidP="00D031FF">
            <w:pPr>
              <w:spacing w:before="240"/>
              <w:rPr>
                <w:rFonts w:ascii="Calibri" w:eastAsia="Calibri" w:hAnsi="Calibri" w:cs="Times New Roman"/>
              </w:rPr>
            </w:pPr>
            <w:proofErr w:type="spellStart"/>
            <w:r w:rsidRPr="00E44BBB">
              <w:rPr>
                <w:rFonts w:ascii="Calibri" w:eastAsia="Calibri" w:hAnsi="Calibri" w:cs="Times New Roman"/>
                <w:iCs/>
              </w:rPr>
              <w:t>Bliuc</w:t>
            </w:r>
            <w:proofErr w:type="spellEnd"/>
            <w:r w:rsidRPr="00E44BBB">
              <w:rPr>
                <w:rFonts w:ascii="Calibri" w:eastAsia="Calibri" w:hAnsi="Calibri" w:cs="Times New Roman"/>
                <w:iCs/>
              </w:rPr>
              <w:t xml:space="preserve"> D, Nguyen ND, </w:t>
            </w:r>
            <w:proofErr w:type="spellStart"/>
            <w:r w:rsidRPr="00E44BBB">
              <w:rPr>
                <w:rFonts w:ascii="Calibri" w:eastAsia="Calibri" w:hAnsi="Calibri" w:cs="Times New Roman"/>
                <w:iCs/>
              </w:rPr>
              <w:t>Milch</w:t>
            </w:r>
            <w:proofErr w:type="spellEnd"/>
            <w:r w:rsidRPr="00E44BBB">
              <w:rPr>
                <w:rFonts w:ascii="Calibri" w:eastAsia="Calibri" w:hAnsi="Calibri" w:cs="Times New Roman"/>
                <w:iCs/>
              </w:rPr>
              <w:t xml:space="preserve"> VE, Nguyen TV, </w:t>
            </w:r>
            <w:proofErr w:type="spellStart"/>
            <w:r w:rsidRPr="00E44BBB">
              <w:rPr>
                <w:rFonts w:ascii="Calibri" w:eastAsia="Calibri" w:hAnsi="Calibri" w:cs="Times New Roman"/>
                <w:iCs/>
              </w:rPr>
              <w:t>Eisman</w:t>
            </w:r>
            <w:proofErr w:type="spellEnd"/>
            <w:r w:rsidRPr="00E44BBB">
              <w:rPr>
                <w:rFonts w:ascii="Calibri" w:eastAsia="Calibri" w:hAnsi="Calibri" w:cs="Times New Roman"/>
                <w:iCs/>
              </w:rPr>
              <w:t xml:space="preserve"> JA, </w:t>
            </w:r>
            <w:proofErr w:type="spellStart"/>
            <w:r w:rsidRPr="00E44BBB">
              <w:rPr>
                <w:rFonts w:ascii="Calibri" w:eastAsia="Calibri" w:hAnsi="Calibri" w:cs="Times New Roman"/>
                <w:iCs/>
              </w:rPr>
              <w:t>Center</w:t>
            </w:r>
            <w:proofErr w:type="spellEnd"/>
            <w:r w:rsidRPr="00E44BBB">
              <w:rPr>
                <w:rFonts w:ascii="Calibri" w:eastAsia="Calibri" w:hAnsi="Calibri" w:cs="Times New Roman"/>
                <w:iCs/>
              </w:rPr>
              <w:t xml:space="preserve"> JR (2009) Mortality risk associated with low-trauma osteoporotic fracture and subsequent fracture in men and women. </w:t>
            </w:r>
            <w:r>
              <w:rPr>
                <w:rFonts w:ascii="Calibri" w:eastAsia="Calibri" w:hAnsi="Calibri" w:cs="Times New Roman"/>
                <w:iCs/>
              </w:rPr>
              <w:t xml:space="preserve"> </w:t>
            </w:r>
            <w:r w:rsidRPr="00E44BBB">
              <w:rPr>
                <w:rFonts w:ascii="Calibri" w:eastAsia="Calibri" w:hAnsi="Calibri" w:cs="Times New Roman"/>
                <w:iCs/>
              </w:rPr>
              <w:t>JAMA 301: 513-21.</w:t>
            </w:r>
          </w:p>
        </w:tc>
      </w:tr>
      <w:tr w:rsidR="00FE606F" w:rsidRPr="00E44BBB" w14:paraId="60263136" w14:textId="77777777" w:rsidTr="00FE606F">
        <w:tc>
          <w:tcPr>
            <w:tcW w:w="495" w:type="dxa"/>
          </w:tcPr>
          <w:p w14:paraId="3B642640" w14:textId="23963599" w:rsidR="00FE606F" w:rsidRPr="00E44BBB" w:rsidRDefault="00FE606F" w:rsidP="00D031FF">
            <w:pPr>
              <w:spacing w:before="240"/>
              <w:jc w:val="right"/>
              <w:rPr>
                <w:rFonts w:ascii="Calibri" w:eastAsia="Calibri" w:hAnsi="Calibri" w:cs="Times New Roman"/>
              </w:rPr>
            </w:pPr>
            <w:r w:rsidRPr="00E44BBB">
              <w:rPr>
                <w:rFonts w:ascii="Calibri" w:eastAsia="Calibri" w:hAnsi="Calibri" w:cs="Times New Roman"/>
              </w:rPr>
              <w:t>4.</w:t>
            </w:r>
          </w:p>
        </w:tc>
        <w:tc>
          <w:tcPr>
            <w:tcW w:w="7985" w:type="dxa"/>
          </w:tcPr>
          <w:p w14:paraId="7B3FF851" w14:textId="3E04E7AD" w:rsidR="00FE606F" w:rsidRPr="00E44BBB" w:rsidRDefault="00FE606F" w:rsidP="00D031FF">
            <w:pPr>
              <w:spacing w:before="240"/>
              <w:rPr>
                <w:rFonts w:ascii="Calibri" w:eastAsia="Calibri" w:hAnsi="Calibri" w:cs="Times New Roman"/>
              </w:rPr>
            </w:pPr>
            <w:r w:rsidRPr="00E44BBB">
              <w:rPr>
                <w:rFonts w:ascii="Calibri" w:eastAsia="Calibri" w:hAnsi="Calibri" w:cs="Times New Roman"/>
              </w:rPr>
              <w:t xml:space="preserve">Gabriel SE, </w:t>
            </w:r>
            <w:proofErr w:type="spellStart"/>
            <w:r w:rsidRPr="00E44BBB">
              <w:rPr>
                <w:rFonts w:ascii="Calibri" w:eastAsia="Calibri" w:hAnsi="Calibri" w:cs="Times New Roman"/>
              </w:rPr>
              <w:t>Tosteson</w:t>
            </w:r>
            <w:proofErr w:type="spellEnd"/>
            <w:r w:rsidRPr="00E44BBB">
              <w:rPr>
                <w:rFonts w:ascii="Calibri" w:eastAsia="Calibri" w:hAnsi="Calibri" w:cs="Times New Roman"/>
              </w:rPr>
              <w:t xml:space="preserve"> AN, </w:t>
            </w:r>
            <w:proofErr w:type="spellStart"/>
            <w:r w:rsidRPr="00E44BBB">
              <w:rPr>
                <w:rFonts w:ascii="Calibri" w:eastAsia="Calibri" w:hAnsi="Calibri" w:cs="Times New Roman"/>
              </w:rPr>
              <w:t>Leibson</w:t>
            </w:r>
            <w:proofErr w:type="spellEnd"/>
            <w:r w:rsidRPr="00E44BBB">
              <w:rPr>
                <w:rFonts w:ascii="Calibri" w:eastAsia="Calibri" w:hAnsi="Calibri" w:cs="Times New Roman"/>
              </w:rPr>
              <w:t xml:space="preserve"> CL, Crowson CS, Pond GR, Hammond CS, </w:t>
            </w:r>
            <w:r w:rsidRPr="00C25B75">
              <w:rPr>
                <w:rFonts w:ascii="Calibri" w:eastAsia="Calibri" w:hAnsi="Calibri" w:cs="Times New Roman"/>
              </w:rPr>
              <w:t>Melton LJ 3rd</w:t>
            </w:r>
            <w:r w:rsidRPr="00E44BBB">
              <w:rPr>
                <w:rFonts w:ascii="Calibri" w:eastAsia="Calibri" w:hAnsi="Calibri" w:cs="Times New Roman"/>
              </w:rPr>
              <w:t xml:space="preserve"> (2002) Direct medical costs attributable to osteoporotic fractures.</w:t>
            </w:r>
            <w:r>
              <w:rPr>
                <w:rFonts w:ascii="Calibri" w:eastAsia="Calibri" w:hAnsi="Calibri" w:cs="Times New Roman"/>
              </w:rPr>
              <w:t xml:space="preserve"> </w:t>
            </w:r>
            <w:r w:rsidRPr="00E44BBB">
              <w:rPr>
                <w:rFonts w:ascii="Calibri" w:eastAsia="Calibri" w:hAnsi="Calibri" w:cs="Times New Roman"/>
              </w:rPr>
              <w:t xml:space="preserve"> </w:t>
            </w:r>
            <w:proofErr w:type="spellStart"/>
            <w:r w:rsidRPr="00E44BBB">
              <w:rPr>
                <w:rFonts w:ascii="Calibri" w:eastAsia="Calibri" w:hAnsi="Calibri" w:cs="Times New Roman"/>
              </w:rPr>
              <w:t>Osteoporos</w:t>
            </w:r>
            <w:proofErr w:type="spellEnd"/>
            <w:r w:rsidRPr="00E44BBB">
              <w:rPr>
                <w:rFonts w:ascii="Calibri" w:eastAsia="Calibri" w:hAnsi="Calibri" w:cs="Times New Roman"/>
              </w:rPr>
              <w:t xml:space="preserve"> Int 13: 323-30</w:t>
            </w:r>
          </w:p>
        </w:tc>
      </w:tr>
      <w:tr w:rsidR="00FE606F" w:rsidRPr="00E44BBB" w14:paraId="7CC5A18F" w14:textId="77777777" w:rsidTr="00FE606F">
        <w:tc>
          <w:tcPr>
            <w:tcW w:w="495" w:type="dxa"/>
          </w:tcPr>
          <w:p w14:paraId="2183758A" w14:textId="5492F876" w:rsidR="00FE606F" w:rsidRPr="00E44BBB" w:rsidRDefault="00FE606F" w:rsidP="00D031FF">
            <w:pPr>
              <w:spacing w:before="240"/>
              <w:jc w:val="right"/>
              <w:rPr>
                <w:rFonts w:ascii="Calibri" w:eastAsia="Calibri" w:hAnsi="Calibri" w:cs="Times New Roman"/>
              </w:rPr>
            </w:pPr>
            <w:r w:rsidRPr="00E44BBB">
              <w:rPr>
                <w:rFonts w:ascii="Calibri" w:eastAsia="Calibri" w:hAnsi="Calibri" w:cs="Times New Roman"/>
              </w:rPr>
              <w:t>5.</w:t>
            </w:r>
          </w:p>
        </w:tc>
        <w:tc>
          <w:tcPr>
            <w:tcW w:w="7985" w:type="dxa"/>
          </w:tcPr>
          <w:p w14:paraId="4FC2BC7B" w14:textId="77777777" w:rsidR="00FE606F" w:rsidRPr="00E44BBB" w:rsidRDefault="00FE606F" w:rsidP="00D031FF">
            <w:pPr>
              <w:spacing w:before="240"/>
              <w:rPr>
                <w:rFonts w:ascii="Calibri" w:eastAsia="Calibri" w:hAnsi="Calibri" w:cs="Times New Roman"/>
              </w:rPr>
            </w:pPr>
            <w:proofErr w:type="spellStart"/>
            <w:r w:rsidRPr="00E44BBB">
              <w:rPr>
                <w:rFonts w:ascii="Calibri" w:eastAsia="Calibri" w:hAnsi="Calibri" w:cs="Times New Roman"/>
              </w:rPr>
              <w:t>Hasserius</w:t>
            </w:r>
            <w:proofErr w:type="spellEnd"/>
            <w:r w:rsidRPr="00E44BBB">
              <w:rPr>
                <w:rFonts w:ascii="Calibri" w:eastAsia="Calibri" w:hAnsi="Calibri" w:cs="Times New Roman"/>
              </w:rPr>
              <w:t xml:space="preserve"> R, Karlsson MK, Nilsson BE, </w:t>
            </w:r>
            <w:proofErr w:type="spellStart"/>
            <w:r w:rsidRPr="00E44BBB">
              <w:rPr>
                <w:rFonts w:ascii="Calibri" w:eastAsia="Calibri" w:hAnsi="Calibri" w:cs="Times New Roman"/>
              </w:rPr>
              <w:t>Redlund-Johnell</w:t>
            </w:r>
            <w:proofErr w:type="spellEnd"/>
            <w:r w:rsidRPr="00E44BBB">
              <w:rPr>
                <w:rFonts w:ascii="Calibri" w:eastAsia="Calibri" w:hAnsi="Calibri" w:cs="Times New Roman"/>
              </w:rPr>
              <w:t xml:space="preserve"> I, </w:t>
            </w:r>
            <w:proofErr w:type="spellStart"/>
            <w:r w:rsidRPr="00E44BBB">
              <w:rPr>
                <w:rFonts w:ascii="Calibri" w:eastAsia="Calibri" w:hAnsi="Calibri" w:cs="Times New Roman"/>
              </w:rPr>
              <w:t>Johnell</w:t>
            </w:r>
            <w:proofErr w:type="spellEnd"/>
            <w:r w:rsidRPr="00E44BBB">
              <w:rPr>
                <w:rFonts w:ascii="Calibri" w:eastAsia="Calibri" w:hAnsi="Calibri" w:cs="Times New Roman"/>
              </w:rPr>
              <w:t xml:space="preserve"> O (2003) Prevalent vertebral deformities predict increased mortality and increased fracture rate in both men and women: a 10-year population-based study of 598 individuals from the Swedish cohort in the European Vertebral Osteoporosis Study. </w:t>
            </w:r>
            <w:proofErr w:type="spellStart"/>
            <w:r w:rsidRPr="00E44BBB">
              <w:rPr>
                <w:rFonts w:ascii="Calibri" w:eastAsia="Calibri" w:hAnsi="Calibri" w:cs="Times New Roman"/>
              </w:rPr>
              <w:t>Osteoporos</w:t>
            </w:r>
            <w:proofErr w:type="spellEnd"/>
            <w:r w:rsidRPr="00E44BBB">
              <w:rPr>
                <w:rFonts w:ascii="Calibri" w:eastAsia="Calibri" w:hAnsi="Calibri" w:cs="Times New Roman"/>
              </w:rPr>
              <w:t xml:space="preserve"> Int 14: 61-8.</w:t>
            </w:r>
          </w:p>
        </w:tc>
      </w:tr>
      <w:tr w:rsidR="00FE606F" w:rsidRPr="00E44BBB" w14:paraId="12625580" w14:textId="77777777" w:rsidTr="00FE606F">
        <w:tc>
          <w:tcPr>
            <w:tcW w:w="495" w:type="dxa"/>
          </w:tcPr>
          <w:p w14:paraId="4B661F1D" w14:textId="2552BB75" w:rsidR="00FE606F" w:rsidRPr="00E44BBB" w:rsidRDefault="00FE606F" w:rsidP="00D031FF">
            <w:pPr>
              <w:spacing w:before="240"/>
              <w:jc w:val="right"/>
              <w:rPr>
                <w:rFonts w:ascii="Calibri" w:eastAsia="Calibri" w:hAnsi="Calibri" w:cs="Times New Roman"/>
              </w:rPr>
            </w:pPr>
            <w:r w:rsidRPr="00E44BBB">
              <w:rPr>
                <w:rFonts w:ascii="Calibri" w:eastAsia="Calibri" w:hAnsi="Calibri" w:cs="Times New Roman"/>
              </w:rPr>
              <w:t>6.</w:t>
            </w:r>
          </w:p>
        </w:tc>
        <w:tc>
          <w:tcPr>
            <w:tcW w:w="7985" w:type="dxa"/>
          </w:tcPr>
          <w:p w14:paraId="0D731110" w14:textId="4C3555F2" w:rsidR="00FE606F" w:rsidRPr="00E44BBB" w:rsidRDefault="00FE606F" w:rsidP="00D031FF">
            <w:pPr>
              <w:spacing w:before="240"/>
              <w:rPr>
                <w:rFonts w:ascii="Calibri" w:eastAsia="Calibri" w:hAnsi="Calibri" w:cs="Times New Roman"/>
              </w:rPr>
            </w:pPr>
            <w:proofErr w:type="spellStart"/>
            <w:r w:rsidRPr="00E44BBB">
              <w:rPr>
                <w:rFonts w:ascii="Calibri" w:eastAsia="Calibri" w:hAnsi="Calibri" w:cs="Times New Roman"/>
              </w:rPr>
              <w:t>Jalava</w:t>
            </w:r>
            <w:proofErr w:type="spellEnd"/>
            <w:r w:rsidRPr="00E44BBB">
              <w:rPr>
                <w:rFonts w:ascii="Calibri" w:eastAsia="Calibri" w:hAnsi="Calibri" w:cs="Times New Roman"/>
              </w:rPr>
              <w:t xml:space="preserve"> T, Sarna S, </w:t>
            </w:r>
            <w:proofErr w:type="spellStart"/>
            <w:r w:rsidRPr="00E44BBB">
              <w:rPr>
                <w:rFonts w:ascii="Calibri" w:eastAsia="Calibri" w:hAnsi="Calibri" w:cs="Times New Roman"/>
              </w:rPr>
              <w:t>Pylkkanen</w:t>
            </w:r>
            <w:proofErr w:type="spellEnd"/>
            <w:r w:rsidRPr="00E44BBB">
              <w:rPr>
                <w:rFonts w:ascii="Calibri" w:eastAsia="Calibri" w:hAnsi="Calibri" w:cs="Times New Roman"/>
              </w:rPr>
              <w:t xml:space="preserve"> L, </w:t>
            </w:r>
            <w:proofErr w:type="spellStart"/>
            <w:r w:rsidRPr="00E44BBB">
              <w:rPr>
                <w:rFonts w:ascii="Calibri" w:eastAsia="Calibri" w:hAnsi="Calibri" w:cs="Times New Roman"/>
              </w:rPr>
              <w:t>Mawer</w:t>
            </w:r>
            <w:proofErr w:type="spellEnd"/>
            <w:r w:rsidRPr="00E44BBB">
              <w:rPr>
                <w:rFonts w:ascii="Calibri" w:eastAsia="Calibri" w:hAnsi="Calibri" w:cs="Times New Roman"/>
              </w:rPr>
              <w:t xml:space="preserve"> B, </w:t>
            </w:r>
            <w:proofErr w:type="spellStart"/>
            <w:r w:rsidRPr="00E44BBB">
              <w:rPr>
                <w:rFonts w:ascii="Calibri" w:eastAsia="Calibri" w:hAnsi="Calibri" w:cs="Times New Roman"/>
              </w:rPr>
              <w:t>Kanis</w:t>
            </w:r>
            <w:proofErr w:type="spellEnd"/>
            <w:r w:rsidRPr="00E44BBB">
              <w:rPr>
                <w:rFonts w:ascii="Calibri" w:eastAsia="Calibri" w:hAnsi="Calibri" w:cs="Times New Roman"/>
              </w:rPr>
              <w:t xml:space="preserve"> JA, Selby P, </w:t>
            </w:r>
            <w:r w:rsidRPr="00421730">
              <w:rPr>
                <w:rFonts w:ascii="Calibri" w:eastAsia="Calibri" w:hAnsi="Calibri" w:cs="Times New Roman"/>
              </w:rPr>
              <w:t>Michael Davies</w:t>
            </w:r>
            <w:r>
              <w:rPr>
                <w:rFonts w:ascii="Calibri" w:eastAsia="Calibri" w:hAnsi="Calibri" w:cs="Times New Roman"/>
              </w:rPr>
              <w:t xml:space="preserve"> M</w:t>
            </w:r>
            <w:r w:rsidRPr="00421730">
              <w:rPr>
                <w:rFonts w:ascii="Calibri" w:eastAsia="Calibri" w:hAnsi="Calibri" w:cs="Times New Roman"/>
              </w:rPr>
              <w:t>, Adams</w:t>
            </w:r>
            <w:r>
              <w:rPr>
                <w:rFonts w:ascii="Calibri" w:eastAsia="Calibri" w:hAnsi="Calibri" w:cs="Times New Roman"/>
              </w:rPr>
              <w:t xml:space="preserve"> J</w:t>
            </w:r>
            <w:r w:rsidRPr="00421730">
              <w:rPr>
                <w:rFonts w:ascii="Calibri" w:eastAsia="Calibri" w:hAnsi="Calibri" w:cs="Times New Roman"/>
              </w:rPr>
              <w:t>, Francis</w:t>
            </w:r>
            <w:r>
              <w:rPr>
                <w:rFonts w:ascii="Calibri" w:eastAsia="Calibri" w:hAnsi="Calibri" w:cs="Times New Roman"/>
              </w:rPr>
              <w:t xml:space="preserve"> RM</w:t>
            </w:r>
            <w:r w:rsidRPr="00421730">
              <w:rPr>
                <w:rFonts w:ascii="Calibri" w:eastAsia="Calibri" w:hAnsi="Calibri" w:cs="Times New Roman"/>
              </w:rPr>
              <w:t>, Robinson</w:t>
            </w:r>
            <w:r>
              <w:rPr>
                <w:rFonts w:ascii="Calibri" w:eastAsia="Calibri" w:hAnsi="Calibri" w:cs="Times New Roman"/>
              </w:rPr>
              <w:t xml:space="preserve"> J</w:t>
            </w:r>
            <w:r w:rsidRPr="00421730">
              <w:rPr>
                <w:rFonts w:ascii="Calibri" w:eastAsia="Calibri" w:hAnsi="Calibri" w:cs="Times New Roman"/>
              </w:rPr>
              <w:t>, McCloskey</w:t>
            </w:r>
            <w:r>
              <w:rPr>
                <w:rFonts w:ascii="Calibri" w:eastAsia="Calibri" w:hAnsi="Calibri" w:cs="Times New Roman"/>
              </w:rPr>
              <w:t xml:space="preserve"> E</w:t>
            </w:r>
            <w:r w:rsidRPr="00421730">
              <w:rPr>
                <w:rFonts w:ascii="Calibri" w:eastAsia="Calibri" w:hAnsi="Calibri" w:cs="Times New Roman"/>
              </w:rPr>
              <w:t xml:space="preserve"> </w:t>
            </w:r>
            <w:r w:rsidRPr="00E44BBB">
              <w:rPr>
                <w:rFonts w:ascii="Calibri" w:eastAsia="Calibri" w:hAnsi="Calibri" w:cs="Times New Roman"/>
              </w:rPr>
              <w:t>(2003) Association between vertebral fracture and increased mortality in osteoporotic patients.</w:t>
            </w:r>
            <w:r>
              <w:rPr>
                <w:rFonts w:ascii="Calibri" w:eastAsia="Calibri" w:hAnsi="Calibri" w:cs="Times New Roman"/>
              </w:rPr>
              <w:t xml:space="preserve"> </w:t>
            </w:r>
            <w:r w:rsidRPr="00E44BBB">
              <w:rPr>
                <w:rFonts w:ascii="Calibri" w:eastAsia="Calibri" w:hAnsi="Calibri" w:cs="Times New Roman"/>
              </w:rPr>
              <w:t xml:space="preserve"> J Bone Miner Res 18: 1254-60.</w:t>
            </w:r>
          </w:p>
        </w:tc>
      </w:tr>
      <w:tr w:rsidR="00FE606F" w:rsidRPr="00E44BBB" w14:paraId="7D840434" w14:textId="77777777" w:rsidTr="00FE606F">
        <w:tc>
          <w:tcPr>
            <w:tcW w:w="495" w:type="dxa"/>
          </w:tcPr>
          <w:p w14:paraId="60BB7715" w14:textId="71EE4341" w:rsidR="00FE606F" w:rsidRPr="00E44BBB" w:rsidRDefault="00FE606F" w:rsidP="00D031FF">
            <w:pPr>
              <w:spacing w:before="240"/>
              <w:jc w:val="right"/>
              <w:rPr>
                <w:rFonts w:ascii="Calibri" w:eastAsia="Calibri" w:hAnsi="Calibri" w:cs="Times New Roman"/>
              </w:rPr>
            </w:pPr>
            <w:r w:rsidRPr="00E44BBB">
              <w:rPr>
                <w:rFonts w:ascii="Calibri" w:eastAsia="Calibri" w:hAnsi="Calibri" w:cs="Times New Roman"/>
              </w:rPr>
              <w:t>7.</w:t>
            </w:r>
          </w:p>
        </w:tc>
        <w:tc>
          <w:tcPr>
            <w:tcW w:w="7985" w:type="dxa"/>
          </w:tcPr>
          <w:p w14:paraId="27EE56C8" w14:textId="0213C9E7" w:rsidR="00FE606F" w:rsidRPr="00E44BBB" w:rsidRDefault="00FE606F" w:rsidP="00D031FF">
            <w:pPr>
              <w:spacing w:before="240"/>
              <w:rPr>
                <w:rFonts w:ascii="Calibri" w:eastAsia="Calibri" w:hAnsi="Calibri" w:cs="Times New Roman"/>
              </w:rPr>
            </w:pPr>
            <w:proofErr w:type="spellStart"/>
            <w:r w:rsidRPr="00E44BBB">
              <w:rPr>
                <w:rFonts w:ascii="Calibri" w:eastAsia="Calibri" w:hAnsi="Calibri" w:cs="Times New Roman"/>
              </w:rPr>
              <w:t>Johnell</w:t>
            </w:r>
            <w:proofErr w:type="spellEnd"/>
            <w:r w:rsidRPr="00E44BBB">
              <w:rPr>
                <w:rFonts w:ascii="Calibri" w:eastAsia="Calibri" w:hAnsi="Calibri" w:cs="Times New Roman"/>
              </w:rPr>
              <w:t xml:space="preserve"> O, </w:t>
            </w:r>
            <w:proofErr w:type="spellStart"/>
            <w:r w:rsidRPr="00E44BBB">
              <w:rPr>
                <w:rFonts w:ascii="Calibri" w:eastAsia="Calibri" w:hAnsi="Calibri" w:cs="Times New Roman"/>
              </w:rPr>
              <w:t>Kanis</w:t>
            </w:r>
            <w:proofErr w:type="spellEnd"/>
            <w:r w:rsidRPr="00E44BBB">
              <w:rPr>
                <w:rFonts w:ascii="Calibri" w:eastAsia="Calibri" w:hAnsi="Calibri" w:cs="Times New Roman"/>
              </w:rPr>
              <w:t xml:space="preserve"> J, </w:t>
            </w:r>
            <w:proofErr w:type="spellStart"/>
            <w:r w:rsidRPr="00E44BBB">
              <w:rPr>
                <w:rFonts w:ascii="Calibri" w:eastAsia="Calibri" w:hAnsi="Calibri" w:cs="Times New Roman"/>
              </w:rPr>
              <w:t>Gullberg</w:t>
            </w:r>
            <w:proofErr w:type="spellEnd"/>
            <w:r w:rsidRPr="00E44BBB">
              <w:rPr>
                <w:rFonts w:ascii="Calibri" w:eastAsia="Calibri" w:hAnsi="Calibri" w:cs="Times New Roman"/>
              </w:rPr>
              <w:t xml:space="preserve"> G (2001) Mortality, morbidity, and assessment of fracture risk in male osteoporosis.</w:t>
            </w:r>
            <w:r>
              <w:rPr>
                <w:rFonts w:ascii="Calibri" w:eastAsia="Calibri" w:hAnsi="Calibri" w:cs="Times New Roman"/>
              </w:rPr>
              <w:t xml:space="preserve"> </w:t>
            </w:r>
            <w:r w:rsidRPr="00E44BBB">
              <w:rPr>
                <w:rFonts w:ascii="Calibri" w:eastAsia="Calibri" w:hAnsi="Calibri" w:cs="Times New Roman"/>
              </w:rPr>
              <w:t xml:space="preserve"> </w:t>
            </w:r>
            <w:proofErr w:type="spellStart"/>
            <w:r w:rsidRPr="00E44BBB">
              <w:rPr>
                <w:rFonts w:ascii="Calibri" w:eastAsia="Calibri" w:hAnsi="Calibri" w:cs="Times New Roman"/>
              </w:rPr>
              <w:t>Calcif</w:t>
            </w:r>
            <w:proofErr w:type="spellEnd"/>
            <w:r w:rsidRPr="00E44BBB">
              <w:rPr>
                <w:rFonts w:ascii="Calibri" w:eastAsia="Calibri" w:hAnsi="Calibri" w:cs="Times New Roman"/>
              </w:rPr>
              <w:t xml:space="preserve"> Tissue Int 69: 182-4.</w:t>
            </w:r>
          </w:p>
        </w:tc>
      </w:tr>
      <w:tr w:rsidR="00FE606F" w:rsidRPr="00E44BBB" w14:paraId="66742491" w14:textId="77777777" w:rsidTr="00FE606F">
        <w:tc>
          <w:tcPr>
            <w:tcW w:w="495" w:type="dxa"/>
          </w:tcPr>
          <w:p w14:paraId="2E75750D" w14:textId="5C9706F4" w:rsidR="00FE606F" w:rsidRPr="00E44BBB" w:rsidRDefault="00FE606F" w:rsidP="00D031FF">
            <w:pPr>
              <w:spacing w:before="240"/>
              <w:jc w:val="right"/>
              <w:rPr>
                <w:rFonts w:ascii="Calibri" w:eastAsia="Calibri" w:hAnsi="Calibri" w:cs="Times New Roman"/>
              </w:rPr>
            </w:pPr>
            <w:r w:rsidRPr="00E44BBB">
              <w:rPr>
                <w:rFonts w:ascii="Calibri" w:eastAsia="Calibri" w:hAnsi="Calibri" w:cs="Times New Roman"/>
              </w:rPr>
              <w:t>8.</w:t>
            </w:r>
          </w:p>
        </w:tc>
        <w:tc>
          <w:tcPr>
            <w:tcW w:w="7985" w:type="dxa"/>
          </w:tcPr>
          <w:p w14:paraId="07586DAC" w14:textId="5F9E6AA7" w:rsidR="00FE606F" w:rsidRPr="00E44BBB" w:rsidRDefault="00FE606F" w:rsidP="00D031FF">
            <w:pPr>
              <w:spacing w:before="240"/>
              <w:rPr>
                <w:rFonts w:ascii="Calibri" w:eastAsia="Calibri" w:hAnsi="Calibri" w:cs="Times New Roman"/>
              </w:rPr>
            </w:pPr>
            <w:proofErr w:type="spellStart"/>
            <w:r w:rsidRPr="00E44BBB">
              <w:rPr>
                <w:rFonts w:ascii="Calibri" w:eastAsia="Calibri" w:hAnsi="Calibri" w:cs="Times New Roman"/>
              </w:rPr>
              <w:t>Johnell</w:t>
            </w:r>
            <w:proofErr w:type="spellEnd"/>
            <w:r w:rsidRPr="00E44BBB">
              <w:rPr>
                <w:rFonts w:ascii="Calibri" w:eastAsia="Calibri" w:hAnsi="Calibri" w:cs="Times New Roman"/>
              </w:rPr>
              <w:t xml:space="preserve"> O, </w:t>
            </w:r>
            <w:proofErr w:type="spellStart"/>
            <w:r w:rsidRPr="00E44BBB">
              <w:rPr>
                <w:rFonts w:ascii="Calibri" w:eastAsia="Calibri" w:hAnsi="Calibri" w:cs="Times New Roman"/>
              </w:rPr>
              <w:t>Kanis</w:t>
            </w:r>
            <w:proofErr w:type="spellEnd"/>
            <w:r w:rsidRPr="00E44BBB">
              <w:rPr>
                <w:rFonts w:ascii="Calibri" w:eastAsia="Calibri" w:hAnsi="Calibri" w:cs="Times New Roman"/>
              </w:rPr>
              <w:t xml:space="preserve"> JA (2004) An estimate of the worldwide prevalence, mortality and disability associated with hip fracture. </w:t>
            </w:r>
            <w:r>
              <w:rPr>
                <w:rFonts w:ascii="Calibri" w:eastAsia="Calibri" w:hAnsi="Calibri" w:cs="Times New Roman"/>
              </w:rPr>
              <w:t xml:space="preserve"> </w:t>
            </w:r>
            <w:proofErr w:type="spellStart"/>
            <w:r w:rsidRPr="00E44BBB">
              <w:rPr>
                <w:rFonts w:ascii="Calibri" w:eastAsia="Calibri" w:hAnsi="Calibri" w:cs="Times New Roman"/>
              </w:rPr>
              <w:t>Osteoporos</w:t>
            </w:r>
            <w:proofErr w:type="spellEnd"/>
            <w:r w:rsidRPr="00E44BBB">
              <w:rPr>
                <w:rFonts w:ascii="Calibri" w:eastAsia="Calibri" w:hAnsi="Calibri" w:cs="Times New Roman"/>
              </w:rPr>
              <w:t xml:space="preserve"> Int 15:897–902.</w:t>
            </w:r>
          </w:p>
        </w:tc>
      </w:tr>
      <w:tr w:rsidR="00FE606F" w:rsidRPr="00E44BBB" w14:paraId="35116A0E" w14:textId="77777777" w:rsidTr="00FE606F">
        <w:tc>
          <w:tcPr>
            <w:tcW w:w="495" w:type="dxa"/>
          </w:tcPr>
          <w:p w14:paraId="7F9B7E0B" w14:textId="28F29FAD" w:rsidR="00FE606F" w:rsidRPr="00E44BBB" w:rsidRDefault="00FE606F" w:rsidP="00D031FF">
            <w:pPr>
              <w:spacing w:before="240"/>
              <w:jc w:val="right"/>
              <w:rPr>
                <w:rFonts w:ascii="Calibri" w:eastAsia="Calibri" w:hAnsi="Calibri" w:cs="Times New Roman"/>
              </w:rPr>
            </w:pPr>
            <w:r w:rsidRPr="00E44BBB">
              <w:rPr>
                <w:rFonts w:ascii="Calibri" w:eastAsia="Calibri" w:hAnsi="Calibri" w:cs="Times New Roman"/>
              </w:rPr>
              <w:t>9.</w:t>
            </w:r>
          </w:p>
        </w:tc>
        <w:tc>
          <w:tcPr>
            <w:tcW w:w="7985" w:type="dxa"/>
          </w:tcPr>
          <w:p w14:paraId="27244254" w14:textId="5B6E6A60" w:rsidR="00FE606F" w:rsidRPr="00E44BBB" w:rsidRDefault="00FE606F" w:rsidP="00D031FF">
            <w:pPr>
              <w:spacing w:before="240"/>
              <w:rPr>
                <w:rFonts w:ascii="Calibri" w:eastAsia="Calibri" w:hAnsi="Calibri" w:cs="Times New Roman"/>
              </w:rPr>
            </w:pPr>
            <w:proofErr w:type="spellStart"/>
            <w:r w:rsidRPr="00E44BBB">
              <w:rPr>
                <w:rFonts w:ascii="Calibri" w:eastAsia="Calibri" w:hAnsi="Calibri" w:cs="Times New Roman"/>
              </w:rPr>
              <w:t>Johnell</w:t>
            </w:r>
            <w:proofErr w:type="spellEnd"/>
            <w:r w:rsidRPr="00E44BBB">
              <w:rPr>
                <w:rFonts w:ascii="Calibri" w:eastAsia="Calibri" w:hAnsi="Calibri" w:cs="Times New Roman"/>
              </w:rPr>
              <w:t xml:space="preserve"> O, </w:t>
            </w:r>
            <w:proofErr w:type="spellStart"/>
            <w:r w:rsidRPr="00E44BBB">
              <w:rPr>
                <w:rFonts w:ascii="Calibri" w:eastAsia="Calibri" w:hAnsi="Calibri" w:cs="Times New Roman"/>
              </w:rPr>
              <w:t>Kanis</w:t>
            </w:r>
            <w:proofErr w:type="spellEnd"/>
            <w:r w:rsidRPr="00E44BBB">
              <w:rPr>
                <w:rFonts w:ascii="Calibri" w:eastAsia="Calibri" w:hAnsi="Calibri" w:cs="Times New Roman"/>
              </w:rPr>
              <w:t xml:space="preserve"> JA (2006) An estimate of the worldwide prevalence and disability associated with osteoporotic fractures. </w:t>
            </w:r>
            <w:r>
              <w:rPr>
                <w:rFonts w:ascii="Calibri" w:eastAsia="Calibri" w:hAnsi="Calibri" w:cs="Times New Roman"/>
              </w:rPr>
              <w:t xml:space="preserve"> </w:t>
            </w:r>
            <w:proofErr w:type="spellStart"/>
            <w:r w:rsidRPr="00E44BBB">
              <w:rPr>
                <w:rFonts w:ascii="Calibri" w:eastAsia="Calibri" w:hAnsi="Calibri" w:cs="Times New Roman"/>
              </w:rPr>
              <w:t>Osteoporos</w:t>
            </w:r>
            <w:proofErr w:type="spellEnd"/>
            <w:r w:rsidRPr="00E44BBB">
              <w:rPr>
                <w:rFonts w:ascii="Calibri" w:eastAsia="Calibri" w:hAnsi="Calibri" w:cs="Times New Roman"/>
              </w:rPr>
              <w:t xml:space="preserve"> Int 17: 1726-1733</w:t>
            </w:r>
          </w:p>
        </w:tc>
      </w:tr>
      <w:tr w:rsidR="00FE606F" w:rsidRPr="00E44BBB" w14:paraId="5A6B26A4" w14:textId="77777777" w:rsidTr="00FE606F">
        <w:tc>
          <w:tcPr>
            <w:tcW w:w="495" w:type="dxa"/>
          </w:tcPr>
          <w:p w14:paraId="45563C8D" w14:textId="7EE46BF0" w:rsidR="00FE606F" w:rsidRPr="00E44BBB" w:rsidRDefault="00FE606F" w:rsidP="00D031FF">
            <w:pPr>
              <w:spacing w:before="240"/>
              <w:jc w:val="right"/>
              <w:rPr>
                <w:rFonts w:ascii="Calibri" w:eastAsia="Calibri" w:hAnsi="Calibri" w:cs="Times New Roman"/>
              </w:rPr>
            </w:pPr>
            <w:r w:rsidRPr="00E44BBB">
              <w:rPr>
                <w:rFonts w:ascii="Calibri" w:eastAsia="Calibri" w:hAnsi="Calibri" w:cs="Times New Roman"/>
              </w:rPr>
              <w:t>10.</w:t>
            </w:r>
          </w:p>
        </w:tc>
        <w:tc>
          <w:tcPr>
            <w:tcW w:w="7985" w:type="dxa"/>
          </w:tcPr>
          <w:p w14:paraId="43D195C3" w14:textId="35F3B952" w:rsidR="00FE606F" w:rsidRPr="00E44BBB" w:rsidRDefault="00FE606F" w:rsidP="00D031FF">
            <w:pPr>
              <w:spacing w:before="240"/>
              <w:rPr>
                <w:rFonts w:ascii="Calibri" w:eastAsia="Calibri" w:hAnsi="Calibri" w:cs="Times New Roman"/>
              </w:rPr>
            </w:pPr>
            <w:proofErr w:type="spellStart"/>
            <w:r w:rsidRPr="00E44BBB">
              <w:rPr>
                <w:rFonts w:ascii="Calibri" w:eastAsia="Calibri" w:hAnsi="Calibri" w:cs="Times New Roman"/>
              </w:rPr>
              <w:t>Kanis</w:t>
            </w:r>
            <w:proofErr w:type="spellEnd"/>
            <w:r w:rsidRPr="00E44BBB">
              <w:rPr>
                <w:rFonts w:ascii="Calibri" w:eastAsia="Calibri" w:hAnsi="Calibri" w:cs="Times New Roman"/>
              </w:rPr>
              <w:t xml:space="preserve"> JA, Oden A, </w:t>
            </w:r>
            <w:proofErr w:type="spellStart"/>
            <w:r w:rsidRPr="00E44BBB">
              <w:rPr>
                <w:rFonts w:ascii="Calibri" w:eastAsia="Calibri" w:hAnsi="Calibri" w:cs="Times New Roman"/>
              </w:rPr>
              <w:t>Johnell</w:t>
            </w:r>
            <w:proofErr w:type="spellEnd"/>
            <w:r w:rsidRPr="00E44BBB">
              <w:rPr>
                <w:rFonts w:ascii="Calibri" w:eastAsia="Calibri" w:hAnsi="Calibri" w:cs="Times New Roman"/>
              </w:rPr>
              <w:t xml:space="preserve"> O, De </w:t>
            </w:r>
            <w:proofErr w:type="spellStart"/>
            <w:r w:rsidRPr="00E44BBB">
              <w:rPr>
                <w:rFonts w:ascii="Calibri" w:eastAsia="Calibri" w:hAnsi="Calibri" w:cs="Times New Roman"/>
              </w:rPr>
              <w:t>Laet</w:t>
            </w:r>
            <w:proofErr w:type="spellEnd"/>
            <w:r w:rsidRPr="00E44BBB">
              <w:rPr>
                <w:rFonts w:ascii="Calibri" w:eastAsia="Calibri" w:hAnsi="Calibri" w:cs="Times New Roman"/>
              </w:rPr>
              <w:t xml:space="preserve"> C, Jonsson B, Oglesby AK (2003) The components of excess mortality after hip fracture. </w:t>
            </w:r>
            <w:r>
              <w:rPr>
                <w:rFonts w:ascii="Calibri" w:eastAsia="Calibri" w:hAnsi="Calibri" w:cs="Times New Roman"/>
              </w:rPr>
              <w:t xml:space="preserve"> </w:t>
            </w:r>
            <w:r w:rsidRPr="00E44BBB">
              <w:rPr>
                <w:rFonts w:ascii="Calibri" w:eastAsia="Calibri" w:hAnsi="Calibri" w:cs="Times New Roman"/>
              </w:rPr>
              <w:t>Bone 32: 468-473.</w:t>
            </w:r>
          </w:p>
        </w:tc>
      </w:tr>
      <w:tr w:rsidR="00FE606F" w:rsidRPr="00E44BBB" w14:paraId="5D30AAB7" w14:textId="77777777" w:rsidTr="00FE606F">
        <w:tc>
          <w:tcPr>
            <w:tcW w:w="495" w:type="dxa"/>
          </w:tcPr>
          <w:p w14:paraId="5A6605D3" w14:textId="1C0DC9F4" w:rsidR="00FE606F" w:rsidRPr="00E44BBB" w:rsidRDefault="00FE606F" w:rsidP="00D031FF">
            <w:pPr>
              <w:spacing w:before="240"/>
              <w:jc w:val="right"/>
              <w:rPr>
                <w:rFonts w:ascii="Calibri" w:eastAsia="Calibri" w:hAnsi="Calibri" w:cs="Times New Roman"/>
              </w:rPr>
            </w:pPr>
            <w:r w:rsidRPr="00E44BBB">
              <w:rPr>
                <w:rFonts w:ascii="Calibri" w:eastAsia="Calibri" w:hAnsi="Calibri" w:cs="Times New Roman"/>
              </w:rPr>
              <w:t>11.</w:t>
            </w:r>
          </w:p>
        </w:tc>
        <w:tc>
          <w:tcPr>
            <w:tcW w:w="7985" w:type="dxa"/>
          </w:tcPr>
          <w:p w14:paraId="7A1D9D83" w14:textId="77777777" w:rsidR="00FE606F" w:rsidRPr="00E44BBB" w:rsidRDefault="00FE606F" w:rsidP="00D031FF">
            <w:pPr>
              <w:spacing w:before="240"/>
              <w:rPr>
                <w:rFonts w:ascii="Calibri" w:eastAsia="Calibri" w:hAnsi="Calibri" w:cs="Times New Roman"/>
              </w:rPr>
            </w:pPr>
            <w:proofErr w:type="spellStart"/>
            <w:r w:rsidRPr="00E44BBB">
              <w:rPr>
                <w:rFonts w:ascii="Calibri" w:eastAsia="Calibri" w:hAnsi="Calibri" w:cs="Times New Roman"/>
              </w:rPr>
              <w:t>Kanis</w:t>
            </w:r>
            <w:proofErr w:type="spellEnd"/>
            <w:r w:rsidRPr="00E44BBB">
              <w:rPr>
                <w:rFonts w:ascii="Calibri" w:eastAsia="Calibri" w:hAnsi="Calibri" w:cs="Times New Roman"/>
              </w:rPr>
              <w:t xml:space="preserve"> JA, Oden A, </w:t>
            </w:r>
            <w:proofErr w:type="spellStart"/>
            <w:r w:rsidRPr="00E44BBB">
              <w:rPr>
                <w:rFonts w:ascii="Calibri" w:eastAsia="Calibri" w:hAnsi="Calibri" w:cs="Times New Roman"/>
              </w:rPr>
              <w:t>Johnell</w:t>
            </w:r>
            <w:proofErr w:type="spellEnd"/>
            <w:r w:rsidRPr="00E44BBB">
              <w:rPr>
                <w:rFonts w:ascii="Calibri" w:eastAsia="Calibri" w:hAnsi="Calibri" w:cs="Times New Roman"/>
              </w:rPr>
              <w:t xml:space="preserve"> O, De </w:t>
            </w:r>
            <w:proofErr w:type="spellStart"/>
            <w:r w:rsidRPr="00E44BBB">
              <w:rPr>
                <w:rFonts w:ascii="Calibri" w:eastAsia="Calibri" w:hAnsi="Calibri" w:cs="Times New Roman"/>
              </w:rPr>
              <w:t>Laet</w:t>
            </w:r>
            <w:proofErr w:type="spellEnd"/>
            <w:r w:rsidRPr="00E44BBB">
              <w:rPr>
                <w:rFonts w:ascii="Calibri" w:eastAsia="Calibri" w:hAnsi="Calibri" w:cs="Times New Roman"/>
              </w:rPr>
              <w:t xml:space="preserve"> C, Jonsson B (2004) Excess mortality after hospitalisation for vertebral fracture. </w:t>
            </w:r>
            <w:proofErr w:type="spellStart"/>
            <w:r w:rsidRPr="00E44BBB">
              <w:rPr>
                <w:rFonts w:ascii="Calibri" w:eastAsia="Calibri" w:hAnsi="Calibri" w:cs="Times New Roman"/>
              </w:rPr>
              <w:t>Osteoporos</w:t>
            </w:r>
            <w:proofErr w:type="spellEnd"/>
            <w:r w:rsidRPr="00E44BBB">
              <w:rPr>
                <w:rFonts w:ascii="Calibri" w:eastAsia="Calibri" w:hAnsi="Calibri" w:cs="Times New Roman"/>
              </w:rPr>
              <w:t xml:space="preserve"> Int 15:108-112</w:t>
            </w:r>
          </w:p>
        </w:tc>
      </w:tr>
      <w:tr w:rsidR="00FE606F" w:rsidRPr="00E44BBB" w14:paraId="5020AD25" w14:textId="77777777" w:rsidTr="00FE606F">
        <w:tc>
          <w:tcPr>
            <w:tcW w:w="495" w:type="dxa"/>
          </w:tcPr>
          <w:p w14:paraId="03FAC608" w14:textId="5809618B" w:rsidR="00FE606F" w:rsidRPr="00E44BBB" w:rsidRDefault="00FE606F" w:rsidP="00D031FF">
            <w:pPr>
              <w:spacing w:before="240"/>
              <w:jc w:val="right"/>
              <w:rPr>
                <w:rFonts w:ascii="Calibri" w:eastAsia="Calibri" w:hAnsi="Calibri" w:cs="Times New Roman"/>
              </w:rPr>
            </w:pPr>
            <w:r w:rsidRPr="00E44BBB">
              <w:rPr>
                <w:rFonts w:ascii="Calibri" w:eastAsia="Calibri" w:hAnsi="Calibri" w:cs="Times New Roman"/>
              </w:rPr>
              <w:t>12.</w:t>
            </w:r>
          </w:p>
        </w:tc>
        <w:tc>
          <w:tcPr>
            <w:tcW w:w="7985" w:type="dxa"/>
          </w:tcPr>
          <w:p w14:paraId="6556DB1C" w14:textId="77777777" w:rsidR="00FE606F" w:rsidRPr="00E44BBB" w:rsidRDefault="00FE606F" w:rsidP="00D031FF">
            <w:pPr>
              <w:spacing w:before="240"/>
              <w:rPr>
                <w:rFonts w:ascii="Calibri" w:eastAsia="Calibri" w:hAnsi="Calibri" w:cs="Times New Roman"/>
              </w:rPr>
            </w:pPr>
            <w:proofErr w:type="spellStart"/>
            <w:r w:rsidRPr="00E44BBB">
              <w:rPr>
                <w:rFonts w:ascii="Calibri" w:eastAsia="Calibri" w:hAnsi="Calibri" w:cs="Times New Roman"/>
              </w:rPr>
              <w:t>Kanis</w:t>
            </w:r>
            <w:proofErr w:type="spellEnd"/>
            <w:r w:rsidRPr="00E44BBB">
              <w:rPr>
                <w:rFonts w:ascii="Calibri" w:eastAsia="Calibri" w:hAnsi="Calibri" w:cs="Times New Roman"/>
              </w:rPr>
              <w:t xml:space="preserve"> JA, Oden A, </w:t>
            </w:r>
            <w:proofErr w:type="spellStart"/>
            <w:r w:rsidRPr="00E44BBB">
              <w:rPr>
                <w:rFonts w:ascii="Calibri" w:eastAsia="Calibri" w:hAnsi="Calibri" w:cs="Times New Roman"/>
              </w:rPr>
              <w:t>Johnell</w:t>
            </w:r>
            <w:proofErr w:type="spellEnd"/>
            <w:r w:rsidRPr="00E44BBB">
              <w:rPr>
                <w:rFonts w:ascii="Calibri" w:eastAsia="Calibri" w:hAnsi="Calibri" w:cs="Times New Roman"/>
              </w:rPr>
              <w:t xml:space="preserve"> O, Jonsson B, de </w:t>
            </w:r>
            <w:proofErr w:type="spellStart"/>
            <w:r w:rsidRPr="00E44BBB">
              <w:rPr>
                <w:rFonts w:ascii="Calibri" w:eastAsia="Calibri" w:hAnsi="Calibri" w:cs="Times New Roman"/>
              </w:rPr>
              <w:t>Laet</w:t>
            </w:r>
            <w:proofErr w:type="spellEnd"/>
            <w:r w:rsidRPr="00E44BBB">
              <w:rPr>
                <w:rFonts w:ascii="Calibri" w:eastAsia="Calibri" w:hAnsi="Calibri" w:cs="Times New Roman"/>
              </w:rPr>
              <w:t xml:space="preserve"> C, Dawson A (2001) The burden of osteoporotic fractures: a method for setting intervention thresholds.  </w:t>
            </w:r>
            <w:proofErr w:type="spellStart"/>
            <w:r w:rsidRPr="00E44BBB">
              <w:rPr>
                <w:rFonts w:ascii="Calibri" w:eastAsia="Calibri" w:hAnsi="Calibri" w:cs="Times New Roman"/>
              </w:rPr>
              <w:t>Osteoporos</w:t>
            </w:r>
            <w:proofErr w:type="spellEnd"/>
            <w:r w:rsidRPr="00E44BBB">
              <w:rPr>
                <w:rFonts w:ascii="Calibri" w:eastAsia="Calibri" w:hAnsi="Calibri" w:cs="Times New Roman"/>
              </w:rPr>
              <w:t xml:space="preserve"> Int 12: 417-27.</w:t>
            </w:r>
          </w:p>
        </w:tc>
      </w:tr>
      <w:tr w:rsidR="00FE606F" w:rsidRPr="00E44BBB" w14:paraId="65876BBA" w14:textId="77777777" w:rsidTr="00FE606F">
        <w:tc>
          <w:tcPr>
            <w:tcW w:w="495" w:type="dxa"/>
          </w:tcPr>
          <w:p w14:paraId="654AEDAA" w14:textId="7AEFEB68" w:rsidR="00FE606F" w:rsidRPr="00E44BBB" w:rsidRDefault="00FE606F" w:rsidP="00D031FF">
            <w:pPr>
              <w:spacing w:before="240"/>
              <w:jc w:val="right"/>
              <w:rPr>
                <w:rFonts w:ascii="Calibri" w:eastAsia="Calibri" w:hAnsi="Calibri" w:cs="Times New Roman"/>
              </w:rPr>
            </w:pPr>
            <w:r w:rsidRPr="00E44BBB">
              <w:rPr>
                <w:rFonts w:ascii="Calibri" w:eastAsia="Calibri" w:hAnsi="Calibri" w:cs="Times New Roman"/>
              </w:rPr>
              <w:t>13.</w:t>
            </w:r>
          </w:p>
        </w:tc>
        <w:tc>
          <w:tcPr>
            <w:tcW w:w="7985" w:type="dxa"/>
          </w:tcPr>
          <w:p w14:paraId="46AC92C5" w14:textId="77777777" w:rsidR="00FE606F" w:rsidRPr="00E44BBB" w:rsidRDefault="00FE606F" w:rsidP="00D031FF">
            <w:pPr>
              <w:spacing w:before="240"/>
              <w:rPr>
                <w:rFonts w:ascii="Calibri" w:eastAsia="Calibri" w:hAnsi="Calibri" w:cs="Times New Roman"/>
              </w:rPr>
            </w:pPr>
            <w:proofErr w:type="spellStart"/>
            <w:r w:rsidRPr="00E44BBB">
              <w:rPr>
                <w:rFonts w:ascii="Calibri" w:eastAsia="Calibri" w:hAnsi="Calibri" w:cs="Times New Roman"/>
              </w:rPr>
              <w:t>Peasgood</w:t>
            </w:r>
            <w:proofErr w:type="spellEnd"/>
            <w:r w:rsidRPr="00E44BBB">
              <w:rPr>
                <w:rFonts w:ascii="Calibri" w:eastAsia="Calibri" w:hAnsi="Calibri" w:cs="Times New Roman"/>
              </w:rPr>
              <w:t xml:space="preserve"> T, Herrmann K, </w:t>
            </w:r>
            <w:proofErr w:type="spellStart"/>
            <w:r w:rsidRPr="00E44BBB">
              <w:rPr>
                <w:rFonts w:ascii="Calibri" w:eastAsia="Calibri" w:hAnsi="Calibri" w:cs="Times New Roman"/>
              </w:rPr>
              <w:t>Kanis</w:t>
            </w:r>
            <w:proofErr w:type="spellEnd"/>
            <w:r w:rsidRPr="00E44BBB">
              <w:rPr>
                <w:rFonts w:ascii="Calibri" w:eastAsia="Calibri" w:hAnsi="Calibri" w:cs="Times New Roman"/>
              </w:rPr>
              <w:t xml:space="preserve"> JA, Brazier JE (2009) An updated systematic review of Health State Utility Values for osteoporosis related conditions.  </w:t>
            </w:r>
            <w:proofErr w:type="spellStart"/>
            <w:r w:rsidRPr="00E44BBB">
              <w:rPr>
                <w:rFonts w:ascii="Calibri" w:eastAsia="Calibri" w:hAnsi="Calibri" w:cs="Times New Roman"/>
              </w:rPr>
              <w:t>Osteoporos</w:t>
            </w:r>
            <w:proofErr w:type="spellEnd"/>
            <w:r w:rsidRPr="00E44BBB">
              <w:rPr>
                <w:rFonts w:ascii="Calibri" w:eastAsia="Calibri" w:hAnsi="Calibri" w:cs="Times New Roman"/>
              </w:rPr>
              <w:t xml:space="preserve"> Int 20:853-68</w:t>
            </w:r>
          </w:p>
        </w:tc>
      </w:tr>
      <w:tr w:rsidR="00FE606F" w:rsidRPr="00E44BBB" w14:paraId="432140EB" w14:textId="77777777" w:rsidTr="00FE606F">
        <w:tc>
          <w:tcPr>
            <w:tcW w:w="495" w:type="dxa"/>
          </w:tcPr>
          <w:p w14:paraId="5A7E1A7F" w14:textId="6126F3C8" w:rsidR="00FE606F" w:rsidRPr="00E44BBB" w:rsidRDefault="00FE606F" w:rsidP="00D031FF">
            <w:pPr>
              <w:spacing w:before="240"/>
              <w:jc w:val="right"/>
              <w:rPr>
                <w:rFonts w:ascii="Calibri" w:eastAsia="Calibri" w:hAnsi="Calibri" w:cs="Times New Roman"/>
              </w:rPr>
            </w:pPr>
            <w:r w:rsidRPr="00E44BBB">
              <w:rPr>
                <w:rFonts w:ascii="Calibri" w:eastAsia="Calibri" w:hAnsi="Calibri" w:cs="Times New Roman"/>
              </w:rPr>
              <w:lastRenderedPageBreak/>
              <w:t>14.</w:t>
            </w:r>
          </w:p>
        </w:tc>
        <w:tc>
          <w:tcPr>
            <w:tcW w:w="7985" w:type="dxa"/>
          </w:tcPr>
          <w:p w14:paraId="0D16EA25" w14:textId="2FA15106" w:rsidR="00FE606F" w:rsidRPr="00E44BBB" w:rsidRDefault="00FE606F" w:rsidP="00D031FF">
            <w:pPr>
              <w:spacing w:before="240"/>
              <w:rPr>
                <w:rFonts w:ascii="Calibri" w:eastAsia="Calibri" w:hAnsi="Calibri" w:cs="Times New Roman"/>
              </w:rPr>
            </w:pPr>
            <w:r w:rsidRPr="00E44BBB">
              <w:rPr>
                <w:rFonts w:ascii="Calibri" w:eastAsia="Calibri" w:hAnsi="Calibri" w:cs="Times New Roman"/>
              </w:rPr>
              <w:t xml:space="preserve">Murray CJL (1996) Rethinking DALYs. </w:t>
            </w:r>
            <w:r>
              <w:rPr>
                <w:rFonts w:ascii="Calibri" w:eastAsia="Calibri" w:hAnsi="Calibri" w:cs="Times New Roman"/>
              </w:rPr>
              <w:t xml:space="preserve"> </w:t>
            </w:r>
            <w:r w:rsidRPr="00E44BBB">
              <w:rPr>
                <w:rFonts w:ascii="Calibri" w:eastAsia="Calibri" w:hAnsi="Calibri" w:cs="Times New Roman"/>
              </w:rPr>
              <w:t>In</w:t>
            </w:r>
            <w:r>
              <w:rPr>
                <w:rFonts w:ascii="Calibri" w:eastAsia="Calibri" w:hAnsi="Calibri" w:cs="Times New Roman"/>
              </w:rPr>
              <w:t>:</w:t>
            </w:r>
            <w:r w:rsidRPr="00E44BBB">
              <w:rPr>
                <w:rFonts w:ascii="Calibri" w:eastAsia="Calibri" w:hAnsi="Calibri" w:cs="Times New Roman"/>
              </w:rPr>
              <w:t xml:space="preserve"> Murray CJL, Lopez AD (eds) The global burden of disease. </w:t>
            </w:r>
            <w:r>
              <w:rPr>
                <w:rFonts w:ascii="Calibri" w:eastAsia="Calibri" w:hAnsi="Calibri" w:cs="Times New Roman"/>
              </w:rPr>
              <w:t xml:space="preserve"> </w:t>
            </w:r>
            <w:r w:rsidRPr="00E44BBB">
              <w:rPr>
                <w:rFonts w:ascii="Calibri" w:eastAsia="Calibri" w:hAnsi="Calibri" w:cs="Times New Roman"/>
              </w:rPr>
              <w:t>WHO Geneva, pp1-89.</w:t>
            </w:r>
          </w:p>
        </w:tc>
      </w:tr>
      <w:tr w:rsidR="00FE606F" w:rsidRPr="00E44BBB" w14:paraId="263C1844" w14:textId="77777777" w:rsidTr="00FE606F">
        <w:tc>
          <w:tcPr>
            <w:tcW w:w="495" w:type="dxa"/>
          </w:tcPr>
          <w:p w14:paraId="7927F528" w14:textId="2E633B5D" w:rsidR="00FE606F" w:rsidRPr="00E44BBB" w:rsidRDefault="00FE606F" w:rsidP="00D031FF">
            <w:pPr>
              <w:spacing w:before="240"/>
              <w:jc w:val="right"/>
              <w:rPr>
                <w:rFonts w:ascii="Calibri" w:eastAsia="Calibri" w:hAnsi="Calibri" w:cs="Times New Roman"/>
              </w:rPr>
            </w:pPr>
            <w:r w:rsidRPr="00E44BBB">
              <w:rPr>
                <w:rFonts w:ascii="Calibri" w:eastAsia="Calibri" w:hAnsi="Calibri" w:cs="Times New Roman"/>
              </w:rPr>
              <w:t>15.</w:t>
            </w:r>
          </w:p>
        </w:tc>
        <w:tc>
          <w:tcPr>
            <w:tcW w:w="7985" w:type="dxa"/>
          </w:tcPr>
          <w:p w14:paraId="1E330463" w14:textId="77777777" w:rsidR="00FE606F" w:rsidRPr="00E44BBB" w:rsidRDefault="00FE606F" w:rsidP="00D031FF">
            <w:pPr>
              <w:spacing w:before="240"/>
              <w:rPr>
                <w:rFonts w:ascii="Calibri" w:eastAsia="Calibri" w:hAnsi="Calibri" w:cs="Times New Roman"/>
              </w:rPr>
            </w:pPr>
            <w:r w:rsidRPr="00E44BBB">
              <w:rPr>
                <w:rFonts w:ascii="Calibri" w:eastAsia="Calibri" w:hAnsi="Calibri" w:cs="Times New Roman"/>
              </w:rPr>
              <w:t xml:space="preserve">Lim SS, Vos T, Flaxman AD, </w:t>
            </w:r>
            <w:proofErr w:type="spellStart"/>
            <w:r w:rsidRPr="00E44BBB">
              <w:rPr>
                <w:rFonts w:ascii="Calibri" w:eastAsia="Calibri" w:hAnsi="Calibri" w:cs="Times New Roman"/>
              </w:rPr>
              <w:t>Danaei</w:t>
            </w:r>
            <w:proofErr w:type="spellEnd"/>
            <w:r w:rsidRPr="00E44BBB">
              <w:rPr>
                <w:rFonts w:ascii="Calibri" w:eastAsia="Calibri" w:hAnsi="Calibri" w:cs="Times New Roman"/>
              </w:rPr>
              <w:t xml:space="preserve"> G, Shibuya K, Adair-</w:t>
            </w:r>
            <w:proofErr w:type="spellStart"/>
            <w:r w:rsidRPr="00E44BBB">
              <w:rPr>
                <w:rFonts w:ascii="Calibri" w:eastAsia="Calibri" w:hAnsi="Calibri" w:cs="Times New Roman"/>
              </w:rPr>
              <w:t>Rohani</w:t>
            </w:r>
            <w:proofErr w:type="spellEnd"/>
            <w:r w:rsidRPr="00E44BBB">
              <w:rPr>
                <w:rFonts w:ascii="Calibri" w:eastAsia="Calibri" w:hAnsi="Calibri" w:cs="Times New Roman"/>
              </w:rPr>
              <w:t xml:space="preserve"> H et al (2012) A comparative risk assessment of burden of disease and injury attributable to 67 risk factors and risk factor clusters in 21 regions, 1990-2010: a systematic analysis for the Global Burden of Disease Study 2010. Lancet 380: 2224-60. Erratum in: Lancet. 2013; 381:628</w:t>
            </w:r>
          </w:p>
        </w:tc>
      </w:tr>
      <w:tr w:rsidR="00FE606F" w:rsidRPr="00E44BBB" w14:paraId="40349F66" w14:textId="77777777" w:rsidTr="00FE606F">
        <w:tc>
          <w:tcPr>
            <w:tcW w:w="495" w:type="dxa"/>
          </w:tcPr>
          <w:p w14:paraId="6E858AA6" w14:textId="2FE9345B" w:rsidR="00FE606F" w:rsidRPr="00E44BBB" w:rsidRDefault="00FE606F" w:rsidP="00D031FF">
            <w:pPr>
              <w:spacing w:before="240"/>
              <w:jc w:val="right"/>
              <w:rPr>
                <w:rFonts w:ascii="Calibri" w:eastAsia="Calibri" w:hAnsi="Calibri" w:cs="Times New Roman"/>
              </w:rPr>
            </w:pPr>
            <w:r w:rsidRPr="00E44BBB">
              <w:rPr>
                <w:rFonts w:ascii="Calibri" w:eastAsia="Calibri" w:hAnsi="Calibri" w:cs="Times New Roman"/>
              </w:rPr>
              <w:t>16.</w:t>
            </w:r>
          </w:p>
        </w:tc>
        <w:tc>
          <w:tcPr>
            <w:tcW w:w="7985" w:type="dxa"/>
          </w:tcPr>
          <w:p w14:paraId="27D20C75" w14:textId="6F4D6C0B" w:rsidR="00FE606F" w:rsidRPr="00E44BBB" w:rsidRDefault="00FE606F" w:rsidP="00D031FF">
            <w:pPr>
              <w:spacing w:before="240"/>
              <w:rPr>
                <w:rFonts w:ascii="Calibri" w:eastAsia="Calibri" w:hAnsi="Calibri" w:cs="Times New Roman"/>
              </w:rPr>
            </w:pPr>
            <w:r w:rsidRPr="005624A7">
              <w:rPr>
                <w:rFonts w:ascii="Calibri" w:eastAsia="Calibri" w:hAnsi="Calibri" w:cs="Times New Roman"/>
              </w:rPr>
              <w:t xml:space="preserve">Cummings SR, San Martin J, McClung MR, </w:t>
            </w:r>
            <w:proofErr w:type="spellStart"/>
            <w:r w:rsidRPr="005624A7">
              <w:rPr>
                <w:rFonts w:ascii="Calibri" w:eastAsia="Calibri" w:hAnsi="Calibri" w:cs="Times New Roman"/>
              </w:rPr>
              <w:t>Siris</w:t>
            </w:r>
            <w:proofErr w:type="spellEnd"/>
            <w:r w:rsidRPr="005624A7">
              <w:rPr>
                <w:rFonts w:ascii="Calibri" w:eastAsia="Calibri" w:hAnsi="Calibri" w:cs="Times New Roman"/>
              </w:rPr>
              <w:t xml:space="preserve"> ES, </w:t>
            </w:r>
            <w:proofErr w:type="spellStart"/>
            <w:r w:rsidRPr="005624A7">
              <w:rPr>
                <w:rFonts w:ascii="Calibri" w:eastAsia="Calibri" w:hAnsi="Calibri" w:cs="Times New Roman"/>
              </w:rPr>
              <w:t>Eastell</w:t>
            </w:r>
            <w:proofErr w:type="spellEnd"/>
            <w:r w:rsidRPr="005624A7">
              <w:rPr>
                <w:rFonts w:ascii="Calibri" w:eastAsia="Calibri" w:hAnsi="Calibri" w:cs="Times New Roman"/>
              </w:rPr>
              <w:t xml:space="preserve"> R, Reid IR, Delmas P, </w:t>
            </w:r>
            <w:proofErr w:type="spellStart"/>
            <w:r w:rsidRPr="005624A7">
              <w:rPr>
                <w:rFonts w:ascii="Calibri" w:eastAsia="Calibri" w:hAnsi="Calibri" w:cs="Times New Roman"/>
              </w:rPr>
              <w:t>Zoog</w:t>
            </w:r>
            <w:proofErr w:type="spellEnd"/>
            <w:r w:rsidRPr="005624A7">
              <w:rPr>
                <w:rFonts w:ascii="Calibri" w:eastAsia="Calibri" w:hAnsi="Calibri" w:cs="Times New Roman"/>
              </w:rPr>
              <w:t xml:space="preserve"> HB, Austin M, Wang A, </w:t>
            </w:r>
            <w:proofErr w:type="spellStart"/>
            <w:r w:rsidRPr="005624A7">
              <w:rPr>
                <w:rFonts w:ascii="Calibri" w:eastAsia="Calibri" w:hAnsi="Calibri" w:cs="Times New Roman"/>
              </w:rPr>
              <w:t>Kutilek</w:t>
            </w:r>
            <w:proofErr w:type="spellEnd"/>
            <w:r w:rsidRPr="005624A7">
              <w:rPr>
                <w:rFonts w:ascii="Calibri" w:eastAsia="Calibri" w:hAnsi="Calibri" w:cs="Times New Roman"/>
              </w:rPr>
              <w:t xml:space="preserve"> S, </w:t>
            </w:r>
            <w:proofErr w:type="spellStart"/>
            <w:r w:rsidRPr="005624A7">
              <w:rPr>
                <w:rFonts w:ascii="Calibri" w:eastAsia="Calibri" w:hAnsi="Calibri" w:cs="Times New Roman"/>
              </w:rPr>
              <w:t>Adami</w:t>
            </w:r>
            <w:proofErr w:type="spellEnd"/>
            <w:r w:rsidRPr="005624A7">
              <w:rPr>
                <w:rFonts w:ascii="Calibri" w:eastAsia="Calibri" w:hAnsi="Calibri" w:cs="Times New Roman"/>
              </w:rPr>
              <w:t xml:space="preserve"> S, </w:t>
            </w:r>
            <w:proofErr w:type="spellStart"/>
            <w:r w:rsidRPr="005624A7">
              <w:rPr>
                <w:rFonts w:ascii="Calibri" w:eastAsia="Calibri" w:hAnsi="Calibri" w:cs="Times New Roman"/>
              </w:rPr>
              <w:t>Zanchetta</w:t>
            </w:r>
            <w:proofErr w:type="spellEnd"/>
            <w:r w:rsidRPr="005624A7">
              <w:rPr>
                <w:rFonts w:ascii="Calibri" w:eastAsia="Calibri" w:hAnsi="Calibri" w:cs="Times New Roman"/>
              </w:rPr>
              <w:t xml:space="preserve"> J, </w:t>
            </w:r>
            <w:proofErr w:type="spellStart"/>
            <w:r w:rsidRPr="005624A7">
              <w:rPr>
                <w:rFonts w:ascii="Calibri" w:eastAsia="Calibri" w:hAnsi="Calibri" w:cs="Times New Roman"/>
              </w:rPr>
              <w:t>Libanati</w:t>
            </w:r>
            <w:proofErr w:type="spellEnd"/>
            <w:r w:rsidRPr="005624A7">
              <w:rPr>
                <w:rFonts w:ascii="Calibri" w:eastAsia="Calibri" w:hAnsi="Calibri" w:cs="Times New Roman"/>
              </w:rPr>
              <w:t xml:space="preserve"> C, </w:t>
            </w:r>
            <w:proofErr w:type="spellStart"/>
            <w:r w:rsidRPr="005624A7">
              <w:rPr>
                <w:rFonts w:ascii="Calibri" w:eastAsia="Calibri" w:hAnsi="Calibri" w:cs="Times New Roman"/>
              </w:rPr>
              <w:t>Siddhanti</w:t>
            </w:r>
            <w:proofErr w:type="spellEnd"/>
            <w:r w:rsidRPr="005624A7">
              <w:rPr>
                <w:rFonts w:ascii="Calibri" w:eastAsia="Calibri" w:hAnsi="Calibri" w:cs="Times New Roman"/>
              </w:rPr>
              <w:t xml:space="preserve"> S, Christiansen C; FREEDOM Trial</w:t>
            </w:r>
            <w:r>
              <w:rPr>
                <w:rFonts w:ascii="Calibri" w:eastAsia="Calibri" w:hAnsi="Calibri" w:cs="Times New Roman"/>
              </w:rPr>
              <w:t xml:space="preserve"> </w:t>
            </w:r>
            <w:r w:rsidRPr="00E44BBB">
              <w:rPr>
                <w:rFonts w:ascii="Calibri" w:eastAsia="Calibri" w:hAnsi="Calibri" w:cs="Times New Roman"/>
              </w:rPr>
              <w:t xml:space="preserve">(2009) Denosumab for prevention of fractures in postmenopausal women with osteoporosis N </w:t>
            </w:r>
            <w:proofErr w:type="spellStart"/>
            <w:r w:rsidRPr="00E44BBB">
              <w:rPr>
                <w:rFonts w:ascii="Calibri" w:eastAsia="Calibri" w:hAnsi="Calibri" w:cs="Times New Roman"/>
              </w:rPr>
              <w:t>Engl</w:t>
            </w:r>
            <w:proofErr w:type="spellEnd"/>
            <w:r w:rsidRPr="00E44BBB">
              <w:rPr>
                <w:rFonts w:ascii="Calibri" w:eastAsia="Calibri" w:hAnsi="Calibri" w:cs="Times New Roman"/>
              </w:rPr>
              <w:t xml:space="preserve"> J Med 361: 756-65.</w:t>
            </w:r>
          </w:p>
        </w:tc>
      </w:tr>
      <w:tr w:rsidR="00FE606F" w:rsidRPr="00E44BBB" w14:paraId="497DA925" w14:textId="77777777" w:rsidTr="00FE606F">
        <w:tc>
          <w:tcPr>
            <w:tcW w:w="495" w:type="dxa"/>
          </w:tcPr>
          <w:p w14:paraId="5BFE8985" w14:textId="208A4B2C" w:rsidR="00FE606F" w:rsidRPr="00E44BBB" w:rsidRDefault="00FE606F" w:rsidP="00D031FF">
            <w:pPr>
              <w:spacing w:before="240"/>
              <w:jc w:val="right"/>
              <w:rPr>
                <w:rFonts w:ascii="Calibri" w:eastAsia="Calibri" w:hAnsi="Calibri" w:cs="Times New Roman"/>
              </w:rPr>
            </w:pPr>
            <w:r w:rsidRPr="00E44BBB">
              <w:rPr>
                <w:rFonts w:ascii="Calibri" w:eastAsia="Calibri" w:hAnsi="Calibri" w:cs="Times New Roman"/>
              </w:rPr>
              <w:t>17.</w:t>
            </w:r>
          </w:p>
        </w:tc>
        <w:tc>
          <w:tcPr>
            <w:tcW w:w="7985" w:type="dxa"/>
          </w:tcPr>
          <w:p w14:paraId="7C544F93" w14:textId="480C744F" w:rsidR="00FE606F" w:rsidRPr="00E44BBB" w:rsidRDefault="00FE606F" w:rsidP="00D031FF">
            <w:pPr>
              <w:spacing w:before="240"/>
              <w:rPr>
                <w:rFonts w:ascii="Calibri" w:eastAsia="Calibri" w:hAnsi="Calibri" w:cs="Times New Roman"/>
              </w:rPr>
            </w:pPr>
            <w:r w:rsidRPr="00E44BBB">
              <w:rPr>
                <w:rFonts w:ascii="Calibri" w:eastAsia="Calibri" w:hAnsi="Calibri" w:cs="Times New Roman"/>
              </w:rPr>
              <w:t xml:space="preserve">McCloskey EV, Johansson H, Oden A, Austin M, </w:t>
            </w:r>
            <w:proofErr w:type="spellStart"/>
            <w:r w:rsidRPr="00E44BBB">
              <w:rPr>
                <w:rFonts w:ascii="Calibri" w:eastAsia="Calibri" w:hAnsi="Calibri" w:cs="Times New Roman"/>
              </w:rPr>
              <w:t>Siris</w:t>
            </w:r>
            <w:proofErr w:type="spellEnd"/>
            <w:r w:rsidRPr="00E44BBB">
              <w:rPr>
                <w:rFonts w:ascii="Calibri" w:eastAsia="Calibri" w:hAnsi="Calibri" w:cs="Times New Roman"/>
              </w:rPr>
              <w:t xml:space="preserve"> E, Wang A, </w:t>
            </w:r>
            <w:proofErr w:type="spellStart"/>
            <w:r w:rsidRPr="00E44BBB">
              <w:rPr>
                <w:rFonts w:ascii="Calibri" w:eastAsia="Calibri" w:hAnsi="Calibri" w:cs="Times New Roman"/>
              </w:rPr>
              <w:t>Lewiecki</w:t>
            </w:r>
            <w:proofErr w:type="spellEnd"/>
            <w:r w:rsidRPr="00E44BBB">
              <w:rPr>
                <w:rFonts w:ascii="Calibri" w:eastAsia="Calibri" w:hAnsi="Calibri" w:cs="Times New Roman"/>
              </w:rPr>
              <w:t xml:space="preserve"> EM, </w:t>
            </w:r>
            <w:proofErr w:type="spellStart"/>
            <w:r w:rsidRPr="00E44BBB">
              <w:rPr>
                <w:rFonts w:ascii="Calibri" w:eastAsia="Calibri" w:hAnsi="Calibri" w:cs="Times New Roman"/>
              </w:rPr>
              <w:t>Lorenc</w:t>
            </w:r>
            <w:proofErr w:type="spellEnd"/>
            <w:r w:rsidRPr="00E44BBB">
              <w:rPr>
                <w:rFonts w:ascii="Calibri" w:eastAsia="Calibri" w:hAnsi="Calibri" w:cs="Times New Roman"/>
              </w:rPr>
              <w:t xml:space="preserve"> R, </w:t>
            </w:r>
            <w:proofErr w:type="spellStart"/>
            <w:r w:rsidRPr="00E44BBB">
              <w:rPr>
                <w:rFonts w:ascii="Calibri" w:eastAsia="Calibri" w:hAnsi="Calibri" w:cs="Times New Roman"/>
              </w:rPr>
              <w:t>Libanati</w:t>
            </w:r>
            <w:proofErr w:type="spellEnd"/>
            <w:r w:rsidRPr="00E44BBB">
              <w:rPr>
                <w:rFonts w:ascii="Calibri" w:eastAsia="Calibri" w:hAnsi="Calibri" w:cs="Times New Roman"/>
              </w:rPr>
              <w:t xml:space="preserve"> C, </w:t>
            </w:r>
            <w:proofErr w:type="spellStart"/>
            <w:r w:rsidRPr="00E44BBB">
              <w:rPr>
                <w:rFonts w:ascii="Calibri" w:eastAsia="Calibri" w:hAnsi="Calibri" w:cs="Times New Roman"/>
              </w:rPr>
              <w:t>Kanis</w:t>
            </w:r>
            <w:proofErr w:type="spellEnd"/>
            <w:r w:rsidRPr="00E44BBB">
              <w:rPr>
                <w:rFonts w:ascii="Calibri" w:eastAsia="Calibri" w:hAnsi="Calibri" w:cs="Times New Roman"/>
              </w:rPr>
              <w:t xml:space="preserve"> JA (2012) Denosumab reduces the risk of osteoporotic fractures in postmenopausal women, particularly in those with moderate to high fracture risk as assessed with FRAX. J Bone Miner Res.  27: 1480-6.</w:t>
            </w:r>
          </w:p>
        </w:tc>
      </w:tr>
      <w:tr w:rsidR="00FE606F" w:rsidRPr="00E44BBB" w14:paraId="5D285F69" w14:textId="77777777" w:rsidTr="00FE606F">
        <w:tc>
          <w:tcPr>
            <w:tcW w:w="495" w:type="dxa"/>
          </w:tcPr>
          <w:p w14:paraId="398080AF" w14:textId="74728EBA" w:rsidR="00FE606F" w:rsidRPr="00E44BBB" w:rsidRDefault="00FE606F" w:rsidP="00D031FF">
            <w:pPr>
              <w:spacing w:before="240"/>
              <w:jc w:val="right"/>
              <w:rPr>
                <w:rFonts w:ascii="Calibri" w:eastAsia="Calibri" w:hAnsi="Calibri" w:cs="Times New Roman"/>
              </w:rPr>
            </w:pPr>
            <w:r w:rsidRPr="00E44BBB">
              <w:rPr>
                <w:rFonts w:ascii="Calibri" w:eastAsia="Calibri" w:hAnsi="Calibri" w:cs="Times New Roman"/>
              </w:rPr>
              <w:t>18.</w:t>
            </w:r>
          </w:p>
        </w:tc>
        <w:tc>
          <w:tcPr>
            <w:tcW w:w="7985" w:type="dxa"/>
          </w:tcPr>
          <w:p w14:paraId="6D43CD50" w14:textId="4D217222" w:rsidR="00FE606F" w:rsidRPr="00E44BBB" w:rsidRDefault="00FE606F" w:rsidP="00D031FF">
            <w:pPr>
              <w:spacing w:before="240"/>
              <w:rPr>
                <w:rFonts w:ascii="Calibri" w:eastAsia="Calibri" w:hAnsi="Calibri" w:cs="Times New Roman"/>
              </w:rPr>
            </w:pPr>
            <w:proofErr w:type="spellStart"/>
            <w:r w:rsidRPr="00E44BBB">
              <w:rPr>
                <w:rFonts w:ascii="Calibri" w:eastAsia="Calibri" w:hAnsi="Calibri" w:cs="Times New Roman"/>
              </w:rPr>
              <w:t>Oppe</w:t>
            </w:r>
            <w:proofErr w:type="spellEnd"/>
            <w:r w:rsidRPr="00E44BBB">
              <w:rPr>
                <w:rFonts w:ascii="Calibri" w:eastAsia="Calibri" w:hAnsi="Calibri" w:cs="Times New Roman"/>
              </w:rPr>
              <w:t xml:space="preserve"> M, Devlin NJ, </w:t>
            </w:r>
            <w:proofErr w:type="spellStart"/>
            <w:r w:rsidRPr="00E44BBB">
              <w:rPr>
                <w:rFonts w:ascii="Calibri" w:eastAsia="Calibri" w:hAnsi="Calibri" w:cs="Times New Roman"/>
              </w:rPr>
              <w:t>Szende</w:t>
            </w:r>
            <w:proofErr w:type="spellEnd"/>
            <w:r w:rsidRPr="00E44BBB">
              <w:rPr>
                <w:rFonts w:ascii="Calibri" w:eastAsia="Calibri" w:hAnsi="Calibri" w:cs="Times New Roman"/>
              </w:rPr>
              <w:t xml:space="preserve"> A (2007) EQ-5D value sets: inventory, comparative review and user guide: Springer</w:t>
            </w:r>
          </w:p>
        </w:tc>
      </w:tr>
      <w:tr w:rsidR="00FE606F" w:rsidRPr="00E44BBB" w14:paraId="5D09F104" w14:textId="77777777" w:rsidTr="00FE606F">
        <w:tc>
          <w:tcPr>
            <w:tcW w:w="495" w:type="dxa"/>
          </w:tcPr>
          <w:p w14:paraId="59FFFBAA" w14:textId="69DA7B2A" w:rsidR="00FE606F" w:rsidRPr="00E44BBB" w:rsidRDefault="00FE606F" w:rsidP="00D031FF">
            <w:pPr>
              <w:spacing w:before="240"/>
              <w:jc w:val="right"/>
              <w:rPr>
                <w:rFonts w:ascii="Calibri" w:eastAsia="Calibri" w:hAnsi="Calibri" w:cs="Times New Roman"/>
              </w:rPr>
            </w:pPr>
            <w:r w:rsidRPr="00E44BBB">
              <w:rPr>
                <w:rFonts w:ascii="Calibri" w:eastAsia="Calibri" w:hAnsi="Calibri" w:cs="Times New Roman"/>
              </w:rPr>
              <w:t>19.</w:t>
            </w:r>
          </w:p>
        </w:tc>
        <w:tc>
          <w:tcPr>
            <w:tcW w:w="7985" w:type="dxa"/>
          </w:tcPr>
          <w:p w14:paraId="08C7335B" w14:textId="6EB3F363" w:rsidR="00FE606F" w:rsidRPr="00E44BBB" w:rsidRDefault="00FE606F" w:rsidP="00D031FF">
            <w:pPr>
              <w:spacing w:before="240"/>
              <w:rPr>
                <w:rFonts w:ascii="Calibri" w:eastAsia="Calibri" w:hAnsi="Calibri" w:cs="Times New Roman"/>
              </w:rPr>
            </w:pPr>
            <w:r w:rsidRPr="001935C6">
              <w:rPr>
                <w:rFonts w:ascii="Calibri" w:eastAsia="Calibri" w:hAnsi="Calibri" w:cs="Times New Roman"/>
                <w:iCs/>
                <w:sz w:val="24"/>
                <w:szCs w:val="24"/>
                <w:lang w:val="en-US"/>
              </w:rPr>
              <w:t xml:space="preserve">Haywood KL, Griffin XL, </w:t>
            </w:r>
            <w:proofErr w:type="spellStart"/>
            <w:r w:rsidRPr="001935C6">
              <w:rPr>
                <w:rFonts w:ascii="Calibri" w:eastAsia="Calibri" w:hAnsi="Calibri" w:cs="Times New Roman"/>
                <w:iCs/>
                <w:sz w:val="24"/>
                <w:szCs w:val="24"/>
                <w:lang w:val="en-US"/>
              </w:rPr>
              <w:t>Achten</w:t>
            </w:r>
            <w:proofErr w:type="spellEnd"/>
            <w:r w:rsidRPr="001935C6">
              <w:rPr>
                <w:rFonts w:ascii="Calibri" w:eastAsia="Calibri" w:hAnsi="Calibri" w:cs="Times New Roman"/>
                <w:iCs/>
                <w:sz w:val="24"/>
                <w:szCs w:val="24"/>
                <w:lang w:val="en-US"/>
              </w:rPr>
              <w:t xml:space="preserve"> J, Costa ML (2014) Developing</w:t>
            </w:r>
            <w:r>
              <w:rPr>
                <w:rFonts w:ascii="Calibri" w:eastAsia="Calibri" w:hAnsi="Calibri" w:cs="Times New Roman"/>
                <w:iCs/>
                <w:sz w:val="24"/>
                <w:szCs w:val="24"/>
                <w:lang w:val="en-US"/>
              </w:rPr>
              <w:t xml:space="preserve"> </w:t>
            </w:r>
            <w:r w:rsidRPr="001935C6">
              <w:rPr>
                <w:rFonts w:ascii="Calibri" w:eastAsia="Calibri" w:hAnsi="Calibri" w:cs="Times New Roman"/>
                <w:iCs/>
                <w:sz w:val="24"/>
                <w:szCs w:val="24"/>
                <w:lang w:val="en-US"/>
              </w:rPr>
              <w:t>a core outcome set for hip fracture trials. Bone Joint J 96-B(8):</w:t>
            </w:r>
            <w:r>
              <w:rPr>
                <w:rFonts w:ascii="Calibri" w:eastAsia="Calibri" w:hAnsi="Calibri" w:cs="Times New Roman"/>
                <w:iCs/>
                <w:sz w:val="24"/>
                <w:szCs w:val="24"/>
                <w:lang w:val="en-US"/>
              </w:rPr>
              <w:t xml:space="preserve"> </w:t>
            </w:r>
            <w:r w:rsidRPr="001935C6">
              <w:rPr>
                <w:rFonts w:ascii="Calibri" w:eastAsia="Calibri" w:hAnsi="Calibri" w:cs="Times New Roman"/>
                <w:iCs/>
                <w:sz w:val="24"/>
                <w:szCs w:val="24"/>
                <w:lang w:val="en-US"/>
              </w:rPr>
              <w:t xml:space="preserve">1016–1023. </w:t>
            </w:r>
          </w:p>
        </w:tc>
      </w:tr>
      <w:tr w:rsidR="00FE606F" w:rsidRPr="00E44BBB" w14:paraId="39DE0BFF" w14:textId="77777777" w:rsidTr="00FE606F">
        <w:tc>
          <w:tcPr>
            <w:tcW w:w="495" w:type="dxa"/>
          </w:tcPr>
          <w:p w14:paraId="2A47BED2" w14:textId="7DB3F55D" w:rsidR="00FE606F" w:rsidRPr="00E44BBB" w:rsidRDefault="00FE606F" w:rsidP="00D031FF">
            <w:pPr>
              <w:spacing w:before="240"/>
              <w:jc w:val="right"/>
              <w:rPr>
                <w:rFonts w:ascii="Calibri" w:eastAsia="Calibri" w:hAnsi="Calibri" w:cs="Times New Roman"/>
              </w:rPr>
            </w:pPr>
            <w:r w:rsidRPr="00E44BBB">
              <w:rPr>
                <w:rFonts w:ascii="Calibri" w:eastAsia="Calibri" w:hAnsi="Calibri" w:cs="Times New Roman"/>
              </w:rPr>
              <w:t>20.</w:t>
            </w:r>
          </w:p>
        </w:tc>
        <w:tc>
          <w:tcPr>
            <w:tcW w:w="7985" w:type="dxa"/>
          </w:tcPr>
          <w:p w14:paraId="20DC2E04" w14:textId="77777777" w:rsidR="00FE606F" w:rsidRPr="00E44BBB" w:rsidRDefault="00FE606F" w:rsidP="00D031FF">
            <w:pPr>
              <w:spacing w:before="240"/>
              <w:rPr>
                <w:rFonts w:ascii="Calibri" w:eastAsia="Calibri" w:hAnsi="Calibri" w:cs="Times New Roman"/>
              </w:rPr>
            </w:pPr>
            <w:proofErr w:type="spellStart"/>
            <w:r w:rsidRPr="00E44BBB">
              <w:rPr>
                <w:rFonts w:ascii="Calibri" w:eastAsia="Calibri" w:hAnsi="Calibri" w:cs="Times New Roman"/>
              </w:rPr>
              <w:t>Svedbom</w:t>
            </w:r>
            <w:proofErr w:type="spellEnd"/>
            <w:r w:rsidRPr="00E44BBB">
              <w:rPr>
                <w:rFonts w:ascii="Calibri" w:eastAsia="Calibri" w:hAnsi="Calibri" w:cs="Times New Roman"/>
              </w:rPr>
              <w:t xml:space="preserve"> A, </w:t>
            </w:r>
            <w:proofErr w:type="spellStart"/>
            <w:r w:rsidRPr="00E44BBB">
              <w:rPr>
                <w:rFonts w:ascii="Calibri" w:eastAsia="Calibri" w:hAnsi="Calibri" w:cs="Times New Roman"/>
              </w:rPr>
              <w:t>Borgström</w:t>
            </w:r>
            <w:proofErr w:type="spellEnd"/>
            <w:r w:rsidRPr="00E44BBB">
              <w:rPr>
                <w:rFonts w:ascii="Calibri" w:eastAsia="Calibri" w:hAnsi="Calibri" w:cs="Times New Roman"/>
              </w:rPr>
              <w:t xml:space="preserve"> B, </w:t>
            </w:r>
            <w:proofErr w:type="spellStart"/>
            <w:r w:rsidRPr="00E44BBB">
              <w:rPr>
                <w:rFonts w:ascii="Calibri" w:eastAsia="Calibri" w:hAnsi="Calibri" w:cs="Times New Roman"/>
              </w:rPr>
              <w:t>Hernlund</w:t>
            </w:r>
            <w:proofErr w:type="spellEnd"/>
            <w:r w:rsidRPr="00E44BBB">
              <w:rPr>
                <w:rFonts w:ascii="Calibri" w:eastAsia="Calibri" w:hAnsi="Calibri" w:cs="Times New Roman"/>
              </w:rPr>
              <w:t xml:space="preserve"> E, </w:t>
            </w:r>
            <w:proofErr w:type="spellStart"/>
            <w:r w:rsidRPr="00E44BBB">
              <w:rPr>
                <w:rFonts w:ascii="Calibri" w:eastAsia="Calibri" w:hAnsi="Calibri" w:cs="Times New Roman"/>
              </w:rPr>
              <w:t>Ström</w:t>
            </w:r>
            <w:proofErr w:type="spellEnd"/>
            <w:r w:rsidRPr="00E44BBB">
              <w:rPr>
                <w:rFonts w:ascii="Calibri" w:eastAsia="Calibri" w:hAnsi="Calibri" w:cs="Times New Roman"/>
              </w:rPr>
              <w:t xml:space="preserve"> O, </w:t>
            </w:r>
            <w:proofErr w:type="spellStart"/>
            <w:r w:rsidRPr="00E44BBB">
              <w:rPr>
                <w:rFonts w:ascii="Calibri" w:eastAsia="Calibri" w:hAnsi="Calibri" w:cs="Times New Roman"/>
              </w:rPr>
              <w:t>Alekna</w:t>
            </w:r>
            <w:proofErr w:type="spellEnd"/>
            <w:r w:rsidRPr="00E44BBB">
              <w:rPr>
                <w:rFonts w:ascii="Calibri" w:eastAsia="Calibri" w:hAnsi="Calibri" w:cs="Times New Roman"/>
              </w:rPr>
              <w:t xml:space="preserve"> V, Bianchi ML, Clark P, Curiel MD, </w:t>
            </w:r>
            <w:proofErr w:type="spellStart"/>
            <w:r w:rsidRPr="00E44BBB">
              <w:rPr>
                <w:rFonts w:ascii="Calibri" w:eastAsia="Calibri" w:hAnsi="Calibri" w:cs="Times New Roman"/>
              </w:rPr>
              <w:t>Dimai</w:t>
            </w:r>
            <w:proofErr w:type="spellEnd"/>
            <w:r w:rsidRPr="00E44BBB">
              <w:rPr>
                <w:rFonts w:ascii="Calibri" w:eastAsia="Calibri" w:hAnsi="Calibri" w:cs="Times New Roman"/>
              </w:rPr>
              <w:t xml:space="preserve"> HP, </w:t>
            </w:r>
            <w:proofErr w:type="spellStart"/>
            <w:r w:rsidRPr="00E44BBB">
              <w:rPr>
                <w:rFonts w:ascii="Calibri" w:eastAsia="Calibri" w:hAnsi="Calibri" w:cs="Times New Roman"/>
              </w:rPr>
              <w:t>Jürisson</w:t>
            </w:r>
            <w:proofErr w:type="spellEnd"/>
            <w:r w:rsidRPr="00E44BBB">
              <w:rPr>
                <w:rFonts w:ascii="Calibri" w:eastAsia="Calibri" w:hAnsi="Calibri" w:cs="Times New Roman"/>
              </w:rPr>
              <w:t xml:space="preserve"> M, </w:t>
            </w:r>
            <w:proofErr w:type="spellStart"/>
            <w:r w:rsidRPr="00E44BBB">
              <w:rPr>
                <w:rFonts w:ascii="Calibri" w:eastAsia="Calibri" w:hAnsi="Calibri" w:cs="Times New Roman"/>
              </w:rPr>
              <w:t>Kallikorm</w:t>
            </w:r>
            <w:proofErr w:type="spellEnd"/>
            <w:r w:rsidRPr="00E44BBB">
              <w:rPr>
                <w:rFonts w:ascii="Calibri" w:eastAsia="Calibri" w:hAnsi="Calibri" w:cs="Times New Roman"/>
              </w:rPr>
              <w:t xml:space="preserve"> R, </w:t>
            </w:r>
            <w:proofErr w:type="spellStart"/>
            <w:r w:rsidRPr="00E44BBB">
              <w:rPr>
                <w:rFonts w:ascii="Calibri" w:eastAsia="Calibri" w:hAnsi="Calibri" w:cs="Times New Roman"/>
              </w:rPr>
              <w:t>Lember</w:t>
            </w:r>
            <w:proofErr w:type="spellEnd"/>
            <w:r w:rsidRPr="00E44BBB">
              <w:rPr>
                <w:rFonts w:ascii="Calibri" w:eastAsia="Calibri" w:hAnsi="Calibri" w:cs="Times New Roman"/>
              </w:rPr>
              <w:t xml:space="preserve"> M, </w:t>
            </w:r>
            <w:proofErr w:type="spellStart"/>
            <w:r w:rsidRPr="00E44BBB">
              <w:rPr>
                <w:rFonts w:ascii="Calibri" w:eastAsia="Calibri" w:hAnsi="Calibri" w:cs="Times New Roman"/>
              </w:rPr>
              <w:t>Lesnyak</w:t>
            </w:r>
            <w:proofErr w:type="spellEnd"/>
            <w:r w:rsidRPr="00E44BBB">
              <w:rPr>
                <w:rFonts w:ascii="Calibri" w:eastAsia="Calibri" w:hAnsi="Calibri" w:cs="Times New Roman"/>
              </w:rPr>
              <w:t xml:space="preserve"> O, McCloskey E, Sanders KM, Silverman S, </w:t>
            </w:r>
            <w:proofErr w:type="spellStart"/>
            <w:r w:rsidRPr="00E44BBB">
              <w:rPr>
                <w:rFonts w:ascii="Calibri" w:eastAsia="Calibri" w:hAnsi="Calibri" w:cs="Times New Roman"/>
              </w:rPr>
              <w:t>Solodovnikov</w:t>
            </w:r>
            <w:proofErr w:type="spellEnd"/>
            <w:r w:rsidRPr="00E44BBB">
              <w:rPr>
                <w:rFonts w:ascii="Calibri" w:eastAsia="Calibri" w:hAnsi="Calibri" w:cs="Times New Roman"/>
              </w:rPr>
              <w:t xml:space="preserve"> A, </w:t>
            </w:r>
            <w:proofErr w:type="spellStart"/>
            <w:r w:rsidRPr="00E44BBB">
              <w:rPr>
                <w:rFonts w:ascii="Calibri" w:eastAsia="Calibri" w:hAnsi="Calibri" w:cs="Times New Roman"/>
              </w:rPr>
              <w:t>Tamulaitiene</w:t>
            </w:r>
            <w:proofErr w:type="spellEnd"/>
            <w:r w:rsidRPr="00E44BBB">
              <w:rPr>
                <w:rFonts w:ascii="Calibri" w:eastAsia="Calibri" w:hAnsi="Calibri" w:cs="Times New Roman"/>
              </w:rPr>
              <w:t xml:space="preserve"> M, Thomas T, </w:t>
            </w:r>
            <w:proofErr w:type="spellStart"/>
            <w:r w:rsidRPr="00E44BBB">
              <w:rPr>
                <w:rFonts w:ascii="Calibri" w:eastAsia="Calibri" w:hAnsi="Calibri" w:cs="Times New Roman"/>
              </w:rPr>
              <w:t>Toroptsova</w:t>
            </w:r>
            <w:proofErr w:type="spellEnd"/>
            <w:r w:rsidRPr="00E44BBB">
              <w:rPr>
                <w:rFonts w:ascii="Calibri" w:eastAsia="Calibri" w:hAnsi="Calibri" w:cs="Times New Roman"/>
              </w:rPr>
              <w:t xml:space="preserve"> N, </w:t>
            </w:r>
            <w:proofErr w:type="spellStart"/>
            <w:r w:rsidRPr="00E44BBB">
              <w:rPr>
                <w:rFonts w:ascii="Calibri" w:eastAsia="Calibri" w:hAnsi="Calibri" w:cs="Times New Roman"/>
              </w:rPr>
              <w:t>Uusküla</w:t>
            </w:r>
            <w:proofErr w:type="spellEnd"/>
            <w:r w:rsidRPr="00E44BBB">
              <w:rPr>
                <w:rFonts w:ascii="Calibri" w:eastAsia="Calibri" w:hAnsi="Calibri" w:cs="Times New Roman"/>
              </w:rPr>
              <w:t xml:space="preserve"> A, </w:t>
            </w:r>
            <w:proofErr w:type="spellStart"/>
            <w:r w:rsidRPr="00E44BBB">
              <w:rPr>
                <w:rFonts w:ascii="Calibri" w:eastAsia="Calibri" w:hAnsi="Calibri" w:cs="Times New Roman"/>
              </w:rPr>
              <w:t>Tosteson</w:t>
            </w:r>
            <w:proofErr w:type="spellEnd"/>
            <w:r w:rsidRPr="00E44BBB">
              <w:rPr>
                <w:rFonts w:ascii="Calibri" w:eastAsia="Calibri" w:hAnsi="Calibri" w:cs="Times New Roman"/>
              </w:rPr>
              <w:t xml:space="preserve"> ANA, </w:t>
            </w:r>
            <w:proofErr w:type="spellStart"/>
            <w:r w:rsidRPr="00E44BBB">
              <w:rPr>
                <w:rFonts w:ascii="Calibri" w:eastAsia="Calibri" w:hAnsi="Calibri" w:cs="Times New Roman"/>
              </w:rPr>
              <w:t>Jönsson</w:t>
            </w:r>
            <w:proofErr w:type="spellEnd"/>
            <w:r w:rsidRPr="00E44BBB">
              <w:rPr>
                <w:rFonts w:ascii="Calibri" w:eastAsia="Calibri" w:hAnsi="Calibri" w:cs="Times New Roman"/>
              </w:rPr>
              <w:t xml:space="preserve"> B, </w:t>
            </w:r>
            <w:proofErr w:type="spellStart"/>
            <w:r w:rsidRPr="00E44BBB">
              <w:rPr>
                <w:rFonts w:ascii="Calibri" w:eastAsia="Calibri" w:hAnsi="Calibri" w:cs="Times New Roman"/>
              </w:rPr>
              <w:t>Kanis</w:t>
            </w:r>
            <w:proofErr w:type="spellEnd"/>
            <w:r w:rsidRPr="00E44BBB">
              <w:rPr>
                <w:rFonts w:ascii="Calibri" w:eastAsia="Calibri" w:hAnsi="Calibri" w:cs="Times New Roman"/>
              </w:rPr>
              <w:t xml:space="preserve"> JA (2018) Quality of life for up to 18 months after low-energy hip, vertebral, and distal forearm fractures-results from the ICUROS.  Osteoporosis International 29: 557-566.</w:t>
            </w:r>
          </w:p>
        </w:tc>
      </w:tr>
      <w:tr w:rsidR="00FE606F" w:rsidRPr="00E44BBB" w14:paraId="788840A6" w14:textId="77777777" w:rsidTr="00FE606F">
        <w:tc>
          <w:tcPr>
            <w:tcW w:w="495" w:type="dxa"/>
          </w:tcPr>
          <w:p w14:paraId="681C1D7F" w14:textId="7BD8DB54" w:rsidR="00FE606F" w:rsidRPr="00E44BBB" w:rsidRDefault="00FE606F" w:rsidP="00D031FF">
            <w:pPr>
              <w:spacing w:before="240"/>
              <w:jc w:val="right"/>
              <w:rPr>
                <w:rFonts w:ascii="Calibri" w:eastAsia="Calibri" w:hAnsi="Calibri" w:cs="Times New Roman"/>
              </w:rPr>
            </w:pPr>
            <w:r w:rsidRPr="00E44BBB">
              <w:rPr>
                <w:rFonts w:ascii="Calibri" w:eastAsia="Calibri" w:hAnsi="Calibri" w:cs="Times New Roman"/>
              </w:rPr>
              <w:t>21.</w:t>
            </w:r>
          </w:p>
        </w:tc>
        <w:tc>
          <w:tcPr>
            <w:tcW w:w="7985" w:type="dxa"/>
          </w:tcPr>
          <w:p w14:paraId="0B0922C9" w14:textId="0CF04A70" w:rsidR="00FE606F" w:rsidRPr="00E44BBB" w:rsidRDefault="00FE606F" w:rsidP="00D031FF">
            <w:pPr>
              <w:spacing w:before="240"/>
              <w:rPr>
                <w:rFonts w:ascii="Calibri" w:eastAsia="Calibri" w:hAnsi="Calibri" w:cs="Times New Roman"/>
              </w:rPr>
            </w:pPr>
            <w:proofErr w:type="spellStart"/>
            <w:r w:rsidRPr="00E44BBB">
              <w:rPr>
                <w:rFonts w:ascii="Calibri" w:eastAsia="Calibri" w:hAnsi="Calibri" w:cs="Times New Roman"/>
              </w:rPr>
              <w:t>Kanis</w:t>
            </w:r>
            <w:proofErr w:type="spellEnd"/>
            <w:r w:rsidRPr="00E44BBB">
              <w:rPr>
                <w:rFonts w:ascii="Calibri" w:eastAsia="Calibri" w:hAnsi="Calibri" w:cs="Times New Roman"/>
              </w:rPr>
              <w:t xml:space="preserve"> JA, Johansson H, </w:t>
            </w:r>
            <w:proofErr w:type="spellStart"/>
            <w:r w:rsidRPr="00E44BBB">
              <w:rPr>
                <w:rFonts w:ascii="Calibri" w:eastAsia="Calibri" w:hAnsi="Calibri" w:cs="Times New Roman"/>
              </w:rPr>
              <w:t>Odén</w:t>
            </w:r>
            <w:proofErr w:type="spellEnd"/>
            <w:r w:rsidRPr="00E44BBB">
              <w:rPr>
                <w:rFonts w:ascii="Calibri" w:eastAsia="Calibri" w:hAnsi="Calibri" w:cs="Times New Roman"/>
              </w:rPr>
              <w:t xml:space="preserve"> A, Harvey NC, </w:t>
            </w:r>
            <w:proofErr w:type="spellStart"/>
            <w:r w:rsidRPr="00E44BBB">
              <w:rPr>
                <w:rFonts w:ascii="Calibri" w:eastAsia="Calibri" w:hAnsi="Calibri" w:cs="Times New Roman"/>
              </w:rPr>
              <w:t>Gudnason</w:t>
            </w:r>
            <w:proofErr w:type="spellEnd"/>
            <w:r w:rsidRPr="00E44BBB">
              <w:rPr>
                <w:rFonts w:ascii="Calibri" w:eastAsia="Calibri" w:hAnsi="Calibri" w:cs="Times New Roman"/>
              </w:rPr>
              <w:t xml:space="preserve"> V, Sanders K, Sigurdsson G, </w:t>
            </w:r>
            <w:proofErr w:type="spellStart"/>
            <w:r w:rsidRPr="00E44BBB">
              <w:rPr>
                <w:rFonts w:ascii="Calibri" w:eastAsia="Calibri" w:hAnsi="Calibri" w:cs="Times New Roman"/>
              </w:rPr>
              <w:t>Siggeirsdottir</w:t>
            </w:r>
            <w:proofErr w:type="spellEnd"/>
            <w:r w:rsidRPr="00E44BBB">
              <w:rPr>
                <w:rFonts w:ascii="Calibri" w:eastAsia="Calibri" w:hAnsi="Calibri" w:cs="Times New Roman"/>
              </w:rPr>
              <w:t xml:space="preserve"> K, </w:t>
            </w:r>
            <w:proofErr w:type="spellStart"/>
            <w:r w:rsidRPr="00E44BBB">
              <w:rPr>
                <w:rFonts w:ascii="Calibri" w:eastAsia="Calibri" w:hAnsi="Calibri" w:cs="Times New Roman"/>
              </w:rPr>
              <w:t>Borgström</w:t>
            </w:r>
            <w:proofErr w:type="spellEnd"/>
            <w:r w:rsidRPr="00E44BBB">
              <w:rPr>
                <w:rFonts w:ascii="Calibri" w:eastAsia="Calibri" w:hAnsi="Calibri" w:cs="Times New Roman"/>
              </w:rPr>
              <w:t xml:space="preserve"> F, McCloskey EV (2018) Characteristics of recurrent fractures.  </w:t>
            </w:r>
            <w:proofErr w:type="spellStart"/>
            <w:r w:rsidRPr="00E44BBB">
              <w:rPr>
                <w:rFonts w:ascii="Calibri" w:eastAsia="Calibri" w:hAnsi="Calibri" w:cs="Times New Roman"/>
              </w:rPr>
              <w:t>Osteoporos</w:t>
            </w:r>
            <w:proofErr w:type="spellEnd"/>
            <w:r w:rsidRPr="00E44BBB">
              <w:rPr>
                <w:rFonts w:ascii="Calibri" w:eastAsia="Calibri" w:hAnsi="Calibri" w:cs="Times New Roman"/>
              </w:rPr>
              <w:t xml:space="preserve"> Int 29: 1747-1757.</w:t>
            </w:r>
          </w:p>
        </w:tc>
      </w:tr>
      <w:tr w:rsidR="00FE606F" w:rsidRPr="00E44BBB" w14:paraId="6E107388" w14:textId="77777777" w:rsidTr="00FE606F">
        <w:tc>
          <w:tcPr>
            <w:tcW w:w="495" w:type="dxa"/>
          </w:tcPr>
          <w:p w14:paraId="3E2BC22C" w14:textId="4963311B" w:rsidR="00FE606F" w:rsidRPr="00E44BBB" w:rsidRDefault="00FE606F" w:rsidP="00D031FF">
            <w:pPr>
              <w:spacing w:before="240"/>
              <w:jc w:val="right"/>
              <w:rPr>
                <w:rFonts w:ascii="Calibri" w:eastAsia="Calibri" w:hAnsi="Calibri" w:cs="Times New Roman"/>
              </w:rPr>
            </w:pPr>
            <w:r w:rsidRPr="00E44BBB">
              <w:rPr>
                <w:rFonts w:ascii="Calibri" w:eastAsia="Calibri" w:hAnsi="Calibri" w:cs="Times New Roman"/>
              </w:rPr>
              <w:t>22.</w:t>
            </w:r>
          </w:p>
        </w:tc>
        <w:tc>
          <w:tcPr>
            <w:tcW w:w="7985" w:type="dxa"/>
          </w:tcPr>
          <w:p w14:paraId="2B79787F" w14:textId="19A21081" w:rsidR="00FE606F" w:rsidRPr="00E44BBB" w:rsidRDefault="00FE606F" w:rsidP="00D031FF">
            <w:pPr>
              <w:spacing w:before="240"/>
              <w:rPr>
                <w:rFonts w:ascii="Calibri" w:eastAsia="Calibri" w:hAnsi="Calibri" w:cs="Times New Roman"/>
              </w:rPr>
            </w:pPr>
            <w:proofErr w:type="spellStart"/>
            <w:r w:rsidRPr="00E44BBB">
              <w:rPr>
                <w:rFonts w:ascii="Calibri" w:eastAsia="Calibri" w:hAnsi="Calibri" w:cs="Times New Roman"/>
              </w:rPr>
              <w:t>Kanis</w:t>
            </w:r>
            <w:proofErr w:type="spellEnd"/>
            <w:r w:rsidRPr="00E44BBB">
              <w:rPr>
                <w:rFonts w:ascii="Calibri" w:eastAsia="Calibri" w:hAnsi="Calibri" w:cs="Times New Roman"/>
              </w:rPr>
              <w:t xml:space="preserve"> JA, </w:t>
            </w:r>
            <w:proofErr w:type="spellStart"/>
            <w:r w:rsidRPr="00E44BBB">
              <w:rPr>
                <w:rFonts w:ascii="Calibri" w:eastAsia="Calibri" w:hAnsi="Calibri" w:cs="Times New Roman"/>
              </w:rPr>
              <w:t>Johnell</w:t>
            </w:r>
            <w:proofErr w:type="spellEnd"/>
            <w:r w:rsidRPr="00E44BBB">
              <w:rPr>
                <w:rFonts w:ascii="Calibri" w:eastAsia="Calibri" w:hAnsi="Calibri" w:cs="Times New Roman"/>
              </w:rPr>
              <w:t xml:space="preserve"> O, Oden A, </w:t>
            </w:r>
            <w:proofErr w:type="spellStart"/>
            <w:r w:rsidRPr="00E44BBB">
              <w:rPr>
                <w:rFonts w:ascii="Calibri" w:eastAsia="Calibri" w:hAnsi="Calibri" w:cs="Times New Roman"/>
              </w:rPr>
              <w:t>Borgstrom</w:t>
            </w:r>
            <w:proofErr w:type="spellEnd"/>
            <w:r w:rsidRPr="00E44BBB">
              <w:rPr>
                <w:rFonts w:ascii="Calibri" w:eastAsia="Calibri" w:hAnsi="Calibri" w:cs="Times New Roman"/>
              </w:rPr>
              <w:t xml:space="preserve"> F, </w:t>
            </w:r>
            <w:proofErr w:type="spellStart"/>
            <w:r w:rsidRPr="00E44BBB">
              <w:rPr>
                <w:rFonts w:ascii="Calibri" w:eastAsia="Calibri" w:hAnsi="Calibri" w:cs="Times New Roman"/>
              </w:rPr>
              <w:t>Zethraeus</w:t>
            </w:r>
            <w:proofErr w:type="spellEnd"/>
            <w:r w:rsidRPr="00E44BBB">
              <w:rPr>
                <w:rFonts w:ascii="Calibri" w:eastAsia="Calibri" w:hAnsi="Calibri" w:cs="Times New Roman"/>
              </w:rPr>
              <w:t xml:space="preserve"> N, De </w:t>
            </w:r>
            <w:proofErr w:type="spellStart"/>
            <w:r w:rsidRPr="00E44BBB">
              <w:rPr>
                <w:rFonts w:ascii="Calibri" w:eastAsia="Calibri" w:hAnsi="Calibri" w:cs="Times New Roman"/>
              </w:rPr>
              <w:t>Laet</w:t>
            </w:r>
            <w:proofErr w:type="spellEnd"/>
            <w:r w:rsidRPr="00E44BBB">
              <w:rPr>
                <w:rFonts w:ascii="Calibri" w:eastAsia="Calibri" w:hAnsi="Calibri" w:cs="Times New Roman"/>
              </w:rPr>
              <w:t xml:space="preserve"> C et al (2004) The risk and burden of vertebral fractures in Sweden.  </w:t>
            </w:r>
            <w:proofErr w:type="spellStart"/>
            <w:r w:rsidRPr="00E44BBB">
              <w:rPr>
                <w:rFonts w:ascii="Calibri" w:eastAsia="Calibri" w:hAnsi="Calibri" w:cs="Times New Roman"/>
              </w:rPr>
              <w:t>Osteoporos</w:t>
            </w:r>
            <w:proofErr w:type="spellEnd"/>
            <w:r w:rsidRPr="00E44BBB">
              <w:rPr>
                <w:rFonts w:ascii="Calibri" w:eastAsia="Calibri" w:hAnsi="Calibri" w:cs="Times New Roman"/>
              </w:rPr>
              <w:t xml:space="preserve"> </w:t>
            </w:r>
            <w:r w:rsidRPr="002F3BEA">
              <w:rPr>
                <w:rFonts w:ascii="Calibri" w:eastAsia="Calibri" w:hAnsi="Calibri" w:cs="Times New Roman"/>
              </w:rPr>
              <w:t>Int 15</w:t>
            </w:r>
            <w:r w:rsidRPr="00E44BBB">
              <w:rPr>
                <w:rFonts w:ascii="Calibri" w:eastAsia="Calibri" w:hAnsi="Calibri" w:cs="Times New Roman"/>
              </w:rPr>
              <w:t>: 20-6.</w:t>
            </w:r>
          </w:p>
        </w:tc>
      </w:tr>
      <w:tr w:rsidR="00FE606F" w:rsidRPr="00E44BBB" w14:paraId="0135FC0D" w14:textId="77777777" w:rsidTr="00FE606F">
        <w:tc>
          <w:tcPr>
            <w:tcW w:w="495" w:type="dxa"/>
          </w:tcPr>
          <w:p w14:paraId="738090B1" w14:textId="7D5FC1EE" w:rsidR="00FE606F" w:rsidRPr="00E44BBB" w:rsidRDefault="00FE606F" w:rsidP="00D031FF">
            <w:pPr>
              <w:spacing w:before="240"/>
              <w:jc w:val="right"/>
              <w:rPr>
                <w:rFonts w:ascii="Calibri" w:eastAsia="Calibri" w:hAnsi="Calibri" w:cs="Times New Roman"/>
              </w:rPr>
            </w:pPr>
            <w:r w:rsidRPr="00E44BBB">
              <w:rPr>
                <w:rFonts w:ascii="Calibri" w:eastAsia="Calibri" w:hAnsi="Calibri" w:cs="Times New Roman"/>
              </w:rPr>
              <w:t>23.</w:t>
            </w:r>
          </w:p>
        </w:tc>
        <w:tc>
          <w:tcPr>
            <w:tcW w:w="7985" w:type="dxa"/>
          </w:tcPr>
          <w:p w14:paraId="42B05191" w14:textId="77777777" w:rsidR="00FE606F" w:rsidRPr="00E44BBB" w:rsidRDefault="00FE606F" w:rsidP="00D031FF">
            <w:pPr>
              <w:spacing w:before="240"/>
              <w:rPr>
                <w:rFonts w:ascii="Calibri" w:eastAsia="Calibri" w:hAnsi="Calibri" w:cs="Times New Roman"/>
              </w:rPr>
            </w:pPr>
            <w:r w:rsidRPr="00E44BBB">
              <w:rPr>
                <w:rFonts w:ascii="Calibri" w:eastAsia="Calibri" w:hAnsi="Calibri" w:cs="Times New Roman"/>
              </w:rPr>
              <w:t xml:space="preserve">Dolan P (1997) </w:t>
            </w:r>
            <w:proofErr w:type="spellStart"/>
            <w:r w:rsidRPr="00E44BBB">
              <w:rPr>
                <w:rFonts w:ascii="Calibri" w:eastAsia="Calibri" w:hAnsi="Calibri" w:cs="Times New Roman"/>
              </w:rPr>
              <w:t>Modeling</w:t>
            </w:r>
            <w:proofErr w:type="spellEnd"/>
            <w:r w:rsidRPr="00E44BBB">
              <w:rPr>
                <w:rFonts w:ascii="Calibri" w:eastAsia="Calibri" w:hAnsi="Calibri" w:cs="Times New Roman"/>
              </w:rPr>
              <w:t xml:space="preserve"> valuations for </w:t>
            </w:r>
            <w:proofErr w:type="spellStart"/>
            <w:r w:rsidRPr="00E44BBB">
              <w:rPr>
                <w:rFonts w:ascii="Calibri" w:eastAsia="Calibri" w:hAnsi="Calibri" w:cs="Times New Roman"/>
              </w:rPr>
              <w:t>EuroQol</w:t>
            </w:r>
            <w:proofErr w:type="spellEnd"/>
            <w:r w:rsidRPr="00E44BBB">
              <w:rPr>
                <w:rFonts w:ascii="Calibri" w:eastAsia="Calibri" w:hAnsi="Calibri" w:cs="Times New Roman"/>
              </w:rPr>
              <w:t xml:space="preserve"> health states. Medical Care 35: 1095-108.</w:t>
            </w:r>
          </w:p>
        </w:tc>
      </w:tr>
      <w:tr w:rsidR="00FE606F" w:rsidRPr="00E44BBB" w14:paraId="486379CA" w14:textId="77777777" w:rsidTr="00FE606F">
        <w:tc>
          <w:tcPr>
            <w:tcW w:w="495" w:type="dxa"/>
          </w:tcPr>
          <w:p w14:paraId="5C2EB37E" w14:textId="5D9FC198" w:rsidR="00FE606F" w:rsidRPr="00E44BBB" w:rsidRDefault="00FE606F" w:rsidP="00D031FF">
            <w:pPr>
              <w:spacing w:before="240"/>
              <w:jc w:val="right"/>
              <w:rPr>
                <w:rFonts w:ascii="Calibri" w:eastAsia="Calibri" w:hAnsi="Calibri" w:cs="Times New Roman"/>
              </w:rPr>
            </w:pPr>
            <w:r w:rsidRPr="00E44BBB">
              <w:rPr>
                <w:rFonts w:ascii="Calibri" w:eastAsia="Calibri" w:hAnsi="Calibri" w:cs="Times New Roman"/>
              </w:rPr>
              <w:t>24.</w:t>
            </w:r>
          </w:p>
        </w:tc>
        <w:tc>
          <w:tcPr>
            <w:tcW w:w="7985" w:type="dxa"/>
          </w:tcPr>
          <w:p w14:paraId="0C738FE2" w14:textId="3972F480" w:rsidR="00FE606F" w:rsidRPr="00E44BBB" w:rsidRDefault="00FE606F" w:rsidP="00D031FF">
            <w:pPr>
              <w:spacing w:before="240"/>
              <w:rPr>
                <w:rFonts w:ascii="Calibri" w:eastAsia="Calibri" w:hAnsi="Calibri" w:cs="Times New Roman"/>
              </w:rPr>
            </w:pPr>
            <w:proofErr w:type="spellStart"/>
            <w:r w:rsidRPr="00E44BBB">
              <w:rPr>
                <w:rFonts w:ascii="Calibri" w:eastAsia="Calibri" w:hAnsi="Calibri" w:cs="Times New Roman"/>
              </w:rPr>
              <w:t>Kanis</w:t>
            </w:r>
            <w:proofErr w:type="spellEnd"/>
            <w:r w:rsidRPr="00E44BBB">
              <w:rPr>
                <w:rFonts w:ascii="Calibri" w:eastAsia="Calibri" w:hAnsi="Calibri" w:cs="Times New Roman"/>
              </w:rPr>
              <w:t xml:space="preserve"> JA, Oden A, </w:t>
            </w:r>
            <w:proofErr w:type="spellStart"/>
            <w:r w:rsidRPr="00E44BBB">
              <w:rPr>
                <w:rFonts w:ascii="Calibri" w:eastAsia="Calibri" w:hAnsi="Calibri" w:cs="Times New Roman"/>
              </w:rPr>
              <w:t>Johnell</w:t>
            </w:r>
            <w:proofErr w:type="spellEnd"/>
            <w:r w:rsidRPr="00E44BBB">
              <w:rPr>
                <w:rFonts w:ascii="Calibri" w:eastAsia="Calibri" w:hAnsi="Calibri" w:cs="Times New Roman"/>
              </w:rPr>
              <w:t xml:space="preserve"> O, </w:t>
            </w:r>
            <w:proofErr w:type="spellStart"/>
            <w:r w:rsidRPr="00E44BBB">
              <w:rPr>
                <w:rFonts w:ascii="Calibri" w:eastAsia="Calibri" w:hAnsi="Calibri" w:cs="Times New Roman"/>
              </w:rPr>
              <w:t>Caulin</w:t>
            </w:r>
            <w:proofErr w:type="spellEnd"/>
            <w:r w:rsidRPr="00E44BBB">
              <w:rPr>
                <w:rFonts w:ascii="Calibri" w:eastAsia="Calibri" w:hAnsi="Calibri" w:cs="Times New Roman"/>
              </w:rPr>
              <w:t xml:space="preserve"> F, Bone H, Alexandre J-M, Abadie E, Lekkerkerker F (2002) Uncertain future of trials in osteoporosis. Osteoporosis International 13: 443-449.</w:t>
            </w:r>
          </w:p>
        </w:tc>
      </w:tr>
      <w:tr w:rsidR="00FE606F" w:rsidRPr="00E44BBB" w14:paraId="5AC1554B" w14:textId="77777777" w:rsidTr="00FE606F">
        <w:tc>
          <w:tcPr>
            <w:tcW w:w="495" w:type="dxa"/>
          </w:tcPr>
          <w:p w14:paraId="7CE9B665" w14:textId="54D2C10E" w:rsidR="00FE606F" w:rsidRPr="00E44BBB" w:rsidRDefault="00FE606F" w:rsidP="00D031FF">
            <w:pPr>
              <w:spacing w:before="240"/>
              <w:jc w:val="right"/>
              <w:rPr>
                <w:rFonts w:ascii="Calibri" w:eastAsia="Calibri" w:hAnsi="Calibri" w:cs="Times New Roman"/>
              </w:rPr>
            </w:pPr>
            <w:r w:rsidRPr="00E44BBB">
              <w:rPr>
                <w:rFonts w:ascii="Calibri" w:eastAsia="Calibri" w:hAnsi="Calibri" w:cs="Times New Roman"/>
              </w:rPr>
              <w:t>25.</w:t>
            </w:r>
          </w:p>
        </w:tc>
        <w:tc>
          <w:tcPr>
            <w:tcW w:w="7985" w:type="dxa"/>
          </w:tcPr>
          <w:p w14:paraId="6BA958D2" w14:textId="5429C7B6" w:rsidR="00FE606F" w:rsidRPr="00E44BBB" w:rsidRDefault="00FE606F" w:rsidP="00D031FF">
            <w:pPr>
              <w:spacing w:before="240"/>
              <w:rPr>
                <w:rFonts w:ascii="Calibri" w:eastAsia="Calibri" w:hAnsi="Calibri" w:cs="Times New Roman"/>
              </w:rPr>
            </w:pPr>
            <w:r w:rsidRPr="002F3BEA">
              <w:rPr>
                <w:rFonts w:ascii="Calibri" w:eastAsia="Calibri" w:hAnsi="Calibri" w:cs="Times New Roman"/>
                <w:iCs/>
              </w:rPr>
              <w:t>Foundation of the National Institutes of Health</w:t>
            </w:r>
            <w:r w:rsidRPr="00E44BBB">
              <w:rPr>
                <w:rFonts w:ascii="Calibri" w:eastAsia="Calibri" w:hAnsi="Calibri" w:cs="Times New Roman"/>
                <w:iCs/>
              </w:rPr>
              <w:t xml:space="preserve"> (2016) Q&amp;A with Dennis Black, Ph.D., Principal Investigator of the FNIH Biomarkers Consortium’s Bone Quality Project.  Foundation of the National Institutes of Health. </w:t>
            </w:r>
            <w:hyperlink r:id="rId10" w:history="1">
              <w:r w:rsidRPr="00E44BBB">
                <w:rPr>
                  <w:rFonts w:ascii="Calibri" w:eastAsia="Calibri" w:hAnsi="Calibri" w:cs="Times New Roman"/>
                  <w:color w:val="0563C1"/>
                  <w:u w:val="single"/>
                </w:rPr>
                <w:t>https://fnih.org/news/announcements/qa-dennis-black-phd-principal-investigator-fnih-biomarkers-consortium%E2%80%99s-bone-quality-project</w:t>
              </w:r>
            </w:hyperlink>
            <w:r w:rsidRPr="00E44BBB">
              <w:rPr>
                <w:rFonts w:ascii="Calibri" w:eastAsia="Calibri" w:hAnsi="Calibri" w:cs="Times New Roman"/>
                <w:iCs/>
              </w:rPr>
              <w:t xml:space="preserve"> Accessed 26 April 2020</w:t>
            </w:r>
          </w:p>
        </w:tc>
      </w:tr>
      <w:tr w:rsidR="00FE606F" w:rsidRPr="00E44BBB" w14:paraId="453274B2" w14:textId="77777777" w:rsidTr="00FE606F">
        <w:tc>
          <w:tcPr>
            <w:tcW w:w="495" w:type="dxa"/>
          </w:tcPr>
          <w:p w14:paraId="209097E9" w14:textId="344511F3" w:rsidR="00FE606F" w:rsidRPr="00E44BBB" w:rsidRDefault="00FE606F" w:rsidP="00D031FF">
            <w:pPr>
              <w:spacing w:before="240"/>
              <w:jc w:val="right"/>
              <w:rPr>
                <w:rFonts w:ascii="Calibri" w:eastAsia="Calibri" w:hAnsi="Calibri" w:cs="Times New Roman"/>
              </w:rPr>
            </w:pPr>
            <w:r w:rsidRPr="00E44BBB">
              <w:rPr>
                <w:rFonts w:ascii="Calibri" w:eastAsia="Calibri" w:hAnsi="Calibri" w:cs="Times New Roman"/>
              </w:rPr>
              <w:lastRenderedPageBreak/>
              <w:t>26.</w:t>
            </w:r>
          </w:p>
        </w:tc>
        <w:tc>
          <w:tcPr>
            <w:tcW w:w="7985" w:type="dxa"/>
          </w:tcPr>
          <w:p w14:paraId="2E7B2475" w14:textId="09E50473" w:rsidR="00FE606F" w:rsidRPr="00E44BBB" w:rsidRDefault="00FE606F" w:rsidP="00D031FF">
            <w:pPr>
              <w:spacing w:before="240"/>
              <w:rPr>
                <w:rFonts w:ascii="Calibri" w:eastAsia="Calibri" w:hAnsi="Calibri" w:cs="Times New Roman"/>
              </w:rPr>
            </w:pPr>
            <w:r w:rsidRPr="00E44BBB">
              <w:rPr>
                <w:rFonts w:ascii="Calibri" w:eastAsia="Calibri" w:hAnsi="Calibri" w:cs="Times New Roman"/>
              </w:rPr>
              <w:t xml:space="preserve">Keil DP (2015) The need for surrogate endpoints for fracture.  FDA Workshop: Osteoporosis Drug Development: Moving Forward.  </w:t>
            </w:r>
            <w:hyperlink r:id="rId11" w:history="1">
              <w:r w:rsidRPr="00E44BBB">
                <w:rPr>
                  <w:rFonts w:ascii="Calibri" w:eastAsia="Calibri" w:hAnsi="Calibri" w:cs="Times New Roman"/>
                  <w:color w:val="0563C1"/>
                  <w:u w:val="single"/>
                </w:rPr>
                <w:t>https://www.fda.gov/downloads/Drugs/NewsEvents/UCM472386.pdf</w:t>
              </w:r>
            </w:hyperlink>
            <w:r w:rsidRPr="00E44BBB">
              <w:rPr>
                <w:rFonts w:ascii="Calibri" w:eastAsia="Calibri" w:hAnsi="Calibri" w:cs="Times New Roman"/>
              </w:rPr>
              <w:t>. Accessed 27 April 2020</w:t>
            </w:r>
          </w:p>
        </w:tc>
      </w:tr>
      <w:tr w:rsidR="00FE606F" w:rsidRPr="00E44BBB" w14:paraId="7E9766DB" w14:textId="77777777" w:rsidTr="00FE606F">
        <w:tc>
          <w:tcPr>
            <w:tcW w:w="495" w:type="dxa"/>
          </w:tcPr>
          <w:p w14:paraId="70AC381E" w14:textId="58CE6547" w:rsidR="00FE606F" w:rsidRPr="00E44BBB" w:rsidRDefault="00FE606F" w:rsidP="00D031FF">
            <w:pPr>
              <w:spacing w:before="240"/>
              <w:jc w:val="right"/>
              <w:rPr>
                <w:rFonts w:ascii="Calibri" w:eastAsia="Calibri" w:hAnsi="Calibri" w:cs="Times New Roman"/>
              </w:rPr>
            </w:pPr>
            <w:r w:rsidRPr="00E44BBB">
              <w:rPr>
                <w:rFonts w:ascii="Calibri" w:eastAsia="Calibri" w:hAnsi="Calibri" w:cs="Times New Roman"/>
              </w:rPr>
              <w:t>27.</w:t>
            </w:r>
          </w:p>
        </w:tc>
        <w:tc>
          <w:tcPr>
            <w:tcW w:w="7985" w:type="dxa"/>
          </w:tcPr>
          <w:p w14:paraId="756D565F" w14:textId="495D1D2D" w:rsidR="00FE606F" w:rsidRPr="00E44BBB" w:rsidRDefault="00FE606F" w:rsidP="00D031FF">
            <w:pPr>
              <w:spacing w:before="240"/>
              <w:rPr>
                <w:rFonts w:ascii="Calibri" w:eastAsia="Calibri" w:hAnsi="Calibri" w:cs="Times New Roman"/>
              </w:rPr>
            </w:pPr>
            <w:r w:rsidRPr="00E44BBB">
              <w:rPr>
                <w:rFonts w:ascii="Calibri" w:eastAsia="Calibri" w:hAnsi="Calibri" w:cs="Times New Roman"/>
              </w:rPr>
              <w:t xml:space="preserve">Cummings SR, </w:t>
            </w:r>
            <w:proofErr w:type="spellStart"/>
            <w:r w:rsidRPr="00E44BBB">
              <w:rPr>
                <w:rFonts w:ascii="Calibri" w:eastAsia="Calibri" w:hAnsi="Calibri" w:cs="Times New Roman"/>
              </w:rPr>
              <w:t>Karpf</w:t>
            </w:r>
            <w:proofErr w:type="spellEnd"/>
            <w:r w:rsidRPr="00E44BBB">
              <w:rPr>
                <w:rFonts w:ascii="Calibri" w:eastAsia="Calibri" w:hAnsi="Calibri" w:cs="Times New Roman"/>
              </w:rPr>
              <w:t xml:space="preserve"> DB, Harris F, </w:t>
            </w:r>
            <w:proofErr w:type="spellStart"/>
            <w:r w:rsidRPr="00285041">
              <w:rPr>
                <w:rFonts w:ascii="Calibri" w:eastAsia="Calibri" w:hAnsi="Calibri" w:cs="Times New Roman"/>
              </w:rPr>
              <w:t>Genant</w:t>
            </w:r>
            <w:proofErr w:type="spellEnd"/>
            <w:r>
              <w:rPr>
                <w:rFonts w:ascii="Calibri" w:eastAsia="Calibri" w:hAnsi="Calibri" w:cs="Times New Roman"/>
              </w:rPr>
              <w:t xml:space="preserve"> HK</w:t>
            </w:r>
            <w:r w:rsidRPr="00285041">
              <w:rPr>
                <w:rFonts w:ascii="Calibri" w:eastAsia="Calibri" w:hAnsi="Calibri" w:cs="Times New Roman"/>
              </w:rPr>
              <w:t xml:space="preserve">, </w:t>
            </w:r>
            <w:proofErr w:type="spellStart"/>
            <w:r w:rsidRPr="00285041">
              <w:rPr>
                <w:rFonts w:ascii="Calibri" w:eastAsia="Calibri" w:hAnsi="Calibri" w:cs="Times New Roman"/>
              </w:rPr>
              <w:t>Ensrud</w:t>
            </w:r>
            <w:proofErr w:type="spellEnd"/>
            <w:r>
              <w:rPr>
                <w:rFonts w:ascii="Calibri" w:eastAsia="Calibri" w:hAnsi="Calibri" w:cs="Times New Roman"/>
              </w:rPr>
              <w:t xml:space="preserve"> K</w:t>
            </w:r>
            <w:r w:rsidRPr="00285041">
              <w:rPr>
                <w:rFonts w:ascii="Calibri" w:eastAsia="Calibri" w:hAnsi="Calibri" w:cs="Times New Roman"/>
              </w:rPr>
              <w:t>, LaCroix</w:t>
            </w:r>
            <w:r>
              <w:rPr>
                <w:rFonts w:ascii="Calibri" w:eastAsia="Calibri" w:hAnsi="Calibri" w:cs="Times New Roman"/>
              </w:rPr>
              <w:t xml:space="preserve"> AZ</w:t>
            </w:r>
            <w:r w:rsidRPr="00285041">
              <w:rPr>
                <w:rFonts w:ascii="Calibri" w:eastAsia="Calibri" w:hAnsi="Calibri" w:cs="Times New Roman"/>
              </w:rPr>
              <w:t xml:space="preserve">, Black </w:t>
            </w:r>
            <w:r>
              <w:rPr>
                <w:rFonts w:ascii="Calibri" w:eastAsia="Calibri" w:hAnsi="Calibri" w:cs="Times New Roman"/>
              </w:rPr>
              <w:t>DM</w:t>
            </w:r>
            <w:r w:rsidRPr="00E44BBB">
              <w:rPr>
                <w:rFonts w:ascii="Calibri" w:eastAsia="Calibri" w:hAnsi="Calibri" w:cs="Times New Roman"/>
              </w:rPr>
              <w:t xml:space="preserve"> (2002) Improvement in spine bone density and reduction in risk of vertebral fractures during treatment with antiresorptive drugs. Am J Med 112: 281–9.</w:t>
            </w:r>
          </w:p>
        </w:tc>
      </w:tr>
      <w:tr w:rsidR="00FE606F" w:rsidRPr="00E44BBB" w14:paraId="5F1F389C" w14:textId="77777777" w:rsidTr="00FE606F">
        <w:tc>
          <w:tcPr>
            <w:tcW w:w="495" w:type="dxa"/>
          </w:tcPr>
          <w:p w14:paraId="68660242" w14:textId="01103202" w:rsidR="00FE606F" w:rsidRPr="00E44BBB" w:rsidRDefault="00FE606F" w:rsidP="00D031FF">
            <w:pPr>
              <w:spacing w:before="240"/>
              <w:jc w:val="right"/>
              <w:rPr>
                <w:rFonts w:ascii="Calibri" w:eastAsia="Calibri" w:hAnsi="Calibri" w:cs="Times New Roman"/>
              </w:rPr>
            </w:pPr>
            <w:r w:rsidRPr="00E44BBB">
              <w:rPr>
                <w:rFonts w:ascii="Calibri" w:eastAsia="Calibri" w:hAnsi="Calibri" w:cs="Times New Roman"/>
              </w:rPr>
              <w:t>28.</w:t>
            </w:r>
          </w:p>
        </w:tc>
        <w:tc>
          <w:tcPr>
            <w:tcW w:w="7985" w:type="dxa"/>
          </w:tcPr>
          <w:p w14:paraId="52674718" w14:textId="2DB6A515" w:rsidR="00FE606F" w:rsidRPr="00E44BBB" w:rsidRDefault="00FE606F" w:rsidP="00D031FF">
            <w:pPr>
              <w:spacing w:before="240"/>
              <w:rPr>
                <w:rFonts w:ascii="Calibri" w:eastAsia="Calibri" w:hAnsi="Calibri" w:cs="Times New Roman"/>
              </w:rPr>
            </w:pPr>
            <w:r w:rsidRPr="00E44BBB">
              <w:rPr>
                <w:rFonts w:ascii="Calibri" w:eastAsia="Calibri" w:hAnsi="Calibri" w:cs="Times New Roman"/>
              </w:rPr>
              <w:t xml:space="preserve">Hochberg MC, Greenspan S, </w:t>
            </w:r>
            <w:proofErr w:type="spellStart"/>
            <w:r w:rsidRPr="00E44BBB">
              <w:rPr>
                <w:rFonts w:ascii="Calibri" w:eastAsia="Calibri" w:hAnsi="Calibri" w:cs="Times New Roman"/>
              </w:rPr>
              <w:t>Wasnich</w:t>
            </w:r>
            <w:proofErr w:type="spellEnd"/>
            <w:r w:rsidRPr="00E44BBB">
              <w:rPr>
                <w:rFonts w:ascii="Calibri" w:eastAsia="Calibri" w:hAnsi="Calibri" w:cs="Times New Roman"/>
              </w:rPr>
              <w:t xml:space="preserve"> RD, Miller P, Thompson DE, Ross PD (2002) Changes in bone density and turnover explain the reductions in incidence of nonvertebral fractures that occur during treatment with antiresorptive agents. J Clin Endocrinol </w:t>
            </w:r>
            <w:proofErr w:type="spellStart"/>
            <w:r w:rsidRPr="00E44BBB">
              <w:rPr>
                <w:rFonts w:ascii="Calibri" w:eastAsia="Calibri" w:hAnsi="Calibri" w:cs="Times New Roman"/>
              </w:rPr>
              <w:t>Metab</w:t>
            </w:r>
            <w:proofErr w:type="spellEnd"/>
            <w:r w:rsidRPr="00E44BBB">
              <w:rPr>
                <w:rFonts w:ascii="Calibri" w:eastAsia="Calibri" w:hAnsi="Calibri" w:cs="Times New Roman"/>
              </w:rPr>
              <w:t xml:space="preserve"> 87: 1586–92.</w:t>
            </w:r>
          </w:p>
        </w:tc>
      </w:tr>
      <w:tr w:rsidR="00FE606F" w:rsidRPr="00E44BBB" w14:paraId="31117A03" w14:textId="77777777" w:rsidTr="00FE606F">
        <w:tc>
          <w:tcPr>
            <w:tcW w:w="495" w:type="dxa"/>
          </w:tcPr>
          <w:p w14:paraId="363F26E3" w14:textId="655B28B4" w:rsidR="00FE606F" w:rsidRPr="00E44BBB" w:rsidRDefault="00FE606F" w:rsidP="00D031FF">
            <w:pPr>
              <w:spacing w:before="240"/>
              <w:jc w:val="right"/>
              <w:rPr>
                <w:rFonts w:ascii="Calibri" w:eastAsia="Calibri" w:hAnsi="Calibri" w:cs="Times New Roman"/>
              </w:rPr>
            </w:pPr>
            <w:r w:rsidRPr="00E44BBB">
              <w:rPr>
                <w:rFonts w:ascii="Calibri" w:eastAsia="Calibri" w:hAnsi="Calibri" w:cs="Times New Roman"/>
              </w:rPr>
              <w:t>29.</w:t>
            </w:r>
          </w:p>
        </w:tc>
        <w:tc>
          <w:tcPr>
            <w:tcW w:w="7985" w:type="dxa"/>
          </w:tcPr>
          <w:p w14:paraId="6058285E" w14:textId="1C37A9AD" w:rsidR="00FE606F" w:rsidRPr="00E44BBB" w:rsidRDefault="00FE606F" w:rsidP="00D031FF">
            <w:pPr>
              <w:spacing w:before="240"/>
              <w:rPr>
                <w:rFonts w:ascii="Calibri" w:eastAsia="Calibri" w:hAnsi="Calibri" w:cs="Times New Roman"/>
              </w:rPr>
            </w:pPr>
            <w:proofErr w:type="spellStart"/>
            <w:r w:rsidRPr="00F237B5">
              <w:rPr>
                <w:rFonts w:ascii="Calibri" w:eastAsia="Calibri" w:hAnsi="Calibri" w:cs="Times New Roman"/>
                <w:iCs/>
              </w:rPr>
              <w:t>Bouxsein</w:t>
            </w:r>
            <w:proofErr w:type="spellEnd"/>
            <w:r w:rsidRPr="00F237B5">
              <w:rPr>
                <w:rFonts w:ascii="Calibri" w:eastAsia="Calibri" w:hAnsi="Calibri" w:cs="Times New Roman"/>
                <w:iCs/>
              </w:rPr>
              <w:t xml:space="preserve"> ML, </w:t>
            </w:r>
            <w:proofErr w:type="spellStart"/>
            <w:r w:rsidRPr="00F237B5">
              <w:rPr>
                <w:rFonts w:ascii="Calibri" w:eastAsia="Calibri" w:hAnsi="Calibri" w:cs="Times New Roman"/>
                <w:iCs/>
              </w:rPr>
              <w:t>Eastell</w:t>
            </w:r>
            <w:proofErr w:type="spellEnd"/>
            <w:r w:rsidRPr="00F237B5">
              <w:rPr>
                <w:rFonts w:ascii="Calibri" w:eastAsia="Calibri" w:hAnsi="Calibri" w:cs="Times New Roman"/>
                <w:iCs/>
              </w:rPr>
              <w:t xml:space="preserve"> R, Lui LY, Wu LA, de Papp AE, </w:t>
            </w:r>
            <w:proofErr w:type="spellStart"/>
            <w:r w:rsidRPr="00F237B5">
              <w:rPr>
                <w:rFonts w:ascii="Calibri" w:eastAsia="Calibri" w:hAnsi="Calibri" w:cs="Times New Roman"/>
                <w:iCs/>
              </w:rPr>
              <w:t>Grauer</w:t>
            </w:r>
            <w:proofErr w:type="spellEnd"/>
            <w:r w:rsidRPr="00F237B5">
              <w:rPr>
                <w:rFonts w:ascii="Calibri" w:eastAsia="Calibri" w:hAnsi="Calibri" w:cs="Times New Roman"/>
                <w:iCs/>
              </w:rPr>
              <w:t xml:space="preserve"> A, Marin F, </w:t>
            </w:r>
            <w:proofErr w:type="spellStart"/>
            <w:r w:rsidRPr="00F237B5">
              <w:rPr>
                <w:rFonts w:ascii="Calibri" w:eastAsia="Calibri" w:hAnsi="Calibri" w:cs="Times New Roman"/>
                <w:iCs/>
              </w:rPr>
              <w:t>Cauley</w:t>
            </w:r>
            <w:proofErr w:type="spellEnd"/>
            <w:r w:rsidRPr="00F237B5">
              <w:rPr>
                <w:rFonts w:ascii="Calibri" w:eastAsia="Calibri" w:hAnsi="Calibri" w:cs="Times New Roman"/>
                <w:iCs/>
              </w:rPr>
              <w:t xml:space="preserve"> JA, Bauer DC, Black DM; FNIH Bone Quality Project</w:t>
            </w:r>
            <w:r>
              <w:rPr>
                <w:rFonts w:ascii="Calibri" w:eastAsia="Calibri" w:hAnsi="Calibri" w:cs="Times New Roman"/>
                <w:iCs/>
              </w:rPr>
              <w:t xml:space="preserve"> (2019)</w:t>
            </w:r>
            <w:r>
              <w:t xml:space="preserve"> </w:t>
            </w:r>
            <w:r w:rsidRPr="00C96A9C">
              <w:rPr>
                <w:rFonts w:ascii="Calibri" w:eastAsia="Calibri" w:hAnsi="Calibri" w:cs="Times New Roman"/>
                <w:iCs/>
              </w:rPr>
              <w:t xml:space="preserve">Change in </w:t>
            </w:r>
            <w:r>
              <w:rPr>
                <w:rFonts w:ascii="Calibri" w:eastAsia="Calibri" w:hAnsi="Calibri" w:cs="Times New Roman"/>
                <w:iCs/>
              </w:rPr>
              <w:t>b</w:t>
            </w:r>
            <w:r w:rsidRPr="00C96A9C">
              <w:rPr>
                <w:rFonts w:ascii="Calibri" w:eastAsia="Calibri" w:hAnsi="Calibri" w:cs="Times New Roman"/>
                <w:iCs/>
              </w:rPr>
              <w:t xml:space="preserve">one </w:t>
            </w:r>
            <w:r>
              <w:rPr>
                <w:rFonts w:ascii="Calibri" w:eastAsia="Calibri" w:hAnsi="Calibri" w:cs="Times New Roman"/>
                <w:iCs/>
              </w:rPr>
              <w:t>d</w:t>
            </w:r>
            <w:r w:rsidRPr="00C96A9C">
              <w:rPr>
                <w:rFonts w:ascii="Calibri" w:eastAsia="Calibri" w:hAnsi="Calibri" w:cs="Times New Roman"/>
                <w:iCs/>
              </w:rPr>
              <w:t xml:space="preserve">ensity and </w:t>
            </w:r>
            <w:r>
              <w:rPr>
                <w:rFonts w:ascii="Calibri" w:eastAsia="Calibri" w:hAnsi="Calibri" w:cs="Times New Roman"/>
                <w:iCs/>
              </w:rPr>
              <w:t>r</w:t>
            </w:r>
            <w:r w:rsidRPr="00C96A9C">
              <w:rPr>
                <w:rFonts w:ascii="Calibri" w:eastAsia="Calibri" w:hAnsi="Calibri" w:cs="Times New Roman"/>
                <w:iCs/>
              </w:rPr>
              <w:t xml:space="preserve">eduction in </w:t>
            </w:r>
            <w:r>
              <w:rPr>
                <w:rFonts w:ascii="Calibri" w:eastAsia="Calibri" w:hAnsi="Calibri" w:cs="Times New Roman"/>
                <w:iCs/>
              </w:rPr>
              <w:t>f</w:t>
            </w:r>
            <w:r w:rsidRPr="00C96A9C">
              <w:rPr>
                <w:rFonts w:ascii="Calibri" w:eastAsia="Calibri" w:hAnsi="Calibri" w:cs="Times New Roman"/>
                <w:iCs/>
              </w:rPr>
              <w:t xml:space="preserve">racture </w:t>
            </w:r>
            <w:r>
              <w:rPr>
                <w:rFonts w:ascii="Calibri" w:eastAsia="Calibri" w:hAnsi="Calibri" w:cs="Times New Roman"/>
                <w:iCs/>
              </w:rPr>
              <w:t>r</w:t>
            </w:r>
            <w:r w:rsidRPr="00C96A9C">
              <w:rPr>
                <w:rFonts w:ascii="Calibri" w:eastAsia="Calibri" w:hAnsi="Calibri" w:cs="Times New Roman"/>
                <w:iCs/>
              </w:rPr>
              <w:t xml:space="preserve">isk: A </w:t>
            </w:r>
            <w:r>
              <w:rPr>
                <w:rFonts w:ascii="Calibri" w:eastAsia="Calibri" w:hAnsi="Calibri" w:cs="Times New Roman"/>
                <w:iCs/>
              </w:rPr>
              <w:t>m</w:t>
            </w:r>
            <w:r w:rsidRPr="00C96A9C">
              <w:rPr>
                <w:rFonts w:ascii="Calibri" w:eastAsia="Calibri" w:hAnsi="Calibri" w:cs="Times New Roman"/>
                <w:iCs/>
              </w:rPr>
              <w:t>eta-</w:t>
            </w:r>
            <w:r>
              <w:rPr>
                <w:rFonts w:ascii="Calibri" w:eastAsia="Calibri" w:hAnsi="Calibri" w:cs="Times New Roman"/>
                <w:iCs/>
              </w:rPr>
              <w:t>r</w:t>
            </w:r>
            <w:r w:rsidRPr="00C96A9C">
              <w:rPr>
                <w:rFonts w:ascii="Calibri" w:eastAsia="Calibri" w:hAnsi="Calibri" w:cs="Times New Roman"/>
                <w:iCs/>
              </w:rPr>
              <w:t xml:space="preserve">egression of </w:t>
            </w:r>
            <w:r>
              <w:rPr>
                <w:rFonts w:ascii="Calibri" w:eastAsia="Calibri" w:hAnsi="Calibri" w:cs="Times New Roman"/>
                <w:iCs/>
              </w:rPr>
              <w:t>p</w:t>
            </w:r>
            <w:r w:rsidRPr="00C96A9C">
              <w:rPr>
                <w:rFonts w:ascii="Calibri" w:eastAsia="Calibri" w:hAnsi="Calibri" w:cs="Times New Roman"/>
                <w:iCs/>
              </w:rPr>
              <w:t xml:space="preserve">ublished </w:t>
            </w:r>
            <w:r>
              <w:rPr>
                <w:rFonts w:ascii="Calibri" w:eastAsia="Calibri" w:hAnsi="Calibri" w:cs="Times New Roman"/>
                <w:iCs/>
              </w:rPr>
              <w:t>t</w:t>
            </w:r>
            <w:r w:rsidRPr="00C96A9C">
              <w:rPr>
                <w:rFonts w:ascii="Calibri" w:eastAsia="Calibri" w:hAnsi="Calibri" w:cs="Times New Roman"/>
                <w:iCs/>
              </w:rPr>
              <w:t>rials</w:t>
            </w:r>
            <w:r>
              <w:rPr>
                <w:rFonts w:ascii="Calibri" w:eastAsia="Calibri" w:hAnsi="Calibri" w:cs="Times New Roman"/>
                <w:iCs/>
              </w:rPr>
              <w:t>.</w:t>
            </w:r>
            <w:r>
              <w:t xml:space="preserve"> </w:t>
            </w:r>
            <w:r w:rsidRPr="00A22286">
              <w:rPr>
                <w:rFonts w:ascii="Calibri" w:eastAsia="Calibri" w:hAnsi="Calibri" w:cs="Times New Roman"/>
                <w:iCs/>
              </w:rPr>
              <w:t>J Bone Miner Res</w:t>
            </w:r>
            <w:r>
              <w:rPr>
                <w:rFonts w:ascii="Calibri" w:eastAsia="Calibri" w:hAnsi="Calibri" w:cs="Times New Roman"/>
                <w:iCs/>
              </w:rPr>
              <w:t xml:space="preserve"> </w:t>
            </w:r>
            <w:r w:rsidRPr="00A22286">
              <w:rPr>
                <w:rFonts w:ascii="Calibri" w:eastAsia="Calibri" w:hAnsi="Calibri" w:cs="Times New Roman"/>
                <w:iCs/>
              </w:rPr>
              <w:t>34</w:t>
            </w:r>
            <w:r>
              <w:rPr>
                <w:rFonts w:ascii="Calibri" w:eastAsia="Calibri" w:hAnsi="Calibri" w:cs="Times New Roman"/>
                <w:iCs/>
              </w:rPr>
              <w:t xml:space="preserve">: </w:t>
            </w:r>
            <w:r w:rsidRPr="00A22286">
              <w:rPr>
                <w:rFonts w:ascii="Calibri" w:eastAsia="Calibri" w:hAnsi="Calibri" w:cs="Times New Roman"/>
                <w:iCs/>
              </w:rPr>
              <w:t>632-642.</w:t>
            </w:r>
          </w:p>
        </w:tc>
      </w:tr>
      <w:tr w:rsidR="00FE606F" w:rsidRPr="00E44BBB" w14:paraId="5B2940C8" w14:textId="77777777" w:rsidTr="00FE606F">
        <w:tc>
          <w:tcPr>
            <w:tcW w:w="495" w:type="dxa"/>
          </w:tcPr>
          <w:p w14:paraId="5011C1DC" w14:textId="141D2D02" w:rsidR="00FE606F" w:rsidRPr="00E44BBB" w:rsidRDefault="00FE606F" w:rsidP="00D031FF">
            <w:pPr>
              <w:spacing w:before="240"/>
              <w:jc w:val="right"/>
              <w:rPr>
                <w:rFonts w:ascii="Calibri" w:eastAsia="Calibri" w:hAnsi="Calibri" w:cs="Times New Roman"/>
              </w:rPr>
            </w:pPr>
            <w:r>
              <w:rPr>
                <w:rFonts w:ascii="Calibri" w:eastAsia="Calibri" w:hAnsi="Calibri" w:cs="Times New Roman"/>
              </w:rPr>
              <w:t>30.</w:t>
            </w:r>
          </w:p>
        </w:tc>
        <w:tc>
          <w:tcPr>
            <w:tcW w:w="7985" w:type="dxa"/>
          </w:tcPr>
          <w:p w14:paraId="66440964" w14:textId="20230D94" w:rsidR="00FE606F" w:rsidRPr="00F237B5" w:rsidRDefault="00FE606F" w:rsidP="00D031FF">
            <w:pPr>
              <w:spacing w:before="240"/>
              <w:rPr>
                <w:rFonts w:ascii="Calibri" w:eastAsia="Calibri" w:hAnsi="Calibri" w:cs="Times New Roman"/>
                <w:iCs/>
              </w:rPr>
            </w:pPr>
            <w:r w:rsidRPr="00F836EB">
              <w:rPr>
                <w:rFonts w:ascii="Calibri" w:eastAsia="Calibri" w:hAnsi="Calibri" w:cs="Times New Roman"/>
                <w:iCs/>
              </w:rPr>
              <w:t xml:space="preserve">Black DM, Bauer DC, </w:t>
            </w:r>
            <w:proofErr w:type="spellStart"/>
            <w:r w:rsidRPr="00F836EB">
              <w:rPr>
                <w:rFonts w:ascii="Calibri" w:eastAsia="Calibri" w:hAnsi="Calibri" w:cs="Times New Roman"/>
                <w:iCs/>
              </w:rPr>
              <w:t>Vittinghoff</w:t>
            </w:r>
            <w:proofErr w:type="spellEnd"/>
            <w:r w:rsidRPr="00F836EB">
              <w:rPr>
                <w:rFonts w:ascii="Calibri" w:eastAsia="Calibri" w:hAnsi="Calibri" w:cs="Times New Roman"/>
                <w:iCs/>
              </w:rPr>
              <w:t xml:space="preserve"> E, </w:t>
            </w:r>
            <w:r w:rsidRPr="00D949F3">
              <w:rPr>
                <w:rFonts w:ascii="Calibri" w:eastAsia="Calibri" w:hAnsi="Calibri" w:cs="Times New Roman"/>
                <w:iCs/>
              </w:rPr>
              <w:t xml:space="preserve">Lui LY, </w:t>
            </w:r>
            <w:proofErr w:type="spellStart"/>
            <w:r w:rsidRPr="00D949F3">
              <w:rPr>
                <w:rFonts w:ascii="Calibri" w:eastAsia="Calibri" w:hAnsi="Calibri" w:cs="Times New Roman"/>
                <w:iCs/>
              </w:rPr>
              <w:t>Grauer</w:t>
            </w:r>
            <w:proofErr w:type="spellEnd"/>
            <w:r w:rsidRPr="00D949F3">
              <w:rPr>
                <w:rFonts w:ascii="Calibri" w:eastAsia="Calibri" w:hAnsi="Calibri" w:cs="Times New Roman"/>
                <w:iCs/>
              </w:rPr>
              <w:t xml:space="preserve"> A, Marin F, Khosla S, de Papp A, </w:t>
            </w:r>
            <w:proofErr w:type="spellStart"/>
            <w:r w:rsidRPr="00D949F3">
              <w:rPr>
                <w:rFonts w:ascii="Calibri" w:eastAsia="Calibri" w:hAnsi="Calibri" w:cs="Times New Roman"/>
                <w:iCs/>
              </w:rPr>
              <w:t>Mitlak</w:t>
            </w:r>
            <w:proofErr w:type="spellEnd"/>
            <w:r w:rsidRPr="00D949F3">
              <w:rPr>
                <w:rFonts w:ascii="Calibri" w:eastAsia="Calibri" w:hAnsi="Calibri" w:cs="Times New Roman"/>
                <w:iCs/>
              </w:rPr>
              <w:t xml:space="preserve"> B, </w:t>
            </w:r>
            <w:proofErr w:type="spellStart"/>
            <w:r w:rsidRPr="00D949F3">
              <w:rPr>
                <w:rFonts w:ascii="Calibri" w:eastAsia="Calibri" w:hAnsi="Calibri" w:cs="Times New Roman"/>
                <w:iCs/>
              </w:rPr>
              <w:t>Cauley</w:t>
            </w:r>
            <w:proofErr w:type="spellEnd"/>
            <w:r w:rsidRPr="00D949F3">
              <w:rPr>
                <w:rFonts w:ascii="Calibri" w:eastAsia="Calibri" w:hAnsi="Calibri" w:cs="Times New Roman"/>
                <w:iCs/>
              </w:rPr>
              <w:t xml:space="preserve"> JA, McCulloch CE, </w:t>
            </w:r>
            <w:proofErr w:type="spellStart"/>
            <w:r w:rsidRPr="00D949F3">
              <w:rPr>
                <w:rFonts w:ascii="Calibri" w:eastAsia="Calibri" w:hAnsi="Calibri" w:cs="Times New Roman"/>
                <w:iCs/>
              </w:rPr>
              <w:t>Eastell</w:t>
            </w:r>
            <w:proofErr w:type="spellEnd"/>
            <w:r w:rsidRPr="00D949F3">
              <w:rPr>
                <w:rFonts w:ascii="Calibri" w:eastAsia="Calibri" w:hAnsi="Calibri" w:cs="Times New Roman"/>
                <w:iCs/>
              </w:rPr>
              <w:t xml:space="preserve"> R, </w:t>
            </w:r>
            <w:proofErr w:type="spellStart"/>
            <w:r w:rsidRPr="00D949F3">
              <w:rPr>
                <w:rFonts w:ascii="Calibri" w:eastAsia="Calibri" w:hAnsi="Calibri" w:cs="Times New Roman"/>
                <w:iCs/>
              </w:rPr>
              <w:t>Bouxsein</w:t>
            </w:r>
            <w:proofErr w:type="spellEnd"/>
            <w:r w:rsidRPr="00D949F3">
              <w:rPr>
                <w:rFonts w:ascii="Calibri" w:eastAsia="Calibri" w:hAnsi="Calibri" w:cs="Times New Roman"/>
                <w:iCs/>
              </w:rPr>
              <w:t xml:space="preserve"> ML; Foundation for the National Institutes of Health Bone Quality Project</w:t>
            </w:r>
            <w:r>
              <w:rPr>
                <w:rFonts w:ascii="Calibri" w:eastAsia="Calibri" w:hAnsi="Calibri" w:cs="Times New Roman"/>
                <w:iCs/>
              </w:rPr>
              <w:t xml:space="preserve"> (2020) </w:t>
            </w:r>
            <w:r w:rsidRPr="00F836EB">
              <w:rPr>
                <w:rFonts w:ascii="Calibri" w:eastAsia="Calibri" w:hAnsi="Calibri" w:cs="Times New Roman"/>
                <w:iCs/>
              </w:rPr>
              <w:t>Treatment-related changes in bone mineral density as a surrogate biomarker for fracture risk reduction: meta-regression analyses of individual patient data from multiple randomised controlled trials. Lancet Diabetes Endocrinol. 8(8):672-682. doi:10.1016/S2213-8587(20)30159-5</w:t>
            </w:r>
          </w:p>
        </w:tc>
      </w:tr>
      <w:tr w:rsidR="00FE606F" w:rsidRPr="00E44BBB" w14:paraId="1FF4C637" w14:textId="77777777" w:rsidTr="00FE606F">
        <w:tc>
          <w:tcPr>
            <w:tcW w:w="495" w:type="dxa"/>
          </w:tcPr>
          <w:p w14:paraId="70E92E17" w14:textId="1A6355B2" w:rsidR="00FE606F" w:rsidRPr="00E44BBB" w:rsidRDefault="00FE606F" w:rsidP="00FE606F">
            <w:pPr>
              <w:spacing w:before="240"/>
              <w:jc w:val="right"/>
              <w:rPr>
                <w:rFonts w:ascii="Calibri" w:eastAsia="Calibri" w:hAnsi="Calibri" w:cs="Times New Roman"/>
              </w:rPr>
            </w:pPr>
            <w:r w:rsidRPr="00E44BBB">
              <w:rPr>
                <w:rFonts w:ascii="Calibri" w:eastAsia="Calibri" w:hAnsi="Calibri" w:cs="Times New Roman"/>
              </w:rPr>
              <w:t>31.</w:t>
            </w:r>
          </w:p>
        </w:tc>
        <w:tc>
          <w:tcPr>
            <w:tcW w:w="7985" w:type="dxa"/>
          </w:tcPr>
          <w:p w14:paraId="0BD5B105" w14:textId="3253DF15" w:rsidR="00FE606F" w:rsidRPr="00E44BBB" w:rsidRDefault="00FE606F" w:rsidP="00FE606F">
            <w:pPr>
              <w:spacing w:before="240"/>
              <w:rPr>
                <w:rFonts w:ascii="Calibri" w:eastAsia="Calibri" w:hAnsi="Calibri" w:cs="Times New Roman"/>
              </w:rPr>
            </w:pPr>
            <w:bookmarkStart w:id="12" w:name="_Hlk497488420"/>
            <w:proofErr w:type="spellStart"/>
            <w:r w:rsidRPr="00E44BBB">
              <w:rPr>
                <w:rFonts w:ascii="Calibri" w:eastAsia="Calibri" w:hAnsi="Calibri" w:cs="Times New Roman"/>
                <w:lang w:val="en-US"/>
              </w:rPr>
              <w:t>Hiligsmann</w:t>
            </w:r>
            <w:bookmarkEnd w:id="12"/>
            <w:proofErr w:type="spellEnd"/>
            <w:r w:rsidRPr="00E44BBB">
              <w:rPr>
                <w:rFonts w:ascii="Calibri" w:eastAsia="Calibri" w:hAnsi="Calibri" w:cs="Times New Roman"/>
                <w:lang w:val="en-US"/>
              </w:rPr>
              <w:t xml:space="preserve"> M, </w:t>
            </w:r>
            <w:proofErr w:type="spellStart"/>
            <w:r w:rsidRPr="00E44BBB">
              <w:rPr>
                <w:rFonts w:ascii="Calibri" w:eastAsia="Calibri" w:hAnsi="Calibri" w:cs="Times New Roman"/>
                <w:lang w:val="en-US"/>
              </w:rPr>
              <w:t>Kanis</w:t>
            </w:r>
            <w:proofErr w:type="spellEnd"/>
            <w:r w:rsidRPr="00E44BBB">
              <w:rPr>
                <w:rFonts w:ascii="Calibri" w:eastAsia="Calibri" w:hAnsi="Calibri" w:cs="Times New Roman"/>
                <w:lang w:val="en-US"/>
              </w:rPr>
              <w:t xml:space="preserve"> JA, </w:t>
            </w:r>
            <w:proofErr w:type="spellStart"/>
            <w:r w:rsidRPr="00E44BBB">
              <w:rPr>
                <w:rFonts w:ascii="Calibri" w:eastAsia="Calibri" w:hAnsi="Calibri" w:cs="Times New Roman"/>
                <w:lang w:val="en-US"/>
              </w:rPr>
              <w:t>Compston</w:t>
            </w:r>
            <w:proofErr w:type="spellEnd"/>
            <w:r w:rsidRPr="00E44BBB">
              <w:rPr>
                <w:rFonts w:ascii="Calibri" w:eastAsia="Calibri" w:hAnsi="Calibri" w:cs="Times New Roman"/>
                <w:lang w:val="en-US"/>
              </w:rPr>
              <w:t xml:space="preserve"> J, Cooper C, </w:t>
            </w:r>
            <w:proofErr w:type="spellStart"/>
            <w:r w:rsidRPr="00E44BBB">
              <w:rPr>
                <w:rFonts w:ascii="Calibri" w:eastAsia="Calibri" w:hAnsi="Calibri" w:cs="Times New Roman"/>
                <w:lang w:val="en-US"/>
              </w:rPr>
              <w:t>Flamion</w:t>
            </w:r>
            <w:proofErr w:type="spellEnd"/>
            <w:r w:rsidRPr="00E44BBB">
              <w:rPr>
                <w:rFonts w:ascii="Calibri" w:eastAsia="Calibri" w:hAnsi="Calibri" w:cs="Times New Roman"/>
                <w:lang w:val="en-US"/>
              </w:rPr>
              <w:t xml:space="preserve"> B, Bergmann P, Body JJ, Boonen S, </w:t>
            </w:r>
            <w:proofErr w:type="spellStart"/>
            <w:r w:rsidRPr="00E44BBB">
              <w:rPr>
                <w:rFonts w:ascii="Calibri" w:eastAsia="Calibri" w:hAnsi="Calibri" w:cs="Times New Roman"/>
                <w:lang w:val="en-US"/>
              </w:rPr>
              <w:t>Bruyere</w:t>
            </w:r>
            <w:proofErr w:type="spellEnd"/>
            <w:r w:rsidRPr="00E44BBB">
              <w:rPr>
                <w:rFonts w:ascii="Calibri" w:eastAsia="Calibri" w:hAnsi="Calibri" w:cs="Times New Roman"/>
                <w:lang w:val="en-US"/>
              </w:rPr>
              <w:t xml:space="preserve"> O, </w:t>
            </w:r>
            <w:proofErr w:type="spellStart"/>
            <w:r w:rsidRPr="00E44BBB">
              <w:rPr>
                <w:rFonts w:ascii="Calibri" w:eastAsia="Calibri" w:hAnsi="Calibri" w:cs="Times New Roman"/>
                <w:lang w:val="en-US"/>
              </w:rPr>
              <w:t>Devogelaer</w:t>
            </w:r>
            <w:proofErr w:type="spellEnd"/>
            <w:r w:rsidRPr="00E44BBB">
              <w:rPr>
                <w:rFonts w:ascii="Calibri" w:eastAsia="Calibri" w:hAnsi="Calibri" w:cs="Times New Roman"/>
                <w:lang w:val="en-US"/>
              </w:rPr>
              <w:t xml:space="preserve"> JY, </w:t>
            </w:r>
            <w:proofErr w:type="spellStart"/>
            <w:r w:rsidRPr="00E44BBB">
              <w:rPr>
                <w:rFonts w:ascii="Calibri" w:eastAsia="Calibri" w:hAnsi="Calibri" w:cs="Times New Roman"/>
                <w:lang w:val="en-US"/>
              </w:rPr>
              <w:t>Goemaere</w:t>
            </w:r>
            <w:proofErr w:type="spellEnd"/>
            <w:r w:rsidRPr="00E44BBB">
              <w:rPr>
                <w:rFonts w:ascii="Calibri" w:eastAsia="Calibri" w:hAnsi="Calibri" w:cs="Times New Roman"/>
                <w:lang w:val="en-US"/>
              </w:rPr>
              <w:t xml:space="preserve"> S, Kaufman JM, </w:t>
            </w:r>
            <w:proofErr w:type="spellStart"/>
            <w:r w:rsidRPr="00E44BBB">
              <w:rPr>
                <w:rFonts w:ascii="Calibri" w:eastAsia="Calibri" w:hAnsi="Calibri" w:cs="Times New Roman"/>
                <w:lang w:val="en-US"/>
              </w:rPr>
              <w:t>Rozenberg</w:t>
            </w:r>
            <w:proofErr w:type="spellEnd"/>
            <w:r w:rsidRPr="00E44BBB">
              <w:rPr>
                <w:rFonts w:ascii="Calibri" w:eastAsia="Calibri" w:hAnsi="Calibri" w:cs="Times New Roman"/>
                <w:lang w:val="en-US"/>
              </w:rPr>
              <w:t xml:space="preserve"> S, </w:t>
            </w:r>
            <w:proofErr w:type="spellStart"/>
            <w:r w:rsidRPr="00E44BBB">
              <w:rPr>
                <w:rFonts w:ascii="Calibri" w:eastAsia="Calibri" w:hAnsi="Calibri" w:cs="Times New Roman"/>
                <w:lang w:val="en-US"/>
              </w:rPr>
              <w:t>Reginster</w:t>
            </w:r>
            <w:proofErr w:type="spellEnd"/>
            <w:r w:rsidRPr="00E44BBB">
              <w:rPr>
                <w:rFonts w:ascii="Calibri" w:eastAsia="Calibri" w:hAnsi="Calibri" w:cs="Times New Roman"/>
                <w:lang w:val="en-US"/>
              </w:rPr>
              <w:t xml:space="preserve"> JY (2013) Health technology assessment in osteoporosis. </w:t>
            </w:r>
            <w:r w:rsidRPr="00E44BBB">
              <w:rPr>
                <w:rFonts w:ascii="Calibri" w:eastAsia="Calibri" w:hAnsi="Calibri" w:cs="Times New Roman"/>
              </w:rPr>
              <w:t>Calcified Tissue International 93: 1-14.</w:t>
            </w:r>
          </w:p>
        </w:tc>
      </w:tr>
      <w:tr w:rsidR="00FE606F" w:rsidRPr="00E44BBB" w14:paraId="7305EF13" w14:textId="77777777" w:rsidTr="00FE606F">
        <w:tc>
          <w:tcPr>
            <w:tcW w:w="495" w:type="dxa"/>
          </w:tcPr>
          <w:p w14:paraId="29053ECE" w14:textId="6FDB41F6" w:rsidR="00FE606F" w:rsidRPr="00E44BBB" w:rsidRDefault="00FE606F" w:rsidP="00FE606F">
            <w:pPr>
              <w:spacing w:before="240"/>
              <w:jc w:val="right"/>
              <w:rPr>
                <w:rFonts w:ascii="Calibri" w:eastAsia="Calibri" w:hAnsi="Calibri" w:cs="Times New Roman"/>
              </w:rPr>
            </w:pPr>
            <w:r w:rsidRPr="00E44BBB">
              <w:rPr>
                <w:rFonts w:ascii="Calibri" w:eastAsia="Calibri" w:hAnsi="Calibri" w:cs="Times New Roman"/>
              </w:rPr>
              <w:t>32</w:t>
            </w:r>
          </w:p>
        </w:tc>
        <w:tc>
          <w:tcPr>
            <w:tcW w:w="7985" w:type="dxa"/>
          </w:tcPr>
          <w:p w14:paraId="328D5516" w14:textId="14E7B933" w:rsidR="00FE606F" w:rsidRPr="00E44BBB" w:rsidRDefault="00FE606F" w:rsidP="00FE606F">
            <w:pPr>
              <w:spacing w:before="240"/>
              <w:rPr>
                <w:rFonts w:ascii="Calibri" w:eastAsia="Calibri" w:hAnsi="Calibri" w:cs="Times New Roman"/>
              </w:rPr>
            </w:pPr>
            <w:proofErr w:type="spellStart"/>
            <w:r w:rsidRPr="00E44BBB">
              <w:rPr>
                <w:rFonts w:ascii="Calibri" w:eastAsia="Calibri" w:hAnsi="Calibri" w:cs="Times New Roman"/>
              </w:rPr>
              <w:t>Kanis</w:t>
            </w:r>
            <w:proofErr w:type="spellEnd"/>
            <w:r w:rsidRPr="00E44BBB">
              <w:rPr>
                <w:rFonts w:ascii="Calibri" w:eastAsia="Calibri" w:hAnsi="Calibri" w:cs="Times New Roman"/>
              </w:rPr>
              <w:t xml:space="preserve"> JA, </w:t>
            </w:r>
            <w:proofErr w:type="spellStart"/>
            <w:r w:rsidRPr="00E44BBB">
              <w:rPr>
                <w:rFonts w:ascii="Calibri" w:eastAsia="Calibri" w:hAnsi="Calibri" w:cs="Times New Roman"/>
              </w:rPr>
              <w:t>Hiligsmann</w:t>
            </w:r>
            <w:proofErr w:type="spellEnd"/>
            <w:r w:rsidRPr="00E44BBB">
              <w:rPr>
                <w:rFonts w:ascii="Calibri" w:eastAsia="Calibri" w:hAnsi="Calibri" w:cs="Times New Roman"/>
              </w:rPr>
              <w:t xml:space="preserve"> M (2014) The application of health technology assessment in osteoporosis. Best Practice &amp; Research Clinical Endocrinology &amp; Metabolism.  28: 895-910.</w:t>
            </w:r>
          </w:p>
        </w:tc>
      </w:tr>
      <w:tr w:rsidR="00FE606F" w:rsidRPr="00E44BBB" w14:paraId="52B4555A" w14:textId="77777777" w:rsidTr="00FE606F">
        <w:tc>
          <w:tcPr>
            <w:tcW w:w="495" w:type="dxa"/>
          </w:tcPr>
          <w:p w14:paraId="73A0E1C9" w14:textId="497E7254" w:rsidR="00FE606F" w:rsidRPr="00E44BBB" w:rsidRDefault="00FE606F" w:rsidP="00FE606F">
            <w:pPr>
              <w:spacing w:before="240"/>
              <w:jc w:val="right"/>
              <w:rPr>
                <w:rFonts w:ascii="Calibri" w:eastAsia="Calibri" w:hAnsi="Calibri" w:cs="Times New Roman"/>
              </w:rPr>
            </w:pPr>
            <w:r w:rsidRPr="00E44BBB">
              <w:rPr>
                <w:rFonts w:ascii="Calibri" w:eastAsia="Calibri" w:hAnsi="Calibri" w:cs="Times New Roman"/>
              </w:rPr>
              <w:t>33.</w:t>
            </w:r>
          </w:p>
        </w:tc>
        <w:tc>
          <w:tcPr>
            <w:tcW w:w="7985" w:type="dxa"/>
          </w:tcPr>
          <w:p w14:paraId="4D550BD9" w14:textId="6C385185" w:rsidR="00FE606F" w:rsidRPr="00E44BBB" w:rsidRDefault="00FE606F" w:rsidP="00FE606F">
            <w:pPr>
              <w:spacing w:before="240"/>
              <w:rPr>
                <w:rFonts w:ascii="Calibri" w:eastAsia="Calibri" w:hAnsi="Calibri" w:cs="Times New Roman"/>
              </w:rPr>
            </w:pPr>
            <w:proofErr w:type="spellStart"/>
            <w:r w:rsidRPr="00E44BBB">
              <w:rPr>
                <w:rFonts w:ascii="Calibri" w:eastAsia="Calibri" w:hAnsi="Calibri" w:cs="Times New Roman"/>
              </w:rPr>
              <w:t>Hernlund</w:t>
            </w:r>
            <w:proofErr w:type="spellEnd"/>
            <w:r w:rsidRPr="00E44BBB">
              <w:rPr>
                <w:rFonts w:ascii="Calibri" w:eastAsia="Calibri" w:hAnsi="Calibri" w:cs="Times New Roman"/>
              </w:rPr>
              <w:t xml:space="preserve"> E, </w:t>
            </w:r>
            <w:proofErr w:type="spellStart"/>
            <w:r w:rsidRPr="00E44BBB">
              <w:rPr>
                <w:rFonts w:ascii="Calibri" w:eastAsia="Calibri" w:hAnsi="Calibri" w:cs="Times New Roman"/>
              </w:rPr>
              <w:t>Svedbom</w:t>
            </w:r>
            <w:proofErr w:type="spellEnd"/>
            <w:r w:rsidRPr="00E44BBB">
              <w:rPr>
                <w:rFonts w:ascii="Calibri" w:eastAsia="Calibri" w:hAnsi="Calibri" w:cs="Times New Roman"/>
              </w:rPr>
              <w:t xml:space="preserve"> A, </w:t>
            </w:r>
            <w:proofErr w:type="spellStart"/>
            <w:r w:rsidRPr="00E44BBB">
              <w:rPr>
                <w:rFonts w:ascii="Calibri" w:eastAsia="Calibri" w:hAnsi="Calibri" w:cs="Times New Roman"/>
              </w:rPr>
              <w:t>Ivergård</w:t>
            </w:r>
            <w:proofErr w:type="spellEnd"/>
            <w:r w:rsidRPr="00E44BBB">
              <w:rPr>
                <w:rFonts w:ascii="Calibri" w:eastAsia="Calibri" w:hAnsi="Calibri" w:cs="Times New Roman"/>
              </w:rPr>
              <w:t xml:space="preserve"> M </w:t>
            </w:r>
            <w:proofErr w:type="spellStart"/>
            <w:r w:rsidRPr="00E44BBB">
              <w:rPr>
                <w:rFonts w:ascii="Calibri" w:eastAsia="Calibri" w:hAnsi="Calibri" w:cs="Times New Roman"/>
              </w:rPr>
              <w:t>Compston</w:t>
            </w:r>
            <w:proofErr w:type="spellEnd"/>
            <w:r w:rsidRPr="00E44BBB">
              <w:rPr>
                <w:rFonts w:ascii="Calibri" w:eastAsia="Calibri" w:hAnsi="Calibri" w:cs="Times New Roman"/>
              </w:rPr>
              <w:t xml:space="preserve"> J, Cooper C, </w:t>
            </w:r>
            <w:proofErr w:type="spellStart"/>
            <w:r w:rsidRPr="00E44BBB">
              <w:rPr>
                <w:rFonts w:ascii="Calibri" w:eastAsia="Calibri" w:hAnsi="Calibri" w:cs="Times New Roman"/>
              </w:rPr>
              <w:t>Stenmark</w:t>
            </w:r>
            <w:proofErr w:type="spellEnd"/>
            <w:r w:rsidRPr="00E44BBB">
              <w:rPr>
                <w:rFonts w:ascii="Calibri" w:eastAsia="Calibri" w:hAnsi="Calibri" w:cs="Times New Roman"/>
              </w:rPr>
              <w:t xml:space="preserve"> J, McCloskey EV, </w:t>
            </w:r>
            <w:proofErr w:type="spellStart"/>
            <w:r w:rsidRPr="00E44BBB">
              <w:rPr>
                <w:rFonts w:ascii="Calibri" w:eastAsia="Calibri" w:hAnsi="Calibri" w:cs="Times New Roman"/>
              </w:rPr>
              <w:t>Jönsson</w:t>
            </w:r>
            <w:proofErr w:type="spellEnd"/>
            <w:r w:rsidRPr="00E44BBB">
              <w:rPr>
                <w:rFonts w:ascii="Calibri" w:eastAsia="Calibri" w:hAnsi="Calibri" w:cs="Times New Roman"/>
              </w:rPr>
              <w:t xml:space="preserve"> B, </w:t>
            </w:r>
            <w:proofErr w:type="spellStart"/>
            <w:r w:rsidRPr="00E44BBB">
              <w:rPr>
                <w:rFonts w:ascii="Calibri" w:eastAsia="Calibri" w:hAnsi="Calibri" w:cs="Times New Roman"/>
              </w:rPr>
              <w:t>Kanis</w:t>
            </w:r>
            <w:proofErr w:type="spellEnd"/>
            <w:r w:rsidRPr="00E44BBB">
              <w:rPr>
                <w:rFonts w:ascii="Calibri" w:eastAsia="Calibri" w:hAnsi="Calibri" w:cs="Times New Roman"/>
              </w:rPr>
              <w:t xml:space="preserve"> JA (2013) Osteoporosis in the European Union: Medical Management, Epidemiology and Economic Burden. A report prepared in collaboration with the International Osteoporosis Foundation (IOF) and the European Federation of Pharmaceutical Industry Associations (EFPIA). </w:t>
            </w:r>
            <w:r>
              <w:rPr>
                <w:rFonts w:ascii="Calibri" w:eastAsia="Calibri" w:hAnsi="Calibri" w:cs="Times New Roman"/>
              </w:rPr>
              <w:t xml:space="preserve"> </w:t>
            </w:r>
            <w:r w:rsidRPr="00E44BBB">
              <w:rPr>
                <w:rFonts w:ascii="Calibri" w:eastAsia="Calibri" w:hAnsi="Calibri" w:cs="Times New Roman"/>
              </w:rPr>
              <w:t xml:space="preserve">Arch </w:t>
            </w:r>
            <w:proofErr w:type="spellStart"/>
            <w:r w:rsidRPr="00E44BBB">
              <w:rPr>
                <w:rFonts w:ascii="Calibri" w:eastAsia="Calibri" w:hAnsi="Calibri" w:cs="Times New Roman"/>
              </w:rPr>
              <w:t>Osteoporos</w:t>
            </w:r>
            <w:proofErr w:type="spellEnd"/>
            <w:r w:rsidRPr="00E40DC8">
              <w:rPr>
                <w:rFonts w:ascii="Calibri" w:eastAsia="Calibri" w:hAnsi="Calibri" w:cs="Times New Roman"/>
              </w:rPr>
              <w:t xml:space="preserve"> 8:136. DOI: 10.1007/s11657-013-0136-1.</w:t>
            </w:r>
          </w:p>
        </w:tc>
      </w:tr>
      <w:tr w:rsidR="00FE606F" w:rsidRPr="00E44BBB" w14:paraId="030D59E8" w14:textId="77777777" w:rsidTr="00FE606F">
        <w:tc>
          <w:tcPr>
            <w:tcW w:w="495" w:type="dxa"/>
          </w:tcPr>
          <w:p w14:paraId="4D2487A1" w14:textId="4E72CDE5" w:rsidR="00FE606F" w:rsidRPr="00E44BBB" w:rsidRDefault="00FE606F" w:rsidP="00FE606F">
            <w:pPr>
              <w:spacing w:before="240"/>
              <w:jc w:val="right"/>
              <w:rPr>
                <w:rFonts w:ascii="Calibri" w:eastAsia="Calibri" w:hAnsi="Calibri" w:cs="Times New Roman"/>
              </w:rPr>
            </w:pPr>
            <w:r>
              <w:rPr>
                <w:rFonts w:ascii="Calibri" w:eastAsia="Calibri" w:hAnsi="Calibri" w:cs="Times New Roman"/>
              </w:rPr>
              <w:t>34.</w:t>
            </w:r>
          </w:p>
        </w:tc>
        <w:tc>
          <w:tcPr>
            <w:tcW w:w="7985" w:type="dxa"/>
          </w:tcPr>
          <w:p w14:paraId="338EA99A" w14:textId="38CAAB93" w:rsidR="00FE606F" w:rsidRPr="00E44BBB" w:rsidRDefault="00FE606F" w:rsidP="00FE606F">
            <w:pPr>
              <w:spacing w:before="240"/>
              <w:rPr>
                <w:rFonts w:ascii="Calibri" w:eastAsia="Calibri" w:hAnsi="Calibri" w:cs="Times New Roman"/>
              </w:rPr>
            </w:pPr>
            <w:proofErr w:type="spellStart"/>
            <w:r w:rsidRPr="00E44BBB">
              <w:rPr>
                <w:rFonts w:ascii="Calibri" w:eastAsia="Calibri" w:hAnsi="Calibri" w:cs="Times New Roman"/>
              </w:rPr>
              <w:t>Ström</w:t>
            </w:r>
            <w:proofErr w:type="spellEnd"/>
            <w:r w:rsidRPr="00E44BBB">
              <w:rPr>
                <w:rFonts w:ascii="Calibri" w:eastAsia="Calibri" w:hAnsi="Calibri" w:cs="Times New Roman"/>
              </w:rPr>
              <w:t xml:space="preserve"> O, </w:t>
            </w:r>
            <w:proofErr w:type="spellStart"/>
            <w:r w:rsidRPr="00E44BBB">
              <w:rPr>
                <w:rFonts w:ascii="Calibri" w:eastAsia="Calibri" w:hAnsi="Calibri" w:cs="Times New Roman"/>
              </w:rPr>
              <w:t>Borgström</w:t>
            </w:r>
            <w:proofErr w:type="spellEnd"/>
            <w:r w:rsidRPr="00E44BBB">
              <w:rPr>
                <w:rFonts w:ascii="Calibri" w:eastAsia="Calibri" w:hAnsi="Calibri" w:cs="Times New Roman"/>
              </w:rPr>
              <w:t xml:space="preserve"> F, </w:t>
            </w:r>
            <w:proofErr w:type="spellStart"/>
            <w:r w:rsidRPr="00E44BBB">
              <w:rPr>
                <w:rFonts w:ascii="Calibri" w:eastAsia="Calibri" w:hAnsi="Calibri" w:cs="Times New Roman"/>
              </w:rPr>
              <w:t>Kanis</w:t>
            </w:r>
            <w:proofErr w:type="spellEnd"/>
            <w:r w:rsidRPr="00E44BBB">
              <w:rPr>
                <w:rFonts w:ascii="Calibri" w:eastAsia="Calibri" w:hAnsi="Calibri" w:cs="Times New Roman"/>
              </w:rPr>
              <w:t xml:space="preserve"> JA, </w:t>
            </w:r>
            <w:proofErr w:type="spellStart"/>
            <w:r w:rsidRPr="00E44BBB">
              <w:rPr>
                <w:rFonts w:ascii="Calibri" w:eastAsia="Calibri" w:hAnsi="Calibri" w:cs="Times New Roman"/>
              </w:rPr>
              <w:t>Compston</w:t>
            </w:r>
            <w:proofErr w:type="spellEnd"/>
            <w:r w:rsidRPr="00E44BBB">
              <w:rPr>
                <w:rFonts w:ascii="Calibri" w:eastAsia="Calibri" w:hAnsi="Calibri" w:cs="Times New Roman"/>
              </w:rPr>
              <w:t xml:space="preserve"> J, Cooper C, McCloskey EV, </w:t>
            </w:r>
            <w:proofErr w:type="spellStart"/>
            <w:r w:rsidRPr="00E44BBB">
              <w:rPr>
                <w:rFonts w:ascii="Calibri" w:eastAsia="Calibri" w:hAnsi="Calibri" w:cs="Times New Roman"/>
              </w:rPr>
              <w:t>Jönsson</w:t>
            </w:r>
            <w:proofErr w:type="spellEnd"/>
            <w:r w:rsidRPr="00E44BBB">
              <w:rPr>
                <w:rFonts w:ascii="Calibri" w:eastAsia="Calibri" w:hAnsi="Calibri" w:cs="Times New Roman"/>
              </w:rPr>
              <w:t xml:space="preserve"> B (2011) Osteoporosis; Burden, health care provision and opportunities in the EU. A report prepared in collaboration with the International Osteoporosis Foundation (IOF) and the European Federation of Pharmaceutical Industry Associations (EFPIA). </w:t>
            </w:r>
            <w:r>
              <w:rPr>
                <w:rFonts w:ascii="Calibri" w:eastAsia="Calibri" w:hAnsi="Calibri" w:cs="Times New Roman"/>
              </w:rPr>
              <w:t xml:space="preserve"> </w:t>
            </w:r>
            <w:r w:rsidRPr="00E44BBB">
              <w:rPr>
                <w:rFonts w:ascii="Calibri" w:eastAsia="Calibri" w:hAnsi="Calibri" w:cs="Times New Roman"/>
              </w:rPr>
              <w:t xml:space="preserve">Arch </w:t>
            </w:r>
            <w:proofErr w:type="spellStart"/>
            <w:r w:rsidRPr="00E44BBB">
              <w:rPr>
                <w:rFonts w:ascii="Calibri" w:eastAsia="Calibri" w:hAnsi="Calibri" w:cs="Times New Roman"/>
              </w:rPr>
              <w:t>Osteoporos</w:t>
            </w:r>
            <w:proofErr w:type="spellEnd"/>
            <w:r w:rsidRPr="00E44BBB">
              <w:rPr>
                <w:rFonts w:ascii="Calibri" w:eastAsia="Calibri" w:hAnsi="Calibri" w:cs="Times New Roman"/>
              </w:rPr>
              <w:t xml:space="preserve"> 6:59-155.</w:t>
            </w:r>
          </w:p>
        </w:tc>
      </w:tr>
    </w:tbl>
    <w:p w14:paraId="3F082746" w14:textId="77777777" w:rsidR="007D5683" w:rsidRPr="007D5683" w:rsidRDefault="007D5683" w:rsidP="00D25F0F">
      <w:pPr>
        <w:rPr>
          <w:b/>
          <w:bCs/>
          <w:sz w:val="24"/>
          <w:szCs w:val="24"/>
        </w:rPr>
      </w:pPr>
    </w:p>
    <w:sectPr w:rsidR="007D5683" w:rsidRPr="007D5683">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CF524E" w14:textId="77777777" w:rsidR="000A1515" w:rsidRDefault="000A1515" w:rsidP="004C253B">
      <w:pPr>
        <w:spacing w:after="0" w:line="240" w:lineRule="auto"/>
      </w:pPr>
      <w:r>
        <w:separator/>
      </w:r>
    </w:p>
  </w:endnote>
  <w:endnote w:type="continuationSeparator" w:id="0">
    <w:p w14:paraId="59DA2169" w14:textId="77777777" w:rsidR="000A1515" w:rsidRDefault="000A1515" w:rsidP="004C253B">
      <w:pPr>
        <w:spacing w:after="0" w:line="240" w:lineRule="auto"/>
      </w:pPr>
      <w:r>
        <w:continuationSeparator/>
      </w:r>
    </w:p>
  </w:endnote>
  <w:endnote w:type="continuationNotice" w:id="1">
    <w:p w14:paraId="6C50114E" w14:textId="77777777" w:rsidR="000A1515" w:rsidRDefault="000A151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20867587"/>
      <w:docPartObj>
        <w:docPartGallery w:val="Page Numbers (Bottom of Page)"/>
        <w:docPartUnique/>
      </w:docPartObj>
    </w:sdtPr>
    <w:sdtEndPr>
      <w:rPr>
        <w:noProof/>
      </w:rPr>
    </w:sdtEndPr>
    <w:sdtContent>
      <w:p w14:paraId="04EF2C77" w14:textId="003FFED4" w:rsidR="00DA48A8" w:rsidRDefault="00DA48A8">
        <w:pPr>
          <w:pStyle w:val="Footer"/>
          <w:jc w:val="right"/>
        </w:pPr>
        <w:r>
          <w:fldChar w:fldCharType="begin"/>
        </w:r>
        <w:r>
          <w:instrText xml:space="preserve"> PAGE   \* MERGEFORMAT </w:instrText>
        </w:r>
        <w:r>
          <w:fldChar w:fldCharType="separate"/>
        </w:r>
        <w:r w:rsidR="005C6F39">
          <w:rPr>
            <w:noProof/>
          </w:rPr>
          <w:t>9</w:t>
        </w:r>
        <w:r>
          <w:rPr>
            <w:noProof/>
          </w:rPr>
          <w:fldChar w:fldCharType="end"/>
        </w:r>
      </w:p>
    </w:sdtContent>
  </w:sdt>
  <w:p w14:paraId="6689878D" w14:textId="77777777" w:rsidR="00DA48A8" w:rsidRDefault="00DA48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6F22D1" w14:textId="77777777" w:rsidR="000A1515" w:rsidRDefault="000A1515" w:rsidP="004C253B">
      <w:pPr>
        <w:spacing w:after="0" w:line="240" w:lineRule="auto"/>
      </w:pPr>
      <w:r>
        <w:separator/>
      </w:r>
    </w:p>
  </w:footnote>
  <w:footnote w:type="continuationSeparator" w:id="0">
    <w:p w14:paraId="042CA859" w14:textId="77777777" w:rsidR="000A1515" w:rsidRDefault="000A1515" w:rsidP="004C253B">
      <w:pPr>
        <w:spacing w:after="0" w:line="240" w:lineRule="auto"/>
      </w:pPr>
      <w:r>
        <w:continuationSeparator/>
      </w:r>
    </w:p>
  </w:footnote>
  <w:footnote w:type="continuationNotice" w:id="1">
    <w:p w14:paraId="677C6A77" w14:textId="77777777" w:rsidR="000A1515" w:rsidRDefault="000A151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EAD7E9B"/>
    <w:multiLevelType w:val="hybridMultilevel"/>
    <w:tmpl w:val="D18A3520"/>
    <w:lvl w:ilvl="0" w:tplc="02003724">
      <w:start w:val="2"/>
      <w:numFmt w:val="bullet"/>
      <w:lvlText w:val=""/>
      <w:lvlJc w:val="left"/>
      <w:pPr>
        <w:ind w:left="720" w:hanging="360"/>
      </w:pPr>
      <w:rPr>
        <w:rFonts w:ascii="Symbol" w:eastAsia="MS Mincho"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FFD7B272-09D2-4681-94F9-E9D7A155453E}"/>
    <w:docVar w:name="dgnword-eventsink" w:val="8703456"/>
  </w:docVars>
  <w:rsids>
    <w:rsidRoot w:val="00D25F0F"/>
    <w:rsid w:val="0000487E"/>
    <w:rsid w:val="00004BA8"/>
    <w:rsid w:val="00006D3D"/>
    <w:rsid w:val="000079EE"/>
    <w:rsid w:val="00011171"/>
    <w:rsid w:val="000119D5"/>
    <w:rsid w:val="00013DD5"/>
    <w:rsid w:val="000169F4"/>
    <w:rsid w:val="00017DF7"/>
    <w:rsid w:val="00020640"/>
    <w:rsid w:val="000269A2"/>
    <w:rsid w:val="000270A8"/>
    <w:rsid w:val="00027B88"/>
    <w:rsid w:val="0003280C"/>
    <w:rsid w:val="00034FAC"/>
    <w:rsid w:val="0004282D"/>
    <w:rsid w:val="00051C44"/>
    <w:rsid w:val="000530DD"/>
    <w:rsid w:val="0005487E"/>
    <w:rsid w:val="00055044"/>
    <w:rsid w:val="00057D63"/>
    <w:rsid w:val="0006017A"/>
    <w:rsid w:val="00062142"/>
    <w:rsid w:val="00065760"/>
    <w:rsid w:val="000762D6"/>
    <w:rsid w:val="00077479"/>
    <w:rsid w:val="0008483B"/>
    <w:rsid w:val="000862E6"/>
    <w:rsid w:val="00093931"/>
    <w:rsid w:val="000973EC"/>
    <w:rsid w:val="000A1515"/>
    <w:rsid w:val="000A2C06"/>
    <w:rsid w:val="000B2CF9"/>
    <w:rsid w:val="000B354D"/>
    <w:rsid w:val="000B4BF9"/>
    <w:rsid w:val="000C0BDC"/>
    <w:rsid w:val="000D5765"/>
    <w:rsid w:val="000D6D5D"/>
    <w:rsid w:val="000E051F"/>
    <w:rsid w:val="000E4299"/>
    <w:rsid w:val="000E5F2A"/>
    <w:rsid w:val="00103003"/>
    <w:rsid w:val="00107F94"/>
    <w:rsid w:val="00112029"/>
    <w:rsid w:val="00113C8E"/>
    <w:rsid w:val="00117BF1"/>
    <w:rsid w:val="001228C4"/>
    <w:rsid w:val="001253C5"/>
    <w:rsid w:val="001449B9"/>
    <w:rsid w:val="00146D0F"/>
    <w:rsid w:val="00151050"/>
    <w:rsid w:val="00165673"/>
    <w:rsid w:val="00166426"/>
    <w:rsid w:val="0017296B"/>
    <w:rsid w:val="0017772A"/>
    <w:rsid w:val="0018037D"/>
    <w:rsid w:val="001818CA"/>
    <w:rsid w:val="00190CDB"/>
    <w:rsid w:val="00191EE8"/>
    <w:rsid w:val="001935C6"/>
    <w:rsid w:val="00196ACC"/>
    <w:rsid w:val="001A0667"/>
    <w:rsid w:val="001A284E"/>
    <w:rsid w:val="001B074B"/>
    <w:rsid w:val="001B1E14"/>
    <w:rsid w:val="001B6B7C"/>
    <w:rsid w:val="001B6DE4"/>
    <w:rsid w:val="001C0E96"/>
    <w:rsid w:val="001C5D43"/>
    <w:rsid w:val="001C6190"/>
    <w:rsid w:val="001D3FAD"/>
    <w:rsid w:val="001E165D"/>
    <w:rsid w:val="001F0474"/>
    <w:rsid w:val="001F3423"/>
    <w:rsid w:val="001F387C"/>
    <w:rsid w:val="001F4FDE"/>
    <w:rsid w:val="001F610A"/>
    <w:rsid w:val="00201C6D"/>
    <w:rsid w:val="00221FFB"/>
    <w:rsid w:val="002267F2"/>
    <w:rsid w:val="00230A77"/>
    <w:rsid w:val="0024669F"/>
    <w:rsid w:val="0025040E"/>
    <w:rsid w:val="00250A62"/>
    <w:rsid w:val="00267463"/>
    <w:rsid w:val="00272A16"/>
    <w:rsid w:val="00273CFC"/>
    <w:rsid w:val="0027425C"/>
    <w:rsid w:val="00281503"/>
    <w:rsid w:val="00281A76"/>
    <w:rsid w:val="00285041"/>
    <w:rsid w:val="002A1848"/>
    <w:rsid w:val="002A68F8"/>
    <w:rsid w:val="002A71B7"/>
    <w:rsid w:val="002A7456"/>
    <w:rsid w:val="002B16E6"/>
    <w:rsid w:val="002C33ED"/>
    <w:rsid w:val="002C4AF3"/>
    <w:rsid w:val="002D4E19"/>
    <w:rsid w:val="002D7539"/>
    <w:rsid w:val="002E5141"/>
    <w:rsid w:val="002F024A"/>
    <w:rsid w:val="002F3BEA"/>
    <w:rsid w:val="002F3C9F"/>
    <w:rsid w:val="002F3E9C"/>
    <w:rsid w:val="00305000"/>
    <w:rsid w:val="00305E4D"/>
    <w:rsid w:val="0030736F"/>
    <w:rsid w:val="00311324"/>
    <w:rsid w:val="003178F5"/>
    <w:rsid w:val="00324F9F"/>
    <w:rsid w:val="0032516D"/>
    <w:rsid w:val="00327883"/>
    <w:rsid w:val="003302F7"/>
    <w:rsid w:val="00337F2B"/>
    <w:rsid w:val="0034464E"/>
    <w:rsid w:val="003448C8"/>
    <w:rsid w:val="00353A94"/>
    <w:rsid w:val="003676EE"/>
    <w:rsid w:val="0037605E"/>
    <w:rsid w:val="00377F31"/>
    <w:rsid w:val="003906E2"/>
    <w:rsid w:val="003914A5"/>
    <w:rsid w:val="00391692"/>
    <w:rsid w:val="00392540"/>
    <w:rsid w:val="003979D2"/>
    <w:rsid w:val="003A05EA"/>
    <w:rsid w:val="003A359F"/>
    <w:rsid w:val="003A40FE"/>
    <w:rsid w:val="003A5E42"/>
    <w:rsid w:val="003C0505"/>
    <w:rsid w:val="003C393F"/>
    <w:rsid w:val="003D0602"/>
    <w:rsid w:val="003D30C5"/>
    <w:rsid w:val="003E143C"/>
    <w:rsid w:val="003E272D"/>
    <w:rsid w:val="003E51D2"/>
    <w:rsid w:val="003E533A"/>
    <w:rsid w:val="003E675C"/>
    <w:rsid w:val="003F5EA6"/>
    <w:rsid w:val="00421730"/>
    <w:rsid w:val="00422369"/>
    <w:rsid w:val="00425B61"/>
    <w:rsid w:val="00434BC0"/>
    <w:rsid w:val="004355F4"/>
    <w:rsid w:val="00450339"/>
    <w:rsid w:val="00456081"/>
    <w:rsid w:val="004726C1"/>
    <w:rsid w:val="004A7763"/>
    <w:rsid w:val="004C253B"/>
    <w:rsid w:val="004C4BDD"/>
    <w:rsid w:val="004C6C5F"/>
    <w:rsid w:val="004C7F68"/>
    <w:rsid w:val="004D052B"/>
    <w:rsid w:val="004D1304"/>
    <w:rsid w:val="004D328B"/>
    <w:rsid w:val="004D41B8"/>
    <w:rsid w:val="004D5D87"/>
    <w:rsid w:val="004E17FF"/>
    <w:rsid w:val="004E59B8"/>
    <w:rsid w:val="004F1AF9"/>
    <w:rsid w:val="004F2D18"/>
    <w:rsid w:val="004F493F"/>
    <w:rsid w:val="004F5256"/>
    <w:rsid w:val="004F65FC"/>
    <w:rsid w:val="004F6A17"/>
    <w:rsid w:val="004F743B"/>
    <w:rsid w:val="00500F60"/>
    <w:rsid w:val="0050220D"/>
    <w:rsid w:val="0050309E"/>
    <w:rsid w:val="00504278"/>
    <w:rsid w:val="005053AF"/>
    <w:rsid w:val="00521E23"/>
    <w:rsid w:val="00531D61"/>
    <w:rsid w:val="00532EA5"/>
    <w:rsid w:val="00536F2F"/>
    <w:rsid w:val="005409F7"/>
    <w:rsid w:val="0054471E"/>
    <w:rsid w:val="00553B77"/>
    <w:rsid w:val="00557A13"/>
    <w:rsid w:val="005624A7"/>
    <w:rsid w:val="005635D4"/>
    <w:rsid w:val="00566198"/>
    <w:rsid w:val="00566504"/>
    <w:rsid w:val="00566FDD"/>
    <w:rsid w:val="00567F9E"/>
    <w:rsid w:val="005708D2"/>
    <w:rsid w:val="0057263A"/>
    <w:rsid w:val="0058056A"/>
    <w:rsid w:val="00583B6B"/>
    <w:rsid w:val="00586C6D"/>
    <w:rsid w:val="005A28A5"/>
    <w:rsid w:val="005C27E0"/>
    <w:rsid w:val="005C2B9A"/>
    <w:rsid w:val="005C2F53"/>
    <w:rsid w:val="005C452F"/>
    <w:rsid w:val="005C4A43"/>
    <w:rsid w:val="005C6F39"/>
    <w:rsid w:val="005E2A10"/>
    <w:rsid w:val="005F13C3"/>
    <w:rsid w:val="005F2BCA"/>
    <w:rsid w:val="005F70B4"/>
    <w:rsid w:val="005F7181"/>
    <w:rsid w:val="005F7FE4"/>
    <w:rsid w:val="006009AB"/>
    <w:rsid w:val="00601DB6"/>
    <w:rsid w:val="00607F95"/>
    <w:rsid w:val="00613F71"/>
    <w:rsid w:val="00614D1E"/>
    <w:rsid w:val="00617DB3"/>
    <w:rsid w:val="006205D4"/>
    <w:rsid w:val="00620B60"/>
    <w:rsid w:val="00622B5A"/>
    <w:rsid w:val="006232FE"/>
    <w:rsid w:val="00630413"/>
    <w:rsid w:val="006312CD"/>
    <w:rsid w:val="00640B9D"/>
    <w:rsid w:val="006427DD"/>
    <w:rsid w:val="00644A39"/>
    <w:rsid w:val="00644C97"/>
    <w:rsid w:val="00647996"/>
    <w:rsid w:val="00664160"/>
    <w:rsid w:val="00667BB4"/>
    <w:rsid w:val="00671F9D"/>
    <w:rsid w:val="00683DA7"/>
    <w:rsid w:val="00685DE3"/>
    <w:rsid w:val="00687D89"/>
    <w:rsid w:val="006918CD"/>
    <w:rsid w:val="006A3ABA"/>
    <w:rsid w:val="006A4437"/>
    <w:rsid w:val="006A6010"/>
    <w:rsid w:val="006B2CFC"/>
    <w:rsid w:val="006B5A5A"/>
    <w:rsid w:val="006C4ADB"/>
    <w:rsid w:val="006D4C8A"/>
    <w:rsid w:val="006D4CC3"/>
    <w:rsid w:val="006E1C58"/>
    <w:rsid w:val="006E5D68"/>
    <w:rsid w:val="006E6A44"/>
    <w:rsid w:val="006E77E7"/>
    <w:rsid w:val="006F775E"/>
    <w:rsid w:val="006F79B3"/>
    <w:rsid w:val="007005A3"/>
    <w:rsid w:val="007021C0"/>
    <w:rsid w:val="00714299"/>
    <w:rsid w:val="00725917"/>
    <w:rsid w:val="0073557F"/>
    <w:rsid w:val="00742D64"/>
    <w:rsid w:val="00746728"/>
    <w:rsid w:val="00751005"/>
    <w:rsid w:val="00751837"/>
    <w:rsid w:val="00753B99"/>
    <w:rsid w:val="00764CE0"/>
    <w:rsid w:val="0078378F"/>
    <w:rsid w:val="00786404"/>
    <w:rsid w:val="00787975"/>
    <w:rsid w:val="00791A6D"/>
    <w:rsid w:val="007A20AF"/>
    <w:rsid w:val="007B06B2"/>
    <w:rsid w:val="007B5E50"/>
    <w:rsid w:val="007C0EAD"/>
    <w:rsid w:val="007C7600"/>
    <w:rsid w:val="007D20B0"/>
    <w:rsid w:val="007D5683"/>
    <w:rsid w:val="007E0416"/>
    <w:rsid w:val="007F029F"/>
    <w:rsid w:val="007F4115"/>
    <w:rsid w:val="00800CF6"/>
    <w:rsid w:val="0080323B"/>
    <w:rsid w:val="00807E91"/>
    <w:rsid w:val="00810C36"/>
    <w:rsid w:val="00810E13"/>
    <w:rsid w:val="00813967"/>
    <w:rsid w:val="00814B7C"/>
    <w:rsid w:val="00826D09"/>
    <w:rsid w:val="008319CB"/>
    <w:rsid w:val="00842F37"/>
    <w:rsid w:val="008433FD"/>
    <w:rsid w:val="00850AB1"/>
    <w:rsid w:val="00850DA0"/>
    <w:rsid w:val="008517B0"/>
    <w:rsid w:val="008517B8"/>
    <w:rsid w:val="008554B6"/>
    <w:rsid w:val="008663AB"/>
    <w:rsid w:val="008712CB"/>
    <w:rsid w:val="00877D7D"/>
    <w:rsid w:val="00880906"/>
    <w:rsid w:val="0088666C"/>
    <w:rsid w:val="00897482"/>
    <w:rsid w:val="008975B2"/>
    <w:rsid w:val="008A2C8C"/>
    <w:rsid w:val="008B203F"/>
    <w:rsid w:val="008B3CC3"/>
    <w:rsid w:val="008B4033"/>
    <w:rsid w:val="008C0ACA"/>
    <w:rsid w:val="008C2088"/>
    <w:rsid w:val="008C41D2"/>
    <w:rsid w:val="008D641C"/>
    <w:rsid w:val="008E2E79"/>
    <w:rsid w:val="008E4EF4"/>
    <w:rsid w:val="008E6E0F"/>
    <w:rsid w:val="008E788A"/>
    <w:rsid w:val="008F3777"/>
    <w:rsid w:val="00901DC2"/>
    <w:rsid w:val="009021FA"/>
    <w:rsid w:val="00911663"/>
    <w:rsid w:val="00911707"/>
    <w:rsid w:val="009205CA"/>
    <w:rsid w:val="00921F9F"/>
    <w:rsid w:val="009229D1"/>
    <w:rsid w:val="009352D5"/>
    <w:rsid w:val="0094273B"/>
    <w:rsid w:val="009432E8"/>
    <w:rsid w:val="00952771"/>
    <w:rsid w:val="009606F8"/>
    <w:rsid w:val="009730A8"/>
    <w:rsid w:val="009740A1"/>
    <w:rsid w:val="0098279D"/>
    <w:rsid w:val="009837FA"/>
    <w:rsid w:val="00983A94"/>
    <w:rsid w:val="009979F9"/>
    <w:rsid w:val="009A0CED"/>
    <w:rsid w:val="009A3F47"/>
    <w:rsid w:val="009A7315"/>
    <w:rsid w:val="009B07FD"/>
    <w:rsid w:val="009B5FFA"/>
    <w:rsid w:val="009B62CE"/>
    <w:rsid w:val="009C6112"/>
    <w:rsid w:val="009D0103"/>
    <w:rsid w:val="009D4D03"/>
    <w:rsid w:val="009D6AFC"/>
    <w:rsid w:val="009E3287"/>
    <w:rsid w:val="009E4412"/>
    <w:rsid w:val="009F4D5C"/>
    <w:rsid w:val="009F7514"/>
    <w:rsid w:val="00A000A5"/>
    <w:rsid w:val="00A01963"/>
    <w:rsid w:val="00A032CF"/>
    <w:rsid w:val="00A07055"/>
    <w:rsid w:val="00A121B6"/>
    <w:rsid w:val="00A22286"/>
    <w:rsid w:val="00A247A9"/>
    <w:rsid w:val="00A24C42"/>
    <w:rsid w:val="00A36D3A"/>
    <w:rsid w:val="00A575CB"/>
    <w:rsid w:val="00A756CB"/>
    <w:rsid w:val="00A82727"/>
    <w:rsid w:val="00A84E5A"/>
    <w:rsid w:val="00A91955"/>
    <w:rsid w:val="00AA0903"/>
    <w:rsid w:val="00AA690E"/>
    <w:rsid w:val="00AB2488"/>
    <w:rsid w:val="00AB7EB0"/>
    <w:rsid w:val="00AC3985"/>
    <w:rsid w:val="00AC3AD1"/>
    <w:rsid w:val="00AD2C00"/>
    <w:rsid w:val="00AE24AB"/>
    <w:rsid w:val="00AE43CE"/>
    <w:rsid w:val="00B03EDB"/>
    <w:rsid w:val="00B0524D"/>
    <w:rsid w:val="00B10A56"/>
    <w:rsid w:val="00B122D6"/>
    <w:rsid w:val="00B1668D"/>
    <w:rsid w:val="00B173DC"/>
    <w:rsid w:val="00B20CDD"/>
    <w:rsid w:val="00B2198A"/>
    <w:rsid w:val="00B33839"/>
    <w:rsid w:val="00B35548"/>
    <w:rsid w:val="00B377DD"/>
    <w:rsid w:val="00B4035E"/>
    <w:rsid w:val="00B45E15"/>
    <w:rsid w:val="00B504C1"/>
    <w:rsid w:val="00B5793A"/>
    <w:rsid w:val="00B64E41"/>
    <w:rsid w:val="00B80303"/>
    <w:rsid w:val="00B86642"/>
    <w:rsid w:val="00B90C3F"/>
    <w:rsid w:val="00B97D05"/>
    <w:rsid w:val="00BA1BEF"/>
    <w:rsid w:val="00BB32EE"/>
    <w:rsid w:val="00BB3C7C"/>
    <w:rsid w:val="00BB452D"/>
    <w:rsid w:val="00BD2CD0"/>
    <w:rsid w:val="00BD465E"/>
    <w:rsid w:val="00BD50BD"/>
    <w:rsid w:val="00BD7DD9"/>
    <w:rsid w:val="00BE3729"/>
    <w:rsid w:val="00BF0C26"/>
    <w:rsid w:val="00BF0E35"/>
    <w:rsid w:val="00BF1663"/>
    <w:rsid w:val="00BF1D42"/>
    <w:rsid w:val="00BF4D7A"/>
    <w:rsid w:val="00C13270"/>
    <w:rsid w:val="00C13816"/>
    <w:rsid w:val="00C25B75"/>
    <w:rsid w:val="00C32A05"/>
    <w:rsid w:val="00C358AE"/>
    <w:rsid w:val="00C453B7"/>
    <w:rsid w:val="00C4560E"/>
    <w:rsid w:val="00C520CC"/>
    <w:rsid w:val="00C53B23"/>
    <w:rsid w:val="00C5702D"/>
    <w:rsid w:val="00C6323F"/>
    <w:rsid w:val="00C66DB9"/>
    <w:rsid w:val="00C72B1B"/>
    <w:rsid w:val="00C81449"/>
    <w:rsid w:val="00C85629"/>
    <w:rsid w:val="00C85A17"/>
    <w:rsid w:val="00C901BE"/>
    <w:rsid w:val="00C949D0"/>
    <w:rsid w:val="00C95B63"/>
    <w:rsid w:val="00C9622C"/>
    <w:rsid w:val="00C96A9C"/>
    <w:rsid w:val="00C96AC6"/>
    <w:rsid w:val="00CB7E36"/>
    <w:rsid w:val="00CC4391"/>
    <w:rsid w:val="00CD5082"/>
    <w:rsid w:val="00CD7846"/>
    <w:rsid w:val="00CE55C3"/>
    <w:rsid w:val="00CF3202"/>
    <w:rsid w:val="00CF4438"/>
    <w:rsid w:val="00CF5A4E"/>
    <w:rsid w:val="00D031FF"/>
    <w:rsid w:val="00D05741"/>
    <w:rsid w:val="00D07B59"/>
    <w:rsid w:val="00D13686"/>
    <w:rsid w:val="00D14BF0"/>
    <w:rsid w:val="00D25F0F"/>
    <w:rsid w:val="00D27406"/>
    <w:rsid w:val="00D43C3C"/>
    <w:rsid w:val="00D47CD2"/>
    <w:rsid w:val="00D62F12"/>
    <w:rsid w:val="00D64BE5"/>
    <w:rsid w:val="00D66795"/>
    <w:rsid w:val="00D81A35"/>
    <w:rsid w:val="00D94189"/>
    <w:rsid w:val="00D94912"/>
    <w:rsid w:val="00D949F3"/>
    <w:rsid w:val="00D95936"/>
    <w:rsid w:val="00DA3464"/>
    <w:rsid w:val="00DA48A8"/>
    <w:rsid w:val="00DB1305"/>
    <w:rsid w:val="00DB7585"/>
    <w:rsid w:val="00DC2A3D"/>
    <w:rsid w:val="00DC4F5D"/>
    <w:rsid w:val="00DC5512"/>
    <w:rsid w:val="00DD21BA"/>
    <w:rsid w:val="00DE0A9C"/>
    <w:rsid w:val="00DE1F35"/>
    <w:rsid w:val="00DE6189"/>
    <w:rsid w:val="00DF27BA"/>
    <w:rsid w:val="00DF4AB9"/>
    <w:rsid w:val="00E023FA"/>
    <w:rsid w:val="00E130D7"/>
    <w:rsid w:val="00E14167"/>
    <w:rsid w:val="00E14B1A"/>
    <w:rsid w:val="00E20979"/>
    <w:rsid w:val="00E268FF"/>
    <w:rsid w:val="00E3642C"/>
    <w:rsid w:val="00E36758"/>
    <w:rsid w:val="00E402E5"/>
    <w:rsid w:val="00E4072B"/>
    <w:rsid w:val="00E40DC8"/>
    <w:rsid w:val="00E44BBB"/>
    <w:rsid w:val="00E46C44"/>
    <w:rsid w:val="00E51B23"/>
    <w:rsid w:val="00E73CC4"/>
    <w:rsid w:val="00E81287"/>
    <w:rsid w:val="00E92225"/>
    <w:rsid w:val="00E97606"/>
    <w:rsid w:val="00EA1164"/>
    <w:rsid w:val="00EA152C"/>
    <w:rsid w:val="00EA4E6D"/>
    <w:rsid w:val="00EC2EA2"/>
    <w:rsid w:val="00EC5131"/>
    <w:rsid w:val="00ED4C39"/>
    <w:rsid w:val="00ED7A65"/>
    <w:rsid w:val="00ED7D41"/>
    <w:rsid w:val="00EE4DA6"/>
    <w:rsid w:val="00F111E5"/>
    <w:rsid w:val="00F237B5"/>
    <w:rsid w:val="00F30CB4"/>
    <w:rsid w:val="00F33920"/>
    <w:rsid w:val="00F40DEB"/>
    <w:rsid w:val="00F608D1"/>
    <w:rsid w:val="00F62D29"/>
    <w:rsid w:val="00F7160F"/>
    <w:rsid w:val="00F74AA7"/>
    <w:rsid w:val="00F75B02"/>
    <w:rsid w:val="00F836EB"/>
    <w:rsid w:val="00F841F6"/>
    <w:rsid w:val="00F92550"/>
    <w:rsid w:val="00F93318"/>
    <w:rsid w:val="00F958F0"/>
    <w:rsid w:val="00FA0A6D"/>
    <w:rsid w:val="00FA1A0C"/>
    <w:rsid w:val="00FA5218"/>
    <w:rsid w:val="00FA6DD2"/>
    <w:rsid w:val="00FB50F1"/>
    <w:rsid w:val="00FC02D9"/>
    <w:rsid w:val="00FC4A5C"/>
    <w:rsid w:val="00FD2304"/>
    <w:rsid w:val="00FD2F18"/>
    <w:rsid w:val="00FD53AE"/>
    <w:rsid w:val="00FD580A"/>
    <w:rsid w:val="00FE0CCC"/>
    <w:rsid w:val="00FE5573"/>
    <w:rsid w:val="00FE606F"/>
    <w:rsid w:val="00FF292D"/>
    <w:rsid w:val="00FF7A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1D9DB95A"/>
  <w15:docId w15:val="{B5226A29-621B-4090-BFE2-DDF5FC361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622C"/>
  </w:style>
  <w:style w:type="paragraph" w:styleId="Heading2">
    <w:name w:val="heading 2"/>
    <w:basedOn w:val="Normal"/>
    <w:next w:val="Normal"/>
    <w:link w:val="Heading2Char"/>
    <w:uiPriority w:val="9"/>
    <w:semiHidden/>
    <w:unhideWhenUsed/>
    <w:qFormat/>
    <w:rsid w:val="001C619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25F0F"/>
    <w:rPr>
      <w:color w:val="0563C1" w:themeColor="hyperlink"/>
      <w:u w:val="single"/>
    </w:rPr>
  </w:style>
  <w:style w:type="character" w:customStyle="1" w:styleId="UnresolvedMention1">
    <w:name w:val="Unresolved Mention1"/>
    <w:basedOn w:val="DefaultParagraphFont"/>
    <w:uiPriority w:val="99"/>
    <w:semiHidden/>
    <w:unhideWhenUsed/>
    <w:rsid w:val="00D25F0F"/>
    <w:rPr>
      <w:color w:val="808080"/>
      <w:shd w:val="clear" w:color="auto" w:fill="E6E6E6"/>
    </w:rPr>
  </w:style>
  <w:style w:type="paragraph" w:styleId="Header">
    <w:name w:val="header"/>
    <w:basedOn w:val="Normal"/>
    <w:link w:val="HeaderChar"/>
    <w:uiPriority w:val="99"/>
    <w:unhideWhenUsed/>
    <w:rsid w:val="004C253B"/>
    <w:pPr>
      <w:tabs>
        <w:tab w:val="center" w:pos="4513"/>
        <w:tab w:val="right" w:pos="9026"/>
      </w:tabs>
      <w:spacing w:after="0" w:line="240" w:lineRule="auto"/>
    </w:pPr>
  </w:style>
  <w:style w:type="character" w:customStyle="1" w:styleId="HeaderChar">
    <w:name w:val="Header Char"/>
    <w:basedOn w:val="DefaultParagraphFont"/>
    <w:link w:val="Header"/>
    <w:uiPriority w:val="99"/>
    <w:rsid w:val="004C253B"/>
  </w:style>
  <w:style w:type="paragraph" w:styleId="Footer">
    <w:name w:val="footer"/>
    <w:basedOn w:val="Normal"/>
    <w:link w:val="FooterChar"/>
    <w:uiPriority w:val="99"/>
    <w:unhideWhenUsed/>
    <w:rsid w:val="004C253B"/>
    <w:pPr>
      <w:tabs>
        <w:tab w:val="center" w:pos="4513"/>
        <w:tab w:val="right" w:pos="9026"/>
      </w:tabs>
      <w:spacing w:after="0" w:line="240" w:lineRule="auto"/>
    </w:pPr>
  </w:style>
  <w:style w:type="character" w:customStyle="1" w:styleId="FooterChar">
    <w:name w:val="Footer Char"/>
    <w:basedOn w:val="DefaultParagraphFont"/>
    <w:link w:val="Footer"/>
    <w:uiPriority w:val="99"/>
    <w:rsid w:val="004C253B"/>
  </w:style>
  <w:style w:type="table" w:styleId="TableGrid">
    <w:name w:val="Table Grid"/>
    <w:basedOn w:val="TableNormal"/>
    <w:uiPriority w:val="59"/>
    <w:rsid w:val="00D949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94912"/>
    <w:rPr>
      <w:sz w:val="16"/>
      <w:szCs w:val="16"/>
    </w:rPr>
  </w:style>
  <w:style w:type="paragraph" w:styleId="CommentText">
    <w:name w:val="annotation text"/>
    <w:basedOn w:val="Normal"/>
    <w:link w:val="CommentTextChar"/>
    <w:uiPriority w:val="99"/>
    <w:unhideWhenUsed/>
    <w:rsid w:val="00D94912"/>
    <w:pPr>
      <w:spacing w:line="240" w:lineRule="auto"/>
    </w:pPr>
    <w:rPr>
      <w:sz w:val="20"/>
      <w:szCs w:val="20"/>
    </w:rPr>
  </w:style>
  <w:style w:type="character" w:customStyle="1" w:styleId="CommentTextChar">
    <w:name w:val="Comment Text Char"/>
    <w:basedOn w:val="DefaultParagraphFont"/>
    <w:link w:val="CommentText"/>
    <w:uiPriority w:val="99"/>
    <w:rsid w:val="00D94912"/>
    <w:rPr>
      <w:sz w:val="20"/>
      <w:szCs w:val="20"/>
    </w:rPr>
  </w:style>
  <w:style w:type="paragraph" w:styleId="BalloonText">
    <w:name w:val="Balloon Text"/>
    <w:basedOn w:val="Normal"/>
    <w:link w:val="BalloonTextChar"/>
    <w:uiPriority w:val="99"/>
    <w:semiHidden/>
    <w:unhideWhenUsed/>
    <w:rsid w:val="00D949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4912"/>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6E77E7"/>
    <w:rPr>
      <w:b/>
      <w:bCs/>
    </w:rPr>
  </w:style>
  <w:style w:type="character" w:customStyle="1" w:styleId="CommentSubjectChar">
    <w:name w:val="Comment Subject Char"/>
    <w:basedOn w:val="CommentTextChar"/>
    <w:link w:val="CommentSubject"/>
    <w:uiPriority w:val="99"/>
    <w:semiHidden/>
    <w:rsid w:val="006E77E7"/>
    <w:rPr>
      <w:b/>
      <w:bCs/>
      <w:sz w:val="20"/>
      <w:szCs w:val="20"/>
    </w:rPr>
  </w:style>
  <w:style w:type="table" w:customStyle="1" w:styleId="Tabellrutnt1">
    <w:name w:val="Tabellrutnät1"/>
    <w:basedOn w:val="TableNormal"/>
    <w:next w:val="TableGrid"/>
    <w:uiPriority w:val="59"/>
    <w:rsid w:val="00DE6189"/>
    <w:pPr>
      <w:spacing w:after="0" w:line="240" w:lineRule="auto"/>
    </w:pPr>
    <w:rPr>
      <w:rFonts w:eastAsia="Batang"/>
      <w:lang w:val="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50220D"/>
    <w:rPr>
      <w:i/>
      <w:iCs/>
    </w:rPr>
  </w:style>
  <w:style w:type="paragraph" w:styleId="PlainText">
    <w:name w:val="Plain Text"/>
    <w:basedOn w:val="Normal"/>
    <w:link w:val="PlainTextChar"/>
    <w:uiPriority w:val="99"/>
    <w:unhideWhenUsed/>
    <w:rsid w:val="009A7315"/>
    <w:pPr>
      <w:spacing w:after="0" w:line="240" w:lineRule="auto"/>
    </w:pPr>
    <w:rPr>
      <w:rFonts w:ascii="Consolas" w:eastAsia="Batang" w:hAnsi="Consolas" w:cs="Consolas"/>
      <w:sz w:val="21"/>
      <w:szCs w:val="21"/>
      <w:lang w:val="sv-SE"/>
    </w:rPr>
  </w:style>
  <w:style w:type="character" w:customStyle="1" w:styleId="PlainTextChar">
    <w:name w:val="Plain Text Char"/>
    <w:basedOn w:val="DefaultParagraphFont"/>
    <w:link w:val="PlainText"/>
    <w:uiPriority w:val="99"/>
    <w:rsid w:val="009A7315"/>
    <w:rPr>
      <w:rFonts w:ascii="Consolas" w:eastAsia="Batang" w:hAnsi="Consolas" w:cs="Consolas"/>
      <w:sz w:val="21"/>
      <w:szCs w:val="21"/>
      <w:lang w:val="sv-SE"/>
    </w:rPr>
  </w:style>
  <w:style w:type="paragraph" w:styleId="ListParagraph">
    <w:name w:val="List Paragraph"/>
    <w:basedOn w:val="Normal"/>
    <w:uiPriority w:val="34"/>
    <w:qFormat/>
    <w:rsid w:val="004355F4"/>
    <w:pPr>
      <w:ind w:left="720"/>
      <w:contextualSpacing/>
    </w:pPr>
  </w:style>
  <w:style w:type="character" w:customStyle="1" w:styleId="Heading2Char">
    <w:name w:val="Heading 2 Char"/>
    <w:basedOn w:val="DefaultParagraphFont"/>
    <w:link w:val="Heading2"/>
    <w:uiPriority w:val="9"/>
    <w:semiHidden/>
    <w:rsid w:val="001C6190"/>
    <w:rPr>
      <w:rFonts w:asciiTheme="majorHAnsi" w:eastAsiaTheme="majorEastAsia" w:hAnsiTheme="majorHAnsi" w:cstheme="majorBidi"/>
      <w:color w:val="2F5496" w:themeColor="accent1" w:themeShade="BF"/>
      <w:sz w:val="26"/>
      <w:szCs w:val="26"/>
    </w:rPr>
  </w:style>
  <w:style w:type="character" w:customStyle="1" w:styleId="UnresolvedMention2">
    <w:name w:val="Unresolved Mention2"/>
    <w:basedOn w:val="DefaultParagraphFont"/>
    <w:uiPriority w:val="99"/>
    <w:semiHidden/>
    <w:unhideWhenUsed/>
    <w:rsid w:val="00011171"/>
    <w:rPr>
      <w:color w:val="808080"/>
      <w:shd w:val="clear" w:color="auto" w:fill="E6E6E6"/>
    </w:rPr>
  </w:style>
  <w:style w:type="character" w:styleId="FollowedHyperlink">
    <w:name w:val="FollowedHyperlink"/>
    <w:basedOn w:val="DefaultParagraphFont"/>
    <w:uiPriority w:val="99"/>
    <w:semiHidden/>
    <w:unhideWhenUsed/>
    <w:rsid w:val="00BB3C7C"/>
    <w:rPr>
      <w:color w:val="954F72" w:themeColor="followedHyperlink"/>
      <w:u w:val="single"/>
    </w:rPr>
  </w:style>
  <w:style w:type="table" w:customStyle="1" w:styleId="TableGrid1">
    <w:name w:val="Table Grid1"/>
    <w:basedOn w:val="TableNormal"/>
    <w:next w:val="TableGrid"/>
    <w:uiPriority w:val="59"/>
    <w:rsid w:val="00E44B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4960080">
      <w:bodyDiv w:val="1"/>
      <w:marLeft w:val="0"/>
      <w:marRight w:val="0"/>
      <w:marTop w:val="0"/>
      <w:marBottom w:val="0"/>
      <w:divBdr>
        <w:top w:val="none" w:sz="0" w:space="0" w:color="auto"/>
        <w:left w:val="none" w:sz="0" w:space="0" w:color="auto"/>
        <w:bottom w:val="none" w:sz="0" w:space="0" w:color="auto"/>
        <w:right w:val="none" w:sz="0" w:space="0" w:color="auto"/>
      </w:divBdr>
    </w:div>
    <w:div w:id="1079332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w.j.pontefract@shef.ac.uk"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fda.gov/downloads/Drugs/NewsEvents/UCM472386.pdf" TargetMode="External"/><Relationship Id="rId5" Type="http://schemas.openxmlformats.org/officeDocument/2006/relationships/footnotes" Target="footnotes.xml"/><Relationship Id="rId10" Type="http://schemas.openxmlformats.org/officeDocument/2006/relationships/hyperlink" Target="https://fnih.org/news/announcements/qa-dennis-black-phd-principal-investigator-fnih-biomarkers-consortium%E2%80%99s-bone-quality-project"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13</Pages>
  <Words>4582</Words>
  <Characters>26120</Characters>
  <Application>Microsoft Office Word</Application>
  <DocSecurity>0</DocSecurity>
  <Lines>217</Lines>
  <Paragraphs>61</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
  <LinksUpToDate>false</LinksUpToDate>
  <CharactersWithSpaces>30641</CharactersWithSpaces>
  <SharedDoc>false</SharedDoc>
  <HLinks>
    <vt:vector size="18" baseType="variant">
      <vt:variant>
        <vt:i4>1835020</vt:i4>
      </vt:variant>
      <vt:variant>
        <vt:i4>6</vt:i4>
      </vt:variant>
      <vt:variant>
        <vt:i4>0</vt:i4>
      </vt:variant>
      <vt:variant>
        <vt:i4>5</vt:i4>
      </vt:variant>
      <vt:variant>
        <vt:lpwstr>https://www.fda.gov/downloads/Drugs/NewsEvents/UCM472386.pdf</vt:lpwstr>
      </vt:variant>
      <vt:variant>
        <vt:lpwstr/>
      </vt:variant>
      <vt:variant>
        <vt:i4>4784207</vt:i4>
      </vt:variant>
      <vt:variant>
        <vt:i4>3</vt:i4>
      </vt:variant>
      <vt:variant>
        <vt:i4>0</vt:i4>
      </vt:variant>
      <vt:variant>
        <vt:i4>5</vt:i4>
      </vt:variant>
      <vt:variant>
        <vt:lpwstr>https://fnih.org/news/announcements/qa-dennis-black-phd-principal-investigator-fnih-biomarkers-consortium%E2%80%99s-bone-quality-project</vt:lpwstr>
      </vt:variant>
      <vt:variant>
        <vt:lpwstr/>
      </vt:variant>
      <vt:variant>
        <vt:i4>8323084</vt:i4>
      </vt:variant>
      <vt:variant>
        <vt:i4>0</vt:i4>
      </vt:variant>
      <vt:variant>
        <vt:i4>0</vt:i4>
      </vt:variant>
      <vt:variant>
        <vt:i4>5</vt:i4>
      </vt:variant>
      <vt:variant>
        <vt:lpwstr>mailto:w.j.pontefract@shef.ac.uk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Kanis</dc:creator>
  <cp:keywords/>
  <cp:lastModifiedBy>Karen Drake</cp:lastModifiedBy>
  <cp:revision>2</cp:revision>
  <dcterms:created xsi:type="dcterms:W3CDTF">2020-11-16T14:18:00Z</dcterms:created>
  <dcterms:modified xsi:type="dcterms:W3CDTF">2020-11-16T14:18:00Z</dcterms:modified>
</cp:coreProperties>
</file>