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015D2" w14:textId="77777777" w:rsidR="003A6434" w:rsidRPr="00DE55D0" w:rsidRDefault="003A6434" w:rsidP="00433CDB">
      <w:pPr>
        <w:pStyle w:val="Title"/>
        <w:spacing w:before="0"/>
        <w:rPr>
          <w:lang w:val="en-GB"/>
        </w:rPr>
      </w:pPr>
      <w:bookmarkStart w:id="0" w:name="_GoBack"/>
      <w:bookmarkEnd w:id="0"/>
    </w:p>
    <w:p w14:paraId="3D0204BD" w14:textId="77777777" w:rsidR="003A6434" w:rsidRDefault="003A6434" w:rsidP="00433CDB">
      <w:pPr>
        <w:pStyle w:val="Title"/>
        <w:spacing w:before="0"/>
      </w:pPr>
    </w:p>
    <w:p w14:paraId="117C8C46" w14:textId="77777777" w:rsidR="003A6434" w:rsidRDefault="003A6434" w:rsidP="00433CDB">
      <w:pPr>
        <w:pStyle w:val="Title"/>
        <w:spacing w:before="0"/>
      </w:pPr>
    </w:p>
    <w:p w14:paraId="721E0316" w14:textId="77777777" w:rsidR="003A6434" w:rsidRDefault="003A6434" w:rsidP="00433CDB">
      <w:pPr>
        <w:pStyle w:val="Title"/>
        <w:spacing w:before="0"/>
      </w:pPr>
    </w:p>
    <w:p w14:paraId="046962E6" w14:textId="77777777" w:rsidR="003A6434" w:rsidRDefault="003A6434" w:rsidP="00433CDB">
      <w:pPr>
        <w:pStyle w:val="Title"/>
        <w:spacing w:before="0"/>
      </w:pPr>
    </w:p>
    <w:p w14:paraId="5A03C76D" w14:textId="77777777" w:rsidR="003A6434" w:rsidRDefault="003A6434" w:rsidP="00433CDB">
      <w:pPr>
        <w:pStyle w:val="Title"/>
        <w:spacing w:before="0"/>
      </w:pPr>
    </w:p>
    <w:p w14:paraId="5E069170" w14:textId="77777777" w:rsidR="003A6434" w:rsidRDefault="003A6434" w:rsidP="00433CDB">
      <w:pPr>
        <w:pStyle w:val="Title"/>
        <w:spacing w:before="0"/>
      </w:pPr>
    </w:p>
    <w:p w14:paraId="519E7546" w14:textId="6F2C1609" w:rsidR="00D31959" w:rsidRDefault="00D31959" w:rsidP="00D31959">
      <w:pPr>
        <w:pStyle w:val="Title"/>
        <w:spacing w:before="0"/>
        <w:rPr>
          <w:sz w:val="28"/>
          <w:szCs w:val="28"/>
        </w:rPr>
      </w:pPr>
      <w:r w:rsidRPr="00A7066E">
        <w:rPr>
          <w:sz w:val="28"/>
          <w:szCs w:val="28"/>
        </w:rPr>
        <w:t>Evaluating</w:t>
      </w:r>
      <w:r w:rsidR="004D6F21">
        <w:rPr>
          <w:sz w:val="28"/>
          <w:szCs w:val="28"/>
        </w:rPr>
        <w:t xml:space="preserve"> an</w:t>
      </w:r>
      <w:r w:rsidRPr="00A7066E">
        <w:rPr>
          <w:sz w:val="28"/>
          <w:szCs w:val="28"/>
        </w:rPr>
        <w:t xml:space="preserve"> </w:t>
      </w:r>
      <w:r w:rsidR="00BA7E95">
        <w:rPr>
          <w:sz w:val="28"/>
          <w:szCs w:val="28"/>
        </w:rPr>
        <w:t>intervention to reduce risky driving behaviours</w:t>
      </w:r>
      <w:r w:rsidRPr="00A7066E">
        <w:rPr>
          <w:sz w:val="28"/>
          <w:szCs w:val="28"/>
        </w:rPr>
        <w:t>: Taking the fear out of Virtual Reality</w:t>
      </w:r>
    </w:p>
    <w:p w14:paraId="5C18B40A" w14:textId="7232B77C" w:rsidR="00FA0CEB" w:rsidRPr="00FA0CEB" w:rsidRDefault="00FA0CEB" w:rsidP="00FA0CEB">
      <w:pPr>
        <w:pStyle w:val="Subtitle"/>
        <w:rPr>
          <w:lang w:val="it-IT"/>
        </w:rPr>
      </w:pPr>
      <w:r w:rsidRPr="00FA0CEB">
        <w:rPr>
          <w:sz w:val="22"/>
          <w:szCs w:val="22"/>
          <w:lang w:val="it-IT"/>
        </w:rPr>
        <w:t>Clara Alida Cutello</w:t>
      </w:r>
      <w:r w:rsidRPr="00FA0CEB">
        <w:rPr>
          <w:vertAlign w:val="superscript"/>
          <w:lang w:val="it-IT"/>
        </w:rPr>
        <w:t>1</w:t>
      </w:r>
      <w:r w:rsidRPr="00FA0CEB">
        <w:rPr>
          <w:sz w:val="22"/>
          <w:szCs w:val="22"/>
          <w:lang w:val="it-IT"/>
        </w:rPr>
        <w:t>, Michaela Gummerum</w:t>
      </w:r>
      <w:r w:rsidRPr="00FA0CEB">
        <w:rPr>
          <w:vertAlign w:val="superscript"/>
          <w:lang w:val="it-IT"/>
        </w:rPr>
        <w:t>2</w:t>
      </w:r>
      <w:r w:rsidRPr="00FA0CEB">
        <w:rPr>
          <w:sz w:val="22"/>
          <w:szCs w:val="22"/>
          <w:lang w:val="it-IT"/>
        </w:rPr>
        <w:t>, Yaniv Hanoch</w:t>
      </w:r>
      <w:r w:rsidRPr="00FA0CEB">
        <w:rPr>
          <w:vertAlign w:val="superscript"/>
          <w:lang w:val="it-IT"/>
        </w:rPr>
        <w:t xml:space="preserve">3 </w:t>
      </w:r>
      <w:r w:rsidRPr="00FA0CEB">
        <w:rPr>
          <w:sz w:val="22"/>
          <w:szCs w:val="22"/>
          <w:lang w:val="it-IT"/>
        </w:rPr>
        <w:t>&amp; Elizabeth Hellier</w:t>
      </w:r>
      <w:r w:rsidRPr="00FA0CEB">
        <w:rPr>
          <w:vertAlign w:val="superscript"/>
          <w:lang w:val="it-IT"/>
        </w:rPr>
        <w:t>1</w:t>
      </w:r>
      <w:r w:rsidRPr="00FA0CEB">
        <w:rPr>
          <w:sz w:val="22"/>
          <w:szCs w:val="22"/>
          <w:lang w:val="it-IT"/>
        </w:rPr>
        <w:t xml:space="preserve"> </w:t>
      </w:r>
    </w:p>
    <w:p w14:paraId="3ABFC484" w14:textId="77777777" w:rsidR="00FA0CEB" w:rsidRPr="00A7066E" w:rsidRDefault="00FA0CEB" w:rsidP="00FA0CEB">
      <w:pPr>
        <w:pStyle w:val="Subtitle"/>
        <w:rPr>
          <w:sz w:val="22"/>
          <w:szCs w:val="22"/>
        </w:rPr>
      </w:pPr>
      <w:r w:rsidRPr="00A7066E">
        <w:rPr>
          <w:sz w:val="22"/>
          <w:szCs w:val="22"/>
          <w:vertAlign w:val="superscript"/>
        </w:rPr>
        <w:t>1</w:t>
      </w:r>
      <w:r w:rsidRPr="00A7066E">
        <w:rPr>
          <w:sz w:val="22"/>
          <w:szCs w:val="22"/>
        </w:rPr>
        <w:t>School of Psychology, University of Plymouth, Plymouth, UK</w:t>
      </w:r>
    </w:p>
    <w:p w14:paraId="69E2D078" w14:textId="77777777" w:rsidR="00FA0CEB" w:rsidRPr="00A7066E" w:rsidRDefault="00FA0CEB" w:rsidP="00FA0CEB">
      <w:pPr>
        <w:pStyle w:val="Subtitle"/>
        <w:rPr>
          <w:sz w:val="22"/>
          <w:szCs w:val="22"/>
        </w:rPr>
      </w:pPr>
      <w:r w:rsidRPr="00A7066E">
        <w:rPr>
          <w:sz w:val="22"/>
          <w:szCs w:val="22"/>
          <w:vertAlign w:val="superscript"/>
        </w:rPr>
        <w:t>2</w:t>
      </w:r>
      <w:r w:rsidRPr="00A7066E">
        <w:rPr>
          <w:sz w:val="22"/>
          <w:szCs w:val="22"/>
        </w:rPr>
        <w:t>School of Psychology, University of Warwick, Coventry, UK</w:t>
      </w:r>
    </w:p>
    <w:p w14:paraId="3D64879A" w14:textId="044FDEDA" w:rsidR="00FA0CEB" w:rsidRPr="00A7066E" w:rsidRDefault="00FA0CEB" w:rsidP="00FA0CEB">
      <w:pPr>
        <w:pStyle w:val="Subtitle"/>
        <w:rPr>
          <w:sz w:val="22"/>
          <w:szCs w:val="22"/>
        </w:rPr>
      </w:pPr>
      <w:r w:rsidRPr="00A7066E">
        <w:rPr>
          <w:sz w:val="22"/>
          <w:szCs w:val="22"/>
          <w:vertAlign w:val="superscript"/>
        </w:rPr>
        <w:t>3</w:t>
      </w:r>
      <w:r>
        <w:rPr>
          <w:sz w:val="22"/>
          <w:szCs w:val="22"/>
        </w:rPr>
        <w:t>Business School,</w:t>
      </w:r>
      <w:r w:rsidRPr="00A7066E">
        <w:rPr>
          <w:sz w:val="22"/>
          <w:szCs w:val="22"/>
        </w:rPr>
        <w:t xml:space="preserve"> University of </w:t>
      </w:r>
      <w:r>
        <w:rPr>
          <w:sz w:val="22"/>
          <w:szCs w:val="22"/>
        </w:rPr>
        <w:t>Southampton</w:t>
      </w:r>
      <w:r w:rsidRPr="00A7066E">
        <w:rPr>
          <w:sz w:val="22"/>
          <w:szCs w:val="22"/>
        </w:rPr>
        <w:t xml:space="preserve">, </w:t>
      </w:r>
      <w:r>
        <w:rPr>
          <w:sz w:val="22"/>
          <w:szCs w:val="22"/>
        </w:rPr>
        <w:t>Southampton</w:t>
      </w:r>
      <w:r w:rsidRPr="00A7066E">
        <w:rPr>
          <w:sz w:val="22"/>
          <w:szCs w:val="22"/>
        </w:rPr>
        <w:t>, UK</w:t>
      </w:r>
    </w:p>
    <w:p w14:paraId="32205899" w14:textId="77777777" w:rsidR="00FA0CEB" w:rsidRPr="00FA0CEB" w:rsidRDefault="00FA0CEB" w:rsidP="00FA0CEB"/>
    <w:p w14:paraId="638C9D86" w14:textId="7282AF35" w:rsidR="007D4FA6" w:rsidRDefault="007D4FA6" w:rsidP="007D4FA6">
      <w:pPr>
        <w:rPr>
          <w:rStyle w:val="Hyperlink"/>
        </w:rPr>
      </w:pPr>
      <w:bookmarkStart w:id="1" w:name="_1fob9te" w:colFirst="0" w:colLast="0"/>
      <w:bookmarkStart w:id="2" w:name="_3znysh7" w:colFirst="0" w:colLast="0"/>
      <w:bookmarkStart w:id="3" w:name="_2et92p0" w:colFirst="0" w:colLast="0"/>
      <w:bookmarkStart w:id="4" w:name="_kfnencrgigvy" w:colFirst="0" w:colLast="0"/>
      <w:bookmarkStart w:id="5" w:name="_2sdl7a3c14r0" w:colFirst="0" w:colLast="0"/>
      <w:bookmarkStart w:id="6" w:name="_fp135qwst4h1" w:colFirst="0" w:colLast="0"/>
      <w:bookmarkStart w:id="7" w:name="_8k3h6speo50e" w:colFirst="0" w:colLast="0"/>
      <w:bookmarkEnd w:id="1"/>
      <w:bookmarkEnd w:id="2"/>
      <w:bookmarkEnd w:id="3"/>
      <w:bookmarkEnd w:id="4"/>
      <w:bookmarkEnd w:id="5"/>
      <w:bookmarkEnd w:id="6"/>
      <w:bookmarkEnd w:id="7"/>
      <w:r>
        <w:t xml:space="preserve">Send correspondence to: Clara Alida Cutello, School of Psychology, University of Plymouth. Email: </w:t>
      </w:r>
      <w:hyperlink r:id="rId10" w:history="1">
        <w:r w:rsidRPr="00680673">
          <w:rPr>
            <w:rStyle w:val="Hyperlink"/>
          </w:rPr>
          <w:t>clara.cutello@plymouth.ac.uk</w:t>
        </w:r>
      </w:hyperlink>
    </w:p>
    <w:p w14:paraId="79A99930" w14:textId="7A66B52E" w:rsidR="007D4FA6" w:rsidRDefault="007D4FA6" w:rsidP="007D4FA6">
      <w:pPr>
        <w:rPr>
          <w:rStyle w:val="Hyperlink"/>
        </w:rPr>
      </w:pPr>
    </w:p>
    <w:p w14:paraId="51419188" w14:textId="5B78F6EE" w:rsidR="007D4FA6" w:rsidRDefault="007D4FA6" w:rsidP="007D4FA6">
      <w:pPr>
        <w:rPr>
          <w:rStyle w:val="Hyperlink"/>
        </w:rPr>
      </w:pPr>
    </w:p>
    <w:p w14:paraId="4AA5F136" w14:textId="5B237BE8" w:rsidR="007D4FA6" w:rsidRDefault="007D4FA6" w:rsidP="007D4FA6">
      <w:pPr>
        <w:rPr>
          <w:rStyle w:val="Hyperlink"/>
        </w:rPr>
      </w:pPr>
    </w:p>
    <w:p w14:paraId="7B556492" w14:textId="77777777" w:rsidR="007D4FA6" w:rsidRPr="00C91E6D" w:rsidRDefault="007D4FA6" w:rsidP="007D4FA6"/>
    <w:p w14:paraId="5AC94E09" w14:textId="24840768" w:rsidR="00161BD3" w:rsidRPr="00101E89" w:rsidRDefault="00161BD3" w:rsidP="007D4FA6">
      <w:pPr>
        <w:pBdr>
          <w:top w:val="nil"/>
          <w:left w:val="nil"/>
          <w:bottom w:val="nil"/>
          <w:right w:val="nil"/>
          <w:between w:val="nil"/>
        </w:pBdr>
        <w:rPr>
          <w:color w:val="000000"/>
        </w:rPr>
      </w:pPr>
    </w:p>
    <w:p w14:paraId="77C39A6A" w14:textId="77777777" w:rsidR="00161BD3" w:rsidRPr="00101E89" w:rsidRDefault="00A42059" w:rsidP="004E6D30">
      <w:pPr>
        <w:pStyle w:val="Heading1"/>
        <w:rPr>
          <w:b w:val="0"/>
        </w:rPr>
      </w:pPr>
      <w:bookmarkStart w:id="8" w:name="_tyjcwt" w:colFirst="0" w:colLast="0"/>
      <w:bookmarkEnd w:id="8"/>
      <w:r w:rsidRPr="00101E89">
        <w:rPr>
          <w:b w:val="0"/>
        </w:rPr>
        <w:lastRenderedPageBreak/>
        <w:t>Abstract</w:t>
      </w:r>
    </w:p>
    <w:p w14:paraId="2607CAF9" w14:textId="2C98AA16" w:rsidR="00161BD3" w:rsidRPr="00101E89" w:rsidRDefault="002208CE" w:rsidP="002208CE">
      <w:pPr>
        <w:pBdr>
          <w:top w:val="nil"/>
          <w:left w:val="nil"/>
          <w:bottom w:val="nil"/>
          <w:right w:val="nil"/>
          <w:between w:val="nil"/>
        </w:pBdr>
        <w:rPr>
          <w:highlight w:val="white"/>
        </w:rPr>
      </w:pPr>
      <w:r w:rsidRPr="00101E89">
        <w:t xml:space="preserve">Educational programs are the most common type of intervention to </w:t>
      </w:r>
      <w:r w:rsidR="00BA7E95">
        <w:t>reduce risky driving behaviour</w:t>
      </w:r>
      <w:r w:rsidRPr="00101E89">
        <w:t>.</w:t>
      </w:r>
      <w:r w:rsidR="000D2909" w:rsidRPr="00101E89">
        <w:t xml:space="preserve"> </w:t>
      </w:r>
      <w:r w:rsidR="00C0431B" w:rsidRPr="00101E89">
        <w:t xml:space="preserve">Their success, however, depends on </w:t>
      </w:r>
      <w:r w:rsidRPr="00101E89">
        <w:t xml:space="preserve">the content of the </w:t>
      </w:r>
      <w:r w:rsidR="0050437C" w:rsidRPr="00101E89">
        <w:t>material</w:t>
      </w:r>
      <w:r w:rsidR="00C0431B" w:rsidRPr="00101E89">
        <w:t xml:space="preserve"> used and the </w:t>
      </w:r>
      <w:r w:rsidR="0050437C" w:rsidRPr="00101E89">
        <w:t>mode</w:t>
      </w:r>
      <w:r w:rsidR="00C0431B" w:rsidRPr="00101E89">
        <w:t xml:space="preserve"> of delivery. In the present study, we examined </w:t>
      </w:r>
      <w:r w:rsidR="00A42059" w:rsidRPr="00101E89">
        <w:rPr>
          <w:highlight w:val="white"/>
        </w:rPr>
        <w:t xml:space="preserve">the impact of fear vs positively-framed road safety films </w:t>
      </w:r>
      <w:r w:rsidR="000D2909" w:rsidRPr="00101E89">
        <w:rPr>
          <w:highlight w:val="white"/>
        </w:rPr>
        <w:t>and</w:t>
      </w:r>
      <w:r w:rsidR="00A42059" w:rsidRPr="00101E89">
        <w:rPr>
          <w:highlight w:val="white"/>
        </w:rPr>
        <w:t xml:space="preserve"> traditional technologies (2D) vs emerging technologies (VR) on young drivers’ </w:t>
      </w:r>
      <w:r w:rsidR="00C0431B" w:rsidRPr="00101E89">
        <w:rPr>
          <w:highlight w:val="white"/>
        </w:rPr>
        <w:t>self-reported</w:t>
      </w:r>
      <w:r w:rsidR="007158F0" w:rsidRPr="00101E89">
        <w:rPr>
          <w:highlight w:val="white"/>
        </w:rPr>
        <w:t xml:space="preserve"> </w:t>
      </w:r>
      <w:r w:rsidR="00A42059" w:rsidRPr="00101E89">
        <w:rPr>
          <w:highlight w:val="white"/>
        </w:rPr>
        <w:t xml:space="preserve">risky driving behaviours. </w:t>
      </w:r>
      <w:r w:rsidR="00A33BC7" w:rsidRPr="00101E89">
        <w:t xml:space="preserve">One hundred and forty-six </w:t>
      </w:r>
      <w:r w:rsidR="00A33BC7">
        <w:t xml:space="preserve">university students </w:t>
      </w:r>
      <w:r w:rsidR="00A33BC7" w:rsidRPr="00CD2D92">
        <w:rPr>
          <w:rFonts w:eastAsia="Arial"/>
        </w:rPr>
        <w:t xml:space="preserve">completed </w:t>
      </w:r>
      <w:r w:rsidR="00A33BC7">
        <w:rPr>
          <w:rFonts w:eastAsia="Arial"/>
        </w:rPr>
        <w:t>a similar</w:t>
      </w:r>
      <w:r w:rsidR="00A33BC7" w:rsidRPr="00CD2D92">
        <w:rPr>
          <w:rFonts w:eastAsia="Arial"/>
        </w:rPr>
        <w:t xml:space="preserve"> set of questionnaires pre-</w:t>
      </w:r>
      <w:r w:rsidR="007B20B4">
        <w:rPr>
          <w:rFonts w:eastAsia="Arial"/>
        </w:rPr>
        <w:t xml:space="preserve">intervention </w:t>
      </w:r>
      <w:r w:rsidR="00A33BC7" w:rsidRPr="00CD2D92">
        <w:rPr>
          <w:rFonts w:eastAsia="Arial"/>
        </w:rPr>
        <w:t>and post-intervention</w:t>
      </w:r>
      <w:r w:rsidR="007B20B4">
        <w:rPr>
          <w:rFonts w:eastAsia="Arial"/>
        </w:rPr>
        <w:t xml:space="preserve">, two weeks later. In addition, they </w:t>
      </w:r>
      <w:r w:rsidR="00A33BC7">
        <w:t xml:space="preserve">were randomly assigned to </w:t>
      </w:r>
      <w:r w:rsidR="00A33BC7" w:rsidRPr="00101E89">
        <w:t>one of the four experimental conditions</w:t>
      </w:r>
      <w:r w:rsidR="007B20B4">
        <w:t xml:space="preserve"> (VR versus 2D; positive versus negative)</w:t>
      </w:r>
      <w:r w:rsidR="00A33BC7" w:rsidRPr="00101E89">
        <w:t>. In the VR conditions the film was presented using a</w:t>
      </w:r>
      <w:r w:rsidR="00D33F28">
        <w:t>n</w:t>
      </w:r>
      <w:r w:rsidR="00A33BC7" w:rsidRPr="00101E89">
        <w:t xml:space="preserve"> HTC VIVE Virtual Reality headset. In the 2D conditions the film was presented on a computer screen. </w:t>
      </w:r>
      <w:r w:rsidR="007B20B4">
        <w:rPr>
          <w:rFonts w:eastAsia="Arial"/>
        </w:rPr>
        <w:t>M</w:t>
      </w:r>
      <w:r w:rsidR="007B20B4" w:rsidRPr="00CD2D92">
        <w:rPr>
          <w:rFonts w:eastAsia="Arial"/>
        </w:rPr>
        <w:t>easure</w:t>
      </w:r>
      <w:r w:rsidR="007B20B4">
        <w:rPr>
          <w:rFonts w:eastAsia="Arial"/>
        </w:rPr>
        <w:t>s evaluating</w:t>
      </w:r>
      <w:r w:rsidR="007B20B4" w:rsidRPr="00CD2D92">
        <w:rPr>
          <w:rFonts w:eastAsia="Arial"/>
        </w:rPr>
        <w:t xml:space="preserve"> attitudes towards risky driving behaviour</w:t>
      </w:r>
      <w:r w:rsidR="007B20B4">
        <w:rPr>
          <w:rFonts w:eastAsia="Arial"/>
        </w:rPr>
        <w:t xml:space="preserve"> were completed at both time frames</w:t>
      </w:r>
      <w:r w:rsidR="007B20B4" w:rsidRPr="00CD2D92">
        <w:rPr>
          <w:rFonts w:eastAsia="Arial"/>
        </w:rPr>
        <w:t xml:space="preserve">, questions regarding the </w:t>
      </w:r>
      <w:r w:rsidR="007B20B4">
        <w:rPr>
          <w:rFonts w:eastAsia="Arial"/>
        </w:rPr>
        <w:t>participants</w:t>
      </w:r>
      <w:r w:rsidR="007B20B4" w:rsidRPr="00CD2D92">
        <w:rPr>
          <w:rFonts w:eastAsia="Arial"/>
        </w:rPr>
        <w:t xml:space="preserve">' </w:t>
      </w:r>
      <w:r w:rsidR="007B20B4">
        <w:rPr>
          <w:rFonts w:eastAsia="Arial"/>
        </w:rPr>
        <w:t xml:space="preserve">emotional arousal </w:t>
      </w:r>
      <w:r w:rsidR="00BA7E95">
        <w:rPr>
          <w:rFonts w:eastAsia="Arial"/>
        </w:rPr>
        <w:t>were asked at pre-intervention</w:t>
      </w:r>
      <w:r w:rsidR="00CC1DB3">
        <w:rPr>
          <w:rFonts w:eastAsia="Arial"/>
        </w:rPr>
        <w:t xml:space="preserve"> as a manipulation check</w:t>
      </w:r>
      <w:r w:rsidR="00BA7E95">
        <w:rPr>
          <w:rFonts w:eastAsia="Arial"/>
        </w:rPr>
        <w:t xml:space="preserve">, </w:t>
      </w:r>
      <w:r w:rsidR="007B20B4">
        <w:rPr>
          <w:rFonts w:eastAsia="Arial"/>
        </w:rPr>
        <w:t xml:space="preserve">and </w:t>
      </w:r>
      <w:r w:rsidR="00BA7E95">
        <w:rPr>
          <w:rFonts w:eastAsia="Arial"/>
        </w:rPr>
        <w:t xml:space="preserve">questions regarding </w:t>
      </w:r>
      <w:r w:rsidR="007B20B4" w:rsidRPr="00101E89">
        <w:rPr>
          <w:highlight w:val="white"/>
          <w:lang w:val="en-GB"/>
        </w:rPr>
        <w:t>willingness to take risks in potentially dangerous driving situations</w:t>
      </w:r>
      <w:r w:rsidR="007B20B4" w:rsidRPr="00CD2D92">
        <w:rPr>
          <w:rFonts w:eastAsia="Arial"/>
        </w:rPr>
        <w:t xml:space="preserve"> </w:t>
      </w:r>
      <w:r w:rsidR="007B20B4">
        <w:rPr>
          <w:rFonts w:eastAsia="Arial"/>
        </w:rPr>
        <w:t>were asked at follow-up</w:t>
      </w:r>
      <w:r w:rsidR="007B20B4" w:rsidRPr="00CD2D92">
        <w:rPr>
          <w:rFonts w:eastAsia="Arial"/>
        </w:rPr>
        <w:t xml:space="preserve">. </w:t>
      </w:r>
      <w:r w:rsidR="00A42059" w:rsidRPr="00101E89">
        <w:rPr>
          <w:highlight w:val="white"/>
        </w:rPr>
        <w:t xml:space="preserve">The findings indicate that </w:t>
      </w:r>
      <w:r w:rsidR="002938DD" w:rsidRPr="00101E89">
        <w:rPr>
          <w:highlight w:val="white"/>
        </w:rPr>
        <w:t xml:space="preserve">the positively-framed films </w:t>
      </w:r>
      <w:r w:rsidR="00C0431B" w:rsidRPr="00101E89">
        <w:rPr>
          <w:highlight w:val="white"/>
        </w:rPr>
        <w:t>significantly decreased self-reported</w:t>
      </w:r>
      <w:r w:rsidR="002938DD" w:rsidRPr="00101E89">
        <w:rPr>
          <w:highlight w:val="white"/>
        </w:rPr>
        <w:t xml:space="preserve"> risky driving behaviours</w:t>
      </w:r>
      <w:r w:rsidR="00C0431B" w:rsidRPr="00101E89">
        <w:rPr>
          <w:highlight w:val="white"/>
        </w:rPr>
        <w:t xml:space="preserve"> in both modalities</w:t>
      </w:r>
      <w:r w:rsidR="002938DD" w:rsidRPr="00101E89">
        <w:rPr>
          <w:highlight w:val="white"/>
        </w:rPr>
        <w:t xml:space="preserve">, </w:t>
      </w:r>
      <w:r w:rsidR="00C0431B" w:rsidRPr="00101E89">
        <w:rPr>
          <w:highlight w:val="white"/>
        </w:rPr>
        <w:t xml:space="preserve">but </w:t>
      </w:r>
      <w:r w:rsidR="002938DD" w:rsidRPr="00101E89">
        <w:rPr>
          <w:highlight w:val="white"/>
        </w:rPr>
        <w:t xml:space="preserve">especially when </w:t>
      </w:r>
      <w:r w:rsidR="00C0431B" w:rsidRPr="00101E89">
        <w:rPr>
          <w:highlight w:val="white"/>
        </w:rPr>
        <w:t xml:space="preserve">viewed in </w:t>
      </w:r>
      <w:r w:rsidR="002938DD" w:rsidRPr="00101E89">
        <w:rPr>
          <w:highlight w:val="white"/>
        </w:rPr>
        <w:t>VR</w:t>
      </w:r>
      <w:r w:rsidR="00C0431B" w:rsidRPr="00101E89">
        <w:rPr>
          <w:highlight w:val="white"/>
        </w:rPr>
        <w:t xml:space="preserve"> format</w:t>
      </w:r>
      <w:r w:rsidR="002938DD" w:rsidRPr="00101E89">
        <w:rPr>
          <w:highlight w:val="white"/>
        </w:rPr>
        <w:t xml:space="preserve">. </w:t>
      </w:r>
      <w:r w:rsidR="00C0431B" w:rsidRPr="00101E89">
        <w:rPr>
          <w:highlight w:val="white"/>
        </w:rPr>
        <w:t xml:space="preserve">In contrast, </w:t>
      </w:r>
      <w:r w:rsidRPr="00101E89">
        <w:rPr>
          <w:highlight w:val="white"/>
        </w:rPr>
        <w:t xml:space="preserve">the </w:t>
      </w:r>
      <w:r w:rsidR="00A42059" w:rsidRPr="00101E89">
        <w:rPr>
          <w:highlight w:val="white"/>
        </w:rPr>
        <w:t xml:space="preserve">fear appeal film, when shown in VR, </w:t>
      </w:r>
      <w:r w:rsidR="00C0431B" w:rsidRPr="00101E89">
        <w:rPr>
          <w:highlight w:val="white"/>
        </w:rPr>
        <w:t xml:space="preserve">failed to reduce risky driving behaviours, and in fact, </w:t>
      </w:r>
      <w:r w:rsidR="00A42059" w:rsidRPr="00101E89">
        <w:rPr>
          <w:highlight w:val="white"/>
        </w:rPr>
        <w:t xml:space="preserve">increased young drivers’ </w:t>
      </w:r>
      <w:r w:rsidR="00C0431B" w:rsidRPr="00101E89">
        <w:rPr>
          <w:highlight w:val="white"/>
        </w:rPr>
        <w:t>self-reported</w:t>
      </w:r>
      <w:r w:rsidR="007158F0" w:rsidRPr="00101E89">
        <w:rPr>
          <w:highlight w:val="white"/>
        </w:rPr>
        <w:t xml:space="preserve"> </w:t>
      </w:r>
      <w:r w:rsidR="00A42059" w:rsidRPr="00101E89">
        <w:rPr>
          <w:highlight w:val="white"/>
        </w:rPr>
        <w:t>risky driving behaviours. Theoretical frameworks regarding the strengths and weaknesses of fear appeals and positively-framed appeals are discuss</w:t>
      </w:r>
      <w:r w:rsidR="007158F0" w:rsidRPr="00101E89">
        <w:rPr>
          <w:highlight w:val="white"/>
        </w:rPr>
        <w:t>ed</w:t>
      </w:r>
      <w:r w:rsidR="00A42059" w:rsidRPr="00101E89">
        <w:rPr>
          <w:highlight w:val="white"/>
        </w:rPr>
        <w:t xml:space="preserve"> to aid future research</w:t>
      </w:r>
      <w:r w:rsidR="00784522">
        <w:rPr>
          <w:highlight w:val="white"/>
        </w:rPr>
        <w:t xml:space="preserve"> to reduce risky driving</w:t>
      </w:r>
      <w:r w:rsidR="00A42059" w:rsidRPr="00101E89">
        <w:rPr>
          <w:highlight w:val="white"/>
        </w:rPr>
        <w:t xml:space="preserve">. Practical implications </w:t>
      </w:r>
      <w:r w:rsidR="007158F0" w:rsidRPr="00101E89">
        <w:rPr>
          <w:highlight w:val="white"/>
        </w:rPr>
        <w:t>on</w:t>
      </w:r>
      <w:r w:rsidR="00A42059" w:rsidRPr="00101E89">
        <w:rPr>
          <w:highlight w:val="white"/>
        </w:rPr>
        <w:t xml:space="preserve"> the future usage of VR are also considered. </w:t>
      </w:r>
    </w:p>
    <w:p w14:paraId="3C1007DB" w14:textId="77777777" w:rsidR="00161BD3" w:rsidRPr="00101E89" w:rsidRDefault="00161BD3" w:rsidP="005C32D0">
      <w:pPr>
        <w:pBdr>
          <w:top w:val="nil"/>
          <w:left w:val="nil"/>
          <w:bottom w:val="nil"/>
          <w:right w:val="nil"/>
          <w:between w:val="nil"/>
        </w:pBdr>
        <w:rPr>
          <w:highlight w:val="white"/>
        </w:rPr>
      </w:pPr>
    </w:p>
    <w:p w14:paraId="4E0A42AF" w14:textId="73830AFA" w:rsidR="00161BD3" w:rsidRPr="00101E89" w:rsidRDefault="005C32D0" w:rsidP="004E6D30">
      <w:pPr>
        <w:pBdr>
          <w:top w:val="nil"/>
          <w:left w:val="nil"/>
          <w:bottom w:val="nil"/>
          <w:right w:val="nil"/>
          <w:between w:val="nil"/>
        </w:pBdr>
        <w:rPr>
          <w:color w:val="000000"/>
        </w:rPr>
      </w:pPr>
      <w:r w:rsidRPr="00CD2D92">
        <w:rPr>
          <w:rFonts w:eastAsia="Arial"/>
          <w:b/>
          <w:i/>
        </w:rPr>
        <w:t>Keywords</w:t>
      </w:r>
      <w:r w:rsidRPr="00CD2D92">
        <w:rPr>
          <w:rFonts w:eastAsia="Arial"/>
          <w:i/>
        </w:rPr>
        <w:t>:</w:t>
      </w:r>
      <w:r w:rsidRPr="00CD2D92">
        <w:rPr>
          <w:rFonts w:eastAsia="Arial"/>
        </w:rPr>
        <w:t xml:space="preserve"> </w:t>
      </w:r>
      <w:r w:rsidR="00A42059" w:rsidRPr="00101E89">
        <w:t>fear appeals</w:t>
      </w:r>
      <w:r w:rsidR="00A42059" w:rsidRPr="00101E89">
        <w:rPr>
          <w:color w:val="000000"/>
        </w:rPr>
        <w:t xml:space="preserve">, </w:t>
      </w:r>
      <w:r w:rsidR="00A42059" w:rsidRPr="00101E89">
        <w:t xml:space="preserve">positively-framed appeals, risky driving, </w:t>
      </w:r>
      <w:r>
        <w:t xml:space="preserve">virtual reality, young drivers </w:t>
      </w:r>
    </w:p>
    <w:p w14:paraId="7AAD2384" w14:textId="77777777" w:rsidR="00161BD3" w:rsidRPr="00101E89" w:rsidRDefault="00161BD3" w:rsidP="004E6D30">
      <w:pPr>
        <w:pStyle w:val="Heading1"/>
        <w:rPr>
          <w:b w:val="0"/>
        </w:rPr>
      </w:pPr>
      <w:bookmarkStart w:id="9" w:name="_3dy6vkm" w:colFirst="0" w:colLast="0"/>
      <w:bookmarkEnd w:id="9"/>
    </w:p>
    <w:p w14:paraId="5F386707" w14:textId="77777777" w:rsidR="00161BD3" w:rsidRPr="00101E89" w:rsidRDefault="00A42059" w:rsidP="004E6D30">
      <w:pPr>
        <w:pStyle w:val="Heading1"/>
        <w:rPr>
          <w:b w:val="0"/>
        </w:rPr>
      </w:pPr>
      <w:bookmarkStart w:id="10" w:name="_1t3h5sf" w:colFirst="0" w:colLast="0"/>
      <w:bookmarkEnd w:id="10"/>
      <w:r w:rsidRPr="00101E89">
        <w:br w:type="page"/>
      </w:r>
    </w:p>
    <w:p w14:paraId="11D55CED" w14:textId="77777777" w:rsidR="00161BD3" w:rsidRPr="00101E89" w:rsidRDefault="00A42059" w:rsidP="004E6D30">
      <w:pPr>
        <w:pStyle w:val="Heading1"/>
        <w:jc w:val="left"/>
        <w:rPr>
          <w:highlight w:val="white"/>
        </w:rPr>
      </w:pPr>
      <w:bookmarkStart w:id="11" w:name="_4d34og8" w:colFirst="0" w:colLast="0"/>
      <w:bookmarkStart w:id="12" w:name="_tlcupegaafsu" w:colFirst="0" w:colLast="0"/>
      <w:bookmarkEnd w:id="11"/>
      <w:bookmarkEnd w:id="12"/>
      <w:r w:rsidRPr="00101E89">
        <w:lastRenderedPageBreak/>
        <w:t>1. Introduction</w:t>
      </w:r>
    </w:p>
    <w:p w14:paraId="415A9A5C" w14:textId="7048167F" w:rsidR="00161BD3" w:rsidRPr="00101E89" w:rsidRDefault="00A42059" w:rsidP="004E6D30">
      <w:pPr>
        <w:rPr>
          <w:highlight w:val="white"/>
        </w:rPr>
      </w:pPr>
      <w:r w:rsidRPr="00101E89">
        <w:rPr>
          <w:highlight w:val="white"/>
        </w:rPr>
        <w:t>With over 1 million people dying in road traffic collisions globally, and young novice drivers (aged 15–25</w:t>
      </w:r>
      <w:r w:rsidR="002B6F38">
        <w:rPr>
          <w:highlight w:val="white"/>
        </w:rPr>
        <w:t xml:space="preserve"> years</w:t>
      </w:r>
      <w:r w:rsidRPr="00101E89">
        <w:rPr>
          <w:highlight w:val="white"/>
        </w:rPr>
        <w:t>) accounting for 48% of road deaths worldwide (</w:t>
      </w:r>
      <w:r w:rsidR="0037045A" w:rsidRPr="00101E89">
        <w:rPr>
          <w:highlight w:val="white"/>
        </w:rPr>
        <w:t>World Health Organization</w:t>
      </w:r>
      <w:r w:rsidRPr="00101E89">
        <w:rPr>
          <w:highlight w:val="white"/>
        </w:rPr>
        <w:t>, 201</w:t>
      </w:r>
      <w:r w:rsidR="00D33F28">
        <w:rPr>
          <w:highlight w:val="white"/>
        </w:rPr>
        <w:t>9</w:t>
      </w:r>
      <w:r w:rsidRPr="00101E89">
        <w:rPr>
          <w:highlight w:val="white"/>
        </w:rPr>
        <w:t xml:space="preserve">), finding </w:t>
      </w:r>
      <w:r w:rsidR="002208CE" w:rsidRPr="00101E89">
        <w:rPr>
          <w:highlight w:val="white"/>
        </w:rPr>
        <w:t xml:space="preserve">a </w:t>
      </w:r>
      <w:r w:rsidRPr="00101E89">
        <w:rPr>
          <w:highlight w:val="white"/>
        </w:rPr>
        <w:t>mean</w:t>
      </w:r>
      <w:r w:rsidR="007158F0" w:rsidRPr="00101E89">
        <w:rPr>
          <w:highlight w:val="white"/>
        </w:rPr>
        <w:t>s</w:t>
      </w:r>
      <w:r w:rsidRPr="00101E89">
        <w:rPr>
          <w:highlight w:val="white"/>
        </w:rPr>
        <w:t xml:space="preserve"> </w:t>
      </w:r>
      <w:r w:rsidR="002208CE" w:rsidRPr="00101E89">
        <w:rPr>
          <w:highlight w:val="white"/>
        </w:rPr>
        <w:t xml:space="preserve">of </w:t>
      </w:r>
      <w:r w:rsidR="004B1716">
        <w:rPr>
          <w:highlight w:val="white"/>
        </w:rPr>
        <w:t xml:space="preserve">reducing risky driving and </w:t>
      </w:r>
      <w:r w:rsidR="002208CE" w:rsidRPr="00101E89">
        <w:rPr>
          <w:highlight w:val="white"/>
        </w:rPr>
        <w:t>improving young driver</w:t>
      </w:r>
      <w:r w:rsidR="0059329E" w:rsidRPr="00101E89">
        <w:rPr>
          <w:highlight w:val="white"/>
        </w:rPr>
        <w:t>s’</w:t>
      </w:r>
      <w:r w:rsidR="002208CE" w:rsidRPr="00101E89">
        <w:rPr>
          <w:highlight w:val="white"/>
        </w:rPr>
        <w:t xml:space="preserve"> safety </w:t>
      </w:r>
      <w:r w:rsidRPr="00101E89">
        <w:rPr>
          <w:highlight w:val="white"/>
        </w:rPr>
        <w:t xml:space="preserve">is of vital importance. While there </w:t>
      </w:r>
      <w:r w:rsidR="00C0431B" w:rsidRPr="00101E89">
        <w:rPr>
          <w:highlight w:val="white"/>
        </w:rPr>
        <w:t>are</w:t>
      </w:r>
      <w:r w:rsidRPr="00101E89">
        <w:rPr>
          <w:highlight w:val="white"/>
        </w:rPr>
        <w:t xml:space="preserve"> </w:t>
      </w:r>
      <w:r w:rsidR="0059329E" w:rsidRPr="00101E89">
        <w:rPr>
          <w:highlight w:val="white"/>
        </w:rPr>
        <w:t xml:space="preserve">a </w:t>
      </w:r>
      <w:r w:rsidRPr="00101E89">
        <w:rPr>
          <w:highlight w:val="white"/>
        </w:rPr>
        <w:t xml:space="preserve">plethora of </w:t>
      </w:r>
      <w:r w:rsidR="002208CE" w:rsidRPr="00101E89">
        <w:t xml:space="preserve">safe driving </w:t>
      </w:r>
      <w:r w:rsidR="004E645C" w:rsidRPr="00101E89">
        <w:t xml:space="preserve">interventions </w:t>
      </w:r>
      <w:r w:rsidRPr="00101E89">
        <w:rPr>
          <w:highlight w:val="white"/>
        </w:rPr>
        <w:t xml:space="preserve">targeted </w:t>
      </w:r>
      <w:r w:rsidR="007158F0" w:rsidRPr="00101E89">
        <w:rPr>
          <w:highlight w:val="white"/>
        </w:rPr>
        <w:t xml:space="preserve">at reducing </w:t>
      </w:r>
      <w:r w:rsidRPr="00101E89">
        <w:rPr>
          <w:highlight w:val="white"/>
        </w:rPr>
        <w:t>young drivers’ risky driving behaviours, their success has varied</w:t>
      </w:r>
      <w:r w:rsidR="002164BF" w:rsidRPr="00101E89">
        <w:rPr>
          <w:highlight w:val="white"/>
        </w:rPr>
        <w:t xml:space="preserve"> </w:t>
      </w:r>
      <w:r w:rsidR="009E64A0" w:rsidRPr="00101E89">
        <w:rPr>
          <w:highlight w:val="white"/>
        </w:rPr>
        <w:t>(</w:t>
      </w:r>
      <w:r w:rsidR="00C42196" w:rsidRPr="00101E89">
        <w:rPr>
          <w:highlight w:val="white"/>
        </w:rPr>
        <w:t xml:space="preserve">Peck, 2011; </w:t>
      </w:r>
      <w:r w:rsidR="009E64A0" w:rsidRPr="00101E89">
        <w:rPr>
          <w:highlight w:val="white"/>
        </w:rPr>
        <w:t xml:space="preserve">Raftery &amp; </w:t>
      </w:r>
      <w:r w:rsidR="009E64A0" w:rsidRPr="00101E89">
        <w:t>Wundersitz</w:t>
      </w:r>
      <w:r w:rsidR="00C42196" w:rsidRPr="00101E89">
        <w:rPr>
          <w:highlight w:val="white"/>
        </w:rPr>
        <w:t>, 2011</w:t>
      </w:r>
      <w:r w:rsidR="002208CE" w:rsidRPr="00101E89">
        <w:rPr>
          <w:highlight w:val="white"/>
        </w:rPr>
        <w:t xml:space="preserve">). </w:t>
      </w:r>
      <w:r w:rsidR="00C0431B" w:rsidRPr="00101E89">
        <w:rPr>
          <w:highlight w:val="white"/>
        </w:rPr>
        <w:t>Here</w:t>
      </w:r>
      <w:r w:rsidR="0045007B" w:rsidRPr="00101E89">
        <w:rPr>
          <w:highlight w:val="white"/>
        </w:rPr>
        <w:t>, we examined the impact of fear</w:t>
      </w:r>
      <w:r w:rsidR="0037045A" w:rsidRPr="00101E89">
        <w:rPr>
          <w:highlight w:val="white"/>
        </w:rPr>
        <w:t xml:space="preserve"> </w:t>
      </w:r>
      <w:r w:rsidR="0045007B" w:rsidRPr="00101E89">
        <w:rPr>
          <w:highlight w:val="white"/>
        </w:rPr>
        <w:t>v</w:t>
      </w:r>
      <w:r w:rsidR="002B6F38">
        <w:rPr>
          <w:highlight w:val="white"/>
        </w:rPr>
        <w:t>er</w:t>
      </w:r>
      <w:r w:rsidR="0045007B" w:rsidRPr="00101E89">
        <w:rPr>
          <w:highlight w:val="white"/>
        </w:rPr>
        <w:t>s</w:t>
      </w:r>
      <w:r w:rsidR="002B6F38">
        <w:rPr>
          <w:highlight w:val="white"/>
        </w:rPr>
        <w:t>us</w:t>
      </w:r>
      <w:r w:rsidR="0045007B" w:rsidRPr="00101E89">
        <w:rPr>
          <w:highlight w:val="white"/>
        </w:rPr>
        <w:t xml:space="preserve"> positively-framed appeals as well as traditional technologies (2D) v</w:t>
      </w:r>
      <w:r w:rsidR="002B6F38">
        <w:rPr>
          <w:highlight w:val="white"/>
        </w:rPr>
        <w:t>er</w:t>
      </w:r>
      <w:r w:rsidR="0045007B" w:rsidRPr="00101E89">
        <w:rPr>
          <w:highlight w:val="white"/>
        </w:rPr>
        <w:t>s</w:t>
      </w:r>
      <w:r w:rsidR="002B6F38">
        <w:rPr>
          <w:highlight w:val="white"/>
        </w:rPr>
        <w:t>us</w:t>
      </w:r>
      <w:r w:rsidR="0045007B" w:rsidRPr="00101E89">
        <w:rPr>
          <w:highlight w:val="white"/>
        </w:rPr>
        <w:t xml:space="preserve"> emerging technologies (VR) on young drivers’ </w:t>
      </w:r>
      <w:r w:rsidR="0059329E" w:rsidRPr="00101E89">
        <w:rPr>
          <w:highlight w:val="white"/>
        </w:rPr>
        <w:t>(</w:t>
      </w:r>
      <w:r w:rsidR="0045007B" w:rsidRPr="00101E89">
        <w:rPr>
          <w:highlight w:val="white"/>
        </w:rPr>
        <w:t>self</w:t>
      </w:r>
      <w:r w:rsidR="0037045A" w:rsidRPr="00101E89">
        <w:rPr>
          <w:highlight w:val="white"/>
        </w:rPr>
        <w:t>-</w:t>
      </w:r>
      <w:r w:rsidR="0045007B" w:rsidRPr="00101E89">
        <w:rPr>
          <w:highlight w:val="white"/>
        </w:rPr>
        <w:t>reported</w:t>
      </w:r>
      <w:r w:rsidR="0059329E" w:rsidRPr="00101E89">
        <w:rPr>
          <w:highlight w:val="white"/>
        </w:rPr>
        <w:t>)</w:t>
      </w:r>
      <w:r w:rsidR="0045007B" w:rsidRPr="00101E89">
        <w:rPr>
          <w:highlight w:val="white"/>
        </w:rPr>
        <w:t xml:space="preserve"> risky driving behaviours.</w:t>
      </w:r>
      <w:r w:rsidR="0037045A" w:rsidRPr="00101E89">
        <w:rPr>
          <w:highlight w:val="white"/>
        </w:rPr>
        <w:t xml:space="preserve"> Ultimately, examining the impact of these variables on </w:t>
      </w:r>
      <w:r w:rsidR="002208CE" w:rsidRPr="00101E89">
        <w:rPr>
          <w:highlight w:val="white"/>
        </w:rPr>
        <w:t xml:space="preserve">the effectiveness of safe driving </w:t>
      </w:r>
      <w:r w:rsidR="004E645C" w:rsidRPr="00101E89">
        <w:rPr>
          <w:highlight w:val="white"/>
        </w:rPr>
        <w:t xml:space="preserve">interventions </w:t>
      </w:r>
      <w:r w:rsidR="00C0431B" w:rsidRPr="00101E89">
        <w:rPr>
          <w:highlight w:val="white"/>
        </w:rPr>
        <w:t>could impact th</w:t>
      </w:r>
      <w:r w:rsidR="0037045A" w:rsidRPr="00101E89">
        <w:rPr>
          <w:highlight w:val="white"/>
        </w:rPr>
        <w:t>e</w:t>
      </w:r>
      <w:r w:rsidR="004E645C" w:rsidRPr="00101E89">
        <w:rPr>
          <w:highlight w:val="white"/>
        </w:rPr>
        <w:t>ir</w:t>
      </w:r>
      <w:r w:rsidR="0037045A" w:rsidRPr="00101E89">
        <w:rPr>
          <w:highlight w:val="white"/>
        </w:rPr>
        <w:t xml:space="preserve"> development and employment </w:t>
      </w:r>
      <w:r w:rsidR="00C0431B" w:rsidRPr="00101E89">
        <w:t>across the globe</w:t>
      </w:r>
      <w:r w:rsidR="0037045A" w:rsidRPr="00101E89">
        <w:rPr>
          <w:highlight w:val="white"/>
        </w:rPr>
        <w:t>.</w:t>
      </w:r>
    </w:p>
    <w:p w14:paraId="4BE07FFB" w14:textId="59E6D319" w:rsidR="00161BD3" w:rsidRPr="00101E89" w:rsidRDefault="00A42059" w:rsidP="004E6D30">
      <w:pPr>
        <w:ind w:firstLine="720"/>
        <w:rPr>
          <w:highlight w:val="white"/>
        </w:rPr>
      </w:pPr>
      <w:r w:rsidRPr="00101E89">
        <w:rPr>
          <w:highlight w:val="white"/>
        </w:rPr>
        <w:t xml:space="preserve">Most </w:t>
      </w:r>
      <w:r w:rsidR="002208CE" w:rsidRPr="00101E89">
        <w:t xml:space="preserve">safe driving </w:t>
      </w:r>
      <w:r w:rsidR="004E645C" w:rsidRPr="00101E89">
        <w:t>interventions</w:t>
      </w:r>
      <w:r w:rsidR="006E06E5" w:rsidRPr="00101E89" w:rsidDel="006E06E5">
        <w:rPr>
          <w:highlight w:val="white"/>
        </w:rPr>
        <w:t xml:space="preserve"> </w:t>
      </w:r>
      <w:r w:rsidRPr="00101E89">
        <w:rPr>
          <w:highlight w:val="white"/>
        </w:rPr>
        <w:t xml:space="preserve">have utilised fear-based </w:t>
      </w:r>
      <w:r w:rsidR="00C0431B" w:rsidRPr="00101E89">
        <w:rPr>
          <w:highlight w:val="white"/>
        </w:rPr>
        <w:t>materials</w:t>
      </w:r>
      <w:r w:rsidRPr="00101E89">
        <w:rPr>
          <w:highlight w:val="white"/>
        </w:rPr>
        <w:t xml:space="preserve"> and films, which</w:t>
      </w:r>
      <w:r w:rsidR="002208CE" w:rsidRPr="00101E89">
        <w:rPr>
          <w:highlight w:val="white"/>
        </w:rPr>
        <w:t xml:space="preserve"> portray a crash scene </w:t>
      </w:r>
      <w:r w:rsidRPr="00101E89">
        <w:rPr>
          <w:highlight w:val="white"/>
        </w:rPr>
        <w:t>in a graphically explicit manner</w:t>
      </w:r>
      <w:r w:rsidR="002208CE" w:rsidRPr="00101E89">
        <w:rPr>
          <w:highlight w:val="white"/>
        </w:rPr>
        <w:t xml:space="preserve"> </w:t>
      </w:r>
      <w:r w:rsidRPr="00101E89">
        <w:rPr>
          <w:highlight w:val="white"/>
        </w:rPr>
        <w:t xml:space="preserve">(Dejong &amp; Atkin, 1995; </w:t>
      </w:r>
      <w:r w:rsidR="00F3160E" w:rsidRPr="00101E89">
        <w:rPr>
          <w:highlight w:val="white"/>
        </w:rPr>
        <w:t>Tannenbaum et al., 2015</w:t>
      </w:r>
      <w:r w:rsidR="00F3160E">
        <w:rPr>
          <w:highlight w:val="white"/>
        </w:rPr>
        <w:t xml:space="preserve">; </w:t>
      </w:r>
      <w:r w:rsidRPr="00101E89">
        <w:rPr>
          <w:highlight w:val="white"/>
        </w:rPr>
        <w:t>Tay &amp; Watson, 2002). The assumption governing this approach is that arousing a sense of fear</w:t>
      </w:r>
      <w:r w:rsidR="002B6F38">
        <w:rPr>
          <w:highlight w:val="white"/>
        </w:rPr>
        <w:t>,</w:t>
      </w:r>
      <w:r w:rsidRPr="00101E89">
        <w:rPr>
          <w:highlight w:val="white"/>
        </w:rPr>
        <w:t xml:space="preserve"> by depicting a</w:t>
      </w:r>
      <w:r w:rsidR="00C0431B" w:rsidRPr="00101E89">
        <w:rPr>
          <w:highlight w:val="white"/>
        </w:rPr>
        <w:t xml:space="preserve">n extremely </w:t>
      </w:r>
      <w:r w:rsidRPr="00101E89">
        <w:rPr>
          <w:highlight w:val="white"/>
        </w:rPr>
        <w:t>aversive consequence, such as death</w:t>
      </w:r>
      <w:r w:rsidR="002B6F38">
        <w:rPr>
          <w:highlight w:val="white"/>
        </w:rPr>
        <w:t xml:space="preserve">, </w:t>
      </w:r>
      <w:r w:rsidRPr="00101E89">
        <w:rPr>
          <w:highlight w:val="white"/>
        </w:rPr>
        <w:t xml:space="preserve">will persuade </w:t>
      </w:r>
      <w:r w:rsidR="0037045A" w:rsidRPr="00101E89">
        <w:rPr>
          <w:highlight w:val="white"/>
        </w:rPr>
        <w:t>drivers</w:t>
      </w:r>
      <w:r w:rsidRPr="00101E89">
        <w:rPr>
          <w:highlight w:val="white"/>
        </w:rPr>
        <w:t xml:space="preserve"> to alter their </w:t>
      </w:r>
      <w:r w:rsidR="00445678">
        <w:rPr>
          <w:highlight w:val="white"/>
        </w:rPr>
        <w:t xml:space="preserve">risk </w:t>
      </w:r>
      <w:r w:rsidRPr="00101E89">
        <w:rPr>
          <w:highlight w:val="white"/>
        </w:rPr>
        <w:t xml:space="preserve">attitudes, intentions, and behaviours </w:t>
      </w:r>
      <w:r w:rsidR="00685CB2" w:rsidRPr="00101E89">
        <w:rPr>
          <w:highlight w:val="white"/>
        </w:rPr>
        <w:t>and</w:t>
      </w:r>
      <w:r w:rsidR="00445678">
        <w:rPr>
          <w:highlight w:val="white"/>
        </w:rPr>
        <w:t>, thereafter,</w:t>
      </w:r>
      <w:r w:rsidR="00702A09" w:rsidRPr="00101E89">
        <w:rPr>
          <w:highlight w:val="white"/>
        </w:rPr>
        <w:t xml:space="preserve"> drive more </w:t>
      </w:r>
      <w:r w:rsidR="00685CB2" w:rsidRPr="00101E89">
        <w:rPr>
          <w:highlight w:val="white"/>
        </w:rPr>
        <w:t>safely</w:t>
      </w:r>
      <w:r w:rsidR="00702A09" w:rsidRPr="00101E89">
        <w:rPr>
          <w:highlight w:val="white"/>
        </w:rPr>
        <w:t xml:space="preserve"> </w:t>
      </w:r>
      <w:r w:rsidRPr="00101E89">
        <w:rPr>
          <w:highlight w:val="white"/>
        </w:rPr>
        <w:t xml:space="preserve">(Lewis, Watson &amp; White, 2008; Witte &amp; Allen, 2000). Indeed, </w:t>
      </w:r>
      <w:r w:rsidR="0037045A" w:rsidRPr="00101E89">
        <w:rPr>
          <w:highlight w:val="white"/>
        </w:rPr>
        <w:t>when placed in the right context,</w:t>
      </w:r>
      <w:r w:rsidRPr="00101E89">
        <w:rPr>
          <w:highlight w:val="white"/>
        </w:rPr>
        <w:t xml:space="preserve"> </w:t>
      </w:r>
      <w:r w:rsidR="0037045A" w:rsidRPr="00101E89">
        <w:rPr>
          <w:highlight w:val="white"/>
        </w:rPr>
        <w:t>f</w:t>
      </w:r>
      <w:r w:rsidRPr="00101E89">
        <w:rPr>
          <w:highlight w:val="white"/>
        </w:rPr>
        <w:t>ear appeals</w:t>
      </w:r>
      <w:r w:rsidR="0037045A" w:rsidRPr="00101E89">
        <w:rPr>
          <w:highlight w:val="white"/>
        </w:rPr>
        <w:t xml:space="preserve"> </w:t>
      </w:r>
      <w:r w:rsidR="002B6F38" w:rsidRPr="002B6F38">
        <w:t>have been found to lead to</w:t>
      </w:r>
      <w:r w:rsidRPr="00101E89">
        <w:rPr>
          <w:highlight w:val="white"/>
        </w:rPr>
        <w:t xml:space="preserve"> </w:t>
      </w:r>
      <w:proofErr w:type="spellStart"/>
      <w:r w:rsidRPr="00101E89">
        <w:rPr>
          <w:highlight w:val="white"/>
        </w:rPr>
        <w:t>behavioural</w:t>
      </w:r>
      <w:proofErr w:type="spellEnd"/>
      <w:r w:rsidRPr="00101E89">
        <w:rPr>
          <w:highlight w:val="white"/>
        </w:rPr>
        <w:t xml:space="preserve"> change</w:t>
      </w:r>
      <w:r w:rsidR="0037045A" w:rsidRPr="00101E89">
        <w:rPr>
          <w:highlight w:val="white"/>
        </w:rPr>
        <w:t xml:space="preserve"> and </w:t>
      </w:r>
      <w:r w:rsidRPr="00101E89">
        <w:rPr>
          <w:highlight w:val="white"/>
        </w:rPr>
        <w:t xml:space="preserve">reduced risky driving (see Tannenbaum et al., 2015; Witte &amp; Allen, 2000; Xu et al., 2015). </w:t>
      </w:r>
      <w:r w:rsidR="0037045A" w:rsidRPr="00101E89">
        <w:rPr>
          <w:highlight w:val="white"/>
        </w:rPr>
        <w:t>F</w:t>
      </w:r>
      <w:r w:rsidRPr="00101E89">
        <w:rPr>
          <w:highlight w:val="white"/>
        </w:rPr>
        <w:t xml:space="preserve">ear appeals </w:t>
      </w:r>
      <w:r w:rsidR="0037045A" w:rsidRPr="00101E89">
        <w:rPr>
          <w:highlight w:val="white"/>
        </w:rPr>
        <w:t xml:space="preserve">might </w:t>
      </w:r>
      <w:r w:rsidRPr="00101E89">
        <w:rPr>
          <w:highlight w:val="white"/>
        </w:rPr>
        <w:t xml:space="preserve">work </w:t>
      </w:r>
      <w:r w:rsidR="00392B98" w:rsidRPr="00101E89">
        <w:rPr>
          <w:highlight w:val="white"/>
        </w:rPr>
        <w:t xml:space="preserve">because </w:t>
      </w:r>
      <w:r w:rsidRPr="00101E89">
        <w:rPr>
          <w:highlight w:val="white"/>
        </w:rPr>
        <w:t xml:space="preserve">they raise viewers’ awareness of potential risks, attract and hold attention </w:t>
      </w:r>
      <w:r w:rsidR="00392B98" w:rsidRPr="00101E89">
        <w:rPr>
          <w:highlight w:val="white"/>
        </w:rPr>
        <w:t>to</w:t>
      </w:r>
      <w:r w:rsidRPr="00101E89">
        <w:rPr>
          <w:highlight w:val="white"/>
        </w:rPr>
        <w:t xml:space="preserve"> protective information</w:t>
      </w:r>
      <w:r w:rsidR="00392B98" w:rsidRPr="00101E89">
        <w:rPr>
          <w:highlight w:val="white"/>
        </w:rPr>
        <w:t>,</w:t>
      </w:r>
      <w:r w:rsidRPr="00101E89">
        <w:rPr>
          <w:highlight w:val="white"/>
        </w:rPr>
        <w:t xml:space="preserve"> </w:t>
      </w:r>
      <w:r w:rsidR="00392B98" w:rsidRPr="00101E89">
        <w:rPr>
          <w:highlight w:val="white"/>
        </w:rPr>
        <w:t xml:space="preserve">and </w:t>
      </w:r>
      <w:r w:rsidRPr="00101E89">
        <w:rPr>
          <w:highlight w:val="white"/>
        </w:rPr>
        <w:t xml:space="preserve">provide </w:t>
      </w:r>
      <w:r w:rsidR="009045B5" w:rsidRPr="00101E89">
        <w:rPr>
          <w:highlight w:val="white"/>
        </w:rPr>
        <w:t>enough</w:t>
      </w:r>
      <w:r w:rsidRPr="00101E89">
        <w:rPr>
          <w:highlight w:val="white"/>
        </w:rPr>
        <w:t xml:space="preserve"> motivation to avoid engaging in unsafe behaviours (Tay, 2002; Thompson, Barnett &amp; Pearce, 2008). Consistent with this notion</w:t>
      </w:r>
      <w:r w:rsidR="00C46223" w:rsidRPr="00101E89">
        <w:rPr>
          <w:highlight w:val="white"/>
        </w:rPr>
        <w:t xml:space="preserve">, </w:t>
      </w:r>
      <w:r w:rsidRPr="00101E89">
        <w:rPr>
          <w:highlight w:val="white"/>
        </w:rPr>
        <w:t>drivers</w:t>
      </w:r>
      <w:r w:rsidR="0037045A" w:rsidRPr="00101E89">
        <w:rPr>
          <w:highlight w:val="white"/>
        </w:rPr>
        <w:t xml:space="preserve"> perceived </w:t>
      </w:r>
      <w:r w:rsidR="00C53A42">
        <w:rPr>
          <w:highlight w:val="white"/>
        </w:rPr>
        <w:t xml:space="preserve">fear </w:t>
      </w:r>
      <w:r w:rsidRPr="00101E89">
        <w:rPr>
          <w:highlight w:val="white"/>
        </w:rPr>
        <w:t>road safety messages as relatively more ‘attention-grabbing’ and ‘attention-retaining’ than other approaches</w:t>
      </w:r>
      <w:r w:rsidR="00702A09" w:rsidRPr="00101E89">
        <w:rPr>
          <w:highlight w:val="white"/>
        </w:rPr>
        <w:t>, making them more memorable</w:t>
      </w:r>
      <w:r w:rsidRPr="00101E89">
        <w:rPr>
          <w:highlight w:val="white"/>
        </w:rPr>
        <w:t xml:space="preserve"> (Lewis, Watson, White, &amp; Tay, 2007; Tay &amp; de Barros, 2010). </w:t>
      </w:r>
    </w:p>
    <w:p w14:paraId="7E9AA1BD" w14:textId="77777777" w:rsidR="00161BD3" w:rsidRPr="00101E89" w:rsidRDefault="00A42059" w:rsidP="004E6D30">
      <w:pPr>
        <w:ind w:firstLine="720"/>
        <w:rPr>
          <w:highlight w:val="white"/>
        </w:rPr>
      </w:pPr>
      <w:r w:rsidRPr="00101E89">
        <w:rPr>
          <w:highlight w:val="white"/>
        </w:rPr>
        <w:lastRenderedPageBreak/>
        <w:t xml:space="preserve"> </w:t>
      </w:r>
      <w:r w:rsidR="004E645C" w:rsidRPr="00101E89">
        <w:rPr>
          <w:highlight w:val="white"/>
        </w:rPr>
        <w:t>While f</w:t>
      </w:r>
      <w:r w:rsidRPr="00101E89">
        <w:rPr>
          <w:highlight w:val="white"/>
        </w:rPr>
        <w:t xml:space="preserve">ear-based </w:t>
      </w:r>
      <w:r w:rsidR="009045B5" w:rsidRPr="00101E89">
        <w:rPr>
          <w:highlight w:val="white"/>
        </w:rPr>
        <w:t>programs</w:t>
      </w:r>
      <w:r w:rsidRPr="00101E89">
        <w:rPr>
          <w:highlight w:val="white"/>
        </w:rPr>
        <w:t xml:space="preserve"> are the most common educational </w:t>
      </w:r>
      <w:r w:rsidR="004E645C" w:rsidRPr="00101E89">
        <w:rPr>
          <w:highlight w:val="white"/>
        </w:rPr>
        <w:t xml:space="preserve">interventions </w:t>
      </w:r>
      <w:r w:rsidRPr="00101E89">
        <w:rPr>
          <w:highlight w:val="white"/>
        </w:rPr>
        <w:t>used in road safety</w:t>
      </w:r>
      <w:r w:rsidR="00BB4292" w:rsidRPr="00101E89">
        <w:rPr>
          <w:highlight w:val="white"/>
        </w:rPr>
        <w:t xml:space="preserve">, </w:t>
      </w:r>
      <w:r w:rsidRPr="00101E89">
        <w:rPr>
          <w:highlight w:val="white"/>
        </w:rPr>
        <w:t xml:space="preserve">mixed </w:t>
      </w:r>
      <w:r w:rsidR="00BB4292" w:rsidRPr="00101E89">
        <w:rPr>
          <w:highlight w:val="white"/>
        </w:rPr>
        <w:t>findings</w:t>
      </w:r>
      <w:r w:rsidRPr="00101E89">
        <w:rPr>
          <w:highlight w:val="white"/>
        </w:rPr>
        <w:t xml:space="preserve"> have led researchers to </w:t>
      </w:r>
      <w:r w:rsidR="00BB4292" w:rsidRPr="00101E89">
        <w:rPr>
          <w:highlight w:val="white"/>
        </w:rPr>
        <w:t xml:space="preserve">suggest that fear appeals could generate counterproductive results, increasing rather than decreasing risky behaviours </w:t>
      </w:r>
      <w:r w:rsidRPr="00101E89">
        <w:rPr>
          <w:highlight w:val="white"/>
        </w:rPr>
        <w:t xml:space="preserve">(see Blondé &amp; Girandola, 2019; </w:t>
      </w:r>
      <w:r w:rsidR="00BB4292" w:rsidRPr="00101E89">
        <w:rPr>
          <w:highlight w:val="white"/>
        </w:rPr>
        <w:t xml:space="preserve">Carey, McDermott, &amp; Sarma, 2013; Jessop et al., 2008; </w:t>
      </w:r>
      <w:r w:rsidRPr="00101E89">
        <w:rPr>
          <w:highlight w:val="white"/>
        </w:rPr>
        <w:t xml:space="preserve">Kok, Peters, Kessels, Hoor &amp; Ruiter, 2018). </w:t>
      </w:r>
      <w:r w:rsidR="00BB4292" w:rsidRPr="00101E89">
        <w:rPr>
          <w:highlight w:val="white"/>
        </w:rPr>
        <w:t>F</w:t>
      </w:r>
      <w:r w:rsidRPr="00101E89">
        <w:rPr>
          <w:highlight w:val="white"/>
        </w:rPr>
        <w:t xml:space="preserve">or example, fear </w:t>
      </w:r>
      <w:r w:rsidR="00685CB2" w:rsidRPr="00101E89">
        <w:rPr>
          <w:highlight w:val="white"/>
        </w:rPr>
        <w:t xml:space="preserve">appeals </w:t>
      </w:r>
      <w:r w:rsidR="00BB4292" w:rsidRPr="00101E89">
        <w:rPr>
          <w:highlight w:val="white"/>
        </w:rPr>
        <w:t>ha</w:t>
      </w:r>
      <w:r w:rsidR="00685CB2" w:rsidRPr="00101E89">
        <w:rPr>
          <w:highlight w:val="white"/>
        </w:rPr>
        <w:t>ve</w:t>
      </w:r>
      <w:r w:rsidR="00BB4292" w:rsidRPr="00101E89">
        <w:rPr>
          <w:highlight w:val="white"/>
        </w:rPr>
        <w:t xml:space="preserve"> been shown to </w:t>
      </w:r>
      <w:r w:rsidRPr="00101E89">
        <w:rPr>
          <w:highlight w:val="white"/>
        </w:rPr>
        <w:t xml:space="preserve">enhance defensive reactions, which are characterized by avoidance of relevant threatening information and message rejection (Brown &amp; Locker. 2009; Cohn, 1998; Hastings &amp; McFayden, 2002; Kempf &amp; Harmon, 2006). </w:t>
      </w:r>
    </w:p>
    <w:p w14:paraId="0D3BBC89" w14:textId="48BFE6A4" w:rsidR="00161BD3" w:rsidRPr="005D307A" w:rsidRDefault="00A42059" w:rsidP="004B176F">
      <w:pPr>
        <w:ind w:firstLine="720"/>
        <w:rPr>
          <w:highlight w:val="white"/>
          <w:lang w:val="en-US"/>
        </w:rPr>
      </w:pPr>
      <w:r w:rsidRPr="00101E89">
        <w:rPr>
          <w:highlight w:val="white"/>
        </w:rPr>
        <w:t xml:space="preserve"> A parallel line of research</w:t>
      </w:r>
      <w:r w:rsidR="006E06E5" w:rsidRPr="00101E89">
        <w:rPr>
          <w:highlight w:val="white"/>
        </w:rPr>
        <w:t xml:space="preserve"> </w:t>
      </w:r>
      <w:r w:rsidRPr="00101E89">
        <w:rPr>
          <w:highlight w:val="white"/>
        </w:rPr>
        <w:t xml:space="preserve">has championed the use of positive appeals </w:t>
      </w:r>
      <w:r w:rsidR="00A13A96" w:rsidRPr="00101E89">
        <w:rPr>
          <w:highlight w:val="white"/>
        </w:rPr>
        <w:t>(</w:t>
      </w:r>
      <w:r w:rsidR="00BB4292" w:rsidRPr="00101E89">
        <w:rPr>
          <w:highlight w:val="white"/>
        </w:rPr>
        <w:t xml:space="preserve">e.g., </w:t>
      </w:r>
      <w:r w:rsidR="0050437C" w:rsidRPr="00101E89">
        <w:rPr>
          <w:highlight w:val="white"/>
        </w:rPr>
        <w:t>humor</w:t>
      </w:r>
      <w:r w:rsidR="00A13A96" w:rsidRPr="00101E89">
        <w:rPr>
          <w:highlight w:val="white"/>
        </w:rPr>
        <w:t xml:space="preserve">, </w:t>
      </w:r>
      <w:r w:rsidR="0050437C" w:rsidRPr="00101E89">
        <w:rPr>
          <w:highlight w:val="white"/>
        </w:rPr>
        <w:t>empathy</w:t>
      </w:r>
      <w:r w:rsidR="00A13A96" w:rsidRPr="00101E89">
        <w:rPr>
          <w:highlight w:val="white"/>
        </w:rPr>
        <w:t>, role-modeling, compassion</w:t>
      </w:r>
      <w:r w:rsidR="00BB4292" w:rsidRPr="00101E89">
        <w:rPr>
          <w:highlight w:val="white"/>
        </w:rPr>
        <w:t>)</w:t>
      </w:r>
      <w:r w:rsidR="00A13A96" w:rsidRPr="00101E89">
        <w:rPr>
          <w:highlight w:val="white"/>
        </w:rPr>
        <w:t xml:space="preserve"> </w:t>
      </w:r>
      <w:r w:rsidRPr="00101E89">
        <w:rPr>
          <w:highlight w:val="white"/>
        </w:rPr>
        <w:t xml:space="preserve">in road safety </w:t>
      </w:r>
      <w:r w:rsidR="004E645C" w:rsidRPr="00101E89">
        <w:rPr>
          <w:highlight w:val="white"/>
        </w:rPr>
        <w:t>intervention</w:t>
      </w:r>
      <w:r w:rsidRPr="00101E89">
        <w:rPr>
          <w:highlight w:val="white"/>
        </w:rPr>
        <w:t>s</w:t>
      </w:r>
      <w:r w:rsidR="00A13A96" w:rsidRPr="00101E89">
        <w:rPr>
          <w:highlight w:val="white"/>
        </w:rPr>
        <w:t xml:space="preserve"> (Monahan, 1995; Nabi, 2002)</w:t>
      </w:r>
      <w:r w:rsidRPr="00101E89">
        <w:rPr>
          <w:highlight w:val="white"/>
        </w:rPr>
        <w:t>. Lewis et al</w:t>
      </w:r>
      <w:r w:rsidR="0076271C" w:rsidRPr="00101E89">
        <w:rPr>
          <w:highlight w:val="white"/>
        </w:rPr>
        <w:t>.</w:t>
      </w:r>
      <w:r w:rsidRPr="00101E89">
        <w:rPr>
          <w:highlight w:val="white"/>
        </w:rPr>
        <w:t xml:space="preserve"> (200</w:t>
      </w:r>
      <w:r w:rsidR="00B00B97" w:rsidRPr="00101E89">
        <w:rPr>
          <w:highlight w:val="white"/>
        </w:rPr>
        <w:t>8</w:t>
      </w:r>
      <w:r w:rsidRPr="00101E89">
        <w:rPr>
          <w:highlight w:val="white"/>
        </w:rPr>
        <w:t>a) showed that positive</w:t>
      </w:r>
      <w:r w:rsidR="0076271C" w:rsidRPr="00101E89">
        <w:rPr>
          <w:highlight w:val="white"/>
        </w:rPr>
        <w:t xml:space="preserve">, rather than fear, </w:t>
      </w:r>
      <w:r w:rsidRPr="00101E89">
        <w:rPr>
          <w:highlight w:val="white"/>
        </w:rPr>
        <w:t xml:space="preserve">appeals were more effective in reducing risky driving behaviours (see also Zhao, Roditis &amp; Alexander, 2019) and that positive appeals might have a particular advantage for individuals at high risk of </w:t>
      </w:r>
      <w:r w:rsidR="00117381">
        <w:rPr>
          <w:highlight w:val="white"/>
        </w:rPr>
        <w:t>collisions</w:t>
      </w:r>
      <w:r w:rsidRPr="00101E89">
        <w:rPr>
          <w:highlight w:val="white"/>
        </w:rPr>
        <w:t>, namely, young</w:t>
      </w:r>
      <w:r w:rsidR="0076271C" w:rsidRPr="00101E89">
        <w:rPr>
          <w:highlight w:val="white"/>
        </w:rPr>
        <w:t xml:space="preserve"> drivers.</w:t>
      </w:r>
      <w:r w:rsidRPr="00101E89">
        <w:rPr>
          <w:highlight w:val="white"/>
        </w:rPr>
        <w:t xml:space="preserve"> Santa and Cochran (2008) examined the effectiveness of empathy, fear and informational appeals used in anti-dr</w:t>
      </w:r>
      <w:r w:rsidR="004E645C" w:rsidRPr="00101E89">
        <w:rPr>
          <w:highlight w:val="white"/>
        </w:rPr>
        <w:t>i</w:t>
      </w:r>
      <w:r w:rsidRPr="00101E89">
        <w:rPr>
          <w:highlight w:val="white"/>
        </w:rPr>
        <w:t xml:space="preserve">nk driving </w:t>
      </w:r>
      <w:r w:rsidR="00D0553E" w:rsidRPr="00101E89">
        <w:rPr>
          <w:highlight w:val="white"/>
        </w:rPr>
        <w:t xml:space="preserve">interventions </w:t>
      </w:r>
      <w:r w:rsidRPr="00101E89">
        <w:rPr>
          <w:highlight w:val="white"/>
        </w:rPr>
        <w:t xml:space="preserve">in a sample of young drivers. They found that the empathy approach (i.e., highlighting the consequences of one's behaviour for others) was perceived </w:t>
      </w:r>
      <w:r w:rsidR="00B00B97" w:rsidRPr="00101E89">
        <w:rPr>
          <w:highlight w:val="white"/>
        </w:rPr>
        <w:t xml:space="preserve">by the participants as </w:t>
      </w:r>
      <w:r w:rsidRPr="00101E89">
        <w:rPr>
          <w:highlight w:val="white"/>
        </w:rPr>
        <w:t xml:space="preserve">the most effective </w:t>
      </w:r>
      <w:r w:rsidR="00B00B97" w:rsidRPr="00101E89">
        <w:rPr>
          <w:highlight w:val="white"/>
        </w:rPr>
        <w:t xml:space="preserve">appeal </w:t>
      </w:r>
      <w:r w:rsidRPr="00101E89">
        <w:rPr>
          <w:highlight w:val="white"/>
        </w:rPr>
        <w:t xml:space="preserve">and elicited the </w:t>
      </w:r>
      <w:r w:rsidR="000300CA">
        <w:rPr>
          <w:highlight w:val="white"/>
        </w:rPr>
        <w:t>most</w:t>
      </w:r>
      <w:r w:rsidRPr="00101E89">
        <w:rPr>
          <w:highlight w:val="white"/>
        </w:rPr>
        <w:t xml:space="preserve"> </w:t>
      </w:r>
      <w:r w:rsidR="00E95F37">
        <w:rPr>
          <w:highlight w:val="white"/>
        </w:rPr>
        <w:t>positive</w:t>
      </w:r>
      <w:r w:rsidRPr="00101E89">
        <w:rPr>
          <w:highlight w:val="white"/>
        </w:rPr>
        <w:t xml:space="preserve"> affect. Hope has also been found </w:t>
      </w:r>
      <w:r w:rsidR="00B971C3" w:rsidRPr="00101E89">
        <w:rPr>
          <w:highlight w:val="white"/>
        </w:rPr>
        <w:t xml:space="preserve">to be </w:t>
      </w:r>
      <w:r w:rsidRPr="00101E89">
        <w:rPr>
          <w:highlight w:val="white"/>
        </w:rPr>
        <w:t>a suitable substitution to fear appeals in the promotion of safer behaviours (Nabi &amp; Myrick, 2018).</w:t>
      </w:r>
      <w:r w:rsidR="004B176F" w:rsidRPr="00101E89">
        <w:rPr>
          <w:highlight w:val="white"/>
        </w:rPr>
        <w:t xml:space="preserve"> </w:t>
      </w:r>
      <w:r w:rsidR="00431F71" w:rsidRPr="00101E89">
        <w:rPr>
          <w:highlight w:val="white"/>
        </w:rPr>
        <w:t>P</w:t>
      </w:r>
      <w:r w:rsidR="004B176F" w:rsidRPr="00101E89">
        <w:rPr>
          <w:highlight w:val="white"/>
        </w:rPr>
        <w:t xml:space="preserve">ositive appeals </w:t>
      </w:r>
      <w:r w:rsidR="008F72FE" w:rsidRPr="00101E89">
        <w:rPr>
          <w:highlight w:val="white"/>
        </w:rPr>
        <w:t xml:space="preserve">may </w:t>
      </w:r>
      <w:r w:rsidR="004B176F" w:rsidRPr="00101E89">
        <w:rPr>
          <w:highlight w:val="white"/>
        </w:rPr>
        <w:t xml:space="preserve">help draw new attention to an overly familiar issue (Nabi, 2002), and </w:t>
      </w:r>
      <w:r w:rsidR="004B176F" w:rsidRPr="00101E89">
        <w:t>reframe and reconsider issues that individuals may feel as not being particularly relevant to them (</w:t>
      </w:r>
      <w:r w:rsidR="00C53A42" w:rsidRPr="00101E89">
        <w:rPr>
          <w:highlight w:val="white"/>
        </w:rPr>
        <w:t>Nabi &amp; Myrick, 2018</w:t>
      </w:r>
      <w:r w:rsidR="004B176F" w:rsidRPr="00101E89">
        <w:t xml:space="preserve">). </w:t>
      </w:r>
      <w:r w:rsidR="00566C03" w:rsidRPr="00101E89">
        <w:t>Overall</w:t>
      </w:r>
      <w:r w:rsidR="004B176F" w:rsidRPr="00101E89">
        <w:t xml:space="preserve">, </w:t>
      </w:r>
      <w:r w:rsidR="004B176F" w:rsidRPr="00101E89">
        <w:rPr>
          <w:highlight w:val="white"/>
        </w:rPr>
        <w:t>t</w:t>
      </w:r>
      <w:r w:rsidRPr="00101E89">
        <w:rPr>
          <w:highlight w:val="white"/>
        </w:rPr>
        <w:t>hese results provide evidence that positive appeals might serve as more effective alternatives to fear ones.</w:t>
      </w:r>
      <w:r w:rsidR="00B00B97" w:rsidRPr="00101E89">
        <w:rPr>
          <w:highlight w:val="white"/>
        </w:rPr>
        <w:t xml:space="preserve"> In addition, given that positive appeals are seldom used in road safety context, to the best of our knowledge this is the first stud</w:t>
      </w:r>
      <w:r w:rsidR="00270EF6">
        <w:rPr>
          <w:highlight w:val="white"/>
        </w:rPr>
        <w:t>y</w:t>
      </w:r>
      <w:r w:rsidR="00B00B97" w:rsidRPr="00101E89">
        <w:rPr>
          <w:highlight w:val="white"/>
        </w:rPr>
        <w:t xml:space="preserve"> that investigates the role of positive appeals on risky driving behaviours. </w:t>
      </w:r>
    </w:p>
    <w:p w14:paraId="47BC8466" w14:textId="3D79CA4D" w:rsidR="00161BD3" w:rsidRPr="00DB6B97" w:rsidRDefault="00A42059" w:rsidP="00C34F73">
      <w:pPr>
        <w:ind w:firstLine="720"/>
        <w:rPr>
          <w:lang/>
        </w:rPr>
      </w:pPr>
      <w:r w:rsidRPr="00101E89">
        <w:rPr>
          <w:highlight w:val="white"/>
        </w:rPr>
        <w:lastRenderedPageBreak/>
        <w:t xml:space="preserve">Road safety </w:t>
      </w:r>
      <w:r w:rsidR="00D0553E" w:rsidRPr="00101E89">
        <w:rPr>
          <w:highlight w:val="white"/>
        </w:rPr>
        <w:t xml:space="preserve">interventions </w:t>
      </w:r>
      <w:r w:rsidRPr="00101E89">
        <w:rPr>
          <w:highlight w:val="white"/>
        </w:rPr>
        <w:t>have</w:t>
      </w:r>
      <w:r w:rsidR="00833E06">
        <w:rPr>
          <w:highlight w:val="white"/>
        </w:rPr>
        <w:t xml:space="preserve"> </w:t>
      </w:r>
      <w:r w:rsidR="00833E06" w:rsidRPr="00101E89">
        <w:rPr>
          <w:highlight w:val="white"/>
        </w:rPr>
        <w:t>not only</w:t>
      </w:r>
      <w:r w:rsidRPr="00101E89">
        <w:rPr>
          <w:highlight w:val="white"/>
        </w:rPr>
        <w:t xml:space="preserve"> </w:t>
      </w:r>
      <w:r w:rsidR="009045B5" w:rsidRPr="00101E89">
        <w:rPr>
          <w:highlight w:val="white"/>
        </w:rPr>
        <w:t>varied</w:t>
      </w:r>
      <w:r w:rsidRPr="00101E89">
        <w:rPr>
          <w:highlight w:val="white"/>
        </w:rPr>
        <w:t xml:space="preserve"> the content of </w:t>
      </w:r>
      <w:r w:rsidR="002F29CA" w:rsidRPr="00101E89">
        <w:rPr>
          <w:highlight w:val="white"/>
        </w:rPr>
        <w:t>messages but</w:t>
      </w:r>
      <w:r w:rsidRPr="00101E89">
        <w:rPr>
          <w:highlight w:val="white"/>
        </w:rPr>
        <w:t xml:space="preserve"> </w:t>
      </w:r>
      <w:r w:rsidR="00D0553E" w:rsidRPr="00101E89">
        <w:rPr>
          <w:highlight w:val="white"/>
        </w:rPr>
        <w:t xml:space="preserve">have </w:t>
      </w:r>
      <w:r w:rsidR="00566C03" w:rsidRPr="00101E89">
        <w:rPr>
          <w:highlight w:val="white"/>
        </w:rPr>
        <w:t xml:space="preserve">also </w:t>
      </w:r>
      <w:r w:rsidR="0050437C" w:rsidRPr="00101E89">
        <w:rPr>
          <w:highlight w:val="white"/>
        </w:rPr>
        <w:t>capitalized</w:t>
      </w:r>
      <w:r w:rsidRPr="00101E89">
        <w:rPr>
          <w:highlight w:val="white"/>
        </w:rPr>
        <w:t xml:space="preserve"> on emerging technologies to vary the </w:t>
      </w:r>
      <w:r w:rsidR="00B971C3" w:rsidRPr="00101E89">
        <w:rPr>
          <w:highlight w:val="white"/>
        </w:rPr>
        <w:t xml:space="preserve">mode of </w:t>
      </w:r>
      <w:r w:rsidRPr="00101E89">
        <w:rPr>
          <w:highlight w:val="white"/>
        </w:rPr>
        <w:t xml:space="preserve">presentation. </w:t>
      </w:r>
      <w:r w:rsidR="00B971C3" w:rsidRPr="00101E89">
        <w:rPr>
          <w:highlight w:val="white"/>
        </w:rPr>
        <w:t>Since</w:t>
      </w:r>
      <w:r w:rsidRPr="00101E89">
        <w:rPr>
          <w:highlight w:val="white"/>
        </w:rPr>
        <w:t xml:space="preserve"> 2016, the Fire and Rescue service in the </w:t>
      </w:r>
      <w:r w:rsidR="0045007B" w:rsidRPr="00101E89">
        <w:rPr>
          <w:highlight w:val="white"/>
        </w:rPr>
        <w:t>United Kingdom (UK)</w:t>
      </w:r>
      <w:r w:rsidR="00D0553E" w:rsidRPr="00101E89">
        <w:rPr>
          <w:highlight w:val="white"/>
        </w:rPr>
        <w:t xml:space="preserve"> </w:t>
      </w:r>
      <w:r w:rsidR="008A0886">
        <w:rPr>
          <w:highlight w:val="white"/>
        </w:rPr>
        <w:t>–</w:t>
      </w:r>
      <w:r w:rsidR="00D0553E" w:rsidRPr="00101E89">
        <w:rPr>
          <w:highlight w:val="white"/>
        </w:rPr>
        <w:t xml:space="preserve"> </w:t>
      </w:r>
      <w:r w:rsidR="008A0886">
        <w:rPr>
          <w:highlight w:val="white"/>
        </w:rPr>
        <w:t xml:space="preserve">one of </w:t>
      </w:r>
      <w:r w:rsidR="00A268BF">
        <w:rPr>
          <w:highlight w:val="white"/>
        </w:rPr>
        <w:t>the main</w:t>
      </w:r>
      <w:r w:rsidRPr="00101E89">
        <w:rPr>
          <w:highlight w:val="white"/>
        </w:rPr>
        <w:t xml:space="preserve"> </w:t>
      </w:r>
      <w:proofErr w:type="spellStart"/>
      <w:r w:rsidRPr="00101E89">
        <w:rPr>
          <w:highlight w:val="white"/>
        </w:rPr>
        <w:t>organisation</w:t>
      </w:r>
      <w:proofErr w:type="spellEnd"/>
      <w:r w:rsidR="008A0886">
        <w:rPr>
          <w:highlight w:val="white"/>
        </w:rPr>
        <w:t>[s]</w:t>
      </w:r>
      <w:r w:rsidRPr="00101E89">
        <w:rPr>
          <w:highlight w:val="white"/>
        </w:rPr>
        <w:t xml:space="preserve"> providing </w:t>
      </w:r>
      <w:r w:rsidR="006E06E5" w:rsidRPr="00101E89">
        <w:t xml:space="preserve">driver safety </w:t>
      </w:r>
      <w:r w:rsidR="00D0553E" w:rsidRPr="00101E89">
        <w:t>interventions</w:t>
      </w:r>
      <w:r w:rsidR="00A268BF">
        <w:rPr>
          <w:rStyle w:val="FootnoteReference"/>
        </w:rPr>
        <w:footnoteReference w:id="1"/>
      </w:r>
      <w:r w:rsidR="00D0553E" w:rsidRPr="00101E89">
        <w:t xml:space="preserve"> </w:t>
      </w:r>
      <w:r w:rsidR="006E06E5" w:rsidRPr="00101E89">
        <w:rPr>
          <w:highlight w:val="white"/>
        </w:rPr>
        <w:t xml:space="preserve">- </w:t>
      </w:r>
      <w:r w:rsidR="009045B5" w:rsidRPr="00101E89">
        <w:rPr>
          <w:highlight w:val="white"/>
        </w:rPr>
        <w:t xml:space="preserve">has </w:t>
      </w:r>
      <w:r w:rsidRPr="00101E89">
        <w:rPr>
          <w:highlight w:val="white"/>
        </w:rPr>
        <w:t>us</w:t>
      </w:r>
      <w:r w:rsidR="00566C03" w:rsidRPr="00101E89">
        <w:rPr>
          <w:highlight w:val="white"/>
        </w:rPr>
        <w:t>ed</w:t>
      </w:r>
      <w:r w:rsidRPr="00101E89">
        <w:rPr>
          <w:highlight w:val="white"/>
        </w:rPr>
        <w:t xml:space="preserve"> </w:t>
      </w:r>
      <w:r w:rsidR="0045007B" w:rsidRPr="00101E89">
        <w:rPr>
          <w:highlight w:val="white"/>
        </w:rPr>
        <w:t>Virtual Reality (</w:t>
      </w:r>
      <w:r w:rsidRPr="00101E89">
        <w:rPr>
          <w:highlight w:val="white"/>
        </w:rPr>
        <w:t>VR</w:t>
      </w:r>
      <w:r w:rsidR="0045007B" w:rsidRPr="00101E89">
        <w:rPr>
          <w:highlight w:val="white"/>
        </w:rPr>
        <w:t>)</w:t>
      </w:r>
      <w:r w:rsidRPr="00101E89">
        <w:rPr>
          <w:highlight w:val="white"/>
        </w:rPr>
        <w:t xml:space="preserve"> to give </w:t>
      </w:r>
      <w:r w:rsidR="0050437C" w:rsidRPr="00101E89">
        <w:rPr>
          <w:highlight w:val="white"/>
        </w:rPr>
        <w:t xml:space="preserve">thousands of </w:t>
      </w:r>
      <w:r w:rsidRPr="00101E89">
        <w:rPr>
          <w:highlight w:val="white"/>
        </w:rPr>
        <w:t>young drivers a realistic experience of a road traffic collision. Likewise, Ford Motor Company has implement</w:t>
      </w:r>
      <w:r w:rsidR="00291415" w:rsidRPr="00101E89">
        <w:rPr>
          <w:highlight w:val="white"/>
        </w:rPr>
        <w:t>ed</w:t>
      </w:r>
      <w:r w:rsidRPr="00101E89">
        <w:rPr>
          <w:highlight w:val="white"/>
        </w:rPr>
        <w:t xml:space="preserve"> VR </w:t>
      </w:r>
      <w:r w:rsidR="002F29CA" w:rsidRPr="00101E89">
        <w:rPr>
          <w:highlight w:val="white"/>
        </w:rPr>
        <w:t xml:space="preserve">technologies </w:t>
      </w:r>
      <w:r w:rsidRPr="00101E89">
        <w:rPr>
          <w:highlight w:val="white"/>
        </w:rPr>
        <w:t xml:space="preserve">to help European cyclists and drivers learn to detect road hazards from </w:t>
      </w:r>
      <w:r w:rsidR="00F35C38" w:rsidRPr="00101E89">
        <w:rPr>
          <w:highlight w:val="white"/>
        </w:rPr>
        <w:t>another’s</w:t>
      </w:r>
      <w:r w:rsidRPr="00101E89">
        <w:rPr>
          <w:highlight w:val="white"/>
        </w:rPr>
        <w:t xml:space="preserve"> perspective – in the hope of reducing </w:t>
      </w:r>
      <w:r w:rsidR="00117381">
        <w:rPr>
          <w:highlight w:val="white"/>
        </w:rPr>
        <w:t>collision</w:t>
      </w:r>
      <w:r w:rsidRPr="00101E89">
        <w:rPr>
          <w:highlight w:val="white"/>
        </w:rPr>
        <w:t xml:space="preserve">s in the process (e.g. WheelSwap, Forbes 2018). </w:t>
      </w:r>
      <w:r w:rsidR="00DB6B97">
        <w:rPr>
          <w:highlight w:val="white"/>
        </w:rPr>
        <w:t xml:space="preserve"> Specifically, VR headsets are being designed for cinematic purposes using HD small cameras (GoPro</w:t>
      </w:r>
      <w:r w:rsidR="00DB6B97">
        <w:rPr>
          <w:highlight w:val="white"/>
          <w:vertAlign w:val="superscript"/>
        </w:rPr>
        <w:t>TM</w:t>
      </w:r>
      <w:r w:rsidR="00DB6B97">
        <w:rPr>
          <w:highlight w:val="white"/>
        </w:rPr>
        <w:t xml:space="preserve">) that allow </w:t>
      </w:r>
      <w:r w:rsidR="00DB6B97" w:rsidRPr="00DB6B97">
        <w:rPr>
          <w:lang/>
        </w:rPr>
        <w:t>360° videos</w:t>
      </w:r>
      <w:r w:rsidR="00DB6B97" w:rsidRPr="00DB6B97">
        <w:rPr>
          <w:lang w:val="en-US"/>
        </w:rPr>
        <w:t>.</w:t>
      </w:r>
      <w:r w:rsidR="00DB6B97">
        <w:rPr>
          <w:lang w:val="en-US"/>
        </w:rPr>
        <w:t xml:space="preserve"> T</w:t>
      </w:r>
      <w:r w:rsidR="00DB6B97" w:rsidRPr="00DB6B97">
        <w:rPr>
          <w:lang/>
        </w:rPr>
        <w:t xml:space="preserve">he </w:t>
      </w:r>
      <w:r w:rsidR="00DB6B97" w:rsidRPr="00DB6B97">
        <w:rPr>
          <w:lang w:val="en-US"/>
        </w:rPr>
        <w:t>videos cr</w:t>
      </w:r>
      <w:r w:rsidR="00DB6B97">
        <w:rPr>
          <w:lang w:val="en-US"/>
        </w:rPr>
        <w:t>e</w:t>
      </w:r>
      <w:r w:rsidR="00DB6B97" w:rsidRPr="00DB6B97">
        <w:rPr>
          <w:lang w:val="en-US"/>
        </w:rPr>
        <w:t xml:space="preserve">ated </w:t>
      </w:r>
      <w:r w:rsidR="00DB6B97">
        <w:rPr>
          <w:lang w:val="en-US"/>
        </w:rPr>
        <w:t xml:space="preserve">with VR headsets allow </w:t>
      </w:r>
      <w:r w:rsidR="00DB6B97" w:rsidRPr="00DB6B97">
        <w:rPr>
          <w:lang/>
        </w:rPr>
        <w:t xml:space="preserve">spectators </w:t>
      </w:r>
      <w:r w:rsidR="00DB6B97" w:rsidRPr="00DB6B97">
        <w:rPr>
          <w:lang w:val="en-US"/>
        </w:rPr>
        <w:t>to</w:t>
      </w:r>
      <w:r w:rsidR="00DB6B97">
        <w:rPr>
          <w:lang w:val="en-US"/>
        </w:rPr>
        <w:t xml:space="preserve"> be </w:t>
      </w:r>
      <w:r w:rsidR="00DB6B97" w:rsidRPr="00DB6B97">
        <w:rPr>
          <w:lang/>
        </w:rPr>
        <w:t>able to look at any direction of the scene, from their individual point of view,</w:t>
      </w:r>
      <w:r w:rsidR="00DB6B97" w:rsidRPr="00DB6B97">
        <w:rPr>
          <w:lang w:val="en-US"/>
        </w:rPr>
        <w:t xml:space="preserve"> with a </w:t>
      </w:r>
      <w:r w:rsidR="00DB6B97">
        <w:rPr>
          <w:lang w:val="en-US"/>
        </w:rPr>
        <w:t>360° angle</w:t>
      </w:r>
      <w:r w:rsidR="00A07A19">
        <w:rPr>
          <w:lang w:val="en-US"/>
        </w:rPr>
        <w:t>. These features</w:t>
      </w:r>
      <w:r w:rsidR="00DB6B97">
        <w:rPr>
          <w:lang w:val="en-US"/>
        </w:rPr>
        <w:t xml:space="preserve"> enabl</w:t>
      </w:r>
      <w:r w:rsidR="00A07A19">
        <w:rPr>
          <w:lang w:val="en-US"/>
        </w:rPr>
        <w:t xml:space="preserve">e the viewers to experience </w:t>
      </w:r>
      <w:r w:rsidR="00DB6B97">
        <w:rPr>
          <w:lang w:val="en-US"/>
        </w:rPr>
        <w:t>a</w:t>
      </w:r>
      <w:r w:rsidR="00A07A19">
        <w:rPr>
          <w:lang w:val="en-US"/>
        </w:rPr>
        <w:t xml:space="preserve"> more</w:t>
      </w:r>
      <w:r w:rsidR="00DB6B97">
        <w:rPr>
          <w:lang w:val="en-US"/>
        </w:rPr>
        <w:t xml:space="preserve"> immersive environment </w:t>
      </w:r>
      <w:r w:rsidR="00A07A19">
        <w:rPr>
          <w:lang w:val="en-US"/>
        </w:rPr>
        <w:t xml:space="preserve">compared to standard videos shown on a television or a computer screen </w:t>
      </w:r>
      <w:r w:rsidR="00DB6B97">
        <w:rPr>
          <w:lang w:val="en-US"/>
        </w:rPr>
        <w:t>(</w:t>
      </w:r>
      <w:proofErr w:type="spellStart"/>
      <w:r w:rsidR="00DB6B97">
        <w:rPr>
          <w:lang w:val="en-US"/>
        </w:rPr>
        <w:t>Dorta</w:t>
      </w:r>
      <w:proofErr w:type="spellEnd"/>
      <w:r w:rsidR="00DB6B97">
        <w:rPr>
          <w:lang w:val="en-US"/>
        </w:rPr>
        <w:t xml:space="preserve">, </w:t>
      </w:r>
      <w:proofErr w:type="spellStart"/>
      <w:r w:rsidR="00DB6B97">
        <w:rPr>
          <w:lang w:val="en-US"/>
        </w:rPr>
        <w:t>Pierini</w:t>
      </w:r>
      <w:proofErr w:type="spellEnd"/>
      <w:r w:rsidR="00DB6B97">
        <w:rPr>
          <w:lang w:val="en-US"/>
        </w:rPr>
        <w:t xml:space="preserve"> &amp; </w:t>
      </w:r>
      <w:proofErr w:type="spellStart"/>
      <w:r w:rsidR="00DB6B97">
        <w:rPr>
          <w:lang w:val="en-US"/>
        </w:rPr>
        <w:t>Boudhraâ</w:t>
      </w:r>
      <w:proofErr w:type="spellEnd"/>
      <w:r w:rsidR="00DB6B97">
        <w:rPr>
          <w:lang w:val="en-US"/>
        </w:rPr>
        <w:t>, 2016)</w:t>
      </w:r>
      <w:r w:rsidR="00DB6B97" w:rsidRPr="00DB6B97">
        <w:rPr>
          <w:lang/>
        </w:rPr>
        <w:t xml:space="preserve">. </w:t>
      </w:r>
      <w:r w:rsidR="00DB6B97" w:rsidRPr="00DB6B97">
        <w:rPr>
          <w:lang w:val="en-US"/>
        </w:rPr>
        <w:t xml:space="preserve">Furthermore, </w:t>
      </w:r>
      <w:r w:rsidR="00DB6B97">
        <w:rPr>
          <w:highlight w:val="white"/>
        </w:rPr>
        <w:t>a</w:t>
      </w:r>
      <w:r w:rsidRPr="00101E89">
        <w:rPr>
          <w:highlight w:val="white"/>
        </w:rPr>
        <w:t>s VR technology offers a sense of “being there” (Slater, 2004), and provides the illusion that the events occurring are authentic (Rizzo &amp; Kim, 2005) its usage has grown dramatically in</w:t>
      </w:r>
      <w:r w:rsidR="00F35C38" w:rsidRPr="00101E89">
        <w:rPr>
          <w:highlight w:val="white"/>
        </w:rPr>
        <w:t xml:space="preserve"> the entertainment industries</w:t>
      </w:r>
      <w:r w:rsidRPr="00101E89">
        <w:rPr>
          <w:highlight w:val="white"/>
        </w:rPr>
        <w:t xml:space="preserve"> (Morris, 2015)</w:t>
      </w:r>
      <w:r w:rsidR="00F35C38" w:rsidRPr="00101E89">
        <w:rPr>
          <w:highlight w:val="white"/>
        </w:rPr>
        <w:t xml:space="preserve">, </w:t>
      </w:r>
      <w:r w:rsidR="00D0553E" w:rsidRPr="00101E89">
        <w:rPr>
          <w:highlight w:val="white"/>
        </w:rPr>
        <w:t xml:space="preserve">and </w:t>
      </w:r>
      <w:r w:rsidR="00F35C38" w:rsidRPr="00101E89">
        <w:rPr>
          <w:highlight w:val="white"/>
        </w:rPr>
        <w:t xml:space="preserve">in clinical applications (e.g., </w:t>
      </w:r>
      <w:r w:rsidRPr="00101E89">
        <w:rPr>
          <w:highlight w:val="white"/>
        </w:rPr>
        <w:t>Anderson et al., 2013</w:t>
      </w:r>
      <w:r w:rsidR="00F35C38" w:rsidRPr="00101E89">
        <w:rPr>
          <w:highlight w:val="white"/>
        </w:rPr>
        <w:t xml:space="preserve">; </w:t>
      </w:r>
      <w:r w:rsidRPr="00101E89">
        <w:rPr>
          <w:highlight w:val="white"/>
        </w:rPr>
        <w:t>Shiban et al., 2015</w:t>
      </w:r>
      <w:r w:rsidR="00F35C38" w:rsidRPr="00101E89">
        <w:rPr>
          <w:highlight w:val="white"/>
        </w:rPr>
        <w:t xml:space="preserve">; </w:t>
      </w:r>
      <w:r w:rsidRPr="00101E89">
        <w:rPr>
          <w:highlight w:val="white"/>
        </w:rPr>
        <w:t xml:space="preserve">Smith et al., 2015). </w:t>
      </w:r>
    </w:p>
    <w:p w14:paraId="5E96F55A" w14:textId="0DC21A87" w:rsidR="00EC288F" w:rsidRPr="00C34F73" w:rsidRDefault="00A42059" w:rsidP="00C34F73">
      <w:pPr>
        <w:ind w:firstLine="720"/>
        <w:rPr>
          <w:highlight w:val="white"/>
        </w:rPr>
      </w:pPr>
      <w:r w:rsidRPr="00101E89">
        <w:rPr>
          <w:highlight w:val="white"/>
        </w:rPr>
        <w:t>While VR has shown some success</w:t>
      </w:r>
      <w:r w:rsidR="008D1889" w:rsidRPr="00101E89">
        <w:rPr>
          <w:highlight w:val="white"/>
        </w:rPr>
        <w:t xml:space="preserve"> with clinical trials</w:t>
      </w:r>
      <w:r w:rsidRPr="00101E89">
        <w:rPr>
          <w:highlight w:val="white"/>
        </w:rPr>
        <w:t>, it does have limitation</w:t>
      </w:r>
      <w:r w:rsidR="00B971C3" w:rsidRPr="00101E89">
        <w:rPr>
          <w:highlight w:val="white"/>
        </w:rPr>
        <w:t>s</w:t>
      </w:r>
      <w:r w:rsidRPr="00101E89">
        <w:rPr>
          <w:highlight w:val="white"/>
        </w:rPr>
        <w:t>. Firstly, there can be a lack of transfer of learning from VR to real life environment</w:t>
      </w:r>
      <w:r w:rsidR="00DC76CC" w:rsidRPr="00101E89">
        <w:rPr>
          <w:highlight w:val="white"/>
        </w:rPr>
        <w:t>s</w:t>
      </w:r>
      <w:r w:rsidRPr="00101E89">
        <w:rPr>
          <w:highlight w:val="white"/>
        </w:rPr>
        <w:t xml:space="preserve">, </w:t>
      </w:r>
      <w:r w:rsidR="00D0553E" w:rsidRPr="00101E89">
        <w:rPr>
          <w:highlight w:val="white"/>
        </w:rPr>
        <w:t xml:space="preserve">perhaps because </w:t>
      </w:r>
      <w:r w:rsidRPr="00101E89">
        <w:rPr>
          <w:highlight w:val="white"/>
        </w:rPr>
        <w:t xml:space="preserve">people treat </w:t>
      </w:r>
      <w:r w:rsidR="0045007B" w:rsidRPr="00101E89">
        <w:rPr>
          <w:highlight w:val="white"/>
        </w:rPr>
        <w:t>VR</w:t>
      </w:r>
      <w:r w:rsidRPr="00101E89">
        <w:rPr>
          <w:highlight w:val="white"/>
        </w:rPr>
        <w:t xml:space="preserve"> as if it were </w:t>
      </w:r>
      <w:r w:rsidR="00D0553E" w:rsidRPr="00101E89">
        <w:rPr>
          <w:highlight w:val="white"/>
        </w:rPr>
        <w:t xml:space="preserve">entertainment </w:t>
      </w:r>
      <w:r w:rsidRPr="00101E89">
        <w:rPr>
          <w:highlight w:val="white"/>
        </w:rPr>
        <w:t xml:space="preserve">(Lin, 2017). Secondly, some studies report a high number of dropout rates, partially due to cyber-sickness, </w:t>
      </w:r>
      <w:r w:rsidR="00DC76CC" w:rsidRPr="00101E89">
        <w:rPr>
          <w:highlight w:val="white"/>
        </w:rPr>
        <w:t xml:space="preserve">nausea, and dizziness induced </w:t>
      </w:r>
      <w:r w:rsidR="0050437C" w:rsidRPr="00101E89">
        <w:rPr>
          <w:highlight w:val="white"/>
        </w:rPr>
        <w:t>by using</w:t>
      </w:r>
      <w:r w:rsidRPr="00101E89">
        <w:rPr>
          <w:highlight w:val="white"/>
        </w:rPr>
        <w:t xml:space="preserve"> VR headsets (Valmaggia et al., 2016). Thirdly, there is little to no data on the impact of VR usage in extreme fear appeals, as currently used by the Fire and Rescue Service</w:t>
      </w:r>
      <w:r w:rsidR="00D0553E" w:rsidRPr="00101E89">
        <w:rPr>
          <w:highlight w:val="white"/>
        </w:rPr>
        <w:t xml:space="preserve"> in the UK.  </w:t>
      </w:r>
      <w:r w:rsidR="00833E06" w:rsidRPr="00D33F28">
        <w:rPr>
          <w:highlight w:val="white"/>
        </w:rPr>
        <w:t>In addition</w:t>
      </w:r>
      <w:r w:rsidRPr="00D33F28">
        <w:rPr>
          <w:highlight w:val="white"/>
        </w:rPr>
        <w:t>, the</w:t>
      </w:r>
      <w:r w:rsidR="00833E06" w:rsidRPr="00D33F28">
        <w:rPr>
          <w:highlight w:val="white"/>
        </w:rPr>
        <w:t>re is concern that</w:t>
      </w:r>
      <w:r w:rsidRPr="00D33F28">
        <w:rPr>
          <w:highlight w:val="white"/>
        </w:rPr>
        <w:t xml:space="preserve"> </w:t>
      </w:r>
      <w:r w:rsidRPr="00D33F28">
        <w:rPr>
          <w:highlight w:val="white"/>
        </w:rPr>
        <w:lastRenderedPageBreak/>
        <w:t xml:space="preserve">VR’s ability to provide </w:t>
      </w:r>
      <w:r w:rsidR="00D0553E" w:rsidRPr="00D33F28">
        <w:rPr>
          <w:highlight w:val="white"/>
        </w:rPr>
        <w:t xml:space="preserve">realism </w:t>
      </w:r>
      <w:r w:rsidRPr="00D33F28">
        <w:rPr>
          <w:highlight w:val="white"/>
        </w:rPr>
        <w:t xml:space="preserve">might backfire. That is, experiencing fear appeals (such as car </w:t>
      </w:r>
      <w:r w:rsidR="00117381">
        <w:rPr>
          <w:highlight w:val="white"/>
        </w:rPr>
        <w:t>crashes</w:t>
      </w:r>
      <w:r w:rsidRPr="00D33F28">
        <w:rPr>
          <w:highlight w:val="white"/>
        </w:rPr>
        <w:t xml:space="preserve">) via VR might aggravate already existing defensive mechanics, such as </w:t>
      </w:r>
      <w:r w:rsidR="0050437C" w:rsidRPr="00D33F28">
        <w:rPr>
          <w:highlight w:val="white"/>
        </w:rPr>
        <w:t>disengagement</w:t>
      </w:r>
      <w:r w:rsidRPr="00D33F28">
        <w:rPr>
          <w:highlight w:val="white"/>
        </w:rPr>
        <w:t>, “not-real” strategies, avoidance</w:t>
      </w:r>
      <w:r w:rsidR="00D33F28">
        <w:rPr>
          <w:highlight w:val="white"/>
        </w:rPr>
        <w:t xml:space="preserve"> (Lin, 2017)</w:t>
      </w:r>
      <w:r w:rsidRPr="00D33F28">
        <w:rPr>
          <w:highlight w:val="white"/>
        </w:rPr>
        <w:t xml:space="preserve">, message rejection and </w:t>
      </w:r>
      <w:r w:rsidR="00D0553E" w:rsidRPr="00D33F28">
        <w:rPr>
          <w:highlight w:val="white"/>
        </w:rPr>
        <w:t>consequent risk</w:t>
      </w:r>
      <w:r w:rsidRPr="00D33F28">
        <w:rPr>
          <w:highlight w:val="white"/>
        </w:rPr>
        <w:t xml:space="preserve">-taking (Harre et al., 2005).  </w:t>
      </w:r>
      <w:r w:rsidRPr="00101E89">
        <w:rPr>
          <w:highlight w:val="white"/>
        </w:rPr>
        <w:t xml:space="preserve">Finally, to </w:t>
      </w:r>
      <w:r w:rsidR="00DC76CC" w:rsidRPr="00101E89">
        <w:rPr>
          <w:highlight w:val="white"/>
        </w:rPr>
        <w:t xml:space="preserve">our </w:t>
      </w:r>
      <w:r w:rsidRPr="00101E89">
        <w:rPr>
          <w:highlight w:val="white"/>
        </w:rPr>
        <w:t xml:space="preserve">knowledge, VR’s effectiveness in road safety </w:t>
      </w:r>
      <w:r w:rsidRPr="00ED49B7">
        <w:rPr>
          <w:highlight w:val="white"/>
          <w:lang w:val="en-GB"/>
        </w:rPr>
        <w:t>program</w:t>
      </w:r>
      <w:r w:rsidR="00935421" w:rsidRPr="00ED49B7">
        <w:rPr>
          <w:highlight w:val="white"/>
          <w:lang w:val="en-GB"/>
        </w:rPr>
        <w:t>me</w:t>
      </w:r>
      <w:r w:rsidR="00DC76CC" w:rsidRPr="00ED49B7">
        <w:rPr>
          <w:highlight w:val="white"/>
          <w:lang w:val="en-GB"/>
        </w:rPr>
        <w:t>s</w:t>
      </w:r>
      <w:r w:rsidRPr="00ED49B7">
        <w:rPr>
          <w:highlight w:val="white"/>
          <w:lang w:val="en-GB"/>
        </w:rPr>
        <w:t xml:space="preserve"> has</w:t>
      </w:r>
      <w:r w:rsidRPr="00101E89">
        <w:rPr>
          <w:highlight w:val="white"/>
        </w:rPr>
        <w:t xml:space="preserve"> simply not been tested. To address these gaps in the literature, the present study </w:t>
      </w:r>
      <w:r w:rsidRPr="00101E89">
        <w:t>investigated the effect of Film Content (</w:t>
      </w:r>
      <w:r w:rsidR="006E06E5" w:rsidRPr="00101E89">
        <w:t>fear</w:t>
      </w:r>
      <w:r w:rsidR="0050437C" w:rsidRPr="00101E89">
        <w:t xml:space="preserve"> v</w:t>
      </w:r>
      <w:r w:rsidR="00A33BC7">
        <w:t>er</w:t>
      </w:r>
      <w:r w:rsidR="0050437C" w:rsidRPr="00101E89">
        <w:t>s</w:t>
      </w:r>
      <w:r w:rsidR="00A33BC7">
        <w:t>us</w:t>
      </w:r>
      <w:r w:rsidR="0050437C" w:rsidRPr="00101E89">
        <w:t xml:space="preserve"> positive</w:t>
      </w:r>
      <w:r w:rsidRPr="00101E89">
        <w:t xml:space="preserve">) and </w:t>
      </w:r>
      <w:r w:rsidR="006E06E5" w:rsidRPr="00101E89">
        <w:t xml:space="preserve">Delivery Mode </w:t>
      </w:r>
      <w:r w:rsidRPr="00101E89">
        <w:t>(</w:t>
      </w:r>
      <w:r w:rsidR="0050437C" w:rsidRPr="00101E89">
        <w:t>2D v</w:t>
      </w:r>
      <w:r w:rsidR="00A33BC7">
        <w:t>er</w:t>
      </w:r>
      <w:r w:rsidR="0050437C" w:rsidRPr="00101E89">
        <w:t>s</w:t>
      </w:r>
      <w:r w:rsidR="00A33BC7">
        <w:t>us</w:t>
      </w:r>
      <w:r w:rsidR="0050437C" w:rsidRPr="00101E89">
        <w:t xml:space="preserve"> </w:t>
      </w:r>
      <w:r w:rsidRPr="00101E89">
        <w:t xml:space="preserve">VR) on the effectiveness of a road safety educational film. </w:t>
      </w:r>
    </w:p>
    <w:p w14:paraId="7A8F2160" w14:textId="06BF10CF" w:rsidR="0067111E" w:rsidRPr="00101E89" w:rsidRDefault="0031497C" w:rsidP="00FD4A73">
      <w:pPr>
        <w:autoSpaceDE w:val="0"/>
        <w:autoSpaceDN w:val="0"/>
        <w:adjustRightInd w:val="0"/>
        <w:ind w:firstLine="720"/>
        <w:rPr>
          <w:lang w:val="en-GB" w:bidi="he-IL"/>
        </w:rPr>
      </w:pPr>
      <w:r w:rsidRPr="00101E89">
        <w:t>We measured participants’ risky driving behaviours in two ways. First,</w:t>
      </w:r>
      <w:r w:rsidR="00E025E8" w:rsidRPr="00101E89">
        <w:t xml:space="preserve"> a self-report measure of risky driving, the Driver Behaviour Questionnaire (DBQ; Reason et al., 1990) was administered pre-intervention and at the </w:t>
      </w:r>
      <w:r w:rsidR="00A33BC7">
        <w:t>two</w:t>
      </w:r>
      <w:r w:rsidR="00E025E8" w:rsidRPr="00101E89">
        <w:t xml:space="preserve">-week follow-up. Self-reported risky driving measured by the DBQ has been shown to correlate with </w:t>
      </w:r>
      <w:r w:rsidR="00117381">
        <w:t>collision</w:t>
      </w:r>
      <w:r w:rsidR="00E025E8" w:rsidRPr="00101E89">
        <w:t xml:space="preserve"> liability (Parker, Reason, Manstead, &amp; Stradling, 1995) and </w:t>
      </w:r>
      <w:r w:rsidR="0071628F" w:rsidRPr="00101E89">
        <w:t xml:space="preserve">self-reported </w:t>
      </w:r>
      <w:r w:rsidR="00117381">
        <w:t>crashes</w:t>
      </w:r>
      <w:r w:rsidR="0071628F" w:rsidRPr="00101E89">
        <w:t xml:space="preserve"> (</w:t>
      </w:r>
      <w:proofErr w:type="spellStart"/>
      <w:r w:rsidR="0071628F" w:rsidRPr="00101E89">
        <w:t>Wåhlberg</w:t>
      </w:r>
      <w:proofErr w:type="spellEnd"/>
      <w:r w:rsidR="0071628F" w:rsidRPr="00101E89">
        <w:t>, Dorn, &amp; Kline, 2009).</w:t>
      </w:r>
      <w:r w:rsidRPr="00101E89">
        <w:t xml:space="preserve"> </w:t>
      </w:r>
      <w:r w:rsidR="00F32304" w:rsidRPr="00101E89">
        <w:rPr>
          <w:lang w:val="en-GB"/>
        </w:rPr>
        <w:t>Second</w:t>
      </w:r>
      <w:r w:rsidR="00A42059" w:rsidRPr="00101E89">
        <w:rPr>
          <w:lang w:val="en-GB"/>
        </w:rPr>
        <w:t xml:space="preserve">, </w:t>
      </w:r>
      <w:r w:rsidR="00A95B17">
        <w:rPr>
          <w:lang w:val="en-GB"/>
        </w:rPr>
        <w:t xml:space="preserve">two weeks later, </w:t>
      </w:r>
      <w:r w:rsidR="00A42059" w:rsidRPr="00101E89">
        <w:rPr>
          <w:lang w:val="en-GB"/>
        </w:rPr>
        <w:t xml:space="preserve">at follow-up participants </w:t>
      </w:r>
      <w:r w:rsidR="0056609A" w:rsidRPr="00101E89">
        <w:rPr>
          <w:lang w:val="en-GB"/>
        </w:rPr>
        <w:t xml:space="preserve">completed </w:t>
      </w:r>
      <w:r w:rsidR="00A95B17">
        <w:rPr>
          <w:lang w:val="en-GB"/>
        </w:rPr>
        <w:t xml:space="preserve">both the DBQ and </w:t>
      </w:r>
      <w:r w:rsidR="0056609A" w:rsidRPr="00101E89">
        <w:rPr>
          <w:lang w:val="en-GB"/>
        </w:rPr>
        <w:t>the Vienna Risk-Taking Test-Traffic (</w:t>
      </w:r>
      <w:proofErr w:type="spellStart"/>
      <w:r w:rsidR="0056609A" w:rsidRPr="00101E89">
        <w:rPr>
          <w:highlight w:val="white"/>
          <w:lang w:val="en-GB"/>
        </w:rPr>
        <w:t>Hergovich</w:t>
      </w:r>
      <w:proofErr w:type="spellEnd"/>
      <w:r w:rsidR="0056609A" w:rsidRPr="00101E89">
        <w:rPr>
          <w:highlight w:val="white"/>
          <w:lang w:val="en-GB"/>
        </w:rPr>
        <w:t xml:space="preserve">, </w:t>
      </w:r>
      <w:proofErr w:type="spellStart"/>
      <w:r w:rsidR="0056609A" w:rsidRPr="00101E89">
        <w:rPr>
          <w:highlight w:val="white"/>
          <w:lang w:val="en-GB"/>
        </w:rPr>
        <w:t>Bognar</w:t>
      </w:r>
      <w:proofErr w:type="spellEnd"/>
      <w:r w:rsidR="0056609A" w:rsidRPr="00101E89">
        <w:rPr>
          <w:highlight w:val="white"/>
          <w:lang w:val="en-GB"/>
        </w:rPr>
        <w:t xml:space="preserve">, </w:t>
      </w:r>
      <w:proofErr w:type="spellStart"/>
      <w:r w:rsidR="0056609A" w:rsidRPr="00101E89">
        <w:rPr>
          <w:highlight w:val="white"/>
          <w:lang w:val="en-GB"/>
        </w:rPr>
        <w:t>Arendasy</w:t>
      </w:r>
      <w:proofErr w:type="spellEnd"/>
      <w:r w:rsidR="0056609A" w:rsidRPr="00101E89">
        <w:rPr>
          <w:highlight w:val="white"/>
          <w:lang w:val="en-GB"/>
        </w:rPr>
        <w:t>, &amp; Sommer, 2007</w:t>
      </w:r>
      <w:r w:rsidR="0056609A" w:rsidRPr="00101E89">
        <w:rPr>
          <w:lang w:val="en-GB"/>
        </w:rPr>
        <w:t xml:space="preserve">), a standardized and widely accepted </w:t>
      </w:r>
      <w:r w:rsidR="008B6D8E" w:rsidRPr="00101E89">
        <w:rPr>
          <w:lang w:val="en-GB"/>
        </w:rPr>
        <w:t>behavioural measure</w:t>
      </w:r>
      <w:r w:rsidR="00A42059" w:rsidRPr="00101E89">
        <w:rPr>
          <w:lang w:val="en-GB"/>
        </w:rPr>
        <w:t xml:space="preserve"> of risky driving.</w:t>
      </w:r>
      <w:r w:rsidR="008B6D8E" w:rsidRPr="00101E89">
        <w:rPr>
          <w:lang w:val="en-GB"/>
        </w:rPr>
        <w:t xml:space="preserve"> </w:t>
      </w:r>
      <w:r w:rsidR="0056609A" w:rsidRPr="00101E89">
        <w:rPr>
          <w:lang w:val="en-GB" w:eastAsia="it-IT"/>
        </w:rPr>
        <w:t xml:space="preserve">The </w:t>
      </w:r>
      <w:r w:rsidR="00860B4C" w:rsidRPr="00101E89">
        <w:rPr>
          <w:lang w:val="en-GB"/>
        </w:rPr>
        <w:t xml:space="preserve">Vienna Risk-Taking Test-Traffic </w:t>
      </w:r>
      <w:r w:rsidR="0056609A" w:rsidRPr="00101E89">
        <w:rPr>
          <w:lang w:val="en-GB" w:eastAsia="it-IT"/>
        </w:rPr>
        <w:t xml:space="preserve">is </w:t>
      </w:r>
      <w:r w:rsidR="00F32304" w:rsidRPr="00101E89">
        <w:rPr>
          <w:lang w:val="en-GB" w:eastAsia="it-IT"/>
        </w:rPr>
        <w:t>based</w:t>
      </w:r>
      <w:r w:rsidR="00860B4C" w:rsidRPr="00101E89">
        <w:rPr>
          <w:lang w:val="en-GB" w:eastAsia="it-IT"/>
        </w:rPr>
        <w:t xml:space="preserve"> </w:t>
      </w:r>
      <w:r w:rsidR="00A95B17">
        <w:rPr>
          <w:lang w:val="en-GB" w:eastAsia="it-IT"/>
        </w:rPr>
        <w:t>on</w:t>
      </w:r>
      <w:r w:rsidR="00860B4C" w:rsidRPr="00101E89">
        <w:rPr>
          <w:lang w:val="en-GB" w:eastAsia="it-IT"/>
        </w:rPr>
        <w:t xml:space="preserve"> </w:t>
      </w:r>
      <w:r w:rsidR="0056609A" w:rsidRPr="00101E89">
        <w:rPr>
          <w:lang w:val="en-GB" w:eastAsia="it-IT"/>
        </w:rPr>
        <w:t>Wilde’s (1994) theory of risk homeostasis</w:t>
      </w:r>
      <w:r w:rsidR="00F32304" w:rsidRPr="00101E89">
        <w:rPr>
          <w:lang w:val="en-GB" w:eastAsia="it-IT"/>
        </w:rPr>
        <w:t xml:space="preserve"> in risky driving</w:t>
      </w:r>
      <w:r w:rsidR="00860B4C" w:rsidRPr="00101E89">
        <w:rPr>
          <w:lang w:val="en-GB" w:eastAsia="it-IT"/>
        </w:rPr>
        <w:t xml:space="preserve">. </w:t>
      </w:r>
      <w:r w:rsidR="00F32304" w:rsidRPr="00101E89">
        <w:rPr>
          <w:lang w:val="en-GB" w:eastAsia="it-IT"/>
        </w:rPr>
        <w:t xml:space="preserve">This </w:t>
      </w:r>
      <w:r w:rsidR="00EC288F" w:rsidRPr="00101E89">
        <w:rPr>
          <w:lang w:val="en-GB" w:eastAsia="it-IT"/>
        </w:rPr>
        <w:t xml:space="preserve">model </w:t>
      </w:r>
      <w:r w:rsidR="00860B4C" w:rsidRPr="00101E89">
        <w:rPr>
          <w:lang w:val="en-GB" w:eastAsia="it-IT"/>
        </w:rPr>
        <w:t>argues</w:t>
      </w:r>
      <w:r w:rsidR="00EC288F" w:rsidRPr="00101E89">
        <w:rPr>
          <w:lang w:val="en-GB" w:eastAsia="it-IT"/>
        </w:rPr>
        <w:t xml:space="preserve"> that people </w:t>
      </w:r>
      <w:r w:rsidR="00697370" w:rsidRPr="00101E89">
        <w:rPr>
          <w:lang w:val="en-GB" w:eastAsia="it-IT"/>
        </w:rPr>
        <w:t xml:space="preserve">accept a certain degree of risk (target risk value) if they achieve an expected gain </w:t>
      </w:r>
      <w:r w:rsidR="00EC288F" w:rsidRPr="00101E89">
        <w:rPr>
          <w:lang w:val="en-GB" w:eastAsia="it-IT"/>
        </w:rPr>
        <w:t xml:space="preserve">(e.g., </w:t>
      </w:r>
      <w:r w:rsidR="009532A2" w:rsidRPr="00101E89">
        <w:rPr>
          <w:lang w:val="en-GB" w:eastAsia="it-IT"/>
        </w:rPr>
        <w:t>arriving at a location earlier</w:t>
      </w:r>
      <w:r w:rsidR="00EC288F" w:rsidRPr="00101E89">
        <w:rPr>
          <w:lang w:val="en-GB" w:eastAsia="it-IT"/>
        </w:rPr>
        <w:t>)</w:t>
      </w:r>
      <w:r w:rsidR="00697370" w:rsidRPr="00101E89">
        <w:rPr>
          <w:lang w:val="en-GB" w:eastAsia="it-IT"/>
        </w:rPr>
        <w:t xml:space="preserve"> in exchange</w:t>
      </w:r>
      <w:r w:rsidR="00E20171" w:rsidRPr="00101E89">
        <w:rPr>
          <w:lang w:val="en-GB" w:eastAsia="it-IT"/>
        </w:rPr>
        <w:t>.</w:t>
      </w:r>
      <w:r w:rsidR="00697370" w:rsidRPr="00101E89">
        <w:rPr>
          <w:lang w:val="en-GB" w:eastAsia="it-IT"/>
        </w:rPr>
        <w:t xml:space="preserve"> The target risk value is subjective and differs between individuals. If in a specific traffic situation, the perceived danger exceeds this subjective risk target value, the person will reduce risky driving behaviours. If the perceived danger </w:t>
      </w:r>
      <w:r w:rsidR="001016B5" w:rsidRPr="00101E89">
        <w:rPr>
          <w:lang w:val="en-GB" w:eastAsia="it-IT"/>
        </w:rPr>
        <w:t>is seen</w:t>
      </w:r>
      <w:r w:rsidR="00697370" w:rsidRPr="00101E89">
        <w:rPr>
          <w:lang w:val="en-GB" w:eastAsia="it-IT"/>
        </w:rPr>
        <w:t xml:space="preserve"> as less risky than the risk target value, </w:t>
      </w:r>
      <w:r w:rsidR="00D375D5">
        <w:rPr>
          <w:lang w:val="en-GB" w:eastAsia="it-IT"/>
        </w:rPr>
        <w:t>the person will</w:t>
      </w:r>
      <w:r w:rsidR="00697370" w:rsidRPr="00101E89">
        <w:rPr>
          <w:lang w:val="en-GB" w:eastAsia="it-IT"/>
        </w:rPr>
        <w:t xml:space="preserve"> continue to carry out risky activities. In the Vienna Risk-Taking </w:t>
      </w:r>
      <w:r w:rsidR="001016B5" w:rsidRPr="00101E89">
        <w:rPr>
          <w:lang w:val="en-GB" w:eastAsia="it-IT"/>
        </w:rPr>
        <w:t>T</w:t>
      </w:r>
      <w:r w:rsidR="00697370" w:rsidRPr="00101E89">
        <w:rPr>
          <w:lang w:val="en-GB" w:eastAsia="it-IT"/>
        </w:rPr>
        <w:t>est, participants are presented with vid</w:t>
      </w:r>
      <w:r w:rsidR="00D576E3" w:rsidRPr="00101E89">
        <w:rPr>
          <w:lang w:val="en-GB" w:eastAsia="it-IT"/>
        </w:rPr>
        <w:t xml:space="preserve">eo clips of driving situations </w:t>
      </w:r>
      <w:r w:rsidR="00697370" w:rsidRPr="00101E89">
        <w:rPr>
          <w:lang w:val="en-GB" w:eastAsia="it-IT"/>
        </w:rPr>
        <w:t xml:space="preserve">that require a situation-contingent reaction (e.g., considering whether to overtake another car in icy conditions) </w:t>
      </w:r>
      <w:r w:rsidR="00755FFA" w:rsidRPr="00101E89">
        <w:rPr>
          <w:lang w:val="en-GB" w:eastAsia="it-IT"/>
        </w:rPr>
        <w:t xml:space="preserve">and are asked to indicate </w:t>
      </w:r>
      <w:r w:rsidR="00D576E3" w:rsidRPr="00101E89">
        <w:rPr>
          <w:lang w:val="en-GB" w:eastAsia="it-IT"/>
        </w:rPr>
        <w:t>if and when they regard the situation as to</w:t>
      </w:r>
      <w:r w:rsidR="000B68E9" w:rsidRPr="00101E89">
        <w:rPr>
          <w:lang w:val="en-GB" w:eastAsia="it-IT"/>
        </w:rPr>
        <w:t>o</w:t>
      </w:r>
      <w:r w:rsidR="00D576E3" w:rsidRPr="00101E89">
        <w:rPr>
          <w:lang w:val="en-GB" w:eastAsia="it-IT"/>
        </w:rPr>
        <w:t xml:space="preserve"> risky to </w:t>
      </w:r>
      <w:r w:rsidR="00D576E3" w:rsidRPr="00101E89">
        <w:rPr>
          <w:lang w:val="en-GB" w:eastAsia="it-IT"/>
        </w:rPr>
        <w:lastRenderedPageBreak/>
        <w:t xml:space="preserve">carry out the behaviour.  </w:t>
      </w:r>
      <w:r w:rsidR="009532A2" w:rsidRPr="00101E89">
        <w:rPr>
          <w:lang w:val="en-GB" w:bidi="he-IL"/>
        </w:rPr>
        <w:t>Thus,</w:t>
      </w:r>
      <w:r w:rsidR="00860B4C" w:rsidRPr="00101E89">
        <w:rPr>
          <w:lang w:val="en-GB" w:bidi="he-IL"/>
        </w:rPr>
        <w:t xml:space="preserve"> </w:t>
      </w:r>
      <w:r w:rsidR="00A56870" w:rsidRPr="00101E89">
        <w:rPr>
          <w:lang w:val="en-GB" w:bidi="he-IL"/>
        </w:rPr>
        <w:t xml:space="preserve">the </w:t>
      </w:r>
      <w:r w:rsidR="00A56870" w:rsidRPr="00101E89">
        <w:rPr>
          <w:lang w:val="en-GB"/>
        </w:rPr>
        <w:t xml:space="preserve">Vienna Risk-Taking Test-Traffic uses </w:t>
      </w:r>
      <w:r w:rsidR="00860B4C" w:rsidRPr="00101E89">
        <w:rPr>
          <w:lang w:val="en-GB" w:bidi="he-IL"/>
        </w:rPr>
        <w:t>a person</w:t>
      </w:r>
      <w:r w:rsidR="009532A2" w:rsidRPr="00101E89">
        <w:rPr>
          <w:lang w:val="en-GB" w:bidi="he-IL"/>
        </w:rPr>
        <w:t>’s</w:t>
      </w:r>
      <w:r w:rsidR="00860B4C" w:rsidRPr="00101E89">
        <w:rPr>
          <w:lang w:val="en-GB" w:bidi="he-IL"/>
        </w:rPr>
        <w:t xml:space="preserve"> reaction time as the prime indicator of </w:t>
      </w:r>
      <w:r w:rsidR="00A56870" w:rsidRPr="00101E89">
        <w:rPr>
          <w:lang w:val="en-GB" w:bidi="he-IL"/>
        </w:rPr>
        <w:t>their</w:t>
      </w:r>
      <w:r w:rsidR="00860B4C" w:rsidRPr="00101E89">
        <w:rPr>
          <w:lang w:val="en-GB" w:bidi="he-IL"/>
        </w:rPr>
        <w:t xml:space="preserve"> willingness to engage in risky driving activity</w:t>
      </w:r>
      <w:r w:rsidR="00A56870" w:rsidRPr="00101E89">
        <w:rPr>
          <w:lang w:val="en-GB" w:bidi="he-IL"/>
        </w:rPr>
        <w:t xml:space="preserve">—the longer they take to </w:t>
      </w:r>
      <w:r w:rsidR="00D576E3" w:rsidRPr="00101E89">
        <w:rPr>
          <w:lang w:val="en-GB" w:bidi="he-IL"/>
        </w:rPr>
        <w:t>abort the situation-contingent behaviour</w:t>
      </w:r>
      <w:r w:rsidR="00A56870" w:rsidRPr="00101E89">
        <w:rPr>
          <w:lang w:val="en-GB" w:bidi="he-IL"/>
        </w:rPr>
        <w:t>, the more willing they are to take risks</w:t>
      </w:r>
      <w:r w:rsidR="00860B4C" w:rsidRPr="00101E89">
        <w:rPr>
          <w:lang w:val="en-GB" w:bidi="he-IL"/>
        </w:rPr>
        <w:t xml:space="preserve">. </w:t>
      </w:r>
    </w:p>
    <w:p w14:paraId="632AE2E8" w14:textId="5E31FEA6" w:rsidR="00EC288F" w:rsidRPr="00101E89" w:rsidRDefault="00860B4C" w:rsidP="00FD4A73">
      <w:pPr>
        <w:autoSpaceDE w:val="0"/>
        <w:autoSpaceDN w:val="0"/>
        <w:adjustRightInd w:val="0"/>
        <w:ind w:firstLine="720"/>
        <w:rPr>
          <w:lang w:val="en-GB"/>
        </w:rPr>
      </w:pPr>
      <w:r w:rsidRPr="00101E89">
        <w:rPr>
          <w:lang w:val="en-GB"/>
        </w:rPr>
        <w:t>Several</w:t>
      </w:r>
      <w:r w:rsidR="00E20171" w:rsidRPr="00101E89">
        <w:rPr>
          <w:lang w:val="en-GB"/>
        </w:rPr>
        <w:t xml:space="preserve"> studies have previously used the Vienna Risk-Taking Test to directly measure risk </w:t>
      </w:r>
      <w:r w:rsidR="00A56870" w:rsidRPr="00101E89">
        <w:rPr>
          <w:lang w:val="en-GB"/>
        </w:rPr>
        <w:t xml:space="preserve">taking behaviour </w:t>
      </w:r>
      <w:r w:rsidR="00E20171" w:rsidRPr="00101E89">
        <w:rPr>
          <w:lang w:val="en-GB"/>
        </w:rPr>
        <w:t xml:space="preserve">in various traffic situations (Fisher, </w:t>
      </w:r>
      <w:proofErr w:type="spellStart"/>
      <w:r w:rsidR="00E20171" w:rsidRPr="00101E89">
        <w:rPr>
          <w:lang w:val="en-GB"/>
        </w:rPr>
        <w:t>Kastenmüller</w:t>
      </w:r>
      <w:proofErr w:type="spellEnd"/>
      <w:r w:rsidR="00E20171" w:rsidRPr="00101E89">
        <w:rPr>
          <w:lang w:val="en-GB"/>
        </w:rPr>
        <w:t xml:space="preserve"> &amp; </w:t>
      </w:r>
      <w:proofErr w:type="spellStart"/>
      <w:r w:rsidR="00E20171" w:rsidRPr="00101E89">
        <w:rPr>
          <w:lang w:val="en-GB"/>
        </w:rPr>
        <w:t>Asal</w:t>
      </w:r>
      <w:proofErr w:type="spellEnd"/>
      <w:r w:rsidR="00E20171" w:rsidRPr="00101E89">
        <w:rPr>
          <w:lang w:val="en-GB"/>
        </w:rPr>
        <w:t>, 2012)</w:t>
      </w:r>
      <w:r w:rsidR="00550AF6" w:rsidRPr="00101E89">
        <w:rPr>
          <w:lang w:val="en-GB"/>
        </w:rPr>
        <w:t xml:space="preserve">, have linked risky driving measured by the Vienna Risk-Taking Test to variables that are known to increase risky road traffic behaviour (e.g., voluntary sleep loss; </w:t>
      </w:r>
      <w:proofErr w:type="spellStart"/>
      <w:r w:rsidR="00A56870" w:rsidRPr="00101E89">
        <w:rPr>
          <w:lang w:val="en-GB"/>
        </w:rPr>
        <w:t>Rusnac</w:t>
      </w:r>
      <w:proofErr w:type="spellEnd"/>
      <w:r w:rsidR="00A56870" w:rsidRPr="00101E89">
        <w:rPr>
          <w:lang w:val="en-GB"/>
        </w:rPr>
        <w:t xml:space="preserve">, </w:t>
      </w:r>
      <w:proofErr w:type="spellStart"/>
      <w:r w:rsidR="00A56870" w:rsidRPr="00101E89">
        <w:rPr>
          <w:lang w:val="en-GB"/>
        </w:rPr>
        <w:t>Spitzenstetter</w:t>
      </w:r>
      <w:proofErr w:type="spellEnd"/>
      <w:r w:rsidR="00550AF6" w:rsidRPr="00101E89">
        <w:rPr>
          <w:lang w:val="en-GB"/>
        </w:rPr>
        <w:t xml:space="preserve">, &amp; </w:t>
      </w:r>
      <w:proofErr w:type="spellStart"/>
      <w:r w:rsidR="00A56870" w:rsidRPr="00101E89">
        <w:rPr>
          <w:lang w:val="en-GB"/>
        </w:rPr>
        <w:t>Tassi</w:t>
      </w:r>
      <w:proofErr w:type="spellEnd"/>
      <w:r w:rsidR="00550AF6" w:rsidRPr="00101E89">
        <w:rPr>
          <w:lang w:val="en-GB"/>
        </w:rPr>
        <w:t xml:space="preserve">, </w:t>
      </w:r>
      <w:r w:rsidR="00A56870" w:rsidRPr="00101E89">
        <w:rPr>
          <w:lang w:val="en-GB"/>
        </w:rPr>
        <w:t xml:space="preserve">2016), </w:t>
      </w:r>
      <w:r w:rsidR="00020521" w:rsidRPr="00101E89">
        <w:rPr>
          <w:lang w:val="en-GB"/>
        </w:rPr>
        <w:t>and have used it to evaluate the effectiveness of road traffic intervention programmes (</w:t>
      </w:r>
      <w:proofErr w:type="spellStart"/>
      <w:r w:rsidR="00020521" w:rsidRPr="00101E89">
        <w:rPr>
          <w:lang w:val="en-GB"/>
        </w:rPr>
        <w:t>Chraif</w:t>
      </w:r>
      <w:proofErr w:type="spellEnd"/>
      <w:r w:rsidR="00020521" w:rsidRPr="00101E89">
        <w:rPr>
          <w:lang w:val="en-GB"/>
        </w:rPr>
        <w:t xml:space="preserve">, </w:t>
      </w:r>
      <w:proofErr w:type="spellStart"/>
      <w:r w:rsidR="00020521" w:rsidRPr="00101E89">
        <w:rPr>
          <w:lang w:val="en-GB"/>
        </w:rPr>
        <w:t>Anitai</w:t>
      </w:r>
      <w:proofErr w:type="spellEnd"/>
      <w:r w:rsidR="00020521" w:rsidRPr="00101E89">
        <w:rPr>
          <w:lang w:val="en-GB"/>
        </w:rPr>
        <w:t xml:space="preserve">, &amp; Alex, 2013). </w:t>
      </w:r>
      <w:r w:rsidR="002B1835" w:rsidRPr="00101E89">
        <w:rPr>
          <w:lang w:val="en-GB"/>
        </w:rPr>
        <w:t xml:space="preserve">Indeed, the </w:t>
      </w:r>
      <w:r w:rsidR="00795DE9" w:rsidRPr="00101E89">
        <w:rPr>
          <w:lang w:val="en-GB"/>
        </w:rPr>
        <w:t xml:space="preserve">German Federal Highway Research Institute recommends dynamic reaction-time exercises, such as the Vienna Risk-Taking Test, as a possible measure to improve the theoretical driving test that all German drivers needs to pass to obtain a driving licence (Malone, Biermann, </w:t>
      </w:r>
      <w:proofErr w:type="spellStart"/>
      <w:r w:rsidR="00795DE9" w:rsidRPr="00101E89">
        <w:rPr>
          <w:lang w:val="en-GB"/>
        </w:rPr>
        <w:t>Brünken</w:t>
      </w:r>
      <w:proofErr w:type="spellEnd"/>
      <w:r w:rsidR="00795DE9" w:rsidRPr="00101E89">
        <w:rPr>
          <w:lang w:val="en-GB"/>
        </w:rPr>
        <w:t>, &amp; Buch, 2012). This is because reaction-time measure</w:t>
      </w:r>
      <w:r w:rsidR="000B68E9" w:rsidRPr="00101E89">
        <w:rPr>
          <w:lang w:val="en-GB"/>
        </w:rPr>
        <w:t>s</w:t>
      </w:r>
      <w:r w:rsidR="00795DE9" w:rsidRPr="00101E89">
        <w:rPr>
          <w:lang w:val="en-GB"/>
        </w:rPr>
        <w:t xml:space="preserve"> for risky driving allow </w:t>
      </w:r>
      <w:r w:rsidR="00D375D5">
        <w:rPr>
          <w:lang w:val="en-GB"/>
        </w:rPr>
        <w:t>the assessment of</w:t>
      </w:r>
      <w:r w:rsidR="00795DE9" w:rsidRPr="00101E89">
        <w:rPr>
          <w:lang w:val="en-GB"/>
        </w:rPr>
        <w:t xml:space="preserve"> drivers’ hazard perception and how far they can anticipate</w:t>
      </w:r>
      <w:r w:rsidR="008C5730" w:rsidRPr="00101E89">
        <w:rPr>
          <w:lang w:val="en-GB"/>
        </w:rPr>
        <w:t xml:space="preserve"> and react to</w:t>
      </w:r>
      <w:r w:rsidR="00795DE9" w:rsidRPr="00101E89">
        <w:rPr>
          <w:lang w:val="en-GB"/>
        </w:rPr>
        <w:t xml:space="preserve"> risky driving situations</w:t>
      </w:r>
      <w:r w:rsidR="007E2B8F">
        <w:rPr>
          <w:lang w:val="en-GB"/>
        </w:rPr>
        <w:t>.</w:t>
      </w:r>
    </w:p>
    <w:p w14:paraId="1D41887F" w14:textId="073A7348" w:rsidR="006E06E5" w:rsidRPr="005D307A" w:rsidRDefault="000D3507" w:rsidP="00860B4C">
      <w:pPr>
        <w:ind w:firstLine="720"/>
        <w:rPr>
          <w:lang w:val="en-US"/>
        </w:rPr>
      </w:pPr>
      <w:r w:rsidRPr="00101E89">
        <w:rPr>
          <w:lang w:val="en-GB"/>
        </w:rPr>
        <w:t>Based on the literature review</w:t>
      </w:r>
      <w:r w:rsidR="00A33BC7">
        <w:rPr>
          <w:lang w:val="en-GB"/>
        </w:rPr>
        <w:t>ed</w:t>
      </w:r>
      <w:r w:rsidRPr="00101E89">
        <w:rPr>
          <w:lang w:val="en-GB"/>
        </w:rPr>
        <w:t xml:space="preserve"> above, the present investigation had </w:t>
      </w:r>
      <w:r w:rsidR="00D66B1B" w:rsidRPr="00101E89">
        <w:rPr>
          <w:lang w:val="en-GB"/>
        </w:rPr>
        <w:t>several</w:t>
      </w:r>
      <w:r w:rsidRPr="00101E89">
        <w:rPr>
          <w:lang w:val="en-GB"/>
        </w:rPr>
        <w:t xml:space="preserve"> guiding hypothes</w:t>
      </w:r>
      <w:r w:rsidR="00D66B1B" w:rsidRPr="00101E89">
        <w:rPr>
          <w:lang w:val="en-GB"/>
        </w:rPr>
        <w:t>e</w:t>
      </w:r>
      <w:r w:rsidRPr="00101E89">
        <w:rPr>
          <w:lang w:val="en-GB"/>
        </w:rPr>
        <w:t xml:space="preserve">s. First, as fear appeals tend to </w:t>
      </w:r>
      <w:r w:rsidR="00D66B1B" w:rsidRPr="00101E89">
        <w:rPr>
          <w:lang w:val="en-GB"/>
        </w:rPr>
        <w:t>lead</w:t>
      </w:r>
      <w:r w:rsidRPr="00101E89">
        <w:rPr>
          <w:lang w:val="en-GB"/>
        </w:rPr>
        <w:t xml:space="preserve"> to reduce</w:t>
      </w:r>
      <w:r w:rsidR="00F26B8D" w:rsidRPr="00101E89">
        <w:rPr>
          <w:lang w:val="en-GB"/>
        </w:rPr>
        <w:t>d</w:t>
      </w:r>
      <w:r w:rsidRPr="00101E89">
        <w:rPr>
          <w:lang w:val="en-GB"/>
        </w:rPr>
        <w:t xml:space="preserve"> engagement</w:t>
      </w:r>
      <w:r w:rsidR="000F68D2" w:rsidRPr="00101E89">
        <w:rPr>
          <w:lang w:val="en-GB"/>
        </w:rPr>
        <w:t xml:space="preserve"> with </w:t>
      </w:r>
      <w:r w:rsidR="00FD4A73" w:rsidRPr="00101E89">
        <w:rPr>
          <w:lang w:val="en-GB"/>
        </w:rPr>
        <w:t xml:space="preserve">the </w:t>
      </w:r>
      <w:r w:rsidR="000F68D2" w:rsidRPr="00101E89">
        <w:rPr>
          <w:lang w:val="en-GB"/>
        </w:rPr>
        <w:t>risky information</w:t>
      </w:r>
      <w:r w:rsidR="00FD4A73" w:rsidRPr="00101E89">
        <w:rPr>
          <w:lang w:val="en-GB"/>
        </w:rPr>
        <w:t xml:space="preserve"> and its related outcome</w:t>
      </w:r>
      <w:r w:rsidRPr="00101E89">
        <w:rPr>
          <w:lang w:val="en-GB"/>
        </w:rPr>
        <w:t xml:space="preserve">, </w:t>
      </w:r>
      <w:r w:rsidR="00E20171" w:rsidRPr="00101E89">
        <w:rPr>
          <w:lang w:val="en-GB"/>
        </w:rPr>
        <w:t>w</w:t>
      </w:r>
      <w:r w:rsidR="00F67345" w:rsidRPr="00101E89">
        <w:rPr>
          <w:lang w:val="en-GB"/>
        </w:rPr>
        <w:t xml:space="preserve">e </w:t>
      </w:r>
      <w:r w:rsidR="00A42059" w:rsidRPr="00101E89">
        <w:rPr>
          <w:highlight w:val="white"/>
          <w:lang w:val="en-GB"/>
        </w:rPr>
        <w:t>hypothesi</w:t>
      </w:r>
      <w:r w:rsidR="00A33BC7">
        <w:rPr>
          <w:highlight w:val="white"/>
          <w:lang w:val="en-GB"/>
        </w:rPr>
        <w:t>s</w:t>
      </w:r>
      <w:r w:rsidR="00A42059" w:rsidRPr="00101E89">
        <w:rPr>
          <w:highlight w:val="white"/>
          <w:lang w:val="en-GB"/>
        </w:rPr>
        <w:t xml:space="preserve">ed that </w:t>
      </w:r>
      <w:r w:rsidR="00A33BC7" w:rsidRPr="00101E89">
        <w:rPr>
          <w:highlight w:val="white"/>
          <w:lang w:val="en-GB"/>
        </w:rPr>
        <w:t xml:space="preserve">viewing </w:t>
      </w:r>
      <w:r w:rsidR="000F68D2" w:rsidRPr="00101E89">
        <w:rPr>
          <w:highlight w:val="white"/>
          <w:lang w:val="en-GB"/>
        </w:rPr>
        <w:t>fe</w:t>
      </w:r>
      <w:r w:rsidR="008C5730" w:rsidRPr="00101E89">
        <w:rPr>
          <w:highlight w:val="white"/>
          <w:lang w:val="en-GB"/>
        </w:rPr>
        <w:t xml:space="preserve">ar appeals </w:t>
      </w:r>
      <w:r w:rsidR="000F68D2" w:rsidRPr="00101E89">
        <w:rPr>
          <w:highlight w:val="white"/>
          <w:lang w:val="en-GB"/>
        </w:rPr>
        <w:t xml:space="preserve">would </w:t>
      </w:r>
      <w:r w:rsidR="008C5730" w:rsidRPr="00101E89">
        <w:rPr>
          <w:highlight w:val="white"/>
          <w:lang w:val="en-GB"/>
        </w:rPr>
        <w:t xml:space="preserve">increase self-reported risky driving </w:t>
      </w:r>
      <w:r w:rsidR="00611BC2">
        <w:rPr>
          <w:highlight w:val="white"/>
          <w:lang w:val="en-GB"/>
        </w:rPr>
        <w:t xml:space="preserve">in the DBQ </w:t>
      </w:r>
      <w:r w:rsidR="008C5730" w:rsidRPr="00101E89">
        <w:rPr>
          <w:highlight w:val="white"/>
          <w:lang w:val="en-GB"/>
        </w:rPr>
        <w:t xml:space="preserve">and reaction times to risky driving situations in the Vienna Risk-Taking Test. Conversely, </w:t>
      </w:r>
      <w:r w:rsidR="00A42059" w:rsidRPr="00101E89">
        <w:rPr>
          <w:highlight w:val="white"/>
          <w:lang w:val="en-GB"/>
        </w:rPr>
        <w:t xml:space="preserve">viewing </w:t>
      </w:r>
      <w:r w:rsidR="009A0DAD" w:rsidRPr="00101E89">
        <w:rPr>
          <w:highlight w:val="white"/>
          <w:lang w:val="en-GB"/>
        </w:rPr>
        <w:t>positive</w:t>
      </w:r>
      <w:r w:rsidR="006E06E5" w:rsidRPr="00101E89">
        <w:rPr>
          <w:highlight w:val="white"/>
          <w:lang w:val="en-GB"/>
        </w:rPr>
        <w:t xml:space="preserve"> </w:t>
      </w:r>
      <w:r w:rsidR="008C5730" w:rsidRPr="00101E89">
        <w:rPr>
          <w:highlight w:val="white"/>
          <w:lang w:val="en-GB"/>
        </w:rPr>
        <w:t>appeals</w:t>
      </w:r>
      <w:r w:rsidR="000F5B8D" w:rsidRPr="00101E89">
        <w:rPr>
          <w:highlight w:val="white"/>
          <w:lang w:val="en-GB"/>
        </w:rPr>
        <w:t xml:space="preserve"> </w:t>
      </w:r>
      <w:r w:rsidR="008C5730" w:rsidRPr="00101E89">
        <w:rPr>
          <w:highlight w:val="white"/>
          <w:lang w:val="en-GB"/>
        </w:rPr>
        <w:t xml:space="preserve">should </w:t>
      </w:r>
      <w:r w:rsidR="009A0DAD" w:rsidRPr="00101E89">
        <w:rPr>
          <w:highlight w:val="white"/>
          <w:lang w:val="en-GB"/>
        </w:rPr>
        <w:t>reduce risk taking intention</w:t>
      </w:r>
      <w:r w:rsidR="000B68E9" w:rsidRPr="00101E89">
        <w:rPr>
          <w:highlight w:val="white"/>
          <w:lang w:val="en-GB"/>
        </w:rPr>
        <w:t>s</w:t>
      </w:r>
      <w:r w:rsidR="009A0DAD" w:rsidRPr="00101E89">
        <w:rPr>
          <w:highlight w:val="white"/>
          <w:lang w:val="en-GB"/>
        </w:rPr>
        <w:t xml:space="preserve"> </w:t>
      </w:r>
      <w:r w:rsidR="008C5730" w:rsidRPr="00101E89">
        <w:rPr>
          <w:highlight w:val="white"/>
          <w:lang w:val="en-GB"/>
        </w:rPr>
        <w:t xml:space="preserve">and reaction times, since positive appeals have been shown to increase the relevance of and engagement with risky information. The effect of positive and fear appeals on risky driving should be more pronounced in the VR than 2D conditions, because of the hyper-reality in the depiction of events in VR compared to 2D formats.  </w:t>
      </w:r>
      <w:r w:rsidR="000402D7">
        <w:rPr>
          <w:highlight w:val="white"/>
          <w:lang w:val="en-GB"/>
        </w:rPr>
        <w:t xml:space="preserve">Finally, as previous research has shown that VR increases the sense of immediacy, of </w:t>
      </w:r>
      <w:r w:rsidR="000402D7">
        <w:rPr>
          <w:highlight w:val="white"/>
          <w:lang w:val="en-GB"/>
        </w:rPr>
        <w:lastRenderedPageBreak/>
        <w:t xml:space="preserve">immersion and it </w:t>
      </w:r>
      <w:r w:rsidR="000402D7" w:rsidRPr="00101E89">
        <w:rPr>
          <w:highlight w:val="white"/>
        </w:rPr>
        <w:t>provides the illusion that the events occurring are authentic</w:t>
      </w:r>
      <w:r w:rsidR="000402D7">
        <w:rPr>
          <w:highlight w:val="white"/>
        </w:rPr>
        <w:t xml:space="preserve">, </w:t>
      </w:r>
      <w:r w:rsidR="000402D7">
        <w:t>we measur</w:t>
      </w:r>
      <w:r w:rsidR="005B26AC">
        <w:t>ed</w:t>
      </w:r>
      <w:r w:rsidR="000402D7">
        <w:t xml:space="preserve"> emotional arousal as a manipulation check for the implementation of the VR and 2D condition. Specifically, we expected participants in the VR conditions to report higher emotion arousal (both after the negative and positive appeals) than participants in the 2D conditions.</w:t>
      </w:r>
      <w:r w:rsidR="009A0DAD" w:rsidRPr="00101E89">
        <w:rPr>
          <w:highlight w:val="white"/>
          <w:lang w:val="en-GB"/>
        </w:rPr>
        <w:t xml:space="preserve"> </w:t>
      </w:r>
    </w:p>
    <w:p w14:paraId="761E301F" w14:textId="77777777" w:rsidR="00161BD3" w:rsidRPr="00101E89" w:rsidRDefault="00161BD3" w:rsidP="00860B4C"/>
    <w:p w14:paraId="7F291A1B" w14:textId="77777777" w:rsidR="00161BD3" w:rsidRPr="00101E89" w:rsidRDefault="00A42059" w:rsidP="00860B4C">
      <w:pPr>
        <w:pStyle w:val="Heading1"/>
        <w:ind w:left="141"/>
        <w:jc w:val="left"/>
      </w:pPr>
      <w:bookmarkStart w:id="13" w:name="_17dp8vu" w:colFirst="0" w:colLast="0"/>
      <w:bookmarkEnd w:id="13"/>
      <w:r w:rsidRPr="00101E89">
        <w:t>2. Method</w:t>
      </w:r>
    </w:p>
    <w:p w14:paraId="66DB7FF5" w14:textId="77777777" w:rsidR="00161BD3" w:rsidRPr="00101E89" w:rsidRDefault="00A42059" w:rsidP="00860B4C">
      <w:pPr>
        <w:pStyle w:val="Heading2"/>
        <w:ind w:left="141"/>
        <w:rPr>
          <w:b w:val="0"/>
        </w:rPr>
      </w:pPr>
      <w:r w:rsidRPr="00101E89">
        <w:rPr>
          <w:b w:val="0"/>
        </w:rPr>
        <w:t>2.1. Participants</w:t>
      </w:r>
    </w:p>
    <w:p w14:paraId="0DC8C77A" w14:textId="12EF16F2" w:rsidR="00161BD3" w:rsidRPr="00101E89" w:rsidRDefault="00A42059" w:rsidP="00860B4C">
      <w:pPr>
        <w:ind w:left="141" w:right="-342"/>
      </w:pPr>
      <w:r w:rsidRPr="00101E89">
        <w:t xml:space="preserve">One hundred and </w:t>
      </w:r>
      <w:r w:rsidR="0050437C" w:rsidRPr="00101E89">
        <w:t>forty-six</w:t>
      </w:r>
      <w:r w:rsidRPr="00101E89">
        <w:t xml:space="preserve"> participants (F= 102; M= 44) took part in the study. They were all University students</w:t>
      </w:r>
      <w:r w:rsidR="00DD50D6">
        <w:t xml:space="preserve"> from the School of Psychology</w:t>
      </w:r>
      <w:r w:rsidRPr="00101E89">
        <w:t>, aged 18-25 (M = 20.97; SD = 2.14)</w:t>
      </w:r>
      <w:r w:rsidR="00D0553E" w:rsidRPr="00101E89">
        <w:t>.</w:t>
      </w:r>
      <w:r w:rsidR="008C5730" w:rsidRPr="00101E89">
        <w:t xml:space="preserve"> </w:t>
      </w:r>
      <w:r w:rsidRPr="00101E89">
        <w:t xml:space="preserve">The only </w:t>
      </w:r>
      <w:r w:rsidR="00F67345" w:rsidRPr="00101E89">
        <w:t xml:space="preserve">inclusion </w:t>
      </w:r>
      <w:r w:rsidRPr="00101E89">
        <w:t>criteri</w:t>
      </w:r>
      <w:r w:rsidR="00F67345" w:rsidRPr="00101E89">
        <w:t>on</w:t>
      </w:r>
      <w:r w:rsidRPr="00101E89">
        <w:t xml:space="preserve"> was a valid driver’s license for less than 5 years (M = 3.25, SD = 1.23)</w:t>
      </w:r>
      <w:r w:rsidR="00D0553E" w:rsidRPr="00101E89">
        <w:t xml:space="preserve"> – participants </w:t>
      </w:r>
      <w:r w:rsidR="00EE0B53" w:rsidRPr="00101E89">
        <w:t>c</w:t>
      </w:r>
      <w:r w:rsidR="00D0553E" w:rsidRPr="00101E89">
        <w:t>ould</w:t>
      </w:r>
      <w:r w:rsidR="00EE0B53" w:rsidRPr="00101E89">
        <w:t xml:space="preserve"> </w:t>
      </w:r>
      <w:r w:rsidR="00D0553E" w:rsidRPr="00101E89">
        <w:t>ther</w:t>
      </w:r>
      <w:r w:rsidR="00EC3356" w:rsidRPr="00101E89">
        <w:t>e</w:t>
      </w:r>
      <w:r w:rsidR="00D0553E" w:rsidRPr="00101E89">
        <w:t>fore be classif</w:t>
      </w:r>
      <w:r w:rsidR="004F5729">
        <w:t>i</w:t>
      </w:r>
      <w:r w:rsidR="00D0553E" w:rsidRPr="00101E89">
        <w:t>ed as young novice drivers.</w:t>
      </w:r>
      <w:r w:rsidR="00DD50D6">
        <w:t xml:space="preserve"> </w:t>
      </w:r>
      <w:r w:rsidRPr="00101E89">
        <w:t xml:space="preserve">Participants were allocated randomly to one of the four experimental conditions: a) </w:t>
      </w:r>
      <w:r w:rsidR="00FF045B" w:rsidRPr="00101E89">
        <w:t xml:space="preserve">Fear </w:t>
      </w:r>
      <w:r w:rsidRPr="00101E89">
        <w:t>VR</w:t>
      </w:r>
      <w:r w:rsidR="0045007B" w:rsidRPr="00101E89">
        <w:t xml:space="preserve"> (n= 39)</w:t>
      </w:r>
      <w:r w:rsidRPr="00101E89">
        <w:t>; b) Positive</w:t>
      </w:r>
      <w:r w:rsidRPr="00101E89">
        <w:rPr>
          <w:rFonts w:eastAsia="Roboto"/>
        </w:rPr>
        <w:t xml:space="preserve"> </w:t>
      </w:r>
      <w:r w:rsidRPr="00101E89">
        <w:t>VR</w:t>
      </w:r>
      <w:r w:rsidR="0045007B" w:rsidRPr="00101E89">
        <w:t xml:space="preserve"> (n= 36)</w:t>
      </w:r>
      <w:r w:rsidRPr="00101E89">
        <w:t xml:space="preserve">; c) </w:t>
      </w:r>
      <w:r w:rsidR="00FF045B" w:rsidRPr="00101E89">
        <w:t xml:space="preserve">Fear </w:t>
      </w:r>
      <w:r w:rsidRPr="00101E89">
        <w:t xml:space="preserve">2D </w:t>
      </w:r>
      <w:r w:rsidR="000B60B8" w:rsidRPr="00101E89">
        <w:t xml:space="preserve">(n= 37) </w:t>
      </w:r>
      <w:r w:rsidRPr="00101E89">
        <w:t>and d) Positive 2D</w:t>
      </w:r>
      <w:r w:rsidR="000B60B8" w:rsidRPr="00101E89">
        <w:t xml:space="preserve"> (n= 34)</w:t>
      </w:r>
      <w:r w:rsidRPr="00101E89">
        <w:t xml:space="preserve">. </w:t>
      </w:r>
      <w:r w:rsidR="000B60B8" w:rsidRPr="00101E89">
        <w:t xml:space="preserve"> </w:t>
      </w:r>
      <w:r w:rsidR="00184B53" w:rsidRPr="00101E89">
        <w:rPr>
          <w:lang w:val="en-GB"/>
        </w:rPr>
        <w:t>An a priori power analysis showed that 32 participants per condition should have 80% power to detect an effect size of</w:t>
      </w:r>
      <w:r w:rsidR="00E45535">
        <w:rPr>
          <w:lang w:val="en-GB"/>
        </w:rPr>
        <w:t xml:space="preserve"> d=</w:t>
      </w:r>
      <w:r w:rsidR="00184B53" w:rsidRPr="00101E89">
        <w:rPr>
          <w:lang w:val="en-GB"/>
        </w:rPr>
        <w:t xml:space="preserve"> 0.50.</w:t>
      </w:r>
      <w:r w:rsidR="00DE55D0">
        <w:rPr>
          <w:lang w:val="en-GB"/>
        </w:rPr>
        <w:t xml:space="preserve"> </w:t>
      </w:r>
      <w:r w:rsidR="00DE55D0" w:rsidRPr="00DE55D0">
        <w:rPr>
          <w:lang w:val="en-GB"/>
        </w:rPr>
        <w:t xml:space="preserve">Previous </w:t>
      </w:r>
      <w:r w:rsidR="0067524A">
        <w:rPr>
          <w:lang w:val="en-GB"/>
        </w:rPr>
        <w:t>interventions</w:t>
      </w:r>
      <w:r w:rsidR="00DE55D0" w:rsidRPr="00DE55D0">
        <w:rPr>
          <w:lang w:val="en-GB"/>
        </w:rPr>
        <w:t xml:space="preserve"> on </w:t>
      </w:r>
      <w:r w:rsidR="00DE55D0">
        <w:rPr>
          <w:lang w:val="en-GB"/>
        </w:rPr>
        <w:t>risky driving behaviours have</w:t>
      </w:r>
      <w:r w:rsidR="00DE55D0" w:rsidRPr="00DE55D0">
        <w:rPr>
          <w:lang w:val="en-GB"/>
        </w:rPr>
        <w:t xml:space="preserve"> found effects ranging from </w:t>
      </w:r>
      <w:r w:rsidR="00DE55D0">
        <w:rPr>
          <w:lang w:val="en-GB"/>
        </w:rPr>
        <w:t>0.40</w:t>
      </w:r>
      <w:r w:rsidR="00DE55D0" w:rsidRPr="00DE55D0">
        <w:rPr>
          <w:lang w:val="en-GB"/>
        </w:rPr>
        <w:t xml:space="preserve"> to </w:t>
      </w:r>
      <w:r w:rsidR="00DE55D0">
        <w:rPr>
          <w:lang w:val="en-GB"/>
        </w:rPr>
        <w:t>0.60 (</w:t>
      </w:r>
      <w:proofErr w:type="spellStart"/>
      <w:r w:rsidR="00E45535">
        <w:rPr>
          <w:lang w:val="en-GB"/>
        </w:rPr>
        <w:t>Hardeman</w:t>
      </w:r>
      <w:proofErr w:type="spellEnd"/>
      <w:r w:rsidR="00E45535">
        <w:rPr>
          <w:lang w:val="en-GB"/>
        </w:rPr>
        <w:t xml:space="preserve"> et al., 2002;</w:t>
      </w:r>
      <w:r w:rsidR="00DE55D0">
        <w:rPr>
          <w:lang w:val="en-GB"/>
        </w:rPr>
        <w:t xml:space="preserve"> Vassallo et al., 2007)</w:t>
      </w:r>
      <w:r w:rsidR="00DE55D0" w:rsidRPr="00DE55D0">
        <w:rPr>
          <w:lang w:val="en-GB"/>
        </w:rPr>
        <w:t>. Therefore</w:t>
      </w:r>
      <w:r w:rsidR="00DE55D0">
        <w:rPr>
          <w:lang w:val="en-GB"/>
        </w:rPr>
        <w:t>,</w:t>
      </w:r>
      <w:r w:rsidR="00DE55D0" w:rsidRPr="00DE55D0">
        <w:rPr>
          <w:lang w:val="en-GB"/>
        </w:rPr>
        <w:t xml:space="preserve"> we decided to use a</w:t>
      </w:r>
      <w:r w:rsidR="00E45535">
        <w:rPr>
          <w:lang w:val="en-GB"/>
        </w:rPr>
        <w:t xml:space="preserve">n </w:t>
      </w:r>
      <w:r w:rsidR="00E45535" w:rsidRPr="00101E89">
        <w:rPr>
          <w:lang w:val="en-GB"/>
        </w:rPr>
        <w:t xml:space="preserve">effect size of </w:t>
      </w:r>
      <w:r w:rsidR="00E45535">
        <w:rPr>
          <w:lang w:val="en-GB"/>
        </w:rPr>
        <w:t xml:space="preserve">d= </w:t>
      </w:r>
      <w:r w:rsidR="00DE55D0" w:rsidRPr="00DE55D0">
        <w:rPr>
          <w:lang w:val="en-GB"/>
        </w:rPr>
        <w:t>0.5</w:t>
      </w:r>
      <w:r w:rsidR="00E45535">
        <w:rPr>
          <w:lang w:val="en-GB"/>
        </w:rPr>
        <w:t>0</w:t>
      </w:r>
      <w:r w:rsidR="00DE55D0" w:rsidRPr="00DE55D0">
        <w:rPr>
          <w:lang w:val="en-GB"/>
        </w:rPr>
        <w:t>.</w:t>
      </w:r>
    </w:p>
    <w:p w14:paraId="6A995541" w14:textId="77777777" w:rsidR="00161BD3" w:rsidRPr="00101E89" w:rsidRDefault="00161BD3" w:rsidP="004E6D30">
      <w:pPr>
        <w:ind w:left="90" w:firstLine="630"/>
      </w:pPr>
    </w:p>
    <w:p w14:paraId="176898D3" w14:textId="77777777" w:rsidR="00161BD3" w:rsidRPr="00101E89" w:rsidRDefault="00A42059" w:rsidP="004E6D30">
      <w:pPr>
        <w:pStyle w:val="Heading2"/>
        <w:ind w:left="141"/>
      </w:pPr>
      <w:bookmarkStart w:id="14" w:name="_er0843zd9f49" w:colFirst="0" w:colLast="0"/>
      <w:bookmarkEnd w:id="14"/>
      <w:r w:rsidRPr="00101E89">
        <w:rPr>
          <w:b w:val="0"/>
        </w:rPr>
        <w:t>2.2. Measures</w:t>
      </w:r>
    </w:p>
    <w:p w14:paraId="22BB93F2" w14:textId="2EB7D8CC" w:rsidR="00161BD3" w:rsidRPr="00101E89" w:rsidRDefault="00A42059" w:rsidP="004E6D30">
      <w:pPr>
        <w:ind w:left="90"/>
        <w:rPr>
          <w:highlight w:val="white"/>
        </w:rPr>
      </w:pPr>
      <w:r w:rsidRPr="00101E89">
        <w:rPr>
          <w:b/>
          <w:highlight w:val="white"/>
        </w:rPr>
        <w:t xml:space="preserve">Road Safety Films. </w:t>
      </w:r>
      <w:r w:rsidRPr="00101E89">
        <w:rPr>
          <w:highlight w:val="white"/>
        </w:rPr>
        <w:t xml:space="preserve">The road safety films, both negative and positive, were developed </w:t>
      </w:r>
      <w:r w:rsidR="00B536D5">
        <w:rPr>
          <w:highlight w:val="white"/>
        </w:rPr>
        <w:t xml:space="preserve">specifically </w:t>
      </w:r>
      <w:r w:rsidRPr="00101E89">
        <w:rPr>
          <w:highlight w:val="white"/>
        </w:rPr>
        <w:t>for</w:t>
      </w:r>
      <w:r w:rsidR="00EE0B53" w:rsidRPr="00101E89">
        <w:rPr>
          <w:highlight w:val="white"/>
        </w:rPr>
        <w:t>,</w:t>
      </w:r>
      <w:r w:rsidR="00D66B1B" w:rsidRPr="00101E89">
        <w:rPr>
          <w:highlight w:val="white"/>
        </w:rPr>
        <w:t xml:space="preserve"> </w:t>
      </w:r>
      <w:r w:rsidRPr="00101E89">
        <w:rPr>
          <w:highlight w:val="white"/>
        </w:rPr>
        <w:t>and used by</w:t>
      </w:r>
      <w:r w:rsidR="00EE0B53" w:rsidRPr="00101E89">
        <w:rPr>
          <w:highlight w:val="white"/>
        </w:rPr>
        <w:t>,</w:t>
      </w:r>
      <w:r w:rsidRPr="00101E89">
        <w:rPr>
          <w:highlight w:val="white"/>
        </w:rPr>
        <w:t xml:space="preserve"> the Fire and Rescue Service across the UK. Both films were 6 minutes long, with the same three professional actors playing the parts of young adults driving in a car. A male actor was the driver, and two female actors were the backseat passengers. </w:t>
      </w:r>
      <w:r w:rsidR="00864931" w:rsidRPr="00101E89">
        <w:rPr>
          <w:highlight w:val="white"/>
        </w:rPr>
        <w:t xml:space="preserve">The participants saw the film from the point of view of the front passenger and were able to see the other passengers interact with </w:t>
      </w:r>
      <w:r w:rsidR="00864931" w:rsidRPr="00101E89">
        <w:rPr>
          <w:highlight w:val="white"/>
        </w:rPr>
        <w:lastRenderedPageBreak/>
        <w:t>the driver</w:t>
      </w:r>
      <w:r w:rsidR="006E06E5" w:rsidRPr="00101E89">
        <w:rPr>
          <w:highlight w:val="white"/>
        </w:rPr>
        <w:t>.</w:t>
      </w:r>
      <w:r w:rsidR="00864931" w:rsidRPr="00101E89">
        <w:rPr>
          <w:highlight w:val="white"/>
        </w:rPr>
        <w:t xml:space="preserve"> </w:t>
      </w:r>
      <w:r w:rsidRPr="00101E89">
        <w:rPr>
          <w:highlight w:val="white"/>
        </w:rPr>
        <w:t xml:space="preserve">In the fear-based film, one back seat passenger was not wearing a seatbelt and both passengers were </w:t>
      </w:r>
      <w:r w:rsidR="00DD50D6">
        <w:rPr>
          <w:highlight w:val="white"/>
        </w:rPr>
        <w:t>distracting</w:t>
      </w:r>
      <w:r w:rsidRPr="00101E89">
        <w:rPr>
          <w:highlight w:val="white"/>
        </w:rPr>
        <w:t xml:space="preserve"> the driver, while he was speeding along a narrow road. As a result of the driver’s speeding and distracted driving the car </w:t>
      </w:r>
      <w:r w:rsidR="00A57AD4" w:rsidRPr="00101E89">
        <w:rPr>
          <w:highlight w:val="white"/>
        </w:rPr>
        <w:t>was</w:t>
      </w:r>
      <w:r w:rsidRPr="00101E89">
        <w:rPr>
          <w:highlight w:val="white"/>
        </w:rPr>
        <w:t xml:space="preserve"> involved in a road traffic collision. The crash and its aftermath are shocking, and the participant witness the backseat passenger’s death</w:t>
      </w:r>
      <w:r w:rsidR="00EE0B53" w:rsidRPr="00101E89">
        <w:rPr>
          <w:highlight w:val="white"/>
        </w:rPr>
        <w:t>,</w:t>
      </w:r>
      <w:r w:rsidRPr="00101E89">
        <w:rPr>
          <w:highlight w:val="white"/>
        </w:rPr>
        <w:t xml:space="preserve"> the other passenger’s severe injuries, and how the Fire and Rescue Service and the paramedics deal with the situations and the bodies. </w:t>
      </w:r>
    </w:p>
    <w:p w14:paraId="112774B9" w14:textId="77777777" w:rsidR="00161BD3" w:rsidRPr="00101E89" w:rsidRDefault="00A42059" w:rsidP="004E6D30">
      <w:pPr>
        <w:ind w:left="90" w:firstLine="630"/>
        <w:rPr>
          <w:highlight w:val="white"/>
        </w:rPr>
      </w:pPr>
      <w:r w:rsidRPr="00101E89">
        <w:rPr>
          <w:highlight w:val="white"/>
        </w:rPr>
        <w:t>In the positively-framed film, the same three friends are driving, and again a backseat passenger is not wearing a seatbelt. The driver immediately slows down and encourages her to wear the seatbelt. The backseat passengers are also asked to stop distracting the driver and the passengers caution the driver to be more careful while driving on a narrow road. Unlike the fear-based film, at the end of the positively-framed film, the driver and his passengers arrived safely at a house party, and the film ends with the three friends being welcomed by other guests at the party.</w:t>
      </w:r>
    </w:p>
    <w:p w14:paraId="31B58D76" w14:textId="77777777" w:rsidR="00161BD3" w:rsidRPr="00101E89" w:rsidRDefault="00161BD3" w:rsidP="004E6D30">
      <w:pPr>
        <w:ind w:left="90"/>
        <w:rPr>
          <w:highlight w:val="white"/>
        </w:rPr>
      </w:pPr>
    </w:p>
    <w:p w14:paraId="462EB9D8" w14:textId="35A4A05B" w:rsidR="00DD50D6" w:rsidRDefault="00A42059" w:rsidP="00DD50D6">
      <w:pPr>
        <w:pBdr>
          <w:top w:val="nil"/>
          <w:left w:val="nil"/>
          <w:bottom w:val="nil"/>
          <w:right w:val="nil"/>
          <w:between w:val="nil"/>
        </w:pBdr>
        <w:rPr>
          <w:rFonts w:eastAsia="Arial"/>
        </w:rPr>
      </w:pPr>
      <w:r w:rsidRPr="00101E89">
        <w:rPr>
          <w:b/>
        </w:rPr>
        <w:t xml:space="preserve">Driver Behaviour Questionnaire (DBQ; Reason et al, 1990). </w:t>
      </w:r>
      <w:r w:rsidRPr="00101E89">
        <w:rPr>
          <w:highlight w:val="white"/>
        </w:rPr>
        <w:t>The 50-item version of the DBQ</w:t>
      </w:r>
      <w:r w:rsidR="00DD50D6">
        <w:rPr>
          <w:highlight w:val="white"/>
        </w:rPr>
        <w:t xml:space="preserve"> </w:t>
      </w:r>
      <w:r w:rsidR="00864931" w:rsidRPr="00101E89">
        <w:rPr>
          <w:highlight w:val="white"/>
        </w:rPr>
        <w:t>was</w:t>
      </w:r>
      <w:r w:rsidRPr="00101E89">
        <w:rPr>
          <w:highlight w:val="white"/>
        </w:rPr>
        <w:t xml:space="preserve"> used to measure participants’ self-reported engagement in risky driving behaviours. Each item belongs to one of three subscales: “violations”, “errors”, or “lapses”.  Violations are defined as behaviours </w:t>
      </w:r>
      <w:r w:rsidR="00C669AB" w:rsidRPr="00101E89">
        <w:rPr>
          <w:highlight w:val="white"/>
        </w:rPr>
        <w:t xml:space="preserve">that </w:t>
      </w:r>
      <w:r w:rsidRPr="00101E89">
        <w:rPr>
          <w:highlight w:val="white"/>
        </w:rPr>
        <w:t>deliberately break the law (e.g. “deliberately disregard the speed limits late at night or very early in the morning”). Errors indicate potentially dangerous failures in observation or judgment (e.g. “turn left on to a main road into the path of an oncoming vehicle that you hadn’t seen, or whose speed you had misjudged”). Lapses are errors that cause embarrassment and inconvenience rather than risk (e.g. Lock yourself out of your car with the keys still inside). Participants were asked to indicate how often they committed each of the 50 behaviours on a five-point scale (1 = never, 5 = almost always), where higher score indicate</w:t>
      </w:r>
      <w:r w:rsidR="00895F84">
        <w:rPr>
          <w:highlight w:val="white"/>
        </w:rPr>
        <w:t>d</w:t>
      </w:r>
      <w:r w:rsidRPr="00101E89">
        <w:rPr>
          <w:highlight w:val="white"/>
        </w:rPr>
        <w:t xml:space="preserve"> higher risk-taking tendencies</w:t>
      </w:r>
      <w:r w:rsidR="00DD50D6">
        <w:rPr>
          <w:highlight w:val="white"/>
        </w:rPr>
        <w:t xml:space="preserve">. </w:t>
      </w:r>
      <w:r w:rsidR="00DD50D6" w:rsidRPr="008D1476">
        <w:rPr>
          <w:rFonts w:eastAsia="Arial"/>
        </w:rPr>
        <w:t xml:space="preserve">Cronbach's alphas for </w:t>
      </w:r>
      <w:r w:rsidR="00DD50D6" w:rsidRPr="008D1476">
        <w:rPr>
          <w:rFonts w:eastAsia="Arial"/>
        </w:rPr>
        <w:lastRenderedPageBreak/>
        <w:t xml:space="preserve">each of the </w:t>
      </w:r>
      <w:r w:rsidR="00DD50D6">
        <w:rPr>
          <w:rFonts w:eastAsia="Arial"/>
        </w:rPr>
        <w:t>DBQ</w:t>
      </w:r>
      <w:r w:rsidR="00DD50D6" w:rsidRPr="008D1476">
        <w:rPr>
          <w:rFonts w:eastAsia="Arial"/>
        </w:rPr>
        <w:t xml:space="preserve"> subscales [</w:t>
      </w:r>
      <w:r w:rsidR="00DD50D6">
        <w:rPr>
          <w:rFonts w:eastAsia="Arial"/>
        </w:rPr>
        <w:t>violations, errors and lapses</w:t>
      </w:r>
      <w:r w:rsidR="00DD50D6" w:rsidRPr="008D1476">
        <w:rPr>
          <w:rFonts w:eastAsia="Arial"/>
        </w:rPr>
        <w:t>] ranged from .61 to .9</w:t>
      </w:r>
      <w:r w:rsidR="00DD50D6">
        <w:rPr>
          <w:rFonts w:eastAsia="Arial"/>
        </w:rPr>
        <w:t>3</w:t>
      </w:r>
      <w:r w:rsidR="00DD50D6" w:rsidRPr="008D1476">
        <w:rPr>
          <w:rFonts w:eastAsia="Arial"/>
        </w:rPr>
        <w:t xml:space="preserve">, across </w:t>
      </w:r>
      <w:r w:rsidR="00DD50D6">
        <w:rPr>
          <w:rFonts w:eastAsia="Arial"/>
        </w:rPr>
        <w:t>the</w:t>
      </w:r>
      <w:r w:rsidR="00DD50D6" w:rsidRPr="008D1476">
        <w:rPr>
          <w:rFonts w:eastAsia="Arial"/>
        </w:rPr>
        <w:t xml:space="preserve"> data collection points, indicating good and very good reliability for all measures.</w:t>
      </w:r>
      <w:r w:rsidR="00FB3278">
        <w:rPr>
          <w:rFonts w:eastAsia="Arial"/>
        </w:rPr>
        <w:t xml:space="preserve"> The DBQ was administered at baseline (pre-</w:t>
      </w:r>
      <w:r w:rsidR="00C9436D">
        <w:rPr>
          <w:rFonts w:eastAsia="Arial"/>
        </w:rPr>
        <w:t>intervention</w:t>
      </w:r>
      <w:r w:rsidR="00FB3278">
        <w:rPr>
          <w:rFonts w:eastAsia="Arial"/>
        </w:rPr>
        <w:t xml:space="preserve">) and at the 2 weeks follow-up.  </w:t>
      </w:r>
    </w:p>
    <w:p w14:paraId="07A88F0A" w14:textId="77777777" w:rsidR="00050EEB" w:rsidRPr="00DD50D6" w:rsidRDefault="00050EEB" w:rsidP="00DD50D6">
      <w:pPr>
        <w:pBdr>
          <w:top w:val="nil"/>
          <w:left w:val="nil"/>
          <w:bottom w:val="nil"/>
          <w:right w:val="nil"/>
          <w:between w:val="nil"/>
        </w:pBdr>
        <w:rPr>
          <w:rFonts w:eastAsia="Arial"/>
        </w:rPr>
      </w:pPr>
    </w:p>
    <w:p w14:paraId="57220547" w14:textId="31C505B0" w:rsidR="00050EEB" w:rsidRDefault="00A42059" w:rsidP="00050EEB">
      <w:pPr>
        <w:pBdr>
          <w:top w:val="nil"/>
          <w:left w:val="nil"/>
          <w:bottom w:val="nil"/>
          <w:right w:val="nil"/>
          <w:between w:val="nil"/>
        </w:pBdr>
        <w:rPr>
          <w:rFonts w:eastAsia="Arial"/>
        </w:rPr>
      </w:pPr>
      <w:r w:rsidRPr="00101E89">
        <w:rPr>
          <w:b/>
        </w:rPr>
        <w:t>Emotional Arousal (</w:t>
      </w:r>
      <w:r w:rsidR="00640A8B" w:rsidRPr="00101E89">
        <w:rPr>
          <w:b/>
        </w:rPr>
        <w:t>Keller &amp; Block, 1996)</w:t>
      </w:r>
      <w:r w:rsidRPr="00101E89">
        <w:rPr>
          <w:b/>
        </w:rPr>
        <w:t xml:space="preserve">.  </w:t>
      </w:r>
      <w:r w:rsidR="0013237A" w:rsidRPr="00101E89">
        <w:t xml:space="preserve">The </w:t>
      </w:r>
      <w:r w:rsidR="00827E53">
        <w:t xml:space="preserve">21-item </w:t>
      </w:r>
      <w:r w:rsidR="0013237A" w:rsidRPr="00101E89">
        <w:t>Emotional Arousal S</w:t>
      </w:r>
      <w:r w:rsidRPr="00101E89">
        <w:t>cale measure</w:t>
      </w:r>
      <w:r w:rsidR="00827E53">
        <w:t xml:space="preserve">d </w:t>
      </w:r>
      <w:r w:rsidRPr="00101E89">
        <w:t>the level of emotional arousal that participants experienced</w:t>
      </w:r>
      <w:r w:rsidR="0013237A" w:rsidRPr="00101E89">
        <w:t xml:space="preserve"> while watching the films</w:t>
      </w:r>
      <w:r w:rsidR="00895F84">
        <w:t xml:space="preserve">. Participants were asked to rate their emotional arousal on a five-point scale (1= </w:t>
      </w:r>
      <w:r w:rsidR="00895F84" w:rsidRPr="00670AEC">
        <w:rPr>
          <w:i/>
          <w:iCs/>
        </w:rPr>
        <w:t>strongly disagree</w:t>
      </w:r>
      <w:r w:rsidR="00895F84">
        <w:t xml:space="preserve">, 5= </w:t>
      </w:r>
      <w:r w:rsidR="00895F84" w:rsidRPr="00670AEC">
        <w:rPr>
          <w:i/>
          <w:iCs/>
        </w:rPr>
        <w:t>strongly agree</w:t>
      </w:r>
      <w:r w:rsidR="00895F84">
        <w:t xml:space="preserve">), where higher scores indicated </w:t>
      </w:r>
      <w:r w:rsidR="00895F84" w:rsidRPr="00101E89">
        <w:t>higher emotional arousal response</w:t>
      </w:r>
      <w:r w:rsidR="00895F84">
        <w:t xml:space="preserve"> (e.g. “The safety message makes me feel very afraid”). </w:t>
      </w:r>
      <w:r w:rsidR="00895F84" w:rsidRPr="008D1476">
        <w:rPr>
          <w:rFonts w:eastAsia="Arial"/>
        </w:rPr>
        <w:t xml:space="preserve">Cronbach's alphas for </w:t>
      </w:r>
      <w:r w:rsidR="00895F84">
        <w:rPr>
          <w:rFonts w:eastAsia="Arial"/>
        </w:rPr>
        <w:t>the Emotional Arousal was .90</w:t>
      </w:r>
      <w:r w:rsidR="00670AEC">
        <w:rPr>
          <w:rFonts w:eastAsia="Arial"/>
        </w:rPr>
        <w:t>,</w:t>
      </w:r>
      <w:r w:rsidR="005F1EAB">
        <w:rPr>
          <w:rFonts w:eastAsia="Arial"/>
        </w:rPr>
        <w:t xml:space="preserve"> </w:t>
      </w:r>
      <w:r w:rsidR="00895F84" w:rsidRPr="008D1476">
        <w:rPr>
          <w:rFonts w:eastAsia="Arial"/>
        </w:rPr>
        <w:t>indicating very good reliabilit</w:t>
      </w:r>
      <w:r w:rsidR="00895F84">
        <w:rPr>
          <w:rFonts w:eastAsia="Arial"/>
        </w:rPr>
        <w:t>y</w:t>
      </w:r>
      <w:r w:rsidR="00895F84" w:rsidRPr="008D1476">
        <w:rPr>
          <w:rFonts w:eastAsia="Arial"/>
        </w:rPr>
        <w:t>.</w:t>
      </w:r>
    </w:p>
    <w:p w14:paraId="6E780694" w14:textId="77777777" w:rsidR="00050EEB" w:rsidRPr="00050EEB" w:rsidRDefault="00050EEB" w:rsidP="00050EEB">
      <w:pPr>
        <w:pBdr>
          <w:top w:val="nil"/>
          <w:left w:val="nil"/>
          <w:bottom w:val="nil"/>
          <w:right w:val="nil"/>
          <w:between w:val="nil"/>
        </w:pBdr>
        <w:rPr>
          <w:rFonts w:eastAsia="Arial"/>
        </w:rPr>
      </w:pPr>
    </w:p>
    <w:p w14:paraId="385BE0F0" w14:textId="79FBA8FC" w:rsidR="0086741E" w:rsidRPr="00101E89" w:rsidRDefault="00A42059" w:rsidP="004E6D30">
      <w:pPr>
        <w:ind w:left="90"/>
        <w:rPr>
          <w:highlight w:val="white"/>
        </w:rPr>
      </w:pPr>
      <w:r w:rsidRPr="00101E89">
        <w:rPr>
          <w:b/>
        </w:rPr>
        <w:t>The Vienna Risk-Taking Test Traffic (</w:t>
      </w:r>
      <w:r w:rsidRPr="00101E89">
        <w:rPr>
          <w:b/>
          <w:highlight w:val="white"/>
        </w:rPr>
        <w:t xml:space="preserve">Hergovich, Bognar, Arendasy, &amp; Sommer, 2007; Hergovich et al., 2005). </w:t>
      </w:r>
      <w:r w:rsidR="0038337C" w:rsidRPr="00101E89">
        <w:rPr>
          <w:highlight w:val="white"/>
          <w:lang w:val="en-GB"/>
        </w:rPr>
        <w:t>The Vienna Risk-Taking Test Traffic was used to assess the participant</w:t>
      </w:r>
      <w:r w:rsidR="001958C9" w:rsidRPr="00101E89">
        <w:rPr>
          <w:highlight w:val="white"/>
          <w:lang w:val="en-GB"/>
        </w:rPr>
        <w:t>s’</w:t>
      </w:r>
      <w:r w:rsidR="0038337C" w:rsidRPr="00101E89">
        <w:rPr>
          <w:highlight w:val="white"/>
          <w:lang w:val="en-GB"/>
        </w:rPr>
        <w:t xml:space="preserve"> willingness to take risks in potentially dangerous driving situations. The test consist</w:t>
      </w:r>
      <w:r w:rsidR="006E0B60" w:rsidRPr="00101E89">
        <w:rPr>
          <w:highlight w:val="white"/>
          <w:lang w:val="en-GB"/>
        </w:rPr>
        <w:t>ed</w:t>
      </w:r>
      <w:r w:rsidR="0038337C" w:rsidRPr="00101E89">
        <w:rPr>
          <w:highlight w:val="white"/>
          <w:lang w:val="en-GB"/>
        </w:rPr>
        <w:t xml:space="preserve"> of 24 videotaped dangerous traffic situations presented from the driver’s perspective on a computer screen. The videos were filmed from the inside of the car, enabling participants to easily picture themselves as the driver of the car.</w:t>
      </w:r>
      <w:r w:rsidRPr="00101E89">
        <w:rPr>
          <w:highlight w:val="white"/>
          <w:lang w:val="en-GB"/>
        </w:rPr>
        <w:t xml:space="preserve"> The traffic situations can be categorised into (1) speed choice and overtaking situations and (2) decisions at intersections.  Participants view </w:t>
      </w:r>
      <w:r w:rsidR="00EE0B53" w:rsidRPr="00101E89">
        <w:rPr>
          <w:highlight w:val="white"/>
          <w:lang w:val="en-GB"/>
        </w:rPr>
        <w:t xml:space="preserve">each </w:t>
      </w:r>
      <w:r w:rsidRPr="00101E89">
        <w:rPr>
          <w:highlight w:val="white"/>
          <w:lang w:val="en-GB"/>
        </w:rPr>
        <w:t xml:space="preserve">traffic scene twice: the first time to observe the scene, and the second to indicate at which point the intended driving </w:t>
      </w:r>
      <w:r w:rsidR="00E20171" w:rsidRPr="00101E89">
        <w:rPr>
          <w:highlight w:val="white"/>
          <w:lang w:val="en-GB"/>
        </w:rPr>
        <w:t>manoeuvre</w:t>
      </w:r>
      <w:r w:rsidRPr="00101E89">
        <w:rPr>
          <w:highlight w:val="white"/>
          <w:lang w:val="en-GB"/>
        </w:rPr>
        <w:t xml:space="preserve"> would be too risky to carry out. Weather conditions also var</w:t>
      </w:r>
      <w:r w:rsidR="00EE0B53" w:rsidRPr="00101E89">
        <w:rPr>
          <w:highlight w:val="white"/>
          <w:lang w:val="en-GB"/>
        </w:rPr>
        <w:t>y</w:t>
      </w:r>
      <w:r w:rsidRPr="00101E89">
        <w:rPr>
          <w:highlight w:val="white"/>
          <w:lang w:val="en-GB"/>
        </w:rPr>
        <w:t xml:space="preserve"> between scenes. Participants view</w:t>
      </w:r>
      <w:r w:rsidR="00F67345" w:rsidRPr="00101E89">
        <w:rPr>
          <w:highlight w:val="white"/>
          <w:lang w:val="en-GB"/>
        </w:rPr>
        <w:t>ed</w:t>
      </w:r>
      <w:r w:rsidRPr="00101E89">
        <w:rPr>
          <w:highlight w:val="white"/>
          <w:lang w:val="en-GB"/>
        </w:rPr>
        <w:t xml:space="preserve"> one practice trial and then </w:t>
      </w:r>
      <w:r w:rsidR="0050437C" w:rsidRPr="00101E89">
        <w:rPr>
          <w:highlight w:val="white"/>
          <w:lang w:val="en-GB"/>
        </w:rPr>
        <w:t>completed</w:t>
      </w:r>
      <w:r w:rsidRPr="00101E89">
        <w:rPr>
          <w:highlight w:val="white"/>
          <w:lang w:val="en-GB"/>
        </w:rPr>
        <w:t xml:space="preserve"> 23 experimental trials.</w:t>
      </w:r>
      <w:r w:rsidR="006E0B60" w:rsidRPr="00101E89">
        <w:rPr>
          <w:lang w:val="en-GB" w:eastAsia="it-IT"/>
        </w:rPr>
        <w:t xml:space="preserve"> Response latency (in seconds) was recorded as a measure of the </w:t>
      </w:r>
      <w:r w:rsidR="00FC1C1E" w:rsidRPr="00101E89">
        <w:rPr>
          <w:lang w:val="en-GB" w:eastAsia="it-IT"/>
        </w:rPr>
        <w:t xml:space="preserve">participant’s </w:t>
      </w:r>
      <w:r w:rsidR="006E0B60" w:rsidRPr="00101E89">
        <w:rPr>
          <w:lang w:val="en-GB" w:eastAsia="it-IT"/>
        </w:rPr>
        <w:t xml:space="preserve">propensity for risky driving. </w:t>
      </w:r>
      <w:r w:rsidR="00FC1C1E" w:rsidRPr="00101E89">
        <w:rPr>
          <w:lang w:val="en-GB" w:eastAsia="it-IT"/>
        </w:rPr>
        <w:t xml:space="preserve">The time that elapsed between the start of the sequence and the participant’s decision to abandon it was employed as a </w:t>
      </w:r>
      <w:r w:rsidR="00FC1C1E" w:rsidRPr="00101E89">
        <w:rPr>
          <w:lang w:val="en-GB" w:eastAsia="it-IT"/>
        </w:rPr>
        <w:lastRenderedPageBreak/>
        <w:t>dependent measure of risk-taking inclination in critical road traffic situations (i.e. the longer participants wait to press the button in order to abandon the critical situation, the higher the risk-taking).</w:t>
      </w:r>
      <w:r w:rsidR="001958C9" w:rsidRPr="00101E89">
        <w:rPr>
          <w:lang w:val="en-GB" w:eastAsia="it-IT"/>
        </w:rPr>
        <w:t xml:space="preserve"> </w:t>
      </w:r>
      <w:r w:rsidR="0086741E" w:rsidRPr="00101E89">
        <w:t xml:space="preserve">We checked for outliers, and </w:t>
      </w:r>
      <w:r w:rsidR="005F1EAB">
        <w:t>three</w:t>
      </w:r>
      <w:r w:rsidR="0086741E" w:rsidRPr="00101E89">
        <w:t xml:space="preserve"> participants’ scores were 3SD </w:t>
      </w:r>
      <w:r w:rsidR="00F67345" w:rsidRPr="00101E89">
        <w:t>above or</w:t>
      </w:r>
      <w:r w:rsidR="0086741E" w:rsidRPr="00101E89">
        <w:t xml:space="preserve"> below the mean, hence were removed </w:t>
      </w:r>
      <w:r w:rsidR="001958C9" w:rsidRPr="00101E89">
        <w:t>from the main</w:t>
      </w:r>
      <w:r w:rsidR="0086741E" w:rsidRPr="00101E89">
        <w:t xml:space="preserve"> analysis.</w:t>
      </w:r>
      <w:r w:rsidR="0086741E" w:rsidRPr="00101E89">
        <w:rPr>
          <w:highlight w:val="white"/>
        </w:rPr>
        <w:t xml:space="preserve"> </w:t>
      </w:r>
    </w:p>
    <w:p w14:paraId="37D13B38" w14:textId="77777777" w:rsidR="00161BD3" w:rsidRPr="00101E89" w:rsidRDefault="00161BD3" w:rsidP="004E6D30">
      <w:pPr>
        <w:rPr>
          <w:highlight w:val="white"/>
        </w:rPr>
      </w:pPr>
    </w:p>
    <w:p w14:paraId="70D999A0" w14:textId="77777777" w:rsidR="00161BD3" w:rsidRPr="00101E89" w:rsidRDefault="00A42059" w:rsidP="004E6D30">
      <w:pPr>
        <w:pStyle w:val="Heading2"/>
        <w:ind w:left="141"/>
        <w:rPr>
          <w:highlight w:val="white"/>
        </w:rPr>
      </w:pPr>
      <w:bookmarkStart w:id="15" w:name="_vu88umukpst1" w:colFirst="0" w:colLast="0"/>
      <w:bookmarkEnd w:id="15"/>
      <w:r w:rsidRPr="00101E89">
        <w:rPr>
          <w:b w:val="0"/>
        </w:rPr>
        <w:t>2.3. Procedure</w:t>
      </w:r>
    </w:p>
    <w:p w14:paraId="3593D14C" w14:textId="0D69E5B7" w:rsidR="00E45535" w:rsidRDefault="0046077E" w:rsidP="00E45535">
      <w:pPr>
        <w:ind w:left="90"/>
        <w:jc w:val="both"/>
      </w:pPr>
      <w:r w:rsidRPr="00FA7E0F">
        <w:rPr>
          <w:rFonts w:asciiTheme="majorBidi" w:hAnsiTheme="majorBidi" w:cstheme="majorBidi"/>
        </w:rPr>
        <w:t xml:space="preserve">The study received ethical approval from the Human Ethics Committee of the first author’s institution (ref. </w:t>
      </w:r>
      <w:r w:rsidRPr="0046077E">
        <w:rPr>
          <w:rFonts w:asciiTheme="majorBidi" w:hAnsiTheme="majorBidi" w:cstheme="majorBidi"/>
        </w:rPr>
        <w:t>18/19-999</w:t>
      </w:r>
      <w:r w:rsidRPr="00FA7E0F">
        <w:rPr>
          <w:rFonts w:asciiTheme="majorBidi" w:hAnsiTheme="majorBidi" w:cstheme="majorBidi"/>
        </w:rPr>
        <w:t>)</w:t>
      </w:r>
      <w:r w:rsidR="009E4CE9" w:rsidRPr="00101E89">
        <w:t xml:space="preserve">, and participants provided informed consent before participating. </w:t>
      </w:r>
      <w:r w:rsidR="00B6357D">
        <w:t xml:space="preserve">The participants were recruited through the University’s point system, according to which they were allowed to receive credit points for their participation in the study. </w:t>
      </w:r>
      <w:r w:rsidR="00BA473F">
        <w:t xml:space="preserve">The participants were invited to come to the experimental lab at the University. </w:t>
      </w:r>
      <w:r w:rsidR="00A42059" w:rsidRPr="00101E89">
        <w:t>After completing</w:t>
      </w:r>
      <w:r w:rsidR="00B6357D">
        <w:t xml:space="preserve"> an online version of</w:t>
      </w:r>
      <w:r w:rsidR="00A42059" w:rsidRPr="00101E89">
        <w:t xml:space="preserve"> the DBQ (Reason et al., 1990), participants were assigned </w:t>
      </w:r>
      <w:r w:rsidR="00EE0B53" w:rsidRPr="00101E89">
        <w:t xml:space="preserve">randomly </w:t>
      </w:r>
      <w:r w:rsidR="00A42059" w:rsidRPr="00101E89">
        <w:t>to one of the four experimental conditions. In the VR conditions the film was presented using a HTC VIVE Virtual Reality headset. In the 2D conditions the film was presented on a computer screen. After watching the films</w:t>
      </w:r>
      <w:r w:rsidR="00B6357D">
        <w:t>,</w:t>
      </w:r>
      <w:r w:rsidR="00A42059" w:rsidRPr="00101E89">
        <w:t xml:space="preserve"> the participants were asked to complete </w:t>
      </w:r>
      <w:r w:rsidR="00B6357D">
        <w:t xml:space="preserve">an online version of </w:t>
      </w:r>
      <w:r w:rsidR="00A42059" w:rsidRPr="00101E89">
        <w:t>the Emotional Arousal Scale (</w:t>
      </w:r>
      <w:proofErr w:type="spellStart"/>
      <w:r w:rsidR="00A42059" w:rsidRPr="00101E89">
        <w:t>Wauters</w:t>
      </w:r>
      <w:proofErr w:type="spellEnd"/>
      <w:r w:rsidR="00A42059" w:rsidRPr="00101E89">
        <w:t xml:space="preserve"> &amp; Bregman, 2013). At follow-up, 2 weeks later, participants </w:t>
      </w:r>
      <w:r w:rsidR="00BA473F">
        <w:t xml:space="preserve">were invited to come back to the experimental lab at the University. They were asked to </w:t>
      </w:r>
      <w:r w:rsidR="00A42059" w:rsidRPr="00101E89">
        <w:t xml:space="preserve">completed </w:t>
      </w:r>
      <w:r w:rsidR="00B6357D">
        <w:t xml:space="preserve">an online version </w:t>
      </w:r>
      <w:r w:rsidR="00A42059" w:rsidRPr="00101E89">
        <w:t xml:space="preserve">the </w:t>
      </w:r>
      <w:r w:rsidR="00244577" w:rsidRPr="00101E89">
        <w:t xml:space="preserve">DBQ (Reason et al., 1990) again as well as the </w:t>
      </w:r>
      <w:r w:rsidR="00A42059" w:rsidRPr="00101E89">
        <w:t xml:space="preserve">Vienna Risk-Taking Test-Traffic </w:t>
      </w:r>
      <w:r w:rsidR="00B6357D">
        <w:t xml:space="preserve">on the computer </w:t>
      </w:r>
      <w:r w:rsidR="00A42059" w:rsidRPr="00101E89">
        <w:t>(</w:t>
      </w:r>
      <w:proofErr w:type="spellStart"/>
      <w:r w:rsidR="00A42059" w:rsidRPr="00101E89">
        <w:t>Hergovich</w:t>
      </w:r>
      <w:proofErr w:type="spellEnd"/>
      <w:r w:rsidR="00A42059" w:rsidRPr="00101E89">
        <w:t xml:space="preserve">, </w:t>
      </w:r>
      <w:proofErr w:type="spellStart"/>
      <w:r w:rsidR="00A42059" w:rsidRPr="00101E89">
        <w:t>Bognar</w:t>
      </w:r>
      <w:proofErr w:type="spellEnd"/>
      <w:r w:rsidR="00A42059" w:rsidRPr="00101E89">
        <w:t xml:space="preserve">, </w:t>
      </w:r>
      <w:proofErr w:type="spellStart"/>
      <w:r w:rsidR="00A42059" w:rsidRPr="00101E89">
        <w:t>Arendasy</w:t>
      </w:r>
      <w:proofErr w:type="spellEnd"/>
      <w:r w:rsidR="00A42059" w:rsidRPr="00101E89">
        <w:t>, &amp; Sommer, 2005).</w:t>
      </w:r>
    </w:p>
    <w:p w14:paraId="329E462B" w14:textId="77777777" w:rsidR="00E45535" w:rsidRPr="00101E89" w:rsidRDefault="00E45535" w:rsidP="00E45535">
      <w:pPr>
        <w:ind w:left="90"/>
        <w:jc w:val="both"/>
      </w:pPr>
    </w:p>
    <w:p w14:paraId="1A14F43D" w14:textId="17E3C539" w:rsidR="00A07A19" w:rsidRPr="00A07A19" w:rsidRDefault="00A42059" w:rsidP="00F902E2">
      <w:pPr>
        <w:pStyle w:val="Heading1"/>
        <w:ind w:left="141"/>
        <w:jc w:val="left"/>
      </w:pPr>
      <w:bookmarkStart w:id="16" w:name="_2lx51mthyl6a" w:colFirst="0" w:colLast="0"/>
      <w:bookmarkEnd w:id="16"/>
      <w:r w:rsidRPr="00101E89">
        <w:t>3. Results</w:t>
      </w:r>
      <w:bookmarkStart w:id="17" w:name="_a6lviljpgxpc" w:colFirst="0" w:colLast="0"/>
      <w:bookmarkEnd w:id="17"/>
    </w:p>
    <w:p w14:paraId="2B91CD82" w14:textId="4E5F9F8A" w:rsidR="0033520D" w:rsidRDefault="0033520D" w:rsidP="0033520D">
      <w:pPr>
        <w:ind w:firstLine="142"/>
        <w:rPr>
          <w:rFonts w:eastAsia="Arial"/>
        </w:rPr>
      </w:pPr>
      <w:r>
        <w:rPr>
          <w:rFonts w:eastAsia="Arial"/>
        </w:rPr>
        <w:t xml:space="preserve">3.1. Statistical Analysis </w:t>
      </w:r>
    </w:p>
    <w:p w14:paraId="52A1405B" w14:textId="76438F1C" w:rsidR="0033520D" w:rsidRDefault="0033520D" w:rsidP="0033520D">
      <w:pPr>
        <w:rPr>
          <w:lang w:val="en-US"/>
        </w:rPr>
      </w:pPr>
      <w:r>
        <w:rPr>
          <w:lang w:val="en-US"/>
        </w:rPr>
        <w:t>The internal consistency of the DBQ</w:t>
      </w:r>
      <w:r w:rsidRPr="00D279E9">
        <w:rPr>
          <w:lang w:val="en-US"/>
        </w:rPr>
        <w:t xml:space="preserve"> and </w:t>
      </w:r>
      <w:r>
        <w:rPr>
          <w:lang w:val="en-US"/>
        </w:rPr>
        <w:t xml:space="preserve">Emotional arousal questionnaire was determined by calculating the Cronbach’s </w:t>
      </w:r>
      <w:r w:rsidRPr="00C7192E">
        <w:rPr>
          <w:lang w:val="it-IT"/>
        </w:rPr>
        <w:t>α</w:t>
      </w:r>
      <w:r w:rsidRPr="00EE0539">
        <w:rPr>
          <w:lang w:val="en-US"/>
        </w:rPr>
        <w:t xml:space="preserve"> scores </w:t>
      </w:r>
      <w:r>
        <w:rPr>
          <w:lang w:val="en-US"/>
        </w:rPr>
        <w:t>for the items of each domain. A</w:t>
      </w:r>
      <w:r w:rsidRPr="00101E89">
        <w:t xml:space="preserve"> manipulation check </w:t>
      </w:r>
      <w:r>
        <w:t xml:space="preserve">was </w:t>
      </w:r>
      <w:r>
        <w:lastRenderedPageBreak/>
        <w:t xml:space="preserve">performed on </w:t>
      </w:r>
      <w:r w:rsidRPr="00101E89">
        <w:t>participants’ scores in the DBQ at pre-test to assess whether there were any differences between conditions at the start of the experiment.</w:t>
      </w:r>
      <w:r>
        <w:t xml:space="preserve"> </w:t>
      </w:r>
      <w:r w:rsidRPr="00101E89">
        <w:t xml:space="preserve">To ensure that the films content did not impact arousal differently, </w:t>
      </w:r>
      <w:r w:rsidRPr="00EE0539">
        <w:rPr>
          <w:lang w:val="en-US"/>
        </w:rPr>
        <w:t>we conducted a Friedman’s analysis of variance (ANOVA) on</w:t>
      </w:r>
      <w:r w:rsidRPr="00101E89">
        <w:t xml:space="preserve"> participants’ emotional arousal after viewing the road safety films.</w:t>
      </w:r>
      <w:r>
        <w:rPr>
          <w:lang w:val="en-US"/>
        </w:rPr>
        <w:t xml:space="preserve"> </w:t>
      </w:r>
    </w:p>
    <w:p w14:paraId="411766F5" w14:textId="2FEC9DD1" w:rsidR="0033520D" w:rsidRDefault="0033520D" w:rsidP="002E7B4C">
      <w:pPr>
        <w:ind w:firstLine="720"/>
        <w:rPr>
          <w:lang w:val="en-US"/>
        </w:rPr>
      </w:pPr>
      <w:r w:rsidRPr="00EE0539">
        <w:rPr>
          <w:lang w:val="en-US"/>
        </w:rPr>
        <w:t xml:space="preserve">To test </w:t>
      </w:r>
      <w:r>
        <w:rPr>
          <w:rFonts w:eastAsia="Arial"/>
        </w:rPr>
        <w:t>the effectiveness of Film Content and Delivery Mode</w:t>
      </w:r>
      <w:r w:rsidRPr="00EE0539">
        <w:rPr>
          <w:lang w:val="en-US"/>
        </w:rPr>
        <w:t xml:space="preserve">, we conducted a Friedman’s analysis of variance (ANOVA) on participants’ </w:t>
      </w:r>
      <w:r>
        <w:rPr>
          <w:rFonts w:eastAsia="Arial"/>
        </w:rPr>
        <w:t>DBQ</w:t>
      </w:r>
      <w:r w:rsidRPr="00EE0539">
        <w:rPr>
          <w:lang w:val="en-US"/>
        </w:rPr>
        <w:t xml:space="preserve">, </w:t>
      </w:r>
      <w:r w:rsidRPr="00101E89">
        <w:t>with Delivery Mode (VR or 2D) and Film Content (positive v</w:t>
      </w:r>
      <w:r>
        <w:t>er</w:t>
      </w:r>
      <w:r w:rsidRPr="00101E89">
        <w:t>s</w:t>
      </w:r>
      <w:r>
        <w:t>us</w:t>
      </w:r>
      <w:r w:rsidRPr="00101E89">
        <w:t xml:space="preserve"> fear) </w:t>
      </w:r>
      <w:r>
        <w:t xml:space="preserve">as </w:t>
      </w:r>
      <w:r w:rsidRPr="00101E89">
        <w:t>the between-subject factors and the Time of testing (pre-test, follow-up)</w:t>
      </w:r>
      <w:r>
        <w:rPr>
          <w:lang w:val="en-US"/>
        </w:rPr>
        <w:t xml:space="preserve"> as </w:t>
      </w:r>
      <w:r w:rsidRPr="00101E89">
        <w:t>within-subject factor</w:t>
      </w:r>
      <w:r>
        <w:t>.</w:t>
      </w:r>
      <w:r w:rsidRPr="00101E89">
        <w:t xml:space="preserve"> </w:t>
      </w:r>
      <w:r w:rsidRPr="00CD2D92">
        <w:rPr>
          <w:rFonts w:eastAsia="Arial"/>
          <w:highlight w:val="white"/>
        </w:rPr>
        <w:t>Tukey HSD post hoc comparison</w:t>
      </w:r>
      <w:r>
        <w:rPr>
          <w:rFonts w:eastAsia="Arial"/>
        </w:rPr>
        <w:t xml:space="preserve"> was then used to gain further insight on the differences between Delivery Mode, Film Content and Time of the intervention on participants’ DBQ scores</w:t>
      </w:r>
      <w:r>
        <w:rPr>
          <w:lang w:val="en-US"/>
        </w:rPr>
        <w:t>. Finally, to test the effectiveness of Film Content and Delivery Mode on participants’ reaction times</w:t>
      </w:r>
      <w:r w:rsidR="00F902E2">
        <w:rPr>
          <w:lang w:val="en-US"/>
        </w:rPr>
        <w:t xml:space="preserve"> in the </w:t>
      </w:r>
      <w:r w:rsidR="00F902E2" w:rsidRPr="00101E89">
        <w:rPr>
          <w:highlight w:val="white"/>
          <w:lang w:val="en-GB"/>
        </w:rPr>
        <w:t>Vienna Risk-Taking Test Traffic</w:t>
      </w:r>
      <w:r>
        <w:rPr>
          <w:lang w:val="en-US"/>
        </w:rPr>
        <w:t xml:space="preserve">, we conducted a </w:t>
      </w:r>
      <w:r w:rsidRPr="005769FE">
        <w:rPr>
          <w:lang w:val="en-US"/>
        </w:rPr>
        <w:t>Friedman’s analysis of variance (ANOVA)</w:t>
      </w:r>
      <w:r>
        <w:rPr>
          <w:lang w:val="en-US"/>
        </w:rPr>
        <w:t xml:space="preserve"> on participants’ reaction time scores. </w:t>
      </w:r>
      <w:r w:rsidRPr="00EE0539">
        <w:rPr>
          <w:lang w:val="en-US"/>
        </w:rPr>
        <w:t xml:space="preserve">We used an </w:t>
      </w:r>
      <w:r w:rsidRPr="00C7192E">
        <w:rPr>
          <w:lang w:val="it-IT"/>
        </w:rPr>
        <w:t>α</w:t>
      </w:r>
      <w:r w:rsidRPr="00EE0539">
        <w:rPr>
          <w:lang w:val="en-US"/>
        </w:rPr>
        <w:t xml:space="preserve"> level of .05 for all our analyses.</w:t>
      </w:r>
      <w:r>
        <w:rPr>
          <w:lang w:val="en-US"/>
        </w:rPr>
        <w:t xml:space="preserve"> </w:t>
      </w:r>
      <w:r w:rsidR="00F902E2">
        <w:rPr>
          <w:lang w:val="en-US"/>
        </w:rPr>
        <w:t>All</w:t>
      </w:r>
      <w:r>
        <w:rPr>
          <w:lang w:val="en-US"/>
        </w:rPr>
        <w:t xml:space="preserve"> analyses were performed in R </w:t>
      </w:r>
      <w:r w:rsidRPr="00737DF7">
        <w:rPr>
          <w:lang w:val="en-US"/>
        </w:rPr>
        <w:t>version 2.15.3</w:t>
      </w:r>
      <w:r>
        <w:rPr>
          <w:lang w:val="en-US"/>
        </w:rPr>
        <w:t xml:space="preserve">. </w:t>
      </w:r>
    </w:p>
    <w:p w14:paraId="236F3152" w14:textId="77777777" w:rsidR="002E7B4C" w:rsidRDefault="002E7B4C" w:rsidP="002E7B4C">
      <w:pPr>
        <w:ind w:firstLine="720"/>
        <w:rPr>
          <w:lang w:val="en-US"/>
        </w:rPr>
      </w:pPr>
    </w:p>
    <w:p w14:paraId="0A0BE724" w14:textId="189175B3" w:rsidR="001A781B" w:rsidRPr="0033520D" w:rsidRDefault="0033520D" w:rsidP="0033520D">
      <w:pPr>
        <w:ind w:firstLine="142"/>
        <w:rPr>
          <w:rFonts w:eastAsia="Roboto"/>
        </w:rPr>
      </w:pPr>
      <w:r>
        <w:t>3.2.</w:t>
      </w:r>
      <w:r w:rsidR="001A781B" w:rsidRPr="00101E89">
        <w:t xml:space="preserve"> Manipulation check </w:t>
      </w:r>
    </w:p>
    <w:p w14:paraId="05AF10E5" w14:textId="185C56A0" w:rsidR="001A781B" w:rsidRPr="00101E89" w:rsidRDefault="001A781B" w:rsidP="009B6190">
      <w:pPr>
        <w:ind w:left="142"/>
      </w:pPr>
      <w:r w:rsidRPr="00101E89">
        <w:t xml:space="preserve">We </w:t>
      </w:r>
      <w:r w:rsidR="002E75E5">
        <w:t>examined</w:t>
      </w:r>
      <w:r w:rsidRPr="00101E89">
        <w:t xml:space="preserve"> participants’ scores in the DBQ at pre-test to assess whether there were any differences </w:t>
      </w:r>
      <w:r w:rsidR="002E75E5">
        <w:t xml:space="preserve">in risky driving </w:t>
      </w:r>
      <w:r w:rsidRPr="00101E89">
        <w:t>between conditions at the start of the experiment. We performed a 2x2 ANOVA to investigate the effect of Delivery Mode (VR or 2D) and Film Content (positive vs fear) on the mean DBQ scores at pre-test. There were no significant differences</w:t>
      </w:r>
      <w:r w:rsidR="00F339EA" w:rsidRPr="00101E89">
        <w:t xml:space="preserve"> between conditions</w:t>
      </w:r>
      <w:r w:rsidRPr="00101E89">
        <w:t xml:space="preserve"> at pre-test (</w:t>
      </w:r>
      <w:r w:rsidR="00F339EA" w:rsidRPr="00101E89">
        <w:t xml:space="preserve">all </w:t>
      </w:r>
      <w:r w:rsidR="00F339EA" w:rsidRPr="00101E89">
        <w:rPr>
          <w:i/>
        </w:rPr>
        <w:t>p</w:t>
      </w:r>
      <w:r w:rsidR="00F339EA" w:rsidRPr="00101E89">
        <w:t>s &gt; .09; s</w:t>
      </w:r>
      <w:r w:rsidRPr="00101E89">
        <w:t>ee Figure 1</w:t>
      </w:r>
      <w:r w:rsidR="00F339EA" w:rsidRPr="00101E89">
        <w:t>)</w:t>
      </w:r>
      <w:r w:rsidRPr="00101E89">
        <w:t xml:space="preserve">. </w:t>
      </w:r>
    </w:p>
    <w:p w14:paraId="2827D93D" w14:textId="6C41F3E2" w:rsidR="001A781B" w:rsidRDefault="002E75E5" w:rsidP="004C7C56">
      <w:pPr>
        <w:ind w:left="142" w:firstLine="578"/>
      </w:pPr>
      <w:r>
        <w:t>We</w:t>
      </w:r>
      <w:r w:rsidR="001A781B" w:rsidRPr="00101E89">
        <w:t xml:space="preserve"> </w:t>
      </w:r>
      <w:r w:rsidR="00F339EA" w:rsidRPr="00101E89">
        <w:t xml:space="preserve">also </w:t>
      </w:r>
      <w:r w:rsidR="001A781B" w:rsidRPr="00101E89">
        <w:t>examin</w:t>
      </w:r>
      <w:r w:rsidR="00F339EA" w:rsidRPr="00101E89">
        <w:t>ed</w:t>
      </w:r>
      <w:r w:rsidR="001A781B" w:rsidRPr="00101E89">
        <w:t xml:space="preserve"> participants’ emotional arousal after viewing the road safety films. </w:t>
      </w:r>
      <w:r w:rsidR="00F339EA" w:rsidRPr="00101E89">
        <w:t>A</w:t>
      </w:r>
      <w:r w:rsidR="001A781B" w:rsidRPr="00101E89">
        <w:t xml:space="preserve"> 2x2 ANOVA </w:t>
      </w:r>
      <w:r w:rsidR="00F339EA" w:rsidRPr="00101E89">
        <w:t xml:space="preserve">with the independent variables </w:t>
      </w:r>
      <w:r w:rsidR="001A781B" w:rsidRPr="00101E89">
        <w:t xml:space="preserve">Delivery Mode (VR or 2D) and Film Content (positive or fear) </w:t>
      </w:r>
      <w:r w:rsidR="00F339EA" w:rsidRPr="00101E89">
        <w:t>showed</w:t>
      </w:r>
      <w:r w:rsidR="001A781B" w:rsidRPr="00101E89">
        <w:t xml:space="preserve"> a main effect of Delivery Mode </w:t>
      </w:r>
      <w:proofErr w:type="gramStart"/>
      <w:r w:rsidR="001A781B" w:rsidRPr="00101E89">
        <w:t>F(</w:t>
      </w:r>
      <w:proofErr w:type="gramEnd"/>
      <w:r w:rsidR="001A781B" w:rsidRPr="00101E89">
        <w:t xml:space="preserve">1,137) = 102.571, </w:t>
      </w:r>
      <w:r w:rsidR="001A781B" w:rsidRPr="00D57628">
        <w:rPr>
          <w:i/>
          <w:iCs/>
        </w:rPr>
        <w:t>p</w:t>
      </w:r>
      <w:r w:rsidR="001A781B" w:rsidRPr="00101E89">
        <w:t xml:space="preserve">&lt;0.01. Participants’ in both the </w:t>
      </w:r>
      <w:r w:rsidR="001A781B" w:rsidRPr="00101E89">
        <w:lastRenderedPageBreak/>
        <w:t>positive and fear VR conditions displayed a higher emotional arousal response compared to the positive and fear 2D conditions</w:t>
      </w:r>
      <w:r w:rsidR="00F9168F">
        <w:t xml:space="preserve"> (see </w:t>
      </w:r>
      <w:r w:rsidR="000300CA">
        <w:t>T</w:t>
      </w:r>
      <w:r w:rsidR="00F9168F">
        <w:t xml:space="preserve">able </w:t>
      </w:r>
      <w:r w:rsidR="000300CA">
        <w:t>I</w:t>
      </w:r>
      <w:r w:rsidR="00F9168F">
        <w:t>).  The main effect of Film Content</w:t>
      </w:r>
      <w:r w:rsidR="000C6CAE">
        <w:t xml:space="preserve"> (p=0.9)</w:t>
      </w:r>
      <w:r w:rsidR="00F9168F">
        <w:t xml:space="preserve"> and the interaction effect did not reach statistical significance </w:t>
      </w:r>
      <w:r w:rsidR="000C6CAE">
        <w:t>(p=0.7).</w:t>
      </w:r>
    </w:p>
    <w:p w14:paraId="20B0BA95" w14:textId="3A6724D3" w:rsidR="002E7B4C" w:rsidRDefault="002E7B4C" w:rsidP="002E7B4C">
      <w:r>
        <w:t xml:space="preserve">  Table </w:t>
      </w:r>
      <w:r w:rsidR="000300CA">
        <w:t>I.</w:t>
      </w:r>
      <w:r>
        <w:t xml:space="preserve"> </w:t>
      </w:r>
      <w:r w:rsidRPr="007F1105">
        <w:t>Participants</w:t>
      </w:r>
      <w:r>
        <w:t xml:space="preserve">’ </w:t>
      </w:r>
      <w:r>
        <w:rPr>
          <w:lang w:val="en-GB"/>
        </w:rPr>
        <w:t xml:space="preserve">means Emotional Arousal scores, </w:t>
      </w:r>
      <w:r w:rsidRPr="007F1105">
        <w:rPr>
          <w:lang w:val="en-GB"/>
        </w:rPr>
        <w:t xml:space="preserve">by </w:t>
      </w:r>
      <w:r>
        <w:rPr>
          <w:lang w:val="en-GB"/>
        </w:rPr>
        <w:t>Delivery Mode and Film Content</w:t>
      </w:r>
    </w:p>
    <w:p w14:paraId="628EF097" w14:textId="77777777" w:rsidR="002E7B4C" w:rsidRDefault="002E7B4C" w:rsidP="002E7B4C"/>
    <w:tbl>
      <w:tblPr>
        <w:tblpPr w:leftFromText="181" w:rightFromText="181" w:vertAnchor="text" w:horzAnchor="margin" w:tblpXSpec="center" w:tblpY="-1"/>
        <w:tblW w:w="7513" w:type="dxa"/>
        <w:tblLayout w:type="fixed"/>
        <w:tblLook w:val="04A0" w:firstRow="1" w:lastRow="0" w:firstColumn="1" w:lastColumn="0" w:noHBand="0" w:noVBand="1"/>
      </w:tblPr>
      <w:tblGrid>
        <w:gridCol w:w="1843"/>
        <w:gridCol w:w="1559"/>
        <w:gridCol w:w="1418"/>
        <w:gridCol w:w="1417"/>
        <w:gridCol w:w="1276"/>
      </w:tblGrid>
      <w:tr w:rsidR="00F9168F" w:rsidRPr="00677906" w14:paraId="71B2F90C" w14:textId="77777777" w:rsidTr="002E7B4C">
        <w:trPr>
          <w:trHeight w:val="137"/>
        </w:trPr>
        <w:tc>
          <w:tcPr>
            <w:tcW w:w="1843" w:type="dxa"/>
            <w:tcBorders>
              <w:top w:val="single" w:sz="12" w:space="0" w:color="auto"/>
              <w:bottom w:val="single" w:sz="4" w:space="0" w:color="auto"/>
            </w:tcBorders>
            <w:shd w:val="clear" w:color="auto" w:fill="auto"/>
            <w:noWrap/>
            <w:vAlign w:val="bottom"/>
            <w:hideMark/>
          </w:tcPr>
          <w:p w14:paraId="38D7CB73" w14:textId="0FECF063" w:rsidR="00F9168F" w:rsidRPr="00677906" w:rsidRDefault="005F0772" w:rsidP="00F9168F">
            <w:pPr>
              <w:spacing w:line="360" w:lineRule="auto"/>
              <w:rPr>
                <w:sz w:val="22"/>
                <w:szCs w:val="22"/>
              </w:rPr>
            </w:pPr>
            <w:r>
              <w:rPr>
                <w:sz w:val="22"/>
                <w:szCs w:val="22"/>
              </w:rPr>
              <w:t>Variable</w:t>
            </w:r>
          </w:p>
        </w:tc>
        <w:tc>
          <w:tcPr>
            <w:tcW w:w="2977" w:type="dxa"/>
            <w:gridSpan w:val="2"/>
            <w:tcBorders>
              <w:top w:val="single" w:sz="12" w:space="0" w:color="auto"/>
              <w:bottom w:val="single" w:sz="4" w:space="0" w:color="auto"/>
            </w:tcBorders>
            <w:shd w:val="clear" w:color="auto" w:fill="auto"/>
            <w:noWrap/>
            <w:vAlign w:val="bottom"/>
            <w:hideMark/>
          </w:tcPr>
          <w:p w14:paraId="49A4D06C" w14:textId="77777777" w:rsidR="00F9168F" w:rsidRPr="00677906" w:rsidRDefault="00F9168F" w:rsidP="00F9168F">
            <w:pPr>
              <w:spacing w:line="360" w:lineRule="auto"/>
              <w:jc w:val="center"/>
              <w:rPr>
                <w:b/>
                <w:bCs/>
                <w:sz w:val="22"/>
                <w:szCs w:val="22"/>
              </w:rPr>
            </w:pPr>
            <w:r>
              <w:rPr>
                <w:b/>
                <w:bCs/>
                <w:sz w:val="22"/>
                <w:szCs w:val="22"/>
              </w:rPr>
              <w:t>VR</w:t>
            </w:r>
          </w:p>
        </w:tc>
        <w:tc>
          <w:tcPr>
            <w:tcW w:w="2693" w:type="dxa"/>
            <w:gridSpan w:val="2"/>
            <w:tcBorders>
              <w:top w:val="single" w:sz="12" w:space="0" w:color="auto"/>
              <w:bottom w:val="single" w:sz="4" w:space="0" w:color="auto"/>
              <w:right w:val="nil"/>
            </w:tcBorders>
            <w:shd w:val="clear" w:color="auto" w:fill="auto"/>
            <w:noWrap/>
            <w:vAlign w:val="bottom"/>
            <w:hideMark/>
          </w:tcPr>
          <w:p w14:paraId="52DC8A50" w14:textId="77777777" w:rsidR="00F9168F" w:rsidRPr="00677906" w:rsidRDefault="00F9168F" w:rsidP="00F9168F">
            <w:pPr>
              <w:spacing w:line="360" w:lineRule="auto"/>
              <w:jc w:val="center"/>
              <w:rPr>
                <w:b/>
                <w:bCs/>
                <w:sz w:val="22"/>
                <w:szCs w:val="22"/>
              </w:rPr>
            </w:pPr>
            <w:r>
              <w:rPr>
                <w:b/>
                <w:bCs/>
                <w:sz w:val="22"/>
                <w:szCs w:val="22"/>
              </w:rPr>
              <w:t>2D</w:t>
            </w:r>
          </w:p>
        </w:tc>
      </w:tr>
      <w:tr w:rsidR="00F9168F" w:rsidRPr="00677906" w14:paraId="0E01D752" w14:textId="77777777" w:rsidTr="005F0772">
        <w:trPr>
          <w:trHeight w:val="64"/>
        </w:trPr>
        <w:tc>
          <w:tcPr>
            <w:tcW w:w="1843" w:type="dxa"/>
            <w:vMerge w:val="restart"/>
            <w:tcBorders>
              <w:top w:val="single" w:sz="4" w:space="0" w:color="auto"/>
              <w:bottom w:val="single" w:sz="4" w:space="0" w:color="auto"/>
            </w:tcBorders>
            <w:shd w:val="clear" w:color="auto" w:fill="auto"/>
            <w:noWrap/>
            <w:vAlign w:val="bottom"/>
            <w:hideMark/>
          </w:tcPr>
          <w:p w14:paraId="7A094754" w14:textId="77777777" w:rsidR="00F9168F" w:rsidRPr="00677906" w:rsidRDefault="00F9168F" w:rsidP="00F9168F">
            <w:pPr>
              <w:spacing w:line="276" w:lineRule="auto"/>
              <w:rPr>
                <w:sz w:val="22"/>
                <w:szCs w:val="22"/>
              </w:rPr>
            </w:pPr>
            <w:r>
              <w:rPr>
                <w:sz w:val="22"/>
                <w:szCs w:val="22"/>
              </w:rPr>
              <w:t>Emotional Arousal</w:t>
            </w:r>
            <w:r w:rsidRPr="00677906">
              <w:rPr>
                <w:sz w:val="22"/>
                <w:szCs w:val="22"/>
              </w:rPr>
              <w:t xml:space="preserve"> </w:t>
            </w:r>
          </w:p>
        </w:tc>
        <w:tc>
          <w:tcPr>
            <w:tcW w:w="1559" w:type="dxa"/>
            <w:tcBorders>
              <w:top w:val="single" w:sz="4" w:space="0" w:color="auto"/>
              <w:bottom w:val="single" w:sz="4" w:space="0" w:color="auto"/>
            </w:tcBorders>
            <w:shd w:val="clear" w:color="auto" w:fill="auto"/>
            <w:noWrap/>
            <w:vAlign w:val="bottom"/>
          </w:tcPr>
          <w:p w14:paraId="51025907" w14:textId="77777777" w:rsidR="00F9168F" w:rsidRPr="00677906" w:rsidRDefault="00F9168F" w:rsidP="00F9168F">
            <w:pPr>
              <w:spacing w:line="360" w:lineRule="auto"/>
              <w:jc w:val="center"/>
              <w:rPr>
                <w:b/>
                <w:bCs/>
                <w:sz w:val="22"/>
                <w:szCs w:val="22"/>
              </w:rPr>
            </w:pPr>
            <w:r>
              <w:rPr>
                <w:b/>
                <w:bCs/>
                <w:sz w:val="22"/>
                <w:szCs w:val="22"/>
              </w:rPr>
              <w:t>Fear</w:t>
            </w:r>
          </w:p>
        </w:tc>
        <w:tc>
          <w:tcPr>
            <w:tcW w:w="1418" w:type="dxa"/>
            <w:tcBorders>
              <w:top w:val="single" w:sz="4" w:space="0" w:color="auto"/>
              <w:bottom w:val="single" w:sz="4" w:space="0" w:color="auto"/>
            </w:tcBorders>
            <w:shd w:val="clear" w:color="auto" w:fill="auto"/>
            <w:vAlign w:val="bottom"/>
          </w:tcPr>
          <w:p w14:paraId="621E3097" w14:textId="77777777" w:rsidR="00F9168F" w:rsidRPr="00677906" w:rsidRDefault="00F9168F" w:rsidP="00F9168F">
            <w:pPr>
              <w:spacing w:line="360" w:lineRule="auto"/>
              <w:jc w:val="center"/>
              <w:rPr>
                <w:b/>
                <w:bCs/>
                <w:sz w:val="22"/>
                <w:szCs w:val="22"/>
              </w:rPr>
            </w:pPr>
            <w:r>
              <w:rPr>
                <w:b/>
                <w:bCs/>
                <w:sz w:val="22"/>
                <w:szCs w:val="22"/>
              </w:rPr>
              <w:t>Positive</w:t>
            </w:r>
          </w:p>
        </w:tc>
        <w:tc>
          <w:tcPr>
            <w:tcW w:w="1417" w:type="dxa"/>
            <w:tcBorders>
              <w:top w:val="single" w:sz="4" w:space="0" w:color="auto"/>
              <w:bottom w:val="single" w:sz="4" w:space="0" w:color="auto"/>
            </w:tcBorders>
            <w:shd w:val="clear" w:color="auto" w:fill="auto"/>
            <w:noWrap/>
            <w:vAlign w:val="bottom"/>
            <w:hideMark/>
          </w:tcPr>
          <w:p w14:paraId="3B3B02E6" w14:textId="77777777" w:rsidR="00F9168F" w:rsidRPr="00677906" w:rsidRDefault="00F9168F" w:rsidP="00F9168F">
            <w:pPr>
              <w:spacing w:line="360" w:lineRule="auto"/>
              <w:jc w:val="center"/>
              <w:rPr>
                <w:b/>
                <w:bCs/>
                <w:sz w:val="22"/>
                <w:szCs w:val="22"/>
              </w:rPr>
            </w:pPr>
            <w:r>
              <w:rPr>
                <w:b/>
                <w:bCs/>
                <w:sz w:val="22"/>
                <w:szCs w:val="22"/>
              </w:rPr>
              <w:t>Fear</w:t>
            </w:r>
          </w:p>
        </w:tc>
        <w:tc>
          <w:tcPr>
            <w:tcW w:w="1276" w:type="dxa"/>
            <w:tcBorders>
              <w:top w:val="single" w:sz="4" w:space="0" w:color="auto"/>
              <w:bottom w:val="single" w:sz="4" w:space="0" w:color="auto"/>
              <w:right w:val="nil"/>
            </w:tcBorders>
            <w:shd w:val="clear" w:color="auto" w:fill="auto"/>
            <w:vAlign w:val="bottom"/>
          </w:tcPr>
          <w:p w14:paraId="61EAF690" w14:textId="77777777" w:rsidR="00F9168F" w:rsidRPr="00677906" w:rsidRDefault="00F9168F" w:rsidP="00F9168F">
            <w:pPr>
              <w:spacing w:line="360" w:lineRule="auto"/>
              <w:jc w:val="center"/>
              <w:rPr>
                <w:b/>
                <w:bCs/>
                <w:sz w:val="22"/>
                <w:szCs w:val="22"/>
              </w:rPr>
            </w:pPr>
            <w:r>
              <w:rPr>
                <w:b/>
                <w:bCs/>
                <w:sz w:val="22"/>
                <w:szCs w:val="22"/>
              </w:rPr>
              <w:t>Positive</w:t>
            </w:r>
          </w:p>
        </w:tc>
      </w:tr>
      <w:tr w:rsidR="00F9168F" w:rsidRPr="00677906" w14:paraId="3C15895D" w14:textId="77777777" w:rsidTr="002E7B4C">
        <w:trPr>
          <w:trHeight w:val="426"/>
        </w:trPr>
        <w:tc>
          <w:tcPr>
            <w:tcW w:w="1843" w:type="dxa"/>
            <w:vMerge/>
            <w:tcBorders>
              <w:bottom w:val="single" w:sz="12" w:space="0" w:color="auto"/>
            </w:tcBorders>
            <w:shd w:val="clear" w:color="auto" w:fill="auto"/>
            <w:noWrap/>
            <w:vAlign w:val="bottom"/>
          </w:tcPr>
          <w:p w14:paraId="77AE1291" w14:textId="77777777" w:rsidR="00F9168F" w:rsidRPr="00677906" w:rsidRDefault="00F9168F" w:rsidP="00F9168F">
            <w:pPr>
              <w:spacing w:line="276" w:lineRule="auto"/>
              <w:rPr>
                <w:sz w:val="22"/>
                <w:szCs w:val="22"/>
              </w:rPr>
            </w:pPr>
          </w:p>
        </w:tc>
        <w:tc>
          <w:tcPr>
            <w:tcW w:w="1559" w:type="dxa"/>
            <w:tcBorders>
              <w:top w:val="single" w:sz="4" w:space="0" w:color="auto"/>
              <w:bottom w:val="single" w:sz="12" w:space="0" w:color="auto"/>
            </w:tcBorders>
            <w:shd w:val="clear" w:color="auto" w:fill="auto"/>
            <w:noWrap/>
            <w:vAlign w:val="bottom"/>
          </w:tcPr>
          <w:p w14:paraId="6C0B4434" w14:textId="77777777" w:rsidR="00F9168F" w:rsidRPr="00677906" w:rsidRDefault="00F9168F" w:rsidP="00F9168F">
            <w:pPr>
              <w:spacing w:line="276" w:lineRule="auto"/>
              <w:jc w:val="center"/>
              <w:rPr>
                <w:sz w:val="22"/>
                <w:szCs w:val="22"/>
              </w:rPr>
            </w:pPr>
            <w:r w:rsidRPr="00F9168F">
              <w:rPr>
                <w:sz w:val="22"/>
                <w:szCs w:val="22"/>
              </w:rPr>
              <w:t>77.7</w:t>
            </w:r>
            <w:r>
              <w:rPr>
                <w:sz w:val="22"/>
                <w:szCs w:val="22"/>
              </w:rPr>
              <w:t xml:space="preserve"> (</w:t>
            </w:r>
            <w:r w:rsidRPr="00F9168F">
              <w:rPr>
                <w:sz w:val="22"/>
                <w:szCs w:val="22"/>
              </w:rPr>
              <w:t>4.1</w:t>
            </w:r>
            <w:r>
              <w:rPr>
                <w:sz w:val="22"/>
                <w:szCs w:val="22"/>
              </w:rPr>
              <w:t>)</w:t>
            </w:r>
          </w:p>
        </w:tc>
        <w:tc>
          <w:tcPr>
            <w:tcW w:w="1418" w:type="dxa"/>
            <w:tcBorders>
              <w:top w:val="single" w:sz="4" w:space="0" w:color="auto"/>
              <w:bottom w:val="single" w:sz="12" w:space="0" w:color="auto"/>
            </w:tcBorders>
            <w:shd w:val="clear" w:color="auto" w:fill="auto"/>
            <w:noWrap/>
            <w:vAlign w:val="bottom"/>
          </w:tcPr>
          <w:p w14:paraId="07445EBA" w14:textId="77777777" w:rsidR="00F9168F" w:rsidRPr="00677906" w:rsidRDefault="00F9168F" w:rsidP="00F9168F">
            <w:pPr>
              <w:spacing w:line="276" w:lineRule="auto"/>
              <w:jc w:val="center"/>
              <w:rPr>
                <w:sz w:val="22"/>
                <w:szCs w:val="22"/>
              </w:rPr>
            </w:pPr>
            <w:r w:rsidRPr="00F9168F">
              <w:rPr>
                <w:sz w:val="22"/>
                <w:szCs w:val="22"/>
              </w:rPr>
              <w:t>76.9</w:t>
            </w:r>
            <w:r>
              <w:rPr>
                <w:sz w:val="22"/>
                <w:szCs w:val="22"/>
              </w:rPr>
              <w:t xml:space="preserve"> (</w:t>
            </w:r>
            <w:r w:rsidRPr="00F9168F">
              <w:rPr>
                <w:sz w:val="22"/>
                <w:szCs w:val="22"/>
              </w:rPr>
              <w:t>4.3</w:t>
            </w:r>
            <w:r>
              <w:rPr>
                <w:sz w:val="22"/>
                <w:szCs w:val="22"/>
              </w:rPr>
              <w:t>)</w:t>
            </w:r>
          </w:p>
        </w:tc>
        <w:tc>
          <w:tcPr>
            <w:tcW w:w="1417" w:type="dxa"/>
            <w:tcBorders>
              <w:top w:val="single" w:sz="4" w:space="0" w:color="auto"/>
              <w:bottom w:val="single" w:sz="12" w:space="0" w:color="auto"/>
            </w:tcBorders>
            <w:shd w:val="clear" w:color="auto" w:fill="auto"/>
            <w:noWrap/>
            <w:vAlign w:val="bottom"/>
          </w:tcPr>
          <w:p w14:paraId="64F2C555" w14:textId="77777777" w:rsidR="00F9168F" w:rsidRPr="00677906" w:rsidRDefault="00F9168F" w:rsidP="00F9168F">
            <w:pPr>
              <w:spacing w:line="276" w:lineRule="auto"/>
              <w:jc w:val="center"/>
              <w:rPr>
                <w:sz w:val="22"/>
                <w:szCs w:val="22"/>
              </w:rPr>
            </w:pPr>
            <w:r w:rsidRPr="00F9168F">
              <w:rPr>
                <w:sz w:val="22"/>
                <w:szCs w:val="22"/>
              </w:rPr>
              <w:t>65.6</w:t>
            </w:r>
            <w:r>
              <w:rPr>
                <w:sz w:val="22"/>
                <w:szCs w:val="22"/>
              </w:rPr>
              <w:t xml:space="preserve"> (</w:t>
            </w:r>
            <w:r w:rsidRPr="00F9168F">
              <w:rPr>
                <w:sz w:val="22"/>
                <w:szCs w:val="22"/>
              </w:rPr>
              <w:t>8.1</w:t>
            </w:r>
            <w:r>
              <w:rPr>
                <w:sz w:val="22"/>
                <w:szCs w:val="22"/>
              </w:rPr>
              <w:t>)</w:t>
            </w:r>
          </w:p>
        </w:tc>
        <w:tc>
          <w:tcPr>
            <w:tcW w:w="1276" w:type="dxa"/>
            <w:tcBorders>
              <w:top w:val="single" w:sz="4" w:space="0" w:color="auto"/>
              <w:bottom w:val="single" w:sz="12" w:space="0" w:color="auto"/>
            </w:tcBorders>
            <w:shd w:val="clear" w:color="auto" w:fill="auto"/>
            <w:noWrap/>
            <w:vAlign w:val="bottom"/>
          </w:tcPr>
          <w:p w14:paraId="50893DD2" w14:textId="77777777" w:rsidR="00F9168F" w:rsidRPr="00677906" w:rsidRDefault="00F9168F" w:rsidP="00F9168F">
            <w:pPr>
              <w:spacing w:line="276" w:lineRule="auto"/>
              <w:jc w:val="center"/>
              <w:rPr>
                <w:sz w:val="22"/>
                <w:szCs w:val="22"/>
              </w:rPr>
            </w:pPr>
            <w:r w:rsidRPr="00F9168F">
              <w:rPr>
                <w:sz w:val="22"/>
                <w:szCs w:val="22"/>
              </w:rPr>
              <w:t>70.5</w:t>
            </w:r>
            <w:r>
              <w:rPr>
                <w:sz w:val="22"/>
                <w:szCs w:val="22"/>
              </w:rPr>
              <w:t xml:space="preserve"> (</w:t>
            </w:r>
            <w:r w:rsidRPr="00F9168F">
              <w:rPr>
                <w:sz w:val="22"/>
                <w:szCs w:val="22"/>
              </w:rPr>
              <w:t>4.2</w:t>
            </w:r>
            <w:r>
              <w:rPr>
                <w:sz w:val="22"/>
                <w:szCs w:val="22"/>
              </w:rPr>
              <w:t>)</w:t>
            </w:r>
          </w:p>
        </w:tc>
      </w:tr>
    </w:tbl>
    <w:p w14:paraId="6F1C8DC6" w14:textId="77777777" w:rsidR="00F9168F" w:rsidRDefault="00F9168F" w:rsidP="004C7C56">
      <w:pPr>
        <w:ind w:left="142" w:firstLine="578"/>
      </w:pPr>
    </w:p>
    <w:p w14:paraId="402A236C" w14:textId="77777777" w:rsidR="00F9168F" w:rsidRDefault="00F9168F" w:rsidP="00B60BC6">
      <w:pPr>
        <w:ind w:left="142" w:firstLine="578"/>
      </w:pPr>
    </w:p>
    <w:p w14:paraId="2DEB8B51" w14:textId="11BDB336" w:rsidR="00F9168F" w:rsidRDefault="00F9168F" w:rsidP="00B60BC6">
      <w:pPr>
        <w:ind w:left="142" w:firstLine="578"/>
      </w:pPr>
    </w:p>
    <w:p w14:paraId="5C00BA62" w14:textId="4ECD1D58" w:rsidR="00B60BC6" w:rsidRDefault="00B60BC6" w:rsidP="002E7B4C">
      <w:pPr>
        <w:ind w:left="142"/>
      </w:pPr>
      <w:r>
        <w:t xml:space="preserve">Finally, preliminary analyses checked gender differences, but no significant main or interaction effects of gender emerged. Hence, analyses reported here collapsed across gender. </w:t>
      </w:r>
    </w:p>
    <w:p w14:paraId="1BC5CDE8" w14:textId="77777777" w:rsidR="001A781B" w:rsidRPr="00101E89" w:rsidRDefault="001A781B" w:rsidP="001A781B"/>
    <w:p w14:paraId="0E790178" w14:textId="1DF5DFCA" w:rsidR="00161BD3" w:rsidRPr="00101E89" w:rsidRDefault="00640A8B" w:rsidP="0033520D">
      <w:pPr>
        <w:pStyle w:val="Heading2"/>
        <w:ind w:firstLine="142"/>
        <w:rPr>
          <w:b w:val="0"/>
        </w:rPr>
      </w:pPr>
      <w:r w:rsidRPr="00101E89">
        <w:rPr>
          <w:b w:val="0"/>
        </w:rPr>
        <w:t>3.</w:t>
      </w:r>
      <w:r w:rsidR="0033520D">
        <w:rPr>
          <w:b w:val="0"/>
        </w:rPr>
        <w:t>3</w:t>
      </w:r>
      <w:r w:rsidRPr="00101E89">
        <w:rPr>
          <w:b w:val="0"/>
        </w:rPr>
        <w:t xml:space="preserve">. </w:t>
      </w:r>
      <w:r w:rsidR="00A42059" w:rsidRPr="00101E89">
        <w:rPr>
          <w:b w:val="0"/>
        </w:rPr>
        <w:t xml:space="preserve">The effect of Film Content and </w:t>
      </w:r>
      <w:r w:rsidR="00FF045B" w:rsidRPr="00101E89">
        <w:rPr>
          <w:b w:val="0"/>
        </w:rPr>
        <w:t xml:space="preserve">Delivery Mode </w:t>
      </w:r>
      <w:r w:rsidR="00A42059" w:rsidRPr="00101E89">
        <w:rPr>
          <w:b w:val="0"/>
        </w:rPr>
        <w:t xml:space="preserve">on the effectiveness of the road safety film </w:t>
      </w:r>
    </w:p>
    <w:p w14:paraId="57618D05" w14:textId="093F949D" w:rsidR="00815706" w:rsidRDefault="00027C30" w:rsidP="00A50720">
      <w:pPr>
        <w:ind w:left="144"/>
      </w:pPr>
      <w:r w:rsidRPr="00101E89">
        <w:t>Concerning self-reported engagement in risky driving (DBQ scores), a</w:t>
      </w:r>
      <w:r w:rsidR="00A42059" w:rsidRPr="00101E89">
        <w:t xml:space="preserve"> 2x2x2 </w:t>
      </w:r>
      <w:r w:rsidR="00903F05" w:rsidRPr="00101E89">
        <w:t xml:space="preserve">mixed </w:t>
      </w:r>
      <w:r w:rsidR="00A42059" w:rsidRPr="00101E89">
        <w:t xml:space="preserve">ANOVA </w:t>
      </w:r>
      <w:r w:rsidR="001D1371" w:rsidRPr="00101E89">
        <w:t>with the between-subject factors</w:t>
      </w:r>
      <w:r w:rsidR="00A42059" w:rsidRPr="00101E89">
        <w:t xml:space="preserve"> </w:t>
      </w:r>
      <w:r w:rsidR="00FF045B" w:rsidRPr="00101E89">
        <w:t xml:space="preserve">Delivery Mode </w:t>
      </w:r>
      <w:r w:rsidR="00A42059" w:rsidRPr="00101E89">
        <w:t>(VR or 2D)</w:t>
      </w:r>
      <w:r w:rsidR="001D1371" w:rsidRPr="00101E89">
        <w:t xml:space="preserve"> and </w:t>
      </w:r>
      <w:r w:rsidR="00A42059" w:rsidRPr="00101E89">
        <w:t>Film Content (positive v</w:t>
      </w:r>
      <w:r w:rsidR="00D57628">
        <w:t>er</w:t>
      </w:r>
      <w:r w:rsidR="00A42059" w:rsidRPr="00101E89">
        <w:t>s</w:t>
      </w:r>
      <w:r w:rsidR="00D57628">
        <w:t>us</w:t>
      </w:r>
      <w:r w:rsidR="00A42059" w:rsidRPr="00101E89">
        <w:t xml:space="preserve"> </w:t>
      </w:r>
      <w:r w:rsidR="00FF045B" w:rsidRPr="00101E89">
        <w:t>fear</w:t>
      </w:r>
      <w:r w:rsidR="00A42059" w:rsidRPr="00101E89">
        <w:t xml:space="preserve">) and </w:t>
      </w:r>
      <w:r w:rsidR="00CE7FE6" w:rsidRPr="00101E89">
        <w:t xml:space="preserve">the </w:t>
      </w:r>
      <w:r w:rsidR="001D1371" w:rsidRPr="00101E89">
        <w:t>within-subject factor T</w:t>
      </w:r>
      <w:r w:rsidR="00A42059" w:rsidRPr="00101E89">
        <w:t xml:space="preserve">ime of testing </w:t>
      </w:r>
      <w:r w:rsidR="001D1371" w:rsidRPr="00101E89">
        <w:t>(pre-test, follow-up) revealed a</w:t>
      </w:r>
      <w:r w:rsidR="00A42059" w:rsidRPr="00101E89">
        <w:t xml:space="preserve"> significant three</w:t>
      </w:r>
      <w:r w:rsidR="001D1371" w:rsidRPr="00101E89">
        <w:t>-</w:t>
      </w:r>
      <w:r w:rsidR="00A42059" w:rsidRPr="00101E89">
        <w:t xml:space="preserve">way interaction </w:t>
      </w:r>
      <w:r w:rsidR="00903F05" w:rsidRPr="00101E89">
        <w:t xml:space="preserve">of </w:t>
      </w:r>
      <w:r w:rsidR="00A42059" w:rsidRPr="00101E89">
        <w:t>Time</w:t>
      </w:r>
      <w:r w:rsidR="00903F05" w:rsidRPr="00101E89">
        <w:t xml:space="preserve"> x </w:t>
      </w:r>
      <w:r w:rsidR="00FF045B" w:rsidRPr="00101E89">
        <w:t xml:space="preserve">Delivery Mode </w:t>
      </w:r>
      <w:r w:rsidR="00903F05" w:rsidRPr="00101E89">
        <w:t xml:space="preserve">x </w:t>
      </w:r>
      <w:r w:rsidR="00A42059" w:rsidRPr="00101E89">
        <w:t xml:space="preserve">Film Content.  There </w:t>
      </w:r>
      <w:r w:rsidR="00903F05" w:rsidRPr="00101E89">
        <w:t>were</w:t>
      </w:r>
      <w:r w:rsidR="00A42059" w:rsidRPr="00101E89">
        <w:t xml:space="preserve"> also significant </w:t>
      </w:r>
      <w:r w:rsidR="00903F05" w:rsidRPr="00101E89">
        <w:t xml:space="preserve">two-way </w:t>
      </w:r>
      <w:r w:rsidR="00A42059" w:rsidRPr="00101E89">
        <w:t>interaction</w:t>
      </w:r>
      <w:r w:rsidR="00903F05" w:rsidRPr="00101E89">
        <w:t>s</w:t>
      </w:r>
      <w:r w:rsidR="00A42059" w:rsidRPr="00101E89">
        <w:t xml:space="preserve"> </w:t>
      </w:r>
      <w:r w:rsidR="00903F05" w:rsidRPr="00101E89">
        <w:t xml:space="preserve">of </w:t>
      </w:r>
      <w:r w:rsidR="00A42059" w:rsidRPr="00101E89">
        <w:t xml:space="preserve">Time </w:t>
      </w:r>
      <w:r w:rsidR="00903F05" w:rsidRPr="00101E89">
        <w:t xml:space="preserve">x </w:t>
      </w:r>
      <w:r w:rsidR="00A42059" w:rsidRPr="00101E89">
        <w:t>Film Content</w:t>
      </w:r>
      <w:r w:rsidR="00903F05" w:rsidRPr="00101E89">
        <w:t>,</w:t>
      </w:r>
      <w:r w:rsidR="00A42059" w:rsidRPr="00101E89">
        <w:t xml:space="preserve"> and Film Content </w:t>
      </w:r>
      <w:r w:rsidR="00903F05" w:rsidRPr="00101E89">
        <w:t xml:space="preserve">x </w:t>
      </w:r>
      <w:r w:rsidR="00FF045B" w:rsidRPr="00101E89">
        <w:t>Delivery Mode</w:t>
      </w:r>
      <w:r w:rsidR="00815706">
        <w:t xml:space="preserve"> </w:t>
      </w:r>
      <w:r w:rsidR="002E75E5">
        <w:t>(</w:t>
      </w:r>
      <w:r w:rsidR="00815706">
        <w:t xml:space="preserve">See Table </w:t>
      </w:r>
      <w:r w:rsidR="000300CA">
        <w:t>II</w:t>
      </w:r>
      <w:r w:rsidR="00A42059" w:rsidRPr="00101E89">
        <w:t xml:space="preserve">). </w:t>
      </w:r>
    </w:p>
    <w:p w14:paraId="7E67FA2C" w14:textId="3A3EAC8D" w:rsidR="002E7B4C" w:rsidRDefault="002E7B4C" w:rsidP="002E7B4C">
      <w:r>
        <w:t xml:space="preserve">Table </w:t>
      </w:r>
      <w:r w:rsidR="000300CA">
        <w:t>II</w:t>
      </w:r>
      <w:r>
        <w:t xml:space="preserve">. Mixed ANOVA table.  </w:t>
      </w:r>
    </w:p>
    <w:tbl>
      <w:tblPr>
        <w:tblpPr w:leftFromText="181" w:rightFromText="181" w:vertAnchor="text" w:horzAnchor="margin" w:tblpY="113"/>
        <w:tblW w:w="9639" w:type="dxa"/>
        <w:tblLayout w:type="fixed"/>
        <w:tblLook w:val="04A0" w:firstRow="1" w:lastRow="0" w:firstColumn="1" w:lastColumn="0" w:noHBand="0" w:noVBand="1"/>
      </w:tblPr>
      <w:tblGrid>
        <w:gridCol w:w="3828"/>
        <w:gridCol w:w="708"/>
        <w:gridCol w:w="1134"/>
        <w:gridCol w:w="1276"/>
        <w:gridCol w:w="1134"/>
        <w:gridCol w:w="1559"/>
      </w:tblGrid>
      <w:tr w:rsidR="007E031D" w:rsidRPr="007E031D" w14:paraId="0F183EDD" w14:textId="32655E8F" w:rsidTr="002E7B4C">
        <w:trPr>
          <w:trHeight w:val="426"/>
        </w:trPr>
        <w:tc>
          <w:tcPr>
            <w:tcW w:w="3828" w:type="dxa"/>
            <w:tcBorders>
              <w:top w:val="single" w:sz="12" w:space="0" w:color="auto"/>
              <w:bottom w:val="single" w:sz="4" w:space="0" w:color="auto"/>
            </w:tcBorders>
            <w:shd w:val="clear" w:color="auto" w:fill="auto"/>
            <w:noWrap/>
            <w:vAlign w:val="bottom"/>
            <w:hideMark/>
          </w:tcPr>
          <w:p w14:paraId="31835C34" w14:textId="15821D92" w:rsidR="000672EC" w:rsidRPr="007E031D" w:rsidRDefault="000672EC" w:rsidP="002D18BD">
            <w:pPr>
              <w:spacing w:line="360" w:lineRule="auto"/>
            </w:pPr>
            <w:r w:rsidRPr="007E031D">
              <w:t>Response DBQ</w:t>
            </w:r>
          </w:p>
        </w:tc>
        <w:tc>
          <w:tcPr>
            <w:tcW w:w="708" w:type="dxa"/>
            <w:tcBorders>
              <w:top w:val="single" w:sz="12" w:space="0" w:color="auto"/>
              <w:bottom w:val="single" w:sz="4" w:space="0" w:color="auto"/>
            </w:tcBorders>
            <w:shd w:val="clear" w:color="auto" w:fill="auto"/>
            <w:noWrap/>
            <w:vAlign w:val="bottom"/>
            <w:hideMark/>
          </w:tcPr>
          <w:p w14:paraId="1775038C" w14:textId="3040032A" w:rsidR="000672EC" w:rsidRPr="007E031D" w:rsidRDefault="000672EC" w:rsidP="002D18BD">
            <w:pPr>
              <w:spacing w:line="360" w:lineRule="auto"/>
              <w:jc w:val="center"/>
              <w:rPr>
                <w:b/>
                <w:bCs/>
              </w:rPr>
            </w:pPr>
            <w:r w:rsidRPr="007E031D">
              <w:rPr>
                <w:b/>
                <w:bCs/>
              </w:rPr>
              <w:t>Df</w:t>
            </w:r>
          </w:p>
        </w:tc>
        <w:tc>
          <w:tcPr>
            <w:tcW w:w="1134" w:type="dxa"/>
            <w:tcBorders>
              <w:top w:val="single" w:sz="12" w:space="0" w:color="auto"/>
              <w:bottom w:val="single" w:sz="4" w:space="0" w:color="auto"/>
            </w:tcBorders>
            <w:shd w:val="clear" w:color="auto" w:fill="auto"/>
            <w:noWrap/>
            <w:vAlign w:val="bottom"/>
            <w:hideMark/>
          </w:tcPr>
          <w:p w14:paraId="7F15BE5D" w14:textId="43B630DD" w:rsidR="000672EC" w:rsidRPr="007E031D" w:rsidRDefault="000672EC" w:rsidP="002D18BD">
            <w:pPr>
              <w:spacing w:line="360" w:lineRule="auto"/>
              <w:jc w:val="center"/>
              <w:rPr>
                <w:b/>
                <w:bCs/>
              </w:rPr>
            </w:pPr>
            <w:r w:rsidRPr="007E031D">
              <w:rPr>
                <w:b/>
                <w:bCs/>
              </w:rPr>
              <w:t>Sum SQ</w:t>
            </w:r>
          </w:p>
        </w:tc>
        <w:tc>
          <w:tcPr>
            <w:tcW w:w="1276" w:type="dxa"/>
            <w:tcBorders>
              <w:top w:val="single" w:sz="12" w:space="0" w:color="auto"/>
              <w:bottom w:val="single" w:sz="4" w:space="0" w:color="auto"/>
            </w:tcBorders>
            <w:shd w:val="clear" w:color="auto" w:fill="auto"/>
            <w:noWrap/>
            <w:vAlign w:val="bottom"/>
            <w:hideMark/>
          </w:tcPr>
          <w:p w14:paraId="0034F1F2" w14:textId="009DD8BE" w:rsidR="000672EC" w:rsidRPr="007E031D" w:rsidRDefault="000672EC" w:rsidP="002D18BD">
            <w:pPr>
              <w:spacing w:line="360" w:lineRule="auto"/>
              <w:jc w:val="center"/>
              <w:rPr>
                <w:b/>
                <w:bCs/>
              </w:rPr>
            </w:pPr>
            <w:r w:rsidRPr="007E031D">
              <w:rPr>
                <w:b/>
                <w:bCs/>
              </w:rPr>
              <w:t>Mean SQ</w:t>
            </w:r>
          </w:p>
        </w:tc>
        <w:tc>
          <w:tcPr>
            <w:tcW w:w="1134" w:type="dxa"/>
            <w:tcBorders>
              <w:top w:val="single" w:sz="12" w:space="0" w:color="auto"/>
              <w:bottom w:val="single" w:sz="4" w:space="0" w:color="auto"/>
            </w:tcBorders>
            <w:shd w:val="clear" w:color="auto" w:fill="auto"/>
            <w:noWrap/>
            <w:vAlign w:val="bottom"/>
            <w:hideMark/>
          </w:tcPr>
          <w:p w14:paraId="0A3283A5" w14:textId="77777777" w:rsidR="000672EC" w:rsidRPr="007E031D" w:rsidRDefault="000672EC" w:rsidP="002D18BD">
            <w:pPr>
              <w:spacing w:line="360" w:lineRule="auto"/>
              <w:jc w:val="center"/>
              <w:rPr>
                <w:b/>
                <w:bCs/>
              </w:rPr>
            </w:pPr>
          </w:p>
          <w:p w14:paraId="4EF1034B" w14:textId="6AB979BF" w:rsidR="000672EC" w:rsidRPr="007E031D" w:rsidRDefault="000672EC" w:rsidP="002D18BD">
            <w:pPr>
              <w:spacing w:line="360" w:lineRule="auto"/>
              <w:jc w:val="center"/>
              <w:rPr>
                <w:b/>
                <w:bCs/>
              </w:rPr>
            </w:pPr>
            <w:r w:rsidRPr="007E031D">
              <w:rPr>
                <w:b/>
                <w:bCs/>
              </w:rPr>
              <w:t>F Value</w:t>
            </w:r>
          </w:p>
        </w:tc>
        <w:tc>
          <w:tcPr>
            <w:tcW w:w="1559" w:type="dxa"/>
            <w:tcBorders>
              <w:top w:val="single" w:sz="12" w:space="0" w:color="auto"/>
              <w:bottom w:val="single" w:sz="4" w:space="0" w:color="auto"/>
            </w:tcBorders>
          </w:tcPr>
          <w:p w14:paraId="2972997D" w14:textId="77777777" w:rsidR="000672EC" w:rsidRPr="007E031D" w:rsidRDefault="000672EC" w:rsidP="002D18BD">
            <w:pPr>
              <w:spacing w:line="360" w:lineRule="auto"/>
              <w:jc w:val="center"/>
              <w:rPr>
                <w:b/>
                <w:bCs/>
              </w:rPr>
            </w:pPr>
          </w:p>
          <w:p w14:paraId="75E96086" w14:textId="70A9E368" w:rsidR="000672EC" w:rsidRPr="007E031D" w:rsidRDefault="000672EC" w:rsidP="002D18BD">
            <w:pPr>
              <w:spacing w:line="360" w:lineRule="auto"/>
              <w:jc w:val="center"/>
              <w:rPr>
                <w:b/>
                <w:bCs/>
              </w:rPr>
            </w:pPr>
            <w:r w:rsidRPr="007E031D">
              <w:rPr>
                <w:b/>
                <w:bCs/>
              </w:rPr>
              <w:t>PR(&gt;F)</w:t>
            </w:r>
          </w:p>
        </w:tc>
      </w:tr>
      <w:tr w:rsidR="007E031D" w:rsidRPr="007E031D" w14:paraId="2B586057" w14:textId="1528E6F3" w:rsidTr="005F0772">
        <w:trPr>
          <w:trHeight w:val="72"/>
        </w:trPr>
        <w:tc>
          <w:tcPr>
            <w:tcW w:w="3828" w:type="dxa"/>
            <w:tcBorders>
              <w:top w:val="single" w:sz="4" w:space="0" w:color="auto"/>
            </w:tcBorders>
            <w:shd w:val="clear" w:color="auto" w:fill="auto"/>
            <w:noWrap/>
            <w:vAlign w:val="bottom"/>
            <w:hideMark/>
          </w:tcPr>
          <w:p w14:paraId="30305AAF" w14:textId="4597E528" w:rsidR="000672EC" w:rsidRPr="007E031D" w:rsidRDefault="000672EC" w:rsidP="002D18BD">
            <w:pPr>
              <w:spacing w:line="276" w:lineRule="auto"/>
            </w:pPr>
            <w:r w:rsidRPr="007E031D">
              <w:t>Time: Delivery Mode: Film Content</w:t>
            </w:r>
          </w:p>
        </w:tc>
        <w:tc>
          <w:tcPr>
            <w:tcW w:w="708" w:type="dxa"/>
            <w:tcBorders>
              <w:top w:val="single" w:sz="4" w:space="0" w:color="auto"/>
            </w:tcBorders>
            <w:shd w:val="clear" w:color="auto" w:fill="auto"/>
            <w:noWrap/>
            <w:vAlign w:val="bottom"/>
          </w:tcPr>
          <w:p w14:paraId="72CB8DB6" w14:textId="76DE9BE8" w:rsidR="000672EC" w:rsidRPr="007E031D" w:rsidRDefault="000672EC" w:rsidP="002D18BD">
            <w:pPr>
              <w:spacing w:line="276" w:lineRule="auto"/>
              <w:jc w:val="center"/>
            </w:pPr>
            <w:r w:rsidRPr="007E031D">
              <w:t>1</w:t>
            </w:r>
          </w:p>
        </w:tc>
        <w:tc>
          <w:tcPr>
            <w:tcW w:w="1134" w:type="dxa"/>
            <w:tcBorders>
              <w:top w:val="single" w:sz="4" w:space="0" w:color="auto"/>
            </w:tcBorders>
            <w:shd w:val="clear" w:color="auto" w:fill="auto"/>
            <w:noWrap/>
            <w:vAlign w:val="bottom"/>
            <w:hideMark/>
          </w:tcPr>
          <w:p w14:paraId="0F7C395E" w14:textId="296AC2C1" w:rsidR="000672EC" w:rsidRPr="007E031D" w:rsidRDefault="000672EC" w:rsidP="002D18BD">
            <w:pPr>
              <w:spacing w:line="276" w:lineRule="auto"/>
              <w:jc w:val="center"/>
            </w:pPr>
            <w:r w:rsidRPr="007E031D">
              <w:t>1009</w:t>
            </w:r>
          </w:p>
        </w:tc>
        <w:tc>
          <w:tcPr>
            <w:tcW w:w="1276" w:type="dxa"/>
            <w:tcBorders>
              <w:top w:val="single" w:sz="4" w:space="0" w:color="auto"/>
            </w:tcBorders>
            <w:shd w:val="clear" w:color="auto" w:fill="auto"/>
            <w:noWrap/>
            <w:vAlign w:val="bottom"/>
            <w:hideMark/>
          </w:tcPr>
          <w:p w14:paraId="5298BA34" w14:textId="6BB36788" w:rsidR="000672EC" w:rsidRPr="007E031D" w:rsidRDefault="000672EC" w:rsidP="002D18BD">
            <w:pPr>
              <w:spacing w:line="276" w:lineRule="auto"/>
              <w:jc w:val="center"/>
            </w:pPr>
            <w:r w:rsidRPr="007E031D">
              <w:t>1008.8</w:t>
            </w:r>
          </w:p>
        </w:tc>
        <w:tc>
          <w:tcPr>
            <w:tcW w:w="1134" w:type="dxa"/>
            <w:tcBorders>
              <w:top w:val="single" w:sz="4" w:space="0" w:color="auto"/>
            </w:tcBorders>
            <w:shd w:val="clear" w:color="auto" w:fill="auto"/>
            <w:noWrap/>
            <w:vAlign w:val="bottom"/>
            <w:hideMark/>
          </w:tcPr>
          <w:p w14:paraId="6311578B" w14:textId="5CAB7047" w:rsidR="000672EC" w:rsidRPr="007E031D" w:rsidRDefault="000672EC" w:rsidP="000672EC">
            <w:pPr>
              <w:spacing w:line="276" w:lineRule="auto"/>
              <w:jc w:val="center"/>
            </w:pPr>
            <w:r w:rsidRPr="007E031D">
              <w:t>4.3034</w:t>
            </w:r>
          </w:p>
        </w:tc>
        <w:tc>
          <w:tcPr>
            <w:tcW w:w="1559" w:type="dxa"/>
            <w:tcBorders>
              <w:top w:val="single" w:sz="4" w:space="0" w:color="auto"/>
            </w:tcBorders>
          </w:tcPr>
          <w:p w14:paraId="5D30ABE7" w14:textId="48427B44" w:rsidR="000672EC" w:rsidRPr="007E031D" w:rsidRDefault="000672EC" w:rsidP="000672EC">
            <w:pPr>
              <w:spacing w:line="276" w:lineRule="auto"/>
              <w:jc w:val="center"/>
            </w:pPr>
            <w:r w:rsidRPr="007E031D">
              <w:t>0.001896</w:t>
            </w:r>
            <w:r w:rsidR="000C7778" w:rsidRPr="007E031D">
              <w:t>***</w:t>
            </w:r>
          </w:p>
        </w:tc>
      </w:tr>
      <w:tr w:rsidR="007E031D" w:rsidRPr="007E031D" w14:paraId="48D45E2F" w14:textId="2F3F9C87" w:rsidTr="005F0772">
        <w:trPr>
          <w:trHeight w:val="284"/>
        </w:trPr>
        <w:tc>
          <w:tcPr>
            <w:tcW w:w="3828" w:type="dxa"/>
            <w:shd w:val="clear" w:color="auto" w:fill="auto"/>
            <w:noWrap/>
            <w:vAlign w:val="bottom"/>
          </w:tcPr>
          <w:p w14:paraId="222D60CC" w14:textId="5F014292" w:rsidR="000672EC" w:rsidRPr="007E031D" w:rsidRDefault="000672EC" w:rsidP="002D18BD">
            <w:pPr>
              <w:spacing w:line="276" w:lineRule="auto"/>
            </w:pPr>
            <w:r w:rsidRPr="007E031D">
              <w:rPr>
                <w:rFonts w:eastAsia="Arial"/>
              </w:rPr>
              <w:t xml:space="preserve">Time: Film Content </w:t>
            </w:r>
          </w:p>
        </w:tc>
        <w:tc>
          <w:tcPr>
            <w:tcW w:w="708" w:type="dxa"/>
            <w:shd w:val="clear" w:color="auto" w:fill="auto"/>
            <w:noWrap/>
            <w:vAlign w:val="bottom"/>
          </w:tcPr>
          <w:p w14:paraId="5B51E065" w14:textId="551001B9" w:rsidR="000672EC" w:rsidRPr="007E031D" w:rsidRDefault="000672EC" w:rsidP="002D18BD">
            <w:pPr>
              <w:spacing w:line="276" w:lineRule="auto"/>
              <w:jc w:val="center"/>
            </w:pPr>
            <w:r w:rsidRPr="007E031D">
              <w:t>1</w:t>
            </w:r>
          </w:p>
        </w:tc>
        <w:tc>
          <w:tcPr>
            <w:tcW w:w="1134" w:type="dxa"/>
            <w:shd w:val="clear" w:color="auto" w:fill="auto"/>
            <w:noWrap/>
            <w:vAlign w:val="bottom"/>
          </w:tcPr>
          <w:p w14:paraId="653C5275" w14:textId="56FACC1B" w:rsidR="000672EC" w:rsidRPr="007E031D" w:rsidRDefault="000672EC" w:rsidP="002D18BD">
            <w:pPr>
              <w:spacing w:line="276" w:lineRule="auto"/>
              <w:jc w:val="center"/>
            </w:pPr>
            <w:r w:rsidRPr="007E031D">
              <w:t>9833</w:t>
            </w:r>
          </w:p>
        </w:tc>
        <w:tc>
          <w:tcPr>
            <w:tcW w:w="1276" w:type="dxa"/>
            <w:shd w:val="clear" w:color="auto" w:fill="auto"/>
            <w:noWrap/>
            <w:vAlign w:val="bottom"/>
          </w:tcPr>
          <w:p w14:paraId="2FEE4015" w14:textId="5E814227" w:rsidR="000672EC" w:rsidRPr="007E031D" w:rsidRDefault="000672EC" w:rsidP="002D18BD">
            <w:pPr>
              <w:spacing w:line="276" w:lineRule="auto"/>
              <w:jc w:val="center"/>
            </w:pPr>
            <w:r w:rsidRPr="007E031D">
              <w:t>9833.2</w:t>
            </w:r>
          </w:p>
        </w:tc>
        <w:tc>
          <w:tcPr>
            <w:tcW w:w="1134" w:type="dxa"/>
            <w:shd w:val="clear" w:color="auto" w:fill="auto"/>
            <w:noWrap/>
            <w:vAlign w:val="bottom"/>
          </w:tcPr>
          <w:p w14:paraId="1643F9D7" w14:textId="4A143DA0" w:rsidR="000672EC" w:rsidRPr="007E031D" w:rsidRDefault="000672EC" w:rsidP="002D18BD">
            <w:pPr>
              <w:spacing w:line="276" w:lineRule="auto"/>
              <w:jc w:val="center"/>
            </w:pPr>
            <w:r w:rsidRPr="007E031D">
              <w:t>41.9487</w:t>
            </w:r>
          </w:p>
        </w:tc>
        <w:tc>
          <w:tcPr>
            <w:tcW w:w="1559" w:type="dxa"/>
          </w:tcPr>
          <w:p w14:paraId="3664B831" w14:textId="25A9475D" w:rsidR="000672EC" w:rsidRPr="007E031D" w:rsidRDefault="000C7778" w:rsidP="000672EC">
            <w:pPr>
              <w:spacing w:line="276" w:lineRule="auto"/>
              <w:jc w:val="center"/>
            </w:pPr>
            <w:r w:rsidRPr="007E031D">
              <w:t>0.001977***</w:t>
            </w:r>
          </w:p>
        </w:tc>
      </w:tr>
      <w:tr w:rsidR="000C7778" w:rsidRPr="007E031D" w14:paraId="487936C1" w14:textId="50FAFEC6" w:rsidTr="005F0772">
        <w:trPr>
          <w:trHeight w:val="164"/>
        </w:trPr>
        <w:tc>
          <w:tcPr>
            <w:tcW w:w="3828" w:type="dxa"/>
            <w:shd w:val="clear" w:color="auto" w:fill="auto"/>
            <w:noWrap/>
            <w:vAlign w:val="bottom"/>
            <w:hideMark/>
          </w:tcPr>
          <w:p w14:paraId="162E09F1" w14:textId="52E15345" w:rsidR="000672EC" w:rsidRPr="007E031D" w:rsidRDefault="000672EC" w:rsidP="002D18BD">
            <w:pPr>
              <w:spacing w:line="276" w:lineRule="auto"/>
            </w:pPr>
            <w:r w:rsidRPr="007E031D">
              <w:t>Film Content: Delivery Mode</w:t>
            </w:r>
          </w:p>
        </w:tc>
        <w:tc>
          <w:tcPr>
            <w:tcW w:w="708" w:type="dxa"/>
            <w:shd w:val="clear" w:color="auto" w:fill="auto"/>
            <w:noWrap/>
            <w:vAlign w:val="bottom"/>
            <w:hideMark/>
          </w:tcPr>
          <w:p w14:paraId="5B0C8005" w14:textId="621F0C84" w:rsidR="000672EC" w:rsidRPr="007E031D" w:rsidRDefault="000672EC" w:rsidP="002D18BD">
            <w:pPr>
              <w:spacing w:line="276" w:lineRule="auto"/>
              <w:jc w:val="center"/>
            </w:pPr>
            <w:r w:rsidRPr="007E031D">
              <w:t>1</w:t>
            </w:r>
          </w:p>
        </w:tc>
        <w:tc>
          <w:tcPr>
            <w:tcW w:w="1134" w:type="dxa"/>
            <w:shd w:val="clear" w:color="auto" w:fill="auto"/>
            <w:noWrap/>
            <w:vAlign w:val="bottom"/>
            <w:hideMark/>
          </w:tcPr>
          <w:p w14:paraId="2E646DF1" w14:textId="3CCF8447" w:rsidR="000672EC" w:rsidRPr="007E031D" w:rsidRDefault="000C7778" w:rsidP="002D18BD">
            <w:pPr>
              <w:spacing w:line="276" w:lineRule="auto"/>
              <w:jc w:val="center"/>
            </w:pPr>
            <w:r w:rsidRPr="007E031D">
              <w:t>868</w:t>
            </w:r>
          </w:p>
        </w:tc>
        <w:tc>
          <w:tcPr>
            <w:tcW w:w="1276" w:type="dxa"/>
            <w:shd w:val="clear" w:color="auto" w:fill="auto"/>
            <w:noWrap/>
            <w:vAlign w:val="bottom"/>
            <w:hideMark/>
          </w:tcPr>
          <w:p w14:paraId="22B47717" w14:textId="7BADEF53" w:rsidR="000672EC" w:rsidRPr="007E031D" w:rsidRDefault="000C7778" w:rsidP="002D18BD">
            <w:pPr>
              <w:spacing w:line="276" w:lineRule="auto"/>
              <w:jc w:val="center"/>
            </w:pPr>
            <w:r w:rsidRPr="007E031D">
              <w:t>868.0</w:t>
            </w:r>
          </w:p>
        </w:tc>
        <w:tc>
          <w:tcPr>
            <w:tcW w:w="1134" w:type="dxa"/>
            <w:shd w:val="clear" w:color="auto" w:fill="auto"/>
            <w:noWrap/>
            <w:vAlign w:val="bottom"/>
            <w:hideMark/>
          </w:tcPr>
          <w:p w14:paraId="1ED76638" w14:textId="45478042" w:rsidR="000672EC" w:rsidRPr="007E031D" w:rsidRDefault="000C7778" w:rsidP="002D18BD">
            <w:pPr>
              <w:spacing w:line="276" w:lineRule="auto"/>
              <w:jc w:val="center"/>
            </w:pPr>
            <w:r w:rsidRPr="007E031D">
              <w:t>3.7028</w:t>
            </w:r>
          </w:p>
        </w:tc>
        <w:tc>
          <w:tcPr>
            <w:tcW w:w="1559" w:type="dxa"/>
          </w:tcPr>
          <w:p w14:paraId="480CDD01" w14:textId="296CFBCC" w:rsidR="000672EC" w:rsidRPr="007E031D" w:rsidRDefault="000C7778" w:rsidP="000672EC">
            <w:pPr>
              <w:spacing w:line="276" w:lineRule="auto"/>
              <w:jc w:val="center"/>
            </w:pPr>
            <w:r w:rsidRPr="007E031D">
              <w:t>0.01535**</w:t>
            </w:r>
          </w:p>
        </w:tc>
      </w:tr>
      <w:tr w:rsidR="000672EC" w:rsidRPr="007E031D" w14:paraId="5F4A96B7" w14:textId="77777777" w:rsidTr="002E7B4C">
        <w:trPr>
          <w:trHeight w:val="164"/>
        </w:trPr>
        <w:tc>
          <w:tcPr>
            <w:tcW w:w="3828" w:type="dxa"/>
            <w:tcBorders>
              <w:bottom w:val="single" w:sz="12" w:space="0" w:color="auto"/>
            </w:tcBorders>
            <w:shd w:val="clear" w:color="auto" w:fill="auto"/>
            <w:noWrap/>
            <w:vAlign w:val="bottom"/>
          </w:tcPr>
          <w:p w14:paraId="5161E648" w14:textId="19A41762" w:rsidR="000672EC" w:rsidRPr="007E031D" w:rsidRDefault="000672EC" w:rsidP="002D18BD">
            <w:pPr>
              <w:spacing w:line="276" w:lineRule="auto"/>
            </w:pPr>
            <w:r w:rsidRPr="007E031D">
              <w:t>Residuals</w:t>
            </w:r>
          </w:p>
        </w:tc>
        <w:tc>
          <w:tcPr>
            <w:tcW w:w="708" w:type="dxa"/>
            <w:tcBorders>
              <w:bottom w:val="single" w:sz="12" w:space="0" w:color="auto"/>
            </w:tcBorders>
            <w:shd w:val="clear" w:color="auto" w:fill="auto"/>
            <w:noWrap/>
            <w:vAlign w:val="bottom"/>
          </w:tcPr>
          <w:p w14:paraId="33CC2A47" w14:textId="3E8FD8A6" w:rsidR="000672EC" w:rsidRPr="007E031D" w:rsidRDefault="000672EC" w:rsidP="002D18BD">
            <w:pPr>
              <w:spacing w:line="276" w:lineRule="auto"/>
              <w:jc w:val="center"/>
            </w:pPr>
            <w:r w:rsidRPr="007E031D">
              <w:t>276</w:t>
            </w:r>
          </w:p>
        </w:tc>
        <w:tc>
          <w:tcPr>
            <w:tcW w:w="1134" w:type="dxa"/>
            <w:tcBorders>
              <w:bottom w:val="single" w:sz="12" w:space="0" w:color="auto"/>
            </w:tcBorders>
            <w:shd w:val="clear" w:color="auto" w:fill="auto"/>
            <w:noWrap/>
            <w:vAlign w:val="bottom"/>
          </w:tcPr>
          <w:p w14:paraId="3A7EC2A1" w14:textId="155CBCFE" w:rsidR="000672EC" w:rsidRPr="007E031D" w:rsidRDefault="000C7778" w:rsidP="002D18BD">
            <w:pPr>
              <w:spacing w:line="276" w:lineRule="auto"/>
              <w:jc w:val="center"/>
            </w:pPr>
            <w:r w:rsidRPr="007E031D">
              <w:t>64697</w:t>
            </w:r>
          </w:p>
        </w:tc>
        <w:tc>
          <w:tcPr>
            <w:tcW w:w="1276" w:type="dxa"/>
            <w:tcBorders>
              <w:bottom w:val="single" w:sz="12" w:space="0" w:color="auto"/>
            </w:tcBorders>
            <w:shd w:val="clear" w:color="auto" w:fill="auto"/>
            <w:noWrap/>
            <w:vAlign w:val="bottom"/>
          </w:tcPr>
          <w:p w14:paraId="2BFD765A" w14:textId="2A4FF6CA" w:rsidR="000672EC" w:rsidRPr="007E031D" w:rsidRDefault="000C7778" w:rsidP="002D18BD">
            <w:pPr>
              <w:spacing w:line="276" w:lineRule="auto"/>
              <w:jc w:val="center"/>
            </w:pPr>
            <w:r w:rsidRPr="007E031D">
              <w:t>234.4</w:t>
            </w:r>
          </w:p>
        </w:tc>
        <w:tc>
          <w:tcPr>
            <w:tcW w:w="1134" w:type="dxa"/>
            <w:tcBorders>
              <w:bottom w:val="single" w:sz="12" w:space="0" w:color="auto"/>
            </w:tcBorders>
            <w:shd w:val="clear" w:color="auto" w:fill="auto"/>
            <w:noWrap/>
            <w:vAlign w:val="bottom"/>
          </w:tcPr>
          <w:p w14:paraId="35B228B2" w14:textId="77777777" w:rsidR="000672EC" w:rsidRPr="007E031D" w:rsidRDefault="000672EC" w:rsidP="002D18BD">
            <w:pPr>
              <w:spacing w:line="276" w:lineRule="auto"/>
              <w:jc w:val="center"/>
            </w:pPr>
          </w:p>
        </w:tc>
        <w:tc>
          <w:tcPr>
            <w:tcW w:w="1559" w:type="dxa"/>
            <w:tcBorders>
              <w:bottom w:val="single" w:sz="12" w:space="0" w:color="auto"/>
            </w:tcBorders>
          </w:tcPr>
          <w:p w14:paraId="0ED011E1" w14:textId="77777777" w:rsidR="000672EC" w:rsidRPr="007E031D" w:rsidRDefault="000672EC" w:rsidP="000672EC">
            <w:pPr>
              <w:spacing w:line="276" w:lineRule="auto"/>
              <w:jc w:val="center"/>
            </w:pPr>
          </w:p>
        </w:tc>
      </w:tr>
    </w:tbl>
    <w:p w14:paraId="0EB37CEA" w14:textId="527B6AB8" w:rsidR="000745EA" w:rsidRPr="005F0772" w:rsidRDefault="005F0772" w:rsidP="005F0772">
      <w:pPr>
        <w:spacing w:line="240" w:lineRule="auto"/>
        <w:rPr>
          <w:sz w:val="22"/>
          <w:szCs w:val="22"/>
          <w:lang w:val="it-IT"/>
        </w:rPr>
      </w:pPr>
      <w:r w:rsidRPr="005F0772">
        <w:rPr>
          <w:rFonts w:ascii="Cambria Math" w:hAnsi="Cambria Math" w:cs="Cambria Math"/>
          <w:sz w:val="22"/>
          <w:szCs w:val="22"/>
          <w:lang w:val="en-US"/>
        </w:rPr>
        <w:t>**</w:t>
      </w:r>
      <w:r>
        <w:rPr>
          <w:sz w:val="22"/>
          <w:szCs w:val="22"/>
          <w:lang w:val="it-IT"/>
        </w:rPr>
        <w:t xml:space="preserve"> p &lt;</w:t>
      </w:r>
      <w:r w:rsidR="000745EA">
        <w:rPr>
          <w:sz w:val="22"/>
          <w:szCs w:val="22"/>
          <w:lang w:val="it-IT"/>
        </w:rPr>
        <w:t>.01</w:t>
      </w:r>
    </w:p>
    <w:p w14:paraId="22A89818" w14:textId="13A1B9BF" w:rsidR="005F0772" w:rsidRPr="000745EA" w:rsidRDefault="005F0772" w:rsidP="005F0772">
      <w:pPr>
        <w:spacing w:line="240" w:lineRule="auto"/>
        <w:rPr>
          <w:sz w:val="22"/>
          <w:szCs w:val="22"/>
          <w:lang w:val="en-US"/>
        </w:rPr>
      </w:pPr>
      <w:r w:rsidRPr="005F0772">
        <w:rPr>
          <w:rFonts w:ascii="Cambria Math" w:hAnsi="Cambria Math" w:cs="Cambria Math"/>
          <w:sz w:val="22"/>
          <w:szCs w:val="22"/>
          <w:lang w:val="en-US"/>
        </w:rPr>
        <w:t>***</w:t>
      </w:r>
      <w:r w:rsidR="000745EA" w:rsidRPr="000745EA">
        <w:rPr>
          <w:sz w:val="22"/>
          <w:szCs w:val="22"/>
          <w:lang w:val="en-US"/>
        </w:rPr>
        <w:t xml:space="preserve"> p&lt;</w:t>
      </w:r>
      <w:r w:rsidR="000745EA">
        <w:rPr>
          <w:sz w:val="22"/>
          <w:szCs w:val="22"/>
          <w:lang w:val="en-US"/>
        </w:rPr>
        <w:t>.001</w:t>
      </w:r>
    </w:p>
    <w:p w14:paraId="16BD9F8B" w14:textId="77777777" w:rsidR="005F0772" w:rsidRPr="005F0772" w:rsidRDefault="005F0772" w:rsidP="005F0772">
      <w:pPr>
        <w:spacing w:line="240" w:lineRule="auto"/>
        <w:rPr>
          <w:lang/>
        </w:rPr>
      </w:pPr>
    </w:p>
    <w:p w14:paraId="2D65C79B" w14:textId="153B9A45" w:rsidR="009D5671" w:rsidRPr="005D307A" w:rsidRDefault="00A42059" w:rsidP="00A50720">
      <w:pPr>
        <w:ind w:left="144"/>
        <w:rPr>
          <w:noProof/>
          <w:lang w:val="en-US" w:eastAsia="it-IT"/>
        </w:rPr>
      </w:pPr>
      <w:r w:rsidRPr="00101E89">
        <w:t>Tukey HSD post-hoc comparison revealed a significant pre-to-post</w:t>
      </w:r>
      <w:r w:rsidR="00C16A2C" w:rsidRPr="00101E89">
        <w:t xml:space="preserve"> decrease in</w:t>
      </w:r>
      <w:r w:rsidRPr="00101E89">
        <w:t xml:space="preserve"> participants’ </w:t>
      </w:r>
      <w:r w:rsidR="00027C30" w:rsidRPr="00101E89">
        <w:t xml:space="preserve">self-reported </w:t>
      </w:r>
      <w:r w:rsidRPr="00101E89">
        <w:t>engagement in risky driving behaviours in the positive VR condition (</w:t>
      </w:r>
      <w:r w:rsidRPr="00D57628">
        <w:rPr>
          <w:i/>
          <w:iCs/>
        </w:rPr>
        <w:t>p</w:t>
      </w:r>
      <w:r w:rsidRPr="00101E89">
        <w:t>&lt;.001) and in the positive 2D condition (</w:t>
      </w:r>
      <w:r w:rsidRPr="00D57628">
        <w:rPr>
          <w:i/>
          <w:iCs/>
        </w:rPr>
        <w:t>p</w:t>
      </w:r>
      <w:r w:rsidRPr="00101E89">
        <w:t xml:space="preserve">&lt;.05). Moreover, there was a significant pre-to-post </w:t>
      </w:r>
      <w:r w:rsidR="001D1371" w:rsidRPr="00101E89">
        <w:t>increase</w:t>
      </w:r>
      <w:r w:rsidRPr="00101E89">
        <w:t xml:space="preserve"> of participants’ engagement in risky driving behaviours in the </w:t>
      </w:r>
      <w:r w:rsidR="00FF045B" w:rsidRPr="00101E89">
        <w:t xml:space="preserve">fear </w:t>
      </w:r>
      <w:r w:rsidRPr="00101E89">
        <w:t>VR condition (</w:t>
      </w:r>
      <w:r w:rsidRPr="00D57628">
        <w:rPr>
          <w:i/>
          <w:iCs/>
        </w:rPr>
        <w:t>p</w:t>
      </w:r>
      <w:r w:rsidRPr="00101E89">
        <w:t xml:space="preserve">&lt;.05). No difference was found pre-to-post in the </w:t>
      </w:r>
      <w:r w:rsidR="000F5B8D" w:rsidRPr="00101E89">
        <w:t>f</w:t>
      </w:r>
      <w:r w:rsidR="00FF045B" w:rsidRPr="00101E89">
        <w:t xml:space="preserve">ear </w:t>
      </w:r>
      <w:r w:rsidRPr="00101E89">
        <w:t>2D condition</w:t>
      </w:r>
      <w:r w:rsidR="00B755EA" w:rsidRPr="00101E89">
        <w:t xml:space="preserve"> (</w:t>
      </w:r>
      <w:r w:rsidR="00B755EA" w:rsidRPr="00D57628">
        <w:rPr>
          <w:i/>
          <w:iCs/>
        </w:rPr>
        <w:t>p</w:t>
      </w:r>
      <w:r w:rsidR="00B755EA" w:rsidRPr="00101E89">
        <w:t xml:space="preserve">=.09). Tukey HSD post-hoc comparison also revealed that the </w:t>
      </w:r>
      <w:r w:rsidR="005C070F" w:rsidRPr="00101E89">
        <w:t xml:space="preserve">fear </w:t>
      </w:r>
      <w:r w:rsidR="00B755EA" w:rsidRPr="00101E89">
        <w:t xml:space="preserve">VR </w:t>
      </w:r>
      <w:r w:rsidR="005C070F" w:rsidRPr="00101E89">
        <w:t xml:space="preserve">follow-up condition </w:t>
      </w:r>
      <w:r w:rsidR="00B755EA" w:rsidRPr="00101E89">
        <w:t>significantly differed from the</w:t>
      </w:r>
      <w:r w:rsidR="005C070F" w:rsidRPr="00101E89">
        <w:t xml:space="preserve"> </w:t>
      </w:r>
      <w:r w:rsidR="00B755EA" w:rsidRPr="00101E89">
        <w:t>fear 2D</w:t>
      </w:r>
      <w:r w:rsidR="005C070F" w:rsidRPr="00101E89">
        <w:t xml:space="preserve"> follow-up</w:t>
      </w:r>
      <w:r w:rsidR="00B755EA" w:rsidRPr="00101E89">
        <w:t xml:space="preserve"> (</w:t>
      </w:r>
      <w:r w:rsidR="00B755EA" w:rsidRPr="00D57628">
        <w:rPr>
          <w:i/>
          <w:iCs/>
        </w:rPr>
        <w:t>p</w:t>
      </w:r>
      <w:r w:rsidR="00B755EA" w:rsidRPr="00101E89">
        <w:t xml:space="preserve">&lt;.001), </w:t>
      </w:r>
      <w:r w:rsidR="00676A6A" w:rsidRPr="00101E89">
        <w:t>the fear 2D follow-up significantly differed from the positive 2D follow-up (</w:t>
      </w:r>
      <w:r w:rsidR="00676A6A" w:rsidRPr="00D57628">
        <w:rPr>
          <w:i/>
          <w:iCs/>
        </w:rPr>
        <w:t>p</w:t>
      </w:r>
      <w:r w:rsidR="00676A6A" w:rsidRPr="00101E89">
        <w:t>&lt;.001)</w:t>
      </w:r>
      <w:r w:rsidR="005C070F" w:rsidRPr="00101E89">
        <w:t>,</w:t>
      </w:r>
      <w:r w:rsidR="00676A6A" w:rsidRPr="00101E89">
        <w:t xml:space="preserve"> and the positive 2D follow-up significantly differed from the positive VR follow-up (</w:t>
      </w:r>
      <w:r w:rsidR="00676A6A" w:rsidRPr="00D57628">
        <w:rPr>
          <w:i/>
          <w:iCs/>
        </w:rPr>
        <w:t>p</w:t>
      </w:r>
      <w:r w:rsidR="00676A6A" w:rsidRPr="00101E89">
        <w:t>&lt;.001</w:t>
      </w:r>
      <w:r w:rsidR="001D1371" w:rsidRPr="00101E89">
        <w:t>; see Figure 1</w:t>
      </w:r>
      <w:r w:rsidR="00FA2139">
        <w:t xml:space="preserve"> and Table </w:t>
      </w:r>
      <w:r w:rsidR="000300CA">
        <w:t>III</w:t>
      </w:r>
      <w:r w:rsidR="00FA2139">
        <w:t>.</w:t>
      </w:r>
      <w:r w:rsidR="001D1371" w:rsidRPr="00101E89">
        <w:t>).</w:t>
      </w:r>
      <w:bookmarkStart w:id="18" w:name="_4yzxkkx0g6js" w:colFirst="0" w:colLast="0"/>
      <w:bookmarkEnd w:id="18"/>
      <w:r w:rsidR="00643F26" w:rsidRPr="005D307A">
        <w:rPr>
          <w:noProof/>
          <w:lang w:val="en-US" w:eastAsia="it-IT"/>
        </w:rPr>
        <w:t xml:space="preserve"> </w:t>
      </w:r>
    </w:p>
    <w:p w14:paraId="326F24F9" w14:textId="6395B56C" w:rsidR="009D5671" w:rsidRPr="00101E89" w:rsidRDefault="009D5671" w:rsidP="009D5671">
      <w:pPr>
        <w:ind w:left="144"/>
      </w:pPr>
    </w:p>
    <w:p w14:paraId="1DE7444A" w14:textId="772F34FA" w:rsidR="00AB6177" w:rsidRDefault="00F902E2" w:rsidP="009D5671">
      <w:pPr>
        <w:ind w:left="144"/>
      </w:pPr>
      <w:r>
        <w:rPr>
          <w:noProof/>
        </w:rPr>
        <w:drawing>
          <wp:inline distT="0" distB="0" distL="0" distR="0" wp14:anchorId="6910558D" wp14:editId="217914DD">
            <wp:extent cx="6667323" cy="42840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6681263" cy="4292957"/>
                    </a:xfrm>
                    <a:prstGeom prst="rect">
                      <a:avLst/>
                    </a:prstGeom>
                  </pic:spPr>
                </pic:pic>
              </a:graphicData>
            </a:graphic>
          </wp:inline>
        </w:drawing>
      </w:r>
    </w:p>
    <w:p w14:paraId="2D22DDB4" w14:textId="3FB7760B" w:rsidR="000C6CAE" w:rsidRDefault="009D5671" w:rsidP="00F902E2">
      <w:r w:rsidRPr="00101E89">
        <w:lastRenderedPageBreak/>
        <w:t xml:space="preserve">Figure </w:t>
      </w:r>
      <w:r w:rsidR="00643F26" w:rsidRPr="00101E89">
        <w:t>1. Participants’ mean DBQ scores, by Film Content and Delivery Mode</w:t>
      </w:r>
      <w:r w:rsidR="00CD7B6E" w:rsidRPr="00101E89">
        <w:t>. Error bars represent S</w:t>
      </w:r>
      <w:r w:rsidR="00F84BA0" w:rsidRPr="00101E89">
        <w:t>tandard Errors</w:t>
      </w:r>
      <w:r w:rsidR="00CD7B6E" w:rsidRPr="00101E89">
        <w:t>.</w:t>
      </w:r>
      <w:bookmarkStart w:id="19" w:name="_3h76nf6688hf" w:colFirst="0" w:colLast="0"/>
      <w:bookmarkEnd w:id="19"/>
    </w:p>
    <w:p w14:paraId="7C385657" w14:textId="622BB57C" w:rsidR="002E7B4C" w:rsidRDefault="002E7B4C" w:rsidP="00F902E2">
      <w:r>
        <w:t xml:space="preserve">Table </w:t>
      </w:r>
      <w:r w:rsidR="000300CA">
        <w:t>III</w:t>
      </w:r>
      <w:r>
        <w:t xml:space="preserve">. </w:t>
      </w:r>
      <w:r w:rsidRPr="007F1105">
        <w:t>Participants</w:t>
      </w:r>
      <w:r>
        <w:t>’ s</w:t>
      </w:r>
      <w:r w:rsidRPr="007F1105">
        <w:rPr>
          <w:lang w:val="en-GB"/>
        </w:rPr>
        <w:t xml:space="preserve">um </w:t>
      </w:r>
      <w:r>
        <w:rPr>
          <w:lang w:val="en-GB"/>
        </w:rPr>
        <w:t xml:space="preserve">means DBQ scores, </w:t>
      </w:r>
      <w:r w:rsidRPr="007F1105">
        <w:rPr>
          <w:lang w:val="en-GB"/>
        </w:rPr>
        <w:t xml:space="preserve">by </w:t>
      </w:r>
      <w:r>
        <w:rPr>
          <w:lang w:val="en-GB"/>
        </w:rPr>
        <w:t xml:space="preserve">Delivery Mode and Film Content </w:t>
      </w:r>
    </w:p>
    <w:tbl>
      <w:tblPr>
        <w:tblpPr w:leftFromText="181" w:rightFromText="181" w:vertAnchor="text" w:horzAnchor="margin" w:tblpY="113"/>
        <w:tblW w:w="9356" w:type="dxa"/>
        <w:tblLayout w:type="fixed"/>
        <w:tblLook w:val="04A0" w:firstRow="1" w:lastRow="0" w:firstColumn="1" w:lastColumn="0" w:noHBand="0" w:noVBand="1"/>
      </w:tblPr>
      <w:tblGrid>
        <w:gridCol w:w="1134"/>
        <w:gridCol w:w="1134"/>
        <w:gridCol w:w="993"/>
        <w:gridCol w:w="850"/>
        <w:gridCol w:w="992"/>
        <w:gridCol w:w="1134"/>
        <w:gridCol w:w="993"/>
        <w:gridCol w:w="1134"/>
        <w:gridCol w:w="992"/>
      </w:tblGrid>
      <w:tr w:rsidR="007F1105" w:rsidRPr="00677906" w14:paraId="131E6D14" w14:textId="77777777" w:rsidTr="002E7B4C">
        <w:trPr>
          <w:trHeight w:val="137"/>
        </w:trPr>
        <w:tc>
          <w:tcPr>
            <w:tcW w:w="1134" w:type="dxa"/>
            <w:tcBorders>
              <w:top w:val="single" w:sz="12" w:space="0" w:color="auto"/>
              <w:bottom w:val="single" w:sz="4" w:space="0" w:color="auto"/>
            </w:tcBorders>
            <w:shd w:val="clear" w:color="auto" w:fill="auto"/>
            <w:noWrap/>
            <w:vAlign w:val="bottom"/>
            <w:hideMark/>
          </w:tcPr>
          <w:p w14:paraId="05FC076A" w14:textId="77777777" w:rsidR="007F1105" w:rsidRPr="00677906" w:rsidRDefault="007F1105" w:rsidP="007F1105">
            <w:pPr>
              <w:spacing w:line="360" w:lineRule="auto"/>
              <w:rPr>
                <w:sz w:val="22"/>
                <w:szCs w:val="22"/>
              </w:rPr>
            </w:pPr>
          </w:p>
        </w:tc>
        <w:tc>
          <w:tcPr>
            <w:tcW w:w="3969" w:type="dxa"/>
            <w:gridSpan w:val="4"/>
            <w:tcBorders>
              <w:top w:val="single" w:sz="12" w:space="0" w:color="auto"/>
              <w:bottom w:val="single" w:sz="4" w:space="0" w:color="auto"/>
            </w:tcBorders>
            <w:shd w:val="clear" w:color="auto" w:fill="auto"/>
            <w:noWrap/>
            <w:vAlign w:val="bottom"/>
            <w:hideMark/>
          </w:tcPr>
          <w:p w14:paraId="2F8E576B" w14:textId="77777777" w:rsidR="007F1105" w:rsidRPr="00677906" w:rsidRDefault="007F1105" w:rsidP="00FE4E7C">
            <w:pPr>
              <w:spacing w:line="360" w:lineRule="auto"/>
              <w:jc w:val="center"/>
              <w:rPr>
                <w:b/>
                <w:bCs/>
                <w:sz w:val="22"/>
                <w:szCs w:val="22"/>
              </w:rPr>
            </w:pPr>
            <w:r w:rsidRPr="00677906">
              <w:rPr>
                <w:b/>
                <w:bCs/>
                <w:sz w:val="22"/>
                <w:szCs w:val="22"/>
              </w:rPr>
              <w:t>Pre-Test</w:t>
            </w:r>
          </w:p>
        </w:tc>
        <w:tc>
          <w:tcPr>
            <w:tcW w:w="4253" w:type="dxa"/>
            <w:gridSpan w:val="4"/>
            <w:tcBorders>
              <w:top w:val="single" w:sz="12" w:space="0" w:color="auto"/>
              <w:bottom w:val="single" w:sz="4" w:space="0" w:color="auto"/>
            </w:tcBorders>
            <w:shd w:val="clear" w:color="auto" w:fill="auto"/>
            <w:noWrap/>
            <w:vAlign w:val="bottom"/>
            <w:hideMark/>
          </w:tcPr>
          <w:p w14:paraId="02BC7699" w14:textId="77777777" w:rsidR="007F1105" w:rsidRPr="00677906" w:rsidRDefault="007F1105" w:rsidP="007F1105">
            <w:pPr>
              <w:spacing w:line="360" w:lineRule="auto"/>
              <w:jc w:val="center"/>
              <w:rPr>
                <w:b/>
                <w:bCs/>
                <w:sz w:val="22"/>
                <w:szCs w:val="22"/>
              </w:rPr>
            </w:pPr>
            <w:r w:rsidRPr="00677906">
              <w:rPr>
                <w:b/>
                <w:bCs/>
                <w:sz w:val="22"/>
                <w:szCs w:val="22"/>
              </w:rPr>
              <w:t>Follow-Up</w:t>
            </w:r>
          </w:p>
        </w:tc>
      </w:tr>
      <w:tr w:rsidR="00677906" w:rsidRPr="00677906" w14:paraId="3716595F" w14:textId="77777777" w:rsidTr="004C3068">
        <w:trPr>
          <w:trHeight w:val="64"/>
        </w:trPr>
        <w:tc>
          <w:tcPr>
            <w:tcW w:w="1134" w:type="dxa"/>
            <w:tcBorders>
              <w:top w:val="single" w:sz="4" w:space="0" w:color="auto"/>
              <w:bottom w:val="single" w:sz="4" w:space="0" w:color="auto"/>
            </w:tcBorders>
            <w:shd w:val="clear" w:color="auto" w:fill="auto"/>
            <w:noWrap/>
            <w:vAlign w:val="bottom"/>
            <w:hideMark/>
          </w:tcPr>
          <w:p w14:paraId="114B532A" w14:textId="28D0E4E1" w:rsidR="007F1105" w:rsidRPr="00677906" w:rsidRDefault="007F1105" w:rsidP="007F1105">
            <w:pPr>
              <w:spacing w:line="360" w:lineRule="auto"/>
              <w:rPr>
                <w:sz w:val="22"/>
                <w:szCs w:val="22"/>
              </w:rPr>
            </w:pPr>
            <w:r w:rsidRPr="00677906">
              <w:rPr>
                <w:sz w:val="22"/>
                <w:szCs w:val="22"/>
              </w:rPr>
              <w:t>Variable</w:t>
            </w:r>
          </w:p>
        </w:tc>
        <w:tc>
          <w:tcPr>
            <w:tcW w:w="2127" w:type="dxa"/>
            <w:gridSpan w:val="2"/>
            <w:tcBorders>
              <w:top w:val="single" w:sz="4" w:space="0" w:color="auto"/>
              <w:bottom w:val="single" w:sz="4" w:space="0" w:color="auto"/>
            </w:tcBorders>
            <w:shd w:val="clear" w:color="auto" w:fill="auto"/>
            <w:noWrap/>
            <w:vAlign w:val="bottom"/>
            <w:hideMark/>
          </w:tcPr>
          <w:p w14:paraId="11C233E6" w14:textId="0BD193EF" w:rsidR="007F1105" w:rsidRPr="00677906" w:rsidRDefault="008B7C96" w:rsidP="00FE4E7C">
            <w:pPr>
              <w:spacing w:line="360" w:lineRule="auto"/>
              <w:jc w:val="center"/>
              <w:rPr>
                <w:b/>
                <w:bCs/>
                <w:sz w:val="22"/>
                <w:szCs w:val="22"/>
              </w:rPr>
            </w:pPr>
            <w:r>
              <w:rPr>
                <w:b/>
                <w:bCs/>
                <w:sz w:val="22"/>
                <w:szCs w:val="22"/>
              </w:rPr>
              <w:t>VR</w:t>
            </w:r>
          </w:p>
        </w:tc>
        <w:tc>
          <w:tcPr>
            <w:tcW w:w="1842" w:type="dxa"/>
            <w:gridSpan w:val="2"/>
            <w:tcBorders>
              <w:top w:val="single" w:sz="4" w:space="0" w:color="auto"/>
              <w:bottom w:val="single" w:sz="4" w:space="0" w:color="auto"/>
            </w:tcBorders>
            <w:shd w:val="clear" w:color="auto" w:fill="auto"/>
            <w:noWrap/>
            <w:vAlign w:val="bottom"/>
            <w:hideMark/>
          </w:tcPr>
          <w:p w14:paraId="624DB686" w14:textId="77777777" w:rsidR="007F1105" w:rsidRPr="00677906" w:rsidRDefault="007F1105" w:rsidP="00FE4E7C">
            <w:pPr>
              <w:spacing w:line="360" w:lineRule="auto"/>
              <w:jc w:val="center"/>
              <w:rPr>
                <w:b/>
                <w:bCs/>
                <w:sz w:val="22"/>
                <w:szCs w:val="22"/>
              </w:rPr>
            </w:pPr>
            <w:r w:rsidRPr="00677906">
              <w:rPr>
                <w:b/>
                <w:bCs/>
                <w:sz w:val="22"/>
                <w:szCs w:val="22"/>
              </w:rPr>
              <w:t>2D</w:t>
            </w:r>
          </w:p>
        </w:tc>
        <w:tc>
          <w:tcPr>
            <w:tcW w:w="2127" w:type="dxa"/>
            <w:gridSpan w:val="2"/>
            <w:tcBorders>
              <w:top w:val="single" w:sz="4" w:space="0" w:color="auto"/>
              <w:bottom w:val="single" w:sz="4" w:space="0" w:color="auto"/>
            </w:tcBorders>
            <w:shd w:val="clear" w:color="auto" w:fill="auto"/>
            <w:noWrap/>
            <w:vAlign w:val="bottom"/>
            <w:hideMark/>
          </w:tcPr>
          <w:p w14:paraId="5A6026D1" w14:textId="57C3EC4A" w:rsidR="007F1105" w:rsidRPr="00677906" w:rsidRDefault="008B7C96" w:rsidP="00FE4E7C">
            <w:pPr>
              <w:spacing w:line="360" w:lineRule="auto"/>
              <w:jc w:val="center"/>
              <w:rPr>
                <w:b/>
                <w:bCs/>
                <w:sz w:val="22"/>
                <w:szCs w:val="22"/>
              </w:rPr>
            </w:pPr>
            <w:r>
              <w:rPr>
                <w:b/>
                <w:bCs/>
                <w:sz w:val="22"/>
                <w:szCs w:val="22"/>
              </w:rPr>
              <w:t>VR</w:t>
            </w:r>
          </w:p>
        </w:tc>
        <w:tc>
          <w:tcPr>
            <w:tcW w:w="2126" w:type="dxa"/>
            <w:gridSpan w:val="2"/>
            <w:tcBorders>
              <w:top w:val="single" w:sz="4" w:space="0" w:color="auto"/>
              <w:bottom w:val="single" w:sz="4" w:space="0" w:color="auto"/>
            </w:tcBorders>
            <w:shd w:val="clear" w:color="auto" w:fill="auto"/>
            <w:noWrap/>
            <w:vAlign w:val="bottom"/>
            <w:hideMark/>
          </w:tcPr>
          <w:p w14:paraId="5742C1EC" w14:textId="77777777" w:rsidR="007F1105" w:rsidRPr="00677906" w:rsidRDefault="007F1105" w:rsidP="00FE4E7C">
            <w:pPr>
              <w:spacing w:line="360" w:lineRule="auto"/>
              <w:jc w:val="center"/>
              <w:rPr>
                <w:b/>
                <w:bCs/>
                <w:sz w:val="22"/>
                <w:szCs w:val="22"/>
              </w:rPr>
            </w:pPr>
            <w:r w:rsidRPr="00677906">
              <w:rPr>
                <w:b/>
                <w:bCs/>
                <w:sz w:val="22"/>
                <w:szCs w:val="22"/>
              </w:rPr>
              <w:t>2D</w:t>
            </w:r>
          </w:p>
        </w:tc>
      </w:tr>
      <w:tr w:rsidR="004C3068" w:rsidRPr="00677906" w14:paraId="0B417186" w14:textId="77777777" w:rsidTr="004C3068">
        <w:trPr>
          <w:trHeight w:val="326"/>
        </w:trPr>
        <w:tc>
          <w:tcPr>
            <w:tcW w:w="1134" w:type="dxa"/>
            <w:vMerge w:val="restart"/>
            <w:tcBorders>
              <w:top w:val="single" w:sz="4" w:space="0" w:color="auto"/>
              <w:bottom w:val="single" w:sz="4" w:space="0" w:color="auto"/>
            </w:tcBorders>
            <w:shd w:val="clear" w:color="auto" w:fill="auto"/>
            <w:noWrap/>
            <w:vAlign w:val="bottom"/>
            <w:hideMark/>
          </w:tcPr>
          <w:p w14:paraId="6F6F54CB" w14:textId="20C595AB" w:rsidR="007F1105" w:rsidRPr="00677906" w:rsidRDefault="007F1105" w:rsidP="007F1105">
            <w:pPr>
              <w:spacing w:line="276" w:lineRule="auto"/>
              <w:rPr>
                <w:sz w:val="22"/>
                <w:szCs w:val="22"/>
              </w:rPr>
            </w:pPr>
            <w:r w:rsidRPr="00677906">
              <w:rPr>
                <w:sz w:val="22"/>
                <w:szCs w:val="22"/>
              </w:rPr>
              <w:t xml:space="preserve">DBQ </w:t>
            </w:r>
          </w:p>
        </w:tc>
        <w:tc>
          <w:tcPr>
            <w:tcW w:w="1134" w:type="dxa"/>
            <w:tcBorders>
              <w:top w:val="single" w:sz="4" w:space="0" w:color="auto"/>
              <w:bottom w:val="single" w:sz="4" w:space="0" w:color="auto"/>
            </w:tcBorders>
            <w:shd w:val="clear" w:color="auto" w:fill="auto"/>
            <w:noWrap/>
            <w:vAlign w:val="bottom"/>
          </w:tcPr>
          <w:p w14:paraId="1D14F44C" w14:textId="77777777" w:rsidR="007F1105" w:rsidRPr="00677906" w:rsidRDefault="007F1105" w:rsidP="007F1105">
            <w:pPr>
              <w:spacing w:line="360" w:lineRule="auto"/>
              <w:jc w:val="center"/>
              <w:rPr>
                <w:b/>
                <w:bCs/>
                <w:sz w:val="22"/>
                <w:szCs w:val="22"/>
              </w:rPr>
            </w:pPr>
            <w:r w:rsidRPr="00677906">
              <w:rPr>
                <w:b/>
                <w:bCs/>
                <w:sz w:val="22"/>
                <w:szCs w:val="22"/>
              </w:rPr>
              <w:t>Fear</w:t>
            </w:r>
          </w:p>
        </w:tc>
        <w:tc>
          <w:tcPr>
            <w:tcW w:w="993" w:type="dxa"/>
            <w:tcBorders>
              <w:top w:val="single" w:sz="4" w:space="0" w:color="auto"/>
              <w:bottom w:val="single" w:sz="4" w:space="0" w:color="auto"/>
            </w:tcBorders>
            <w:shd w:val="clear" w:color="auto" w:fill="auto"/>
            <w:vAlign w:val="bottom"/>
          </w:tcPr>
          <w:p w14:paraId="47ECC786" w14:textId="77777777" w:rsidR="007F1105" w:rsidRPr="00677906" w:rsidRDefault="007F1105" w:rsidP="007F1105">
            <w:pPr>
              <w:spacing w:line="360" w:lineRule="auto"/>
              <w:jc w:val="center"/>
              <w:rPr>
                <w:b/>
                <w:bCs/>
                <w:sz w:val="22"/>
                <w:szCs w:val="22"/>
              </w:rPr>
            </w:pPr>
            <w:r w:rsidRPr="00677906">
              <w:rPr>
                <w:b/>
                <w:bCs/>
                <w:sz w:val="22"/>
                <w:szCs w:val="22"/>
              </w:rPr>
              <w:t>Positive</w:t>
            </w:r>
          </w:p>
        </w:tc>
        <w:tc>
          <w:tcPr>
            <w:tcW w:w="850" w:type="dxa"/>
            <w:tcBorders>
              <w:top w:val="single" w:sz="4" w:space="0" w:color="auto"/>
              <w:bottom w:val="single" w:sz="4" w:space="0" w:color="auto"/>
            </w:tcBorders>
            <w:shd w:val="clear" w:color="auto" w:fill="auto"/>
            <w:noWrap/>
            <w:vAlign w:val="bottom"/>
            <w:hideMark/>
          </w:tcPr>
          <w:p w14:paraId="61AF3732" w14:textId="77777777" w:rsidR="007F1105" w:rsidRPr="00677906" w:rsidRDefault="007F1105" w:rsidP="007F1105">
            <w:pPr>
              <w:spacing w:line="360" w:lineRule="auto"/>
              <w:jc w:val="center"/>
              <w:rPr>
                <w:b/>
                <w:bCs/>
                <w:sz w:val="22"/>
                <w:szCs w:val="22"/>
              </w:rPr>
            </w:pPr>
            <w:r w:rsidRPr="00677906">
              <w:rPr>
                <w:b/>
                <w:bCs/>
                <w:sz w:val="22"/>
                <w:szCs w:val="22"/>
              </w:rPr>
              <w:t>Fear</w:t>
            </w:r>
          </w:p>
        </w:tc>
        <w:tc>
          <w:tcPr>
            <w:tcW w:w="992" w:type="dxa"/>
            <w:tcBorders>
              <w:top w:val="single" w:sz="4" w:space="0" w:color="auto"/>
              <w:bottom w:val="single" w:sz="4" w:space="0" w:color="auto"/>
            </w:tcBorders>
            <w:shd w:val="clear" w:color="auto" w:fill="auto"/>
            <w:vAlign w:val="bottom"/>
          </w:tcPr>
          <w:p w14:paraId="19E55900" w14:textId="77777777" w:rsidR="007F1105" w:rsidRPr="00677906" w:rsidRDefault="007F1105" w:rsidP="007F1105">
            <w:pPr>
              <w:spacing w:line="360" w:lineRule="auto"/>
              <w:jc w:val="center"/>
              <w:rPr>
                <w:b/>
                <w:bCs/>
                <w:sz w:val="22"/>
                <w:szCs w:val="22"/>
              </w:rPr>
            </w:pPr>
            <w:r w:rsidRPr="00677906">
              <w:rPr>
                <w:b/>
                <w:bCs/>
                <w:sz w:val="22"/>
                <w:szCs w:val="22"/>
              </w:rPr>
              <w:t>Positive</w:t>
            </w:r>
          </w:p>
        </w:tc>
        <w:tc>
          <w:tcPr>
            <w:tcW w:w="1134" w:type="dxa"/>
            <w:tcBorders>
              <w:top w:val="single" w:sz="4" w:space="0" w:color="auto"/>
              <w:bottom w:val="single" w:sz="4" w:space="0" w:color="auto"/>
            </w:tcBorders>
            <w:shd w:val="clear" w:color="auto" w:fill="auto"/>
            <w:noWrap/>
            <w:vAlign w:val="bottom"/>
            <w:hideMark/>
          </w:tcPr>
          <w:p w14:paraId="0E9414B1" w14:textId="77777777" w:rsidR="007F1105" w:rsidRPr="00677906" w:rsidRDefault="007F1105" w:rsidP="007F1105">
            <w:pPr>
              <w:spacing w:line="360" w:lineRule="auto"/>
              <w:jc w:val="center"/>
              <w:rPr>
                <w:b/>
                <w:bCs/>
                <w:sz w:val="22"/>
                <w:szCs w:val="22"/>
              </w:rPr>
            </w:pPr>
            <w:r w:rsidRPr="00677906">
              <w:rPr>
                <w:b/>
                <w:bCs/>
                <w:sz w:val="22"/>
                <w:szCs w:val="22"/>
              </w:rPr>
              <w:t>Fear</w:t>
            </w:r>
          </w:p>
        </w:tc>
        <w:tc>
          <w:tcPr>
            <w:tcW w:w="993" w:type="dxa"/>
            <w:tcBorders>
              <w:top w:val="single" w:sz="4" w:space="0" w:color="auto"/>
              <w:bottom w:val="single" w:sz="4" w:space="0" w:color="auto"/>
            </w:tcBorders>
            <w:shd w:val="clear" w:color="auto" w:fill="auto"/>
            <w:vAlign w:val="bottom"/>
          </w:tcPr>
          <w:p w14:paraId="61EA8CE9" w14:textId="77777777" w:rsidR="007F1105" w:rsidRPr="00677906" w:rsidRDefault="007F1105" w:rsidP="007F1105">
            <w:pPr>
              <w:spacing w:line="360" w:lineRule="auto"/>
              <w:jc w:val="center"/>
              <w:rPr>
                <w:b/>
                <w:bCs/>
                <w:sz w:val="22"/>
                <w:szCs w:val="22"/>
              </w:rPr>
            </w:pPr>
            <w:r w:rsidRPr="00677906">
              <w:rPr>
                <w:b/>
                <w:bCs/>
                <w:sz w:val="22"/>
                <w:szCs w:val="22"/>
              </w:rPr>
              <w:t>Positive</w:t>
            </w:r>
          </w:p>
        </w:tc>
        <w:tc>
          <w:tcPr>
            <w:tcW w:w="1134" w:type="dxa"/>
            <w:tcBorders>
              <w:top w:val="single" w:sz="4" w:space="0" w:color="auto"/>
              <w:bottom w:val="single" w:sz="4" w:space="0" w:color="auto"/>
            </w:tcBorders>
            <w:shd w:val="clear" w:color="auto" w:fill="auto"/>
            <w:noWrap/>
            <w:vAlign w:val="bottom"/>
            <w:hideMark/>
          </w:tcPr>
          <w:p w14:paraId="7E2CB2D6" w14:textId="77777777" w:rsidR="007F1105" w:rsidRPr="00677906" w:rsidRDefault="007F1105" w:rsidP="007F1105">
            <w:pPr>
              <w:spacing w:line="360" w:lineRule="auto"/>
              <w:jc w:val="center"/>
              <w:rPr>
                <w:b/>
                <w:bCs/>
                <w:sz w:val="22"/>
                <w:szCs w:val="22"/>
              </w:rPr>
            </w:pPr>
            <w:r w:rsidRPr="00677906">
              <w:rPr>
                <w:b/>
                <w:bCs/>
                <w:sz w:val="22"/>
                <w:szCs w:val="22"/>
              </w:rPr>
              <w:t>Fear</w:t>
            </w:r>
          </w:p>
        </w:tc>
        <w:tc>
          <w:tcPr>
            <w:tcW w:w="992" w:type="dxa"/>
            <w:tcBorders>
              <w:top w:val="single" w:sz="4" w:space="0" w:color="auto"/>
              <w:bottom w:val="single" w:sz="4" w:space="0" w:color="auto"/>
            </w:tcBorders>
            <w:shd w:val="clear" w:color="auto" w:fill="auto"/>
            <w:vAlign w:val="bottom"/>
          </w:tcPr>
          <w:p w14:paraId="13D5C709" w14:textId="77777777" w:rsidR="007F1105" w:rsidRPr="00677906" w:rsidRDefault="007F1105" w:rsidP="007F1105">
            <w:pPr>
              <w:spacing w:line="360" w:lineRule="auto"/>
              <w:jc w:val="center"/>
              <w:rPr>
                <w:b/>
                <w:bCs/>
                <w:sz w:val="22"/>
                <w:szCs w:val="22"/>
              </w:rPr>
            </w:pPr>
            <w:r w:rsidRPr="00677906">
              <w:rPr>
                <w:b/>
                <w:bCs/>
                <w:sz w:val="22"/>
                <w:szCs w:val="22"/>
              </w:rPr>
              <w:t>Positive</w:t>
            </w:r>
          </w:p>
        </w:tc>
      </w:tr>
      <w:tr w:rsidR="004C3068" w:rsidRPr="00677906" w14:paraId="3913013C" w14:textId="77777777" w:rsidTr="002E7B4C">
        <w:trPr>
          <w:trHeight w:val="426"/>
        </w:trPr>
        <w:tc>
          <w:tcPr>
            <w:tcW w:w="1134" w:type="dxa"/>
            <w:vMerge/>
            <w:tcBorders>
              <w:bottom w:val="single" w:sz="12" w:space="0" w:color="auto"/>
            </w:tcBorders>
            <w:shd w:val="clear" w:color="auto" w:fill="auto"/>
            <w:noWrap/>
            <w:vAlign w:val="bottom"/>
          </w:tcPr>
          <w:p w14:paraId="68ACDF91" w14:textId="77777777" w:rsidR="007F1105" w:rsidRPr="00677906" w:rsidRDefault="007F1105" w:rsidP="007F1105">
            <w:pPr>
              <w:spacing w:line="276" w:lineRule="auto"/>
              <w:rPr>
                <w:sz w:val="22"/>
                <w:szCs w:val="22"/>
              </w:rPr>
            </w:pPr>
          </w:p>
        </w:tc>
        <w:tc>
          <w:tcPr>
            <w:tcW w:w="1134" w:type="dxa"/>
            <w:tcBorders>
              <w:top w:val="single" w:sz="4" w:space="0" w:color="auto"/>
              <w:bottom w:val="single" w:sz="12" w:space="0" w:color="auto"/>
            </w:tcBorders>
            <w:shd w:val="clear" w:color="auto" w:fill="auto"/>
            <w:noWrap/>
            <w:vAlign w:val="bottom"/>
          </w:tcPr>
          <w:p w14:paraId="4B09BF3A" w14:textId="77777777" w:rsidR="007F1105" w:rsidRPr="00677906" w:rsidRDefault="007F1105" w:rsidP="007F1105">
            <w:pPr>
              <w:spacing w:line="276" w:lineRule="auto"/>
              <w:jc w:val="center"/>
              <w:rPr>
                <w:sz w:val="22"/>
                <w:szCs w:val="22"/>
              </w:rPr>
            </w:pPr>
            <w:r w:rsidRPr="00677906">
              <w:rPr>
                <w:sz w:val="22"/>
                <w:szCs w:val="22"/>
              </w:rPr>
              <w:t>210.9 (12.44)</w:t>
            </w:r>
          </w:p>
        </w:tc>
        <w:tc>
          <w:tcPr>
            <w:tcW w:w="993" w:type="dxa"/>
            <w:tcBorders>
              <w:top w:val="single" w:sz="4" w:space="0" w:color="auto"/>
              <w:bottom w:val="single" w:sz="12" w:space="0" w:color="auto"/>
            </w:tcBorders>
            <w:shd w:val="clear" w:color="auto" w:fill="auto"/>
            <w:vAlign w:val="bottom"/>
          </w:tcPr>
          <w:p w14:paraId="4FF9F015" w14:textId="77777777" w:rsidR="007F1105" w:rsidRPr="00677906" w:rsidRDefault="007F1105" w:rsidP="007F1105">
            <w:pPr>
              <w:spacing w:line="276" w:lineRule="auto"/>
              <w:jc w:val="center"/>
              <w:rPr>
                <w:sz w:val="22"/>
                <w:szCs w:val="22"/>
              </w:rPr>
            </w:pPr>
            <w:r w:rsidRPr="00677906">
              <w:rPr>
                <w:sz w:val="22"/>
                <w:szCs w:val="22"/>
              </w:rPr>
              <w:t xml:space="preserve">231.4 </w:t>
            </w:r>
          </w:p>
          <w:p w14:paraId="427C3191" w14:textId="77777777" w:rsidR="007F1105" w:rsidRPr="00677906" w:rsidRDefault="007F1105" w:rsidP="007F1105">
            <w:pPr>
              <w:spacing w:line="276" w:lineRule="auto"/>
              <w:jc w:val="center"/>
              <w:rPr>
                <w:sz w:val="22"/>
                <w:szCs w:val="22"/>
              </w:rPr>
            </w:pPr>
            <w:r w:rsidRPr="00677906">
              <w:rPr>
                <w:sz w:val="22"/>
                <w:szCs w:val="22"/>
              </w:rPr>
              <w:t>(15.6)</w:t>
            </w:r>
          </w:p>
        </w:tc>
        <w:tc>
          <w:tcPr>
            <w:tcW w:w="850" w:type="dxa"/>
            <w:tcBorders>
              <w:top w:val="single" w:sz="4" w:space="0" w:color="auto"/>
              <w:bottom w:val="single" w:sz="12" w:space="0" w:color="auto"/>
            </w:tcBorders>
            <w:shd w:val="clear" w:color="auto" w:fill="auto"/>
            <w:noWrap/>
            <w:vAlign w:val="bottom"/>
          </w:tcPr>
          <w:p w14:paraId="31865CA5" w14:textId="77777777" w:rsidR="007F1105" w:rsidRPr="00677906" w:rsidRDefault="007F1105" w:rsidP="007F1105">
            <w:pPr>
              <w:spacing w:line="276" w:lineRule="auto"/>
              <w:jc w:val="center"/>
              <w:rPr>
                <w:sz w:val="22"/>
                <w:szCs w:val="22"/>
              </w:rPr>
            </w:pPr>
            <w:r w:rsidRPr="00677906">
              <w:rPr>
                <w:sz w:val="22"/>
                <w:szCs w:val="22"/>
              </w:rPr>
              <w:t>210.1 (16.5)</w:t>
            </w:r>
          </w:p>
        </w:tc>
        <w:tc>
          <w:tcPr>
            <w:tcW w:w="992" w:type="dxa"/>
            <w:tcBorders>
              <w:top w:val="single" w:sz="4" w:space="0" w:color="auto"/>
              <w:bottom w:val="single" w:sz="12" w:space="0" w:color="auto"/>
            </w:tcBorders>
            <w:shd w:val="clear" w:color="auto" w:fill="auto"/>
            <w:vAlign w:val="bottom"/>
          </w:tcPr>
          <w:p w14:paraId="0A9CFF09" w14:textId="77777777" w:rsidR="007F1105" w:rsidRPr="00677906" w:rsidRDefault="007F1105" w:rsidP="007F1105">
            <w:pPr>
              <w:spacing w:line="276" w:lineRule="auto"/>
              <w:jc w:val="center"/>
              <w:rPr>
                <w:sz w:val="22"/>
                <w:szCs w:val="22"/>
              </w:rPr>
            </w:pPr>
            <w:r w:rsidRPr="00677906">
              <w:rPr>
                <w:sz w:val="22"/>
                <w:szCs w:val="22"/>
              </w:rPr>
              <w:t>212.1 (16.5)</w:t>
            </w:r>
          </w:p>
        </w:tc>
        <w:tc>
          <w:tcPr>
            <w:tcW w:w="1134" w:type="dxa"/>
            <w:tcBorders>
              <w:top w:val="single" w:sz="4" w:space="0" w:color="auto"/>
              <w:bottom w:val="single" w:sz="12" w:space="0" w:color="auto"/>
            </w:tcBorders>
            <w:shd w:val="clear" w:color="auto" w:fill="auto"/>
            <w:noWrap/>
            <w:vAlign w:val="bottom"/>
          </w:tcPr>
          <w:p w14:paraId="43F0AE9F" w14:textId="77777777" w:rsidR="007F1105" w:rsidRPr="00677906" w:rsidRDefault="007F1105" w:rsidP="007F1105">
            <w:pPr>
              <w:spacing w:line="276" w:lineRule="auto"/>
              <w:jc w:val="center"/>
              <w:rPr>
                <w:sz w:val="22"/>
                <w:szCs w:val="22"/>
              </w:rPr>
            </w:pPr>
            <w:r w:rsidRPr="00677906">
              <w:rPr>
                <w:sz w:val="22"/>
                <w:szCs w:val="22"/>
              </w:rPr>
              <w:t xml:space="preserve">221.5 </w:t>
            </w:r>
          </w:p>
          <w:p w14:paraId="0367E601" w14:textId="77777777" w:rsidR="007F1105" w:rsidRPr="00677906" w:rsidRDefault="007F1105" w:rsidP="007F1105">
            <w:pPr>
              <w:spacing w:line="276" w:lineRule="auto"/>
              <w:jc w:val="center"/>
              <w:rPr>
                <w:sz w:val="22"/>
                <w:szCs w:val="22"/>
              </w:rPr>
            </w:pPr>
            <w:r w:rsidRPr="00677906">
              <w:rPr>
                <w:sz w:val="22"/>
                <w:szCs w:val="22"/>
              </w:rPr>
              <w:t>(18.5)</w:t>
            </w:r>
          </w:p>
        </w:tc>
        <w:tc>
          <w:tcPr>
            <w:tcW w:w="993" w:type="dxa"/>
            <w:tcBorders>
              <w:top w:val="single" w:sz="4" w:space="0" w:color="auto"/>
              <w:bottom w:val="single" w:sz="12" w:space="0" w:color="auto"/>
            </w:tcBorders>
            <w:shd w:val="clear" w:color="auto" w:fill="auto"/>
            <w:vAlign w:val="bottom"/>
          </w:tcPr>
          <w:p w14:paraId="43EF587B" w14:textId="77777777" w:rsidR="007F1105" w:rsidRPr="00677906" w:rsidRDefault="007F1105" w:rsidP="007F1105">
            <w:pPr>
              <w:spacing w:line="276" w:lineRule="auto"/>
              <w:jc w:val="center"/>
              <w:rPr>
                <w:sz w:val="22"/>
                <w:szCs w:val="22"/>
              </w:rPr>
            </w:pPr>
            <w:r w:rsidRPr="00677906">
              <w:rPr>
                <w:sz w:val="22"/>
                <w:szCs w:val="22"/>
              </w:rPr>
              <w:t>193.2 (15.5)</w:t>
            </w:r>
          </w:p>
        </w:tc>
        <w:tc>
          <w:tcPr>
            <w:tcW w:w="1134" w:type="dxa"/>
            <w:tcBorders>
              <w:top w:val="single" w:sz="4" w:space="0" w:color="auto"/>
              <w:bottom w:val="single" w:sz="12" w:space="0" w:color="auto"/>
            </w:tcBorders>
            <w:shd w:val="clear" w:color="auto" w:fill="auto"/>
            <w:noWrap/>
            <w:vAlign w:val="bottom"/>
          </w:tcPr>
          <w:p w14:paraId="50222F4A" w14:textId="77777777" w:rsidR="007F1105" w:rsidRPr="00677906" w:rsidRDefault="007F1105" w:rsidP="007F1105">
            <w:pPr>
              <w:spacing w:line="276" w:lineRule="auto"/>
              <w:jc w:val="center"/>
              <w:rPr>
                <w:sz w:val="22"/>
                <w:szCs w:val="22"/>
              </w:rPr>
            </w:pPr>
            <w:r w:rsidRPr="00677906">
              <w:rPr>
                <w:sz w:val="22"/>
                <w:szCs w:val="22"/>
              </w:rPr>
              <w:t>214.1 (14.4)</w:t>
            </w:r>
          </w:p>
        </w:tc>
        <w:tc>
          <w:tcPr>
            <w:tcW w:w="992" w:type="dxa"/>
            <w:tcBorders>
              <w:top w:val="single" w:sz="4" w:space="0" w:color="auto"/>
              <w:bottom w:val="single" w:sz="12" w:space="0" w:color="auto"/>
            </w:tcBorders>
            <w:shd w:val="clear" w:color="auto" w:fill="auto"/>
            <w:vAlign w:val="bottom"/>
          </w:tcPr>
          <w:p w14:paraId="4A7D0419" w14:textId="77777777" w:rsidR="007F1105" w:rsidRPr="00677906" w:rsidRDefault="007F1105" w:rsidP="007F1105">
            <w:pPr>
              <w:spacing w:line="276" w:lineRule="auto"/>
              <w:jc w:val="center"/>
              <w:rPr>
                <w:sz w:val="22"/>
                <w:szCs w:val="22"/>
              </w:rPr>
            </w:pPr>
            <w:r w:rsidRPr="00677906">
              <w:rPr>
                <w:sz w:val="22"/>
                <w:szCs w:val="22"/>
              </w:rPr>
              <w:t>200.3 (21.3)</w:t>
            </w:r>
          </w:p>
        </w:tc>
      </w:tr>
    </w:tbl>
    <w:p w14:paraId="016969C7" w14:textId="77777777" w:rsidR="002E75E5" w:rsidRDefault="002E75E5" w:rsidP="007F1105"/>
    <w:p w14:paraId="094A8672" w14:textId="7B8D9ABA" w:rsidR="00161BD3" w:rsidRPr="00101E89" w:rsidRDefault="00A42059" w:rsidP="0033520D">
      <w:pPr>
        <w:pStyle w:val="Heading2"/>
        <w:ind w:firstLine="144"/>
      </w:pPr>
      <w:r w:rsidRPr="00101E89">
        <w:rPr>
          <w:b w:val="0"/>
        </w:rPr>
        <w:t>3.</w:t>
      </w:r>
      <w:r w:rsidR="0033520D">
        <w:rPr>
          <w:b w:val="0"/>
        </w:rPr>
        <w:t>4</w:t>
      </w:r>
      <w:r w:rsidRPr="00101E89">
        <w:rPr>
          <w:b w:val="0"/>
        </w:rPr>
        <w:t>. Vienna Risk-Taking Test</w:t>
      </w:r>
    </w:p>
    <w:p w14:paraId="721BF173" w14:textId="15FE18F3" w:rsidR="007E031D" w:rsidRDefault="00CE7FE6" w:rsidP="007E031D">
      <w:pPr>
        <w:ind w:left="144"/>
      </w:pPr>
      <w:r w:rsidRPr="00101E89">
        <w:t>A 2x2 ANOVA with the between-subject factors Delivery Mode (VR or 2D) and Film Content (positive v</w:t>
      </w:r>
      <w:r w:rsidR="00D57628">
        <w:t>er</w:t>
      </w:r>
      <w:r w:rsidRPr="00101E89">
        <w:t>s</w:t>
      </w:r>
      <w:r w:rsidR="00D57628">
        <w:t>us</w:t>
      </w:r>
      <w:r w:rsidRPr="00101E89">
        <w:t xml:space="preserve"> fear) </w:t>
      </w:r>
      <w:r w:rsidR="000B68E9" w:rsidRPr="00101E89">
        <w:t xml:space="preserve">and the dependent variable Mean Reaction Time </w:t>
      </w:r>
      <w:r w:rsidRPr="00101E89">
        <w:t xml:space="preserve">revealed a significant main effect of Film Content, </w:t>
      </w:r>
      <w:proofErr w:type="gramStart"/>
      <w:r w:rsidRPr="00101E89">
        <w:t>F(</w:t>
      </w:r>
      <w:proofErr w:type="gramEnd"/>
      <w:r w:rsidRPr="00101E89">
        <w:t xml:space="preserve">1, 134) = 3.958, </w:t>
      </w:r>
      <w:r w:rsidRPr="00D57628">
        <w:rPr>
          <w:i/>
          <w:iCs/>
        </w:rPr>
        <w:t>p</w:t>
      </w:r>
      <w:r w:rsidRPr="00101E89">
        <w:t xml:space="preserve">&lt;.05. </w:t>
      </w:r>
      <w:r w:rsidR="00C14794" w:rsidRPr="00101E89">
        <w:t xml:space="preserve">Participants in the fear conditions showed higher RTs, thus indicating more risky driving behaviours, than participants in the positive conditions (see Figure </w:t>
      </w:r>
      <w:r w:rsidR="0086741E" w:rsidRPr="00101E89">
        <w:t>2</w:t>
      </w:r>
      <w:r w:rsidR="00C14794" w:rsidRPr="00101E89">
        <w:t>). No differences were found between the VR and 2D delivery mode</w:t>
      </w:r>
      <w:r w:rsidR="00E415FE" w:rsidRPr="00101E89">
        <w:t xml:space="preserve"> (</w:t>
      </w:r>
      <w:r w:rsidR="00E415FE" w:rsidRPr="00D57628">
        <w:rPr>
          <w:i/>
          <w:iCs/>
        </w:rPr>
        <w:t>p</w:t>
      </w:r>
      <w:r w:rsidR="00E415FE" w:rsidRPr="00101E89">
        <w:t>= 0.9</w:t>
      </w:r>
      <w:r w:rsidR="007E031D">
        <w:t xml:space="preserve">; See table </w:t>
      </w:r>
      <w:r w:rsidR="000300CA">
        <w:t>IV</w:t>
      </w:r>
      <w:r w:rsidR="007E031D">
        <w:t>.</w:t>
      </w:r>
      <w:r w:rsidR="00E415FE" w:rsidRPr="00101E89">
        <w:t>)</w:t>
      </w:r>
      <w:r w:rsidR="00C14794" w:rsidRPr="00101E89">
        <w:t>.</w:t>
      </w:r>
      <w:r w:rsidR="00E415FE" w:rsidRPr="00101E89">
        <w:t xml:space="preserve"> </w:t>
      </w:r>
    </w:p>
    <w:p w14:paraId="1E8E79E3" w14:textId="65EC3481" w:rsidR="002E7B4C" w:rsidRDefault="002E7B4C" w:rsidP="002E7B4C">
      <w:r>
        <w:t xml:space="preserve">Table </w:t>
      </w:r>
      <w:r w:rsidR="000300CA">
        <w:t>IV</w:t>
      </w:r>
      <w:r>
        <w:t xml:space="preserve">. Mixed ANOVA table.  </w:t>
      </w:r>
    </w:p>
    <w:tbl>
      <w:tblPr>
        <w:tblpPr w:leftFromText="181" w:rightFromText="181" w:vertAnchor="text" w:horzAnchor="margin" w:tblpY="182"/>
        <w:tblW w:w="9498" w:type="dxa"/>
        <w:tblLayout w:type="fixed"/>
        <w:tblLook w:val="04A0" w:firstRow="1" w:lastRow="0" w:firstColumn="1" w:lastColumn="0" w:noHBand="0" w:noVBand="1"/>
      </w:tblPr>
      <w:tblGrid>
        <w:gridCol w:w="3686"/>
        <w:gridCol w:w="992"/>
        <w:gridCol w:w="1134"/>
        <w:gridCol w:w="1276"/>
        <w:gridCol w:w="1276"/>
        <w:gridCol w:w="1134"/>
      </w:tblGrid>
      <w:tr w:rsidR="000C7778" w:rsidRPr="007E031D" w14:paraId="67221E90" w14:textId="77777777" w:rsidTr="002E7B4C">
        <w:trPr>
          <w:trHeight w:val="426"/>
        </w:trPr>
        <w:tc>
          <w:tcPr>
            <w:tcW w:w="3686" w:type="dxa"/>
            <w:tcBorders>
              <w:top w:val="single" w:sz="12" w:space="0" w:color="auto"/>
              <w:bottom w:val="single" w:sz="4" w:space="0" w:color="auto"/>
            </w:tcBorders>
            <w:shd w:val="clear" w:color="auto" w:fill="auto"/>
            <w:noWrap/>
            <w:vAlign w:val="bottom"/>
            <w:hideMark/>
          </w:tcPr>
          <w:p w14:paraId="1D312D35" w14:textId="77777777" w:rsidR="000C7778" w:rsidRPr="007E031D" w:rsidRDefault="000C7778" w:rsidP="000C7778">
            <w:pPr>
              <w:spacing w:line="360" w:lineRule="auto"/>
            </w:pPr>
            <w:r w:rsidRPr="007E031D">
              <w:t>Response Vienna Risk-Taking Test</w:t>
            </w:r>
          </w:p>
        </w:tc>
        <w:tc>
          <w:tcPr>
            <w:tcW w:w="992" w:type="dxa"/>
            <w:tcBorders>
              <w:top w:val="single" w:sz="12" w:space="0" w:color="auto"/>
              <w:bottom w:val="single" w:sz="4" w:space="0" w:color="auto"/>
            </w:tcBorders>
            <w:shd w:val="clear" w:color="auto" w:fill="auto"/>
            <w:noWrap/>
            <w:vAlign w:val="bottom"/>
            <w:hideMark/>
          </w:tcPr>
          <w:p w14:paraId="029FF950" w14:textId="77777777" w:rsidR="000C7778" w:rsidRPr="007E031D" w:rsidRDefault="000C7778" w:rsidP="000C7778">
            <w:pPr>
              <w:spacing w:line="360" w:lineRule="auto"/>
              <w:jc w:val="center"/>
              <w:rPr>
                <w:b/>
                <w:bCs/>
              </w:rPr>
            </w:pPr>
            <w:r w:rsidRPr="007E031D">
              <w:rPr>
                <w:b/>
                <w:bCs/>
              </w:rPr>
              <w:t>Df</w:t>
            </w:r>
          </w:p>
        </w:tc>
        <w:tc>
          <w:tcPr>
            <w:tcW w:w="1134" w:type="dxa"/>
            <w:tcBorders>
              <w:top w:val="single" w:sz="12" w:space="0" w:color="auto"/>
              <w:bottom w:val="single" w:sz="4" w:space="0" w:color="auto"/>
            </w:tcBorders>
            <w:shd w:val="clear" w:color="auto" w:fill="auto"/>
            <w:noWrap/>
            <w:vAlign w:val="bottom"/>
            <w:hideMark/>
          </w:tcPr>
          <w:p w14:paraId="4E2C283C" w14:textId="77777777" w:rsidR="000C7778" w:rsidRPr="007E031D" w:rsidRDefault="000C7778" w:rsidP="000C7778">
            <w:pPr>
              <w:spacing w:line="360" w:lineRule="auto"/>
              <w:jc w:val="center"/>
              <w:rPr>
                <w:b/>
                <w:bCs/>
              </w:rPr>
            </w:pPr>
            <w:r w:rsidRPr="007E031D">
              <w:rPr>
                <w:b/>
                <w:bCs/>
              </w:rPr>
              <w:t>Sum SQ</w:t>
            </w:r>
          </w:p>
        </w:tc>
        <w:tc>
          <w:tcPr>
            <w:tcW w:w="1276" w:type="dxa"/>
            <w:tcBorders>
              <w:top w:val="single" w:sz="12" w:space="0" w:color="auto"/>
              <w:bottom w:val="single" w:sz="4" w:space="0" w:color="auto"/>
            </w:tcBorders>
            <w:shd w:val="clear" w:color="auto" w:fill="auto"/>
            <w:noWrap/>
            <w:vAlign w:val="bottom"/>
            <w:hideMark/>
          </w:tcPr>
          <w:p w14:paraId="0F106C28" w14:textId="77777777" w:rsidR="000C7778" w:rsidRPr="007E031D" w:rsidRDefault="000C7778" w:rsidP="000C7778">
            <w:pPr>
              <w:spacing w:line="360" w:lineRule="auto"/>
              <w:jc w:val="center"/>
              <w:rPr>
                <w:b/>
                <w:bCs/>
              </w:rPr>
            </w:pPr>
            <w:r w:rsidRPr="007E031D">
              <w:rPr>
                <w:b/>
                <w:bCs/>
              </w:rPr>
              <w:t>Mean SQ</w:t>
            </w:r>
          </w:p>
        </w:tc>
        <w:tc>
          <w:tcPr>
            <w:tcW w:w="1276" w:type="dxa"/>
            <w:tcBorders>
              <w:top w:val="single" w:sz="12" w:space="0" w:color="auto"/>
              <w:bottom w:val="single" w:sz="4" w:space="0" w:color="auto"/>
            </w:tcBorders>
            <w:shd w:val="clear" w:color="auto" w:fill="auto"/>
            <w:noWrap/>
            <w:vAlign w:val="bottom"/>
            <w:hideMark/>
          </w:tcPr>
          <w:p w14:paraId="0411E34C" w14:textId="77777777" w:rsidR="000C7778" w:rsidRPr="007E031D" w:rsidRDefault="000C7778" w:rsidP="000C7778">
            <w:pPr>
              <w:spacing w:line="360" w:lineRule="auto"/>
              <w:jc w:val="center"/>
              <w:rPr>
                <w:b/>
                <w:bCs/>
              </w:rPr>
            </w:pPr>
          </w:p>
          <w:p w14:paraId="3D4986E4" w14:textId="77777777" w:rsidR="000C7778" w:rsidRPr="007E031D" w:rsidRDefault="000C7778" w:rsidP="000C7778">
            <w:pPr>
              <w:spacing w:line="360" w:lineRule="auto"/>
              <w:jc w:val="center"/>
              <w:rPr>
                <w:b/>
                <w:bCs/>
              </w:rPr>
            </w:pPr>
            <w:r w:rsidRPr="007E031D">
              <w:rPr>
                <w:b/>
                <w:bCs/>
              </w:rPr>
              <w:t>F Value</w:t>
            </w:r>
          </w:p>
        </w:tc>
        <w:tc>
          <w:tcPr>
            <w:tcW w:w="1134" w:type="dxa"/>
            <w:tcBorders>
              <w:top w:val="single" w:sz="12" w:space="0" w:color="auto"/>
              <w:bottom w:val="single" w:sz="4" w:space="0" w:color="auto"/>
            </w:tcBorders>
          </w:tcPr>
          <w:p w14:paraId="48C8C014" w14:textId="77777777" w:rsidR="000C7778" w:rsidRPr="007E031D" w:rsidRDefault="000C7778" w:rsidP="000C7778">
            <w:pPr>
              <w:spacing w:line="360" w:lineRule="auto"/>
              <w:jc w:val="center"/>
              <w:rPr>
                <w:b/>
                <w:bCs/>
              </w:rPr>
            </w:pPr>
          </w:p>
          <w:p w14:paraId="587DA4A4" w14:textId="77777777" w:rsidR="000C7778" w:rsidRPr="007E031D" w:rsidRDefault="000C7778" w:rsidP="000C7778">
            <w:pPr>
              <w:spacing w:line="360" w:lineRule="auto"/>
              <w:jc w:val="center"/>
              <w:rPr>
                <w:b/>
                <w:bCs/>
              </w:rPr>
            </w:pPr>
            <w:r w:rsidRPr="007E031D">
              <w:rPr>
                <w:b/>
                <w:bCs/>
              </w:rPr>
              <w:t>PR(&gt;F)</w:t>
            </w:r>
          </w:p>
        </w:tc>
      </w:tr>
      <w:tr w:rsidR="000C7778" w:rsidRPr="007E031D" w14:paraId="357EF338" w14:textId="77777777" w:rsidTr="00863762">
        <w:trPr>
          <w:trHeight w:val="72"/>
        </w:trPr>
        <w:tc>
          <w:tcPr>
            <w:tcW w:w="3686" w:type="dxa"/>
            <w:tcBorders>
              <w:top w:val="single" w:sz="4" w:space="0" w:color="auto"/>
            </w:tcBorders>
            <w:shd w:val="clear" w:color="auto" w:fill="auto"/>
            <w:noWrap/>
            <w:vAlign w:val="bottom"/>
            <w:hideMark/>
          </w:tcPr>
          <w:p w14:paraId="22FB653D" w14:textId="77777777" w:rsidR="000C7778" w:rsidRPr="007E031D" w:rsidRDefault="000C7778" w:rsidP="000C7778">
            <w:pPr>
              <w:spacing w:line="276" w:lineRule="auto"/>
            </w:pPr>
            <w:r w:rsidRPr="007E031D">
              <w:t>Film Content</w:t>
            </w:r>
          </w:p>
        </w:tc>
        <w:tc>
          <w:tcPr>
            <w:tcW w:w="992" w:type="dxa"/>
            <w:tcBorders>
              <w:top w:val="single" w:sz="4" w:space="0" w:color="auto"/>
            </w:tcBorders>
            <w:shd w:val="clear" w:color="auto" w:fill="auto"/>
            <w:noWrap/>
            <w:vAlign w:val="bottom"/>
          </w:tcPr>
          <w:p w14:paraId="2167905B" w14:textId="77777777" w:rsidR="000C7778" w:rsidRPr="007E031D" w:rsidRDefault="000C7778" w:rsidP="000C7778">
            <w:pPr>
              <w:spacing w:line="276" w:lineRule="auto"/>
              <w:jc w:val="center"/>
            </w:pPr>
            <w:r w:rsidRPr="007E031D">
              <w:t>1</w:t>
            </w:r>
          </w:p>
        </w:tc>
        <w:tc>
          <w:tcPr>
            <w:tcW w:w="1134" w:type="dxa"/>
            <w:tcBorders>
              <w:top w:val="single" w:sz="4" w:space="0" w:color="auto"/>
            </w:tcBorders>
            <w:shd w:val="clear" w:color="auto" w:fill="auto"/>
            <w:noWrap/>
            <w:vAlign w:val="bottom"/>
            <w:hideMark/>
          </w:tcPr>
          <w:p w14:paraId="1D19B992" w14:textId="6A869939" w:rsidR="000C7778" w:rsidRPr="007E031D" w:rsidRDefault="000C7778" w:rsidP="000C7778">
            <w:pPr>
              <w:spacing w:line="276" w:lineRule="auto"/>
              <w:jc w:val="center"/>
            </w:pPr>
            <w:r w:rsidRPr="007E031D">
              <w:t>14.21</w:t>
            </w:r>
          </w:p>
        </w:tc>
        <w:tc>
          <w:tcPr>
            <w:tcW w:w="1276" w:type="dxa"/>
            <w:tcBorders>
              <w:top w:val="single" w:sz="4" w:space="0" w:color="auto"/>
            </w:tcBorders>
            <w:shd w:val="clear" w:color="auto" w:fill="auto"/>
            <w:noWrap/>
            <w:vAlign w:val="bottom"/>
            <w:hideMark/>
          </w:tcPr>
          <w:p w14:paraId="7EF0C697" w14:textId="340820B8" w:rsidR="000C7778" w:rsidRPr="007E031D" w:rsidRDefault="000C7778" w:rsidP="000C7778">
            <w:pPr>
              <w:spacing w:line="276" w:lineRule="auto"/>
              <w:jc w:val="center"/>
            </w:pPr>
            <w:r w:rsidRPr="007E031D">
              <w:t>14.2128</w:t>
            </w:r>
          </w:p>
        </w:tc>
        <w:tc>
          <w:tcPr>
            <w:tcW w:w="1276" w:type="dxa"/>
            <w:tcBorders>
              <w:top w:val="single" w:sz="4" w:space="0" w:color="auto"/>
            </w:tcBorders>
            <w:shd w:val="clear" w:color="auto" w:fill="auto"/>
            <w:noWrap/>
            <w:vAlign w:val="bottom"/>
            <w:hideMark/>
          </w:tcPr>
          <w:p w14:paraId="75FF83AA" w14:textId="1818CD79" w:rsidR="000C7778" w:rsidRPr="007E031D" w:rsidRDefault="000C7778" w:rsidP="000C7778">
            <w:pPr>
              <w:spacing w:line="276" w:lineRule="auto"/>
              <w:jc w:val="center"/>
            </w:pPr>
            <w:r w:rsidRPr="007E031D">
              <w:t>3.9584</w:t>
            </w:r>
          </w:p>
        </w:tc>
        <w:tc>
          <w:tcPr>
            <w:tcW w:w="1134" w:type="dxa"/>
            <w:tcBorders>
              <w:top w:val="single" w:sz="4" w:space="0" w:color="auto"/>
            </w:tcBorders>
          </w:tcPr>
          <w:p w14:paraId="666B17DA" w14:textId="33300471" w:rsidR="000C7778" w:rsidRPr="007E031D" w:rsidRDefault="000C7778" w:rsidP="000C7778">
            <w:pPr>
              <w:spacing w:line="276" w:lineRule="auto"/>
              <w:jc w:val="center"/>
            </w:pPr>
            <w:r w:rsidRPr="007E031D">
              <w:t>0.04876*</w:t>
            </w:r>
          </w:p>
        </w:tc>
      </w:tr>
      <w:tr w:rsidR="000C7778" w:rsidRPr="007E031D" w14:paraId="69A84175" w14:textId="77777777" w:rsidTr="00863762">
        <w:trPr>
          <w:trHeight w:val="284"/>
        </w:trPr>
        <w:tc>
          <w:tcPr>
            <w:tcW w:w="3686" w:type="dxa"/>
            <w:shd w:val="clear" w:color="auto" w:fill="auto"/>
            <w:noWrap/>
            <w:vAlign w:val="bottom"/>
          </w:tcPr>
          <w:p w14:paraId="624569D5" w14:textId="77777777" w:rsidR="000C7778" w:rsidRPr="007E031D" w:rsidRDefault="000C7778" w:rsidP="000C7778">
            <w:pPr>
              <w:spacing w:line="276" w:lineRule="auto"/>
            </w:pPr>
            <w:r w:rsidRPr="007E031D">
              <w:rPr>
                <w:rFonts w:eastAsia="Arial"/>
              </w:rPr>
              <w:t xml:space="preserve">Delivery Mode </w:t>
            </w:r>
          </w:p>
        </w:tc>
        <w:tc>
          <w:tcPr>
            <w:tcW w:w="992" w:type="dxa"/>
            <w:shd w:val="clear" w:color="auto" w:fill="auto"/>
            <w:noWrap/>
            <w:vAlign w:val="bottom"/>
          </w:tcPr>
          <w:p w14:paraId="1BF9FCF4" w14:textId="77777777" w:rsidR="000C7778" w:rsidRPr="007E031D" w:rsidRDefault="000C7778" w:rsidP="000C7778">
            <w:pPr>
              <w:spacing w:line="276" w:lineRule="auto"/>
              <w:jc w:val="center"/>
            </w:pPr>
            <w:r w:rsidRPr="007E031D">
              <w:t>1</w:t>
            </w:r>
          </w:p>
        </w:tc>
        <w:tc>
          <w:tcPr>
            <w:tcW w:w="1134" w:type="dxa"/>
            <w:shd w:val="clear" w:color="auto" w:fill="auto"/>
            <w:noWrap/>
            <w:vAlign w:val="bottom"/>
          </w:tcPr>
          <w:p w14:paraId="6069D7AF" w14:textId="44D2D5F9" w:rsidR="000C7778" w:rsidRPr="007E031D" w:rsidRDefault="000C7778" w:rsidP="000C7778">
            <w:pPr>
              <w:spacing w:line="276" w:lineRule="auto"/>
              <w:jc w:val="center"/>
            </w:pPr>
            <w:r w:rsidRPr="007E031D">
              <w:t>3.42</w:t>
            </w:r>
          </w:p>
        </w:tc>
        <w:tc>
          <w:tcPr>
            <w:tcW w:w="1276" w:type="dxa"/>
            <w:shd w:val="clear" w:color="auto" w:fill="auto"/>
            <w:noWrap/>
            <w:vAlign w:val="bottom"/>
          </w:tcPr>
          <w:p w14:paraId="57843382" w14:textId="3233C57D" w:rsidR="000C7778" w:rsidRPr="007E031D" w:rsidRDefault="000C7778" w:rsidP="000C7778">
            <w:pPr>
              <w:spacing w:line="276" w:lineRule="auto"/>
              <w:jc w:val="center"/>
            </w:pPr>
            <w:r w:rsidRPr="007E031D">
              <w:t>3.4152</w:t>
            </w:r>
          </w:p>
        </w:tc>
        <w:tc>
          <w:tcPr>
            <w:tcW w:w="1276" w:type="dxa"/>
            <w:shd w:val="clear" w:color="auto" w:fill="auto"/>
            <w:noWrap/>
            <w:vAlign w:val="bottom"/>
          </w:tcPr>
          <w:p w14:paraId="05B8E164" w14:textId="7F026C2C" w:rsidR="000C7778" w:rsidRPr="007E031D" w:rsidRDefault="000C7778" w:rsidP="000C7778">
            <w:pPr>
              <w:spacing w:line="276" w:lineRule="auto"/>
              <w:jc w:val="center"/>
            </w:pPr>
            <w:r w:rsidRPr="007E031D">
              <w:t>0.9500</w:t>
            </w:r>
          </w:p>
        </w:tc>
        <w:tc>
          <w:tcPr>
            <w:tcW w:w="1134" w:type="dxa"/>
          </w:tcPr>
          <w:p w14:paraId="20AB60AB" w14:textId="644182A1" w:rsidR="000C7778" w:rsidRPr="007E031D" w:rsidRDefault="000C7778" w:rsidP="000C7778">
            <w:pPr>
              <w:spacing w:line="276" w:lineRule="auto"/>
              <w:jc w:val="center"/>
            </w:pPr>
            <w:r w:rsidRPr="007E031D">
              <w:t>0.93143</w:t>
            </w:r>
          </w:p>
        </w:tc>
      </w:tr>
      <w:tr w:rsidR="000C7778" w:rsidRPr="007E031D" w14:paraId="05C12558" w14:textId="77777777" w:rsidTr="00863762">
        <w:trPr>
          <w:trHeight w:val="164"/>
        </w:trPr>
        <w:tc>
          <w:tcPr>
            <w:tcW w:w="3686" w:type="dxa"/>
            <w:shd w:val="clear" w:color="auto" w:fill="auto"/>
            <w:noWrap/>
            <w:vAlign w:val="bottom"/>
            <w:hideMark/>
          </w:tcPr>
          <w:p w14:paraId="76E40E53" w14:textId="77777777" w:rsidR="000C7778" w:rsidRPr="007E031D" w:rsidRDefault="000C7778" w:rsidP="000C7778">
            <w:pPr>
              <w:spacing w:line="276" w:lineRule="auto"/>
            </w:pPr>
            <w:r w:rsidRPr="007E031D">
              <w:t>Film Content: Delivery Mode</w:t>
            </w:r>
          </w:p>
        </w:tc>
        <w:tc>
          <w:tcPr>
            <w:tcW w:w="992" w:type="dxa"/>
            <w:shd w:val="clear" w:color="auto" w:fill="auto"/>
            <w:noWrap/>
            <w:vAlign w:val="bottom"/>
            <w:hideMark/>
          </w:tcPr>
          <w:p w14:paraId="26068AC7" w14:textId="77777777" w:rsidR="000C7778" w:rsidRPr="007E031D" w:rsidRDefault="000C7778" w:rsidP="000C7778">
            <w:pPr>
              <w:spacing w:line="276" w:lineRule="auto"/>
              <w:jc w:val="center"/>
            </w:pPr>
            <w:r w:rsidRPr="007E031D">
              <w:t>1</w:t>
            </w:r>
          </w:p>
        </w:tc>
        <w:tc>
          <w:tcPr>
            <w:tcW w:w="1134" w:type="dxa"/>
            <w:shd w:val="clear" w:color="auto" w:fill="auto"/>
            <w:noWrap/>
            <w:vAlign w:val="bottom"/>
            <w:hideMark/>
          </w:tcPr>
          <w:p w14:paraId="6406BB40" w14:textId="0BED4960" w:rsidR="000C7778" w:rsidRPr="007E031D" w:rsidRDefault="000C7778" w:rsidP="000C7778">
            <w:pPr>
              <w:spacing w:line="276" w:lineRule="auto"/>
              <w:jc w:val="center"/>
            </w:pPr>
            <w:r w:rsidRPr="007E031D">
              <w:t>0.07</w:t>
            </w:r>
          </w:p>
        </w:tc>
        <w:tc>
          <w:tcPr>
            <w:tcW w:w="1276" w:type="dxa"/>
            <w:shd w:val="clear" w:color="auto" w:fill="auto"/>
            <w:noWrap/>
            <w:vAlign w:val="bottom"/>
            <w:hideMark/>
          </w:tcPr>
          <w:p w14:paraId="714A609C" w14:textId="6DBBEA5E" w:rsidR="000C7778" w:rsidRPr="007E031D" w:rsidRDefault="000C7778" w:rsidP="000C7778">
            <w:pPr>
              <w:spacing w:line="276" w:lineRule="auto"/>
              <w:jc w:val="center"/>
            </w:pPr>
            <w:r w:rsidRPr="007E031D">
              <w:t>0.0678</w:t>
            </w:r>
          </w:p>
        </w:tc>
        <w:tc>
          <w:tcPr>
            <w:tcW w:w="1276" w:type="dxa"/>
            <w:shd w:val="clear" w:color="auto" w:fill="auto"/>
            <w:noWrap/>
            <w:vAlign w:val="bottom"/>
            <w:hideMark/>
          </w:tcPr>
          <w:p w14:paraId="4D69431F" w14:textId="2D627F45" w:rsidR="000C7778" w:rsidRPr="007E031D" w:rsidRDefault="000C7778" w:rsidP="000C7778">
            <w:pPr>
              <w:spacing w:line="276" w:lineRule="auto"/>
              <w:jc w:val="center"/>
            </w:pPr>
            <w:r w:rsidRPr="007E031D">
              <w:t>0.0189</w:t>
            </w:r>
          </w:p>
        </w:tc>
        <w:tc>
          <w:tcPr>
            <w:tcW w:w="1134" w:type="dxa"/>
          </w:tcPr>
          <w:p w14:paraId="5A40DF3E" w14:textId="660EDBE6" w:rsidR="000C7778" w:rsidRPr="007E031D" w:rsidRDefault="000C7778" w:rsidP="000C7778">
            <w:pPr>
              <w:spacing w:line="276" w:lineRule="auto"/>
              <w:jc w:val="center"/>
            </w:pPr>
            <w:r w:rsidRPr="007E031D">
              <w:t>0.79098</w:t>
            </w:r>
          </w:p>
        </w:tc>
      </w:tr>
      <w:tr w:rsidR="007E031D" w:rsidRPr="007E031D" w14:paraId="5537DA8B" w14:textId="77777777" w:rsidTr="002E7B4C">
        <w:trPr>
          <w:trHeight w:val="164"/>
        </w:trPr>
        <w:tc>
          <w:tcPr>
            <w:tcW w:w="3686" w:type="dxa"/>
            <w:tcBorders>
              <w:bottom w:val="single" w:sz="12" w:space="0" w:color="auto"/>
            </w:tcBorders>
            <w:shd w:val="clear" w:color="auto" w:fill="auto"/>
            <w:noWrap/>
            <w:vAlign w:val="bottom"/>
          </w:tcPr>
          <w:p w14:paraId="5DC24FF3" w14:textId="77777777" w:rsidR="000C7778" w:rsidRPr="007E031D" w:rsidRDefault="000C7778" w:rsidP="000C7778">
            <w:pPr>
              <w:spacing w:line="276" w:lineRule="auto"/>
            </w:pPr>
            <w:r w:rsidRPr="007E031D">
              <w:t>Residuals</w:t>
            </w:r>
          </w:p>
        </w:tc>
        <w:tc>
          <w:tcPr>
            <w:tcW w:w="992" w:type="dxa"/>
            <w:tcBorders>
              <w:bottom w:val="single" w:sz="12" w:space="0" w:color="auto"/>
            </w:tcBorders>
            <w:shd w:val="clear" w:color="auto" w:fill="auto"/>
            <w:noWrap/>
            <w:vAlign w:val="bottom"/>
          </w:tcPr>
          <w:p w14:paraId="0281F2D9" w14:textId="77777777" w:rsidR="000C7778" w:rsidRPr="007E031D" w:rsidRDefault="000C7778" w:rsidP="000C7778">
            <w:pPr>
              <w:spacing w:line="276" w:lineRule="auto"/>
              <w:jc w:val="center"/>
            </w:pPr>
            <w:r w:rsidRPr="007E031D">
              <w:t>138</w:t>
            </w:r>
          </w:p>
        </w:tc>
        <w:tc>
          <w:tcPr>
            <w:tcW w:w="1134" w:type="dxa"/>
            <w:tcBorders>
              <w:bottom w:val="single" w:sz="12" w:space="0" w:color="auto"/>
            </w:tcBorders>
            <w:shd w:val="clear" w:color="auto" w:fill="auto"/>
            <w:noWrap/>
            <w:vAlign w:val="bottom"/>
          </w:tcPr>
          <w:p w14:paraId="4E4E32F1" w14:textId="133025B8" w:rsidR="000C7778" w:rsidRPr="007E031D" w:rsidRDefault="000C7778" w:rsidP="000C7778">
            <w:pPr>
              <w:spacing w:line="276" w:lineRule="auto"/>
              <w:jc w:val="center"/>
            </w:pPr>
            <w:r w:rsidRPr="007E031D">
              <w:t>496.12</w:t>
            </w:r>
          </w:p>
        </w:tc>
        <w:tc>
          <w:tcPr>
            <w:tcW w:w="1276" w:type="dxa"/>
            <w:tcBorders>
              <w:bottom w:val="single" w:sz="12" w:space="0" w:color="auto"/>
            </w:tcBorders>
            <w:shd w:val="clear" w:color="auto" w:fill="auto"/>
            <w:noWrap/>
            <w:vAlign w:val="bottom"/>
          </w:tcPr>
          <w:p w14:paraId="290525AA" w14:textId="188412D1" w:rsidR="000C7778" w:rsidRPr="007E031D" w:rsidRDefault="000C7778" w:rsidP="000C7778">
            <w:pPr>
              <w:spacing w:line="276" w:lineRule="auto"/>
              <w:jc w:val="center"/>
            </w:pPr>
            <w:r w:rsidRPr="007E031D">
              <w:t>3.5951</w:t>
            </w:r>
          </w:p>
        </w:tc>
        <w:tc>
          <w:tcPr>
            <w:tcW w:w="1276" w:type="dxa"/>
            <w:tcBorders>
              <w:bottom w:val="single" w:sz="12" w:space="0" w:color="auto"/>
            </w:tcBorders>
            <w:shd w:val="clear" w:color="auto" w:fill="auto"/>
            <w:noWrap/>
            <w:vAlign w:val="bottom"/>
          </w:tcPr>
          <w:p w14:paraId="4582BAA2" w14:textId="77777777" w:rsidR="000C7778" w:rsidRPr="007E031D" w:rsidRDefault="000C7778" w:rsidP="000C7778">
            <w:pPr>
              <w:spacing w:line="276" w:lineRule="auto"/>
              <w:jc w:val="center"/>
            </w:pPr>
          </w:p>
        </w:tc>
        <w:tc>
          <w:tcPr>
            <w:tcW w:w="1134" w:type="dxa"/>
            <w:tcBorders>
              <w:bottom w:val="single" w:sz="12" w:space="0" w:color="auto"/>
            </w:tcBorders>
          </w:tcPr>
          <w:p w14:paraId="433EA474" w14:textId="77777777" w:rsidR="000C7778" w:rsidRPr="007E031D" w:rsidRDefault="000C7778" w:rsidP="000C7778">
            <w:pPr>
              <w:spacing w:line="276" w:lineRule="auto"/>
              <w:jc w:val="center"/>
            </w:pPr>
          </w:p>
        </w:tc>
      </w:tr>
    </w:tbl>
    <w:p w14:paraId="5EDF9609" w14:textId="5E49A4FE" w:rsidR="00863762" w:rsidRDefault="00863762" w:rsidP="00863762">
      <w:pPr>
        <w:spacing w:line="240" w:lineRule="auto"/>
        <w:rPr>
          <w:sz w:val="22"/>
          <w:szCs w:val="22"/>
          <w:lang w:val="it-IT"/>
        </w:rPr>
      </w:pPr>
      <w:r w:rsidRPr="005F0772">
        <w:rPr>
          <w:rFonts w:ascii="Cambria Math" w:hAnsi="Cambria Math" w:cs="Cambria Math"/>
          <w:sz w:val="22"/>
          <w:szCs w:val="22"/>
          <w:lang w:val="en-US"/>
        </w:rPr>
        <w:t>**</w:t>
      </w:r>
      <w:r>
        <w:rPr>
          <w:sz w:val="22"/>
          <w:szCs w:val="22"/>
          <w:lang w:val="it-IT"/>
        </w:rPr>
        <w:t xml:space="preserve"> p &lt;.05</w:t>
      </w:r>
    </w:p>
    <w:p w14:paraId="4A4B91AB" w14:textId="77777777" w:rsidR="00863762" w:rsidRPr="00863762" w:rsidRDefault="00863762" w:rsidP="00863762">
      <w:pPr>
        <w:spacing w:line="240" w:lineRule="auto"/>
        <w:rPr>
          <w:sz w:val="22"/>
          <w:szCs w:val="22"/>
          <w:lang w:val="it-IT"/>
        </w:rPr>
      </w:pPr>
    </w:p>
    <w:p w14:paraId="747552D3" w14:textId="5EE4769A" w:rsidR="00E226DC" w:rsidRDefault="00E226DC" w:rsidP="000C7778">
      <w:pPr>
        <w:rPr>
          <w:rFonts w:asciiTheme="majorBidi" w:hAnsiTheme="majorBidi" w:cstheme="majorBidi"/>
        </w:rPr>
      </w:pPr>
      <w:r>
        <w:t xml:space="preserve">Finally, a </w:t>
      </w:r>
      <w:r>
        <w:rPr>
          <w:rFonts w:asciiTheme="majorBidi" w:hAnsiTheme="majorBidi" w:cstheme="majorBidi"/>
        </w:rPr>
        <w:t>Pearson c</w:t>
      </w:r>
      <w:r w:rsidRPr="005004E1">
        <w:rPr>
          <w:rFonts w:asciiTheme="majorBidi" w:hAnsiTheme="majorBidi" w:cstheme="majorBidi"/>
        </w:rPr>
        <w:t>orrelation w</w:t>
      </w:r>
      <w:r>
        <w:rPr>
          <w:rFonts w:asciiTheme="majorBidi" w:hAnsiTheme="majorBidi" w:cstheme="majorBidi"/>
        </w:rPr>
        <w:t xml:space="preserve">as </w:t>
      </w:r>
      <w:r w:rsidRPr="005004E1">
        <w:rPr>
          <w:rFonts w:asciiTheme="majorBidi" w:hAnsiTheme="majorBidi" w:cstheme="majorBidi"/>
        </w:rPr>
        <w:t xml:space="preserve">computed to explore the interrelations </w:t>
      </w:r>
      <w:r>
        <w:rPr>
          <w:rFonts w:asciiTheme="majorBidi" w:hAnsiTheme="majorBidi" w:cstheme="majorBidi"/>
        </w:rPr>
        <w:t>between</w:t>
      </w:r>
      <w:r w:rsidRPr="005004E1">
        <w:rPr>
          <w:rFonts w:asciiTheme="majorBidi" w:hAnsiTheme="majorBidi" w:cstheme="majorBidi"/>
        </w:rPr>
        <w:t xml:space="preserve"> </w:t>
      </w:r>
      <w:r>
        <w:rPr>
          <w:rFonts w:asciiTheme="majorBidi" w:hAnsiTheme="majorBidi" w:cstheme="majorBidi"/>
        </w:rPr>
        <w:t xml:space="preserve">the implicit (i.e. Vienna Risk-Taking </w:t>
      </w:r>
      <w:r w:rsidR="00412839">
        <w:rPr>
          <w:rFonts w:asciiTheme="majorBidi" w:hAnsiTheme="majorBidi" w:cstheme="majorBidi"/>
        </w:rPr>
        <w:t>T</w:t>
      </w:r>
      <w:r>
        <w:rPr>
          <w:rFonts w:asciiTheme="majorBidi" w:hAnsiTheme="majorBidi" w:cstheme="majorBidi"/>
        </w:rPr>
        <w:t>est) and the explicit (DBQ mean scores) measures of risky driving</w:t>
      </w:r>
      <w:r w:rsidR="001254E3">
        <w:rPr>
          <w:rFonts w:asciiTheme="majorBidi" w:hAnsiTheme="majorBidi" w:cstheme="majorBidi"/>
        </w:rPr>
        <w:t xml:space="preserve">, </w:t>
      </w:r>
      <w:r>
        <w:rPr>
          <w:rFonts w:asciiTheme="majorBidi" w:hAnsiTheme="majorBidi" w:cstheme="majorBidi"/>
        </w:rPr>
        <w:t>taking into account Delivery Mode (VR and 2D) and Film Content (</w:t>
      </w:r>
      <w:r w:rsidRPr="00101E89">
        <w:t>positive v</w:t>
      </w:r>
      <w:r>
        <w:t>er</w:t>
      </w:r>
      <w:r w:rsidRPr="00101E89">
        <w:t>s</w:t>
      </w:r>
      <w:r>
        <w:t>us</w:t>
      </w:r>
      <w:r w:rsidRPr="00101E89">
        <w:t xml:space="preserve"> fear</w:t>
      </w:r>
      <w:r>
        <w:rPr>
          <w:rFonts w:asciiTheme="majorBidi" w:hAnsiTheme="majorBidi" w:cstheme="majorBidi"/>
        </w:rPr>
        <w:t xml:space="preserve">). </w:t>
      </w:r>
      <w:r w:rsidR="00412839">
        <w:rPr>
          <w:rFonts w:asciiTheme="majorBidi" w:hAnsiTheme="majorBidi" w:cstheme="majorBidi"/>
        </w:rPr>
        <w:t xml:space="preserve">Because the Vienna Risk-Taking Test was only administered at follow-up, scores on this test were correlated with the </w:t>
      </w:r>
      <w:r w:rsidR="00412839">
        <w:rPr>
          <w:rFonts w:asciiTheme="majorBidi" w:hAnsiTheme="majorBidi" w:cstheme="majorBidi"/>
        </w:rPr>
        <w:lastRenderedPageBreak/>
        <w:t xml:space="preserve">DBQ assessment at follow-up. </w:t>
      </w:r>
      <w:r>
        <w:rPr>
          <w:rFonts w:asciiTheme="majorBidi" w:hAnsiTheme="majorBidi" w:cstheme="majorBidi"/>
        </w:rPr>
        <w:t>The</w:t>
      </w:r>
      <w:r w:rsidR="001254E3">
        <w:rPr>
          <w:rFonts w:asciiTheme="majorBidi" w:hAnsiTheme="majorBidi" w:cstheme="majorBidi"/>
        </w:rPr>
        <w:t xml:space="preserve"> Pearson correlation did not </w:t>
      </w:r>
      <w:r>
        <w:rPr>
          <w:rFonts w:asciiTheme="majorBidi" w:hAnsiTheme="majorBidi" w:cstheme="majorBidi"/>
        </w:rPr>
        <w:t xml:space="preserve">revealed </w:t>
      </w:r>
      <w:r w:rsidR="001254E3">
        <w:rPr>
          <w:rFonts w:asciiTheme="majorBidi" w:hAnsiTheme="majorBidi" w:cstheme="majorBidi"/>
        </w:rPr>
        <w:t xml:space="preserve">any relationship between the </w:t>
      </w:r>
      <w:r w:rsidR="00412839">
        <w:rPr>
          <w:rFonts w:asciiTheme="majorBidi" w:hAnsiTheme="majorBidi" w:cstheme="majorBidi"/>
        </w:rPr>
        <w:t xml:space="preserve">two </w:t>
      </w:r>
      <w:r w:rsidR="001254E3">
        <w:rPr>
          <w:rFonts w:asciiTheme="majorBidi" w:hAnsiTheme="majorBidi" w:cstheme="majorBidi"/>
        </w:rPr>
        <w:t xml:space="preserve">measures of risky driving behaviours </w:t>
      </w:r>
      <w:r>
        <w:rPr>
          <w:rFonts w:asciiTheme="majorBidi" w:hAnsiTheme="majorBidi" w:cstheme="majorBidi"/>
        </w:rPr>
        <w:t>(</w:t>
      </w:r>
      <w:proofErr w:type="gramStart"/>
      <w:r>
        <w:rPr>
          <w:rFonts w:asciiTheme="majorBidi" w:hAnsiTheme="majorBidi" w:cstheme="majorBidi"/>
        </w:rPr>
        <w:t>r(</w:t>
      </w:r>
      <w:proofErr w:type="gramEnd"/>
      <w:r w:rsidR="001254E3">
        <w:rPr>
          <w:rFonts w:asciiTheme="majorBidi" w:hAnsiTheme="majorBidi" w:cstheme="majorBidi"/>
        </w:rPr>
        <w:t>140</w:t>
      </w:r>
      <w:r>
        <w:rPr>
          <w:rFonts w:asciiTheme="majorBidi" w:hAnsiTheme="majorBidi" w:cstheme="majorBidi"/>
        </w:rPr>
        <w:t xml:space="preserve">)= </w:t>
      </w:r>
      <w:r w:rsidR="001254E3" w:rsidRPr="001254E3">
        <w:rPr>
          <w:rFonts w:asciiTheme="majorBidi" w:hAnsiTheme="majorBidi" w:cstheme="majorBidi"/>
        </w:rPr>
        <w:t>-.04</w:t>
      </w:r>
      <w:r>
        <w:rPr>
          <w:rFonts w:asciiTheme="majorBidi" w:hAnsiTheme="majorBidi" w:cstheme="majorBidi"/>
        </w:rPr>
        <w:t xml:space="preserve">, </w:t>
      </w:r>
      <w:r>
        <w:rPr>
          <w:rFonts w:asciiTheme="majorBidi" w:hAnsiTheme="majorBidi" w:cstheme="majorBidi"/>
          <w:i/>
          <w:iCs/>
        </w:rPr>
        <w:t>p</w:t>
      </w:r>
      <w:r w:rsidR="001254E3">
        <w:rPr>
          <w:rFonts w:asciiTheme="majorBidi" w:hAnsiTheme="majorBidi" w:cstheme="majorBidi"/>
        </w:rPr>
        <w:t>=</w:t>
      </w:r>
      <w:r>
        <w:rPr>
          <w:rFonts w:asciiTheme="majorBidi" w:hAnsiTheme="majorBidi" w:cstheme="majorBidi"/>
        </w:rPr>
        <w:t>.0</w:t>
      </w:r>
      <w:r w:rsidR="001254E3">
        <w:rPr>
          <w:rFonts w:asciiTheme="majorBidi" w:hAnsiTheme="majorBidi" w:cstheme="majorBidi"/>
        </w:rPr>
        <w:t>9</w:t>
      </w:r>
      <w:r>
        <w:rPr>
          <w:rFonts w:asciiTheme="majorBidi" w:hAnsiTheme="majorBidi" w:cstheme="majorBidi"/>
        </w:rPr>
        <w:t xml:space="preserve">). </w:t>
      </w:r>
    </w:p>
    <w:p w14:paraId="6E79C2BF" w14:textId="53F758AB" w:rsidR="00E226DC" w:rsidRPr="00101E89" w:rsidRDefault="00E226DC" w:rsidP="00E226DC">
      <w:pPr>
        <w:ind w:left="144"/>
      </w:pPr>
    </w:p>
    <w:p w14:paraId="79051C4B" w14:textId="4FD25E88" w:rsidR="00B62B7E" w:rsidRPr="00101E89" w:rsidRDefault="00F66362" w:rsidP="004E6D30">
      <w:pPr>
        <w:ind w:left="144"/>
      </w:pPr>
      <w:r>
        <w:rPr>
          <w:noProof/>
        </w:rPr>
        <w:drawing>
          <wp:inline distT="0" distB="0" distL="0" distR="0" wp14:anchorId="548170D4" wp14:editId="599B8401">
            <wp:extent cx="6228080" cy="4001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6228080" cy="4001770"/>
                    </a:xfrm>
                    <a:prstGeom prst="rect">
                      <a:avLst/>
                    </a:prstGeom>
                  </pic:spPr>
                </pic:pic>
              </a:graphicData>
            </a:graphic>
          </wp:inline>
        </w:drawing>
      </w:r>
    </w:p>
    <w:p w14:paraId="52ED7488" w14:textId="73AB6AA4" w:rsidR="00161BD3" w:rsidRPr="00101E89" w:rsidRDefault="00643F26" w:rsidP="00470922">
      <w:pPr>
        <w:ind w:left="144"/>
        <w:jc w:val="center"/>
      </w:pPr>
      <w:r w:rsidRPr="00101E89">
        <w:t>Figure 2. Participants’ Reaction Time mean scores, by Film Content and Delivery Mode.</w:t>
      </w:r>
      <w:r w:rsidR="00CD7B6E" w:rsidRPr="00101E89">
        <w:t xml:space="preserve"> The error bars represent the </w:t>
      </w:r>
      <w:r w:rsidR="00F84BA0" w:rsidRPr="00101E89">
        <w:t>Standard Errors</w:t>
      </w:r>
      <w:r w:rsidRPr="00101E89">
        <w:t xml:space="preserve"> </w:t>
      </w:r>
    </w:p>
    <w:p w14:paraId="7A9C7186" w14:textId="77777777" w:rsidR="00161BD3" w:rsidRPr="00101E89" w:rsidRDefault="00640A8B" w:rsidP="004E6D30">
      <w:pPr>
        <w:pStyle w:val="Heading1"/>
        <w:ind w:left="141"/>
        <w:jc w:val="left"/>
      </w:pPr>
      <w:bookmarkStart w:id="20" w:name="_uez5uoli032d" w:colFirst="0" w:colLast="0"/>
      <w:bookmarkEnd w:id="20"/>
      <w:r w:rsidRPr="00101E89">
        <w:t>4</w:t>
      </w:r>
      <w:r w:rsidR="00A42059" w:rsidRPr="00101E89">
        <w:t>. Discussion</w:t>
      </w:r>
    </w:p>
    <w:p w14:paraId="5EBC2600" w14:textId="687DE6EE" w:rsidR="00161BD3" w:rsidRPr="00101E89" w:rsidRDefault="00A42059" w:rsidP="004E6D30">
      <w:r w:rsidRPr="00101E89">
        <w:t>According to the World Health Organi</w:t>
      </w:r>
      <w:r w:rsidR="00A4332C" w:rsidRPr="00101E89">
        <w:t>z</w:t>
      </w:r>
      <w:r w:rsidRPr="00101E89">
        <w:t>ation (201</w:t>
      </w:r>
      <w:r w:rsidR="00D33F28">
        <w:t>9</w:t>
      </w:r>
      <w:r w:rsidRPr="00101E89">
        <w:t xml:space="preserve">), road traffic collisions are the leading cause of death among young adults. </w:t>
      </w:r>
      <w:r w:rsidR="000E67E7" w:rsidRPr="00101E89">
        <w:t>Finding the best means to tackle this issue is thus of paramount importance.</w:t>
      </w:r>
      <w:r w:rsidR="00976E52">
        <w:t xml:space="preserve"> By</w:t>
      </w:r>
      <w:r w:rsidR="000E67E7" w:rsidRPr="00101E89">
        <w:t xml:space="preserve"> </w:t>
      </w:r>
      <w:r w:rsidR="00976E52">
        <w:t>s</w:t>
      </w:r>
      <w:r w:rsidR="00D45CCD" w:rsidRPr="00101E89">
        <w:t xml:space="preserve">tudying </w:t>
      </w:r>
      <w:r w:rsidR="00E50392" w:rsidRPr="00101E89">
        <w:t xml:space="preserve">currently-used </w:t>
      </w:r>
      <w:r w:rsidR="003D72E6" w:rsidRPr="00101E89">
        <w:t xml:space="preserve">driver safety </w:t>
      </w:r>
      <w:r w:rsidR="00D45CCD" w:rsidRPr="00101E89">
        <w:t xml:space="preserve">interventions </w:t>
      </w:r>
      <w:r w:rsidRPr="00101E89">
        <w:t xml:space="preserve">employed by the Fire and Rescue service across the UK, this </w:t>
      </w:r>
      <w:r w:rsidR="00D45CCD" w:rsidRPr="00101E89">
        <w:t xml:space="preserve">research </w:t>
      </w:r>
      <w:r w:rsidRPr="00101E89">
        <w:t xml:space="preserve">provides the first examination of </w:t>
      </w:r>
      <w:r w:rsidR="00D45CCD" w:rsidRPr="00101E89">
        <w:t xml:space="preserve">the effects of </w:t>
      </w:r>
      <w:r w:rsidR="0051519F" w:rsidRPr="00101E89">
        <w:t xml:space="preserve">both </w:t>
      </w:r>
      <w:r w:rsidR="00FF045B" w:rsidRPr="00101E89">
        <w:t>message content</w:t>
      </w:r>
      <w:r w:rsidR="0051519F" w:rsidRPr="00101E89">
        <w:t xml:space="preserve"> (</w:t>
      </w:r>
      <w:r w:rsidRPr="00101E89">
        <w:t xml:space="preserve">fear </w:t>
      </w:r>
      <w:r w:rsidR="00976E52">
        <w:t>versus</w:t>
      </w:r>
      <w:r w:rsidRPr="00101E89">
        <w:t xml:space="preserve"> positive</w:t>
      </w:r>
      <w:r w:rsidR="0051519F" w:rsidRPr="00101E89">
        <w:t xml:space="preserve">) and </w:t>
      </w:r>
      <w:r w:rsidR="00FF045B" w:rsidRPr="00101E89">
        <w:t>mode</w:t>
      </w:r>
      <w:r w:rsidR="00AC780E" w:rsidRPr="00101E89">
        <w:t xml:space="preserve"> of delivery</w:t>
      </w:r>
      <w:r w:rsidR="00FF045B" w:rsidRPr="00101E89">
        <w:t xml:space="preserve"> </w:t>
      </w:r>
      <w:r w:rsidR="0051519F" w:rsidRPr="00101E89">
        <w:t xml:space="preserve">(2D </w:t>
      </w:r>
      <w:r w:rsidR="00976E52">
        <w:t>versus</w:t>
      </w:r>
      <w:r w:rsidR="0051519F" w:rsidRPr="00101E89">
        <w:t xml:space="preserve"> </w:t>
      </w:r>
      <w:r w:rsidR="00AC780E" w:rsidRPr="00101E89">
        <w:t>VR</w:t>
      </w:r>
      <w:r w:rsidR="0051519F" w:rsidRPr="00101E89">
        <w:t xml:space="preserve">) </w:t>
      </w:r>
      <w:r w:rsidR="00E50392" w:rsidRPr="00101E89">
        <w:t xml:space="preserve">on risky driving behaviour among young </w:t>
      </w:r>
      <w:r w:rsidR="0048238E" w:rsidRPr="00101E89">
        <w:t>drivers</w:t>
      </w:r>
      <w:r w:rsidR="00E50392" w:rsidRPr="00101E89">
        <w:t>.</w:t>
      </w:r>
      <w:r w:rsidRPr="00101E89">
        <w:t xml:space="preserve"> </w:t>
      </w:r>
    </w:p>
    <w:p w14:paraId="730AC5CF" w14:textId="5D2030A5" w:rsidR="00161BD3" w:rsidRPr="00101E89" w:rsidRDefault="00E50392" w:rsidP="004E6D30">
      <w:pPr>
        <w:ind w:firstLine="720"/>
      </w:pPr>
      <w:r w:rsidRPr="00101E89">
        <w:lastRenderedPageBreak/>
        <w:t>R</w:t>
      </w:r>
      <w:r w:rsidR="00A42059" w:rsidRPr="00101E89">
        <w:t xml:space="preserve">esults </w:t>
      </w:r>
      <w:r w:rsidR="00EB5521" w:rsidRPr="00101E89">
        <w:t>show</w:t>
      </w:r>
      <w:r w:rsidRPr="00101E89">
        <w:t>ed</w:t>
      </w:r>
      <w:r w:rsidR="00EB5521" w:rsidRPr="00101E89">
        <w:t xml:space="preserve"> that</w:t>
      </w:r>
      <w:r w:rsidR="00A42059" w:rsidRPr="00101E89">
        <w:t xml:space="preserve"> fear appeals </w:t>
      </w:r>
      <w:r w:rsidR="00EB5521" w:rsidRPr="00101E89">
        <w:t xml:space="preserve">failed to </w:t>
      </w:r>
      <w:r w:rsidR="00A42059" w:rsidRPr="00101E89">
        <w:t>decreas</w:t>
      </w:r>
      <w:r w:rsidR="00EB5521" w:rsidRPr="00101E89">
        <w:t>e</w:t>
      </w:r>
      <w:r w:rsidR="00A42059" w:rsidRPr="00101E89">
        <w:t xml:space="preserve"> young drivers’ risky driving behaviours,</w:t>
      </w:r>
      <w:r w:rsidR="00A268BF">
        <w:t xml:space="preserve"> </w:t>
      </w:r>
      <w:r w:rsidR="00EB5521" w:rsidRPr="00101E89">
        <w:t xml:space="preserve">measured </w:t>
      </w:r>
      <w:r w:rsidR="00D45CCD" w:rsidRPr="00101E89">
        <w:t>by</w:t>
      </w:r>
      <w:r w:rsidR="00EB5521" w:rsidRPr="00101E89">
        <w:t xml:space="preserve"> both </w:t>
      </w:r>
      <w:r w:rsidR="00A42059" w:rsidRPr="00101E89">
        <w:t xml:space="preserve">self-reported and objective measures of risky driving. Specifically, participants who viewed the </w:t>
      </w:r>
      <w:r w:rsidR="00FF045B" w:rsidRPr="00101E89">
        <w:t xml:space="preserve">fear </w:t>
      </w:r>
      <w:r w:rsidR="00A42059" w:rsidRPr="00101E89">
        <w:t xml:space="preserve">VR film reported riskier driving behaviours at follow-up </w:t>
      </w:r>
      <w:r w:rsidR="0048238E" w:rsidRPr="00101E89">
        <w:t>and</w:t>
      </w:r>
      <w:r w:rsidR="0084542C" w:rsidRPr="00101E89">
        <w:t xml:space="preserve"> </w:t>
      </w:r>
      <w:r w:rsidR="00EB5521" w:rsidRPr="00101E89">
        <w:t xml:space="preserve">exhibited heightened risky driving behaviour. </w:t>
      </w:r>
      <w:r w:rsidR="0041235F" w:rsidRPr="00101E89">
        <w:t>Our results</w:t>
      </w:r>
      <w:r w:rsidR="00A4332C" w:rsidRPr="00101E89">
        <w:t xml:space="preserve">, thus, </w:t>
      </w:r>
      <w:r w:rsidR="0041235F" w:rsidRPr="00101E89">
        <w:t xml:space="preserve">lend further </w:t>
      </w:r>
      <w:r w:rsidR="00A42059" w:rsidRPr="00101E89">
        <w:t xml:space="preserve">support </w:t>
      </w:r>
      <w:r w:rsidR="0041235F" w:rsidRPr="00101E89">
        <w:t xml:space="preserve">to a growing body of evidence showing that </w:t>
      </w:r>
      <w:r w:rsidR="00A42059" w:rsidRPr="00101E89">
        <w:t>fear appeals are not effective in reducing risky driving behaviours</w:t>
      </w:r>
      <w:r w:rsidR="0041235F" w:rsidRPr="00101E89">
        <w:t xml:space="preserve">. In fact, fear appeals seem to have the opposite </w:t>
      </w:r>
      <w:r w:rsidR="00D45CCD" w:rsidRPr="00101E89">
        <w:t xml:space="preserve">effect </w:t>
      </w:r>
      <w:r w:rsidR="0041235F" w:rsidRPr="00101E89">
        <w:t xml:space="preserve">increasing risky </w:t>
      </w:r>
      <w:r w:rsidR="00AC780E" w:rsidRPr="00101E89">
        <w:t xml:space="preserve">driving </w:t>
      </w:r>
      <w:r w:rsidR="0041235F" w:rsidRPr="00101E89">
        <w:t>behaviours</w:t>
      </w:r>
      <w:r w:rsidRPr="00101E89">
        <w:t xml:space="preserve"> over time</w:t>
      </w:r>
      <w:r w:rsidR="00A42059" w:rsidRPr="00101E89">
        <w:t xml:space="preserve"> (de Hoog, Stoebe &amp; de Wit, 2008; Jessop &amp; Wade, 2008). </w:t>
      </w:r>
      <w:r w:rsidRPr="00101E89">
        <w:t>E</w:t>
      </w:r>
      <w:r w:rsidR="00A42059" w:rsidRPr="00101E89">
        <w:t xml:space="preserve">xposing participants to </w:t>
      </w:r>
      <w:r w:rsidR="00D45CCD" w:rsidRPr="00101E89">
        <w:t>an e</w:t>
      </w:r>
      <w:r w:rsidR="0041235F" w:rsidRPr="00101E89">
        <w:t>xtreme</w:t>
      </w:r>
      <w:r w:rsidR="00A42059" w:rsidRPr="00101E89">
        <w:t xml:space="preserve"> and graphic collision </w:t>
      </w:r>
      <w:r w:rsidR="0041235F" w:rsidRPr="00101E89">
        <w:t>tends to activate</w:t>
      </w:r>
      <w:r w:rsidR="00A42059" w:rsidRPr="00101E89">
        <w:t xml:space="preserve"> defensive mechanisms, such </w:t>
      </w:r>
      <w:r w:rsidR="0041235F" w:rsidRPr="00101E89">
        <w:t xml:space="preserve">as paying attention to </w:t>
      </w:r>
      <w:r w:rsidR="00A42059" w:rsidRPr="00101E89">
        <w:rPr>
          <w:highlight w:val="white"/>
        </w:rPr>
        <w:t>threatening messages for a shorter time (Brown and Locker 2009), disengagement, message rejection (Cohn, 1998; Hastings &amp; MacFadyen, 2002) and an increase in risky behaviours (Harre et al, 2005)</w:t>
      </w:r>
      <w:r w:rsidR="00A42059" w:rsidRPr="00101E89">
        <w:t>.</w:t>
      </w:r>
      <w:r w:rsidR="00A263B1" w:rsidRPr="00101E89">
        <w:t xml:space="preserve"> Using fear appeals in</w:t>
      </w:r>
      <w:r w:rsidR="00FF045B" w:rsidRPr="00101E89">
        <w:t xml:space="preserve"> driver safety </w:t>
      </w:r>
      <w:r w:rsidR="00D45CCD" w:rsidRPr="00101E89">
        <w:t xml:space="preserve">interventions </w:t>
      </w:r>
      <w:r w:rsidR="00A263B1" w:rsidRPr="00101E89">
        <w:t xml:space="preserve">might, paradoxically, lead to increase in risky behaviour rather than a decrease. </w:t>
      </w:r>
      <w:r w:rsidR="00D55DD9" w:rsidRPr="00101E89">
        <w:t>O</w:t>
      </w:r>
      <w:r w:rsidR="00A263B1" w:rsidRPr="00101E89">
        <w:t xml:space="preserve">ur </w:t>
      </w:r>
      <w:r w:rsidR="00D55DD9" w:rsidRPr="00101E89">
        <w:t>results</w:t>
      </w:r>
      <w:r w:rsidR="00A263B1" w:rsidRPr="00101E89">
        <w:t>, coupled with others</w:t>
      </w:r>
      <w:r w:rsidR="00D33F28">
        <w:t xml:space="preserve"> (see </w:t>
      </w:r>
      <w:r w:rsidR="00D33F28" w:rsidRPr="00D33F28">
        <w:rPr>
          <w:highlight w:val="white"/>
        </w:rPr>
        <w:t>Lin, 2017</w:t>
      </w:r>
      <w:r w:rsidR="00D33F28">
        <w:t>)</w:t>
      </w:r>
      <w:r w:rsidR="00A263B1" w:rsidRPr="00101E89">
        <w:t>, cast serious doubt on the</w:t>
      </w:r>
      <w:r w:rsidR="00D55DD9" w:rsidRPr="00101E89">
        <w:t xml:space="preserve"> </w:t>
      </w:r>
      <w:r w:rsidR="00A263B1" w:rsidRPr="00101E89">
        <w:t>effectiveness and extensive utilization</w:t>
      </w:r>
      <w:r w:rsidR="00D55DD9" w:rsidRPr="00101E89">
        <w:t xml:space="preserve"> of fear appeals.</w:t>
      </w:r>
      <w:r w:rsidR="00A263B1" w:rsidRPr="00101E89">
        <w:t xml:space="preserve"> </w:t>
      </w:r>
    </w:p>
    <w:p w14:paraId="7F53810B" w14:textId="77777777" w:rsidR="00161BD3" w:rsidRPr="00101E89" w:rsidRDefault="00D55DD9" w:rsidP="004E6D30">
      <w:pPr>
        <w:ind w:firstLine="720"/>
      </w:pPr>
      <w:r w:rsidRPr="00101E89">
        <w:t xml:space="preserve">As the first study to examine the usage of VR in </w:t>
      </w:r>
      <w:r w:rsidR="00FF045B" w:rsidRPr="00101E89">
        <w:t>driver safety programs</w:t>
      </w:r>
      <w:r w:rsidRPr="00101E89">
        <w:t>, o</w:t>
      </w:r>
      <w:r w:rsidR="00A263B1" w:rsidRPr="00101E89">
        <w:t xml:space="preserve">ur results </w:t>
      </w:r>
      <w:r w:rsidRPr="00101E89">
        <w:t xml:space="preserve">caution against </w:t>
      </w:r>
      <w:r w:rsidR="00A42059" w:rsidRPr="00101E89">
        <w:t xml:space="preserve">the usage of VR </w:t>
      </w:r>
      <w:r w:rsidR="00A263B1" w:rsidRPr="00101E89">
        <w:t xml:space="preserve">in </w:t>
      </w:r>
      <w:r w:rsidR="00FF045B" w:rsidRPr="00101E89">
        <w:t>driver safety programs, when combined with fear appeals</w:t>
      </w:r>
      <w:r w:rsidR="00A42059" w:rsidRPr="00101E89">
        <w:t xml:space="preserve">. </w:t>
      </w:r>
      <w:r w:rsidRPr="00101E89">
        <w:t>As</w:t>
      </w:r>
      <w:r w:rsidR="00A42059" w:rsidRPr="00101E89">
        <w:t xml:space="preserve"> VR </w:t>
      </w:r>
      <w:r w:rsidRPr="00101E89">
        <w:t xml:space="preserve">is designed to provide a more realistic experience of driving collisions </w:t>
      </w:r>
      <w:r w:rsidR="00A42059" w:rsidRPr="00101E89">
        <w:t xml:space="preserve">(Lin, 2017; Parsons &amp; Rizzo, 2008), </w:t>
      </w:r>
      <w:r w:rsidRPr="00101E89">
        <w:t xml:space="preserve">it is likely that </w:t>
      </w:r>
      <w:r w:rsidR="00A42059" w:rsidRPr="00101E89">
        <w:t>participants</w:t>
      </w:r>
      <w:r w:rsidR="0048238E" w:rsidRPr="00101E89">
        <w:t>’</w:t>
      </w:r>
      <w:r w:rsidR="00A42059" w:rsidRPr="00101E89">
        <w:t xml:space="preserve"> experience</w:t>
      </w:r>
      <w:r w:rsidRPr="00101E89">
        <w:t xml:space="preserve"> of the collision </w:t>
      </w:r>
      <w:r w:rsidR="00E50392" w:rsidRPr="00101E89">
        <w:t xml:space="preserve">in the fear condition </w:t>
      </w:r>
      <w:r w:rsidRPr="00101E89">
        <w:t>was more vivid tha</w:t>
      </w:r>
      <w:r w:rsidR="00A4332C" w:rsidRPr="00101E89">
        <w:t>n</w:t>
      </w:r>
      <w:r w:rsidRPr="00101E89">
        <w:t xml:space="preserve"> those viewing it in 2D. </w:t>
      </w:r>
      <w:r w:rsidR="00295AF9" w:rsidRPr="00101E89">
        <w:t>Indeed, i</w:t>
      </w:r>
      <w:r w:rsidR="00A42059" w:rsidRPr="00101E89">
        <w:t>n the 2D films the participants experienced the events as spectators, creating a distance between themselves and the avatars (Klimmt et al., 2009; Lin, 2013b). Arguably, VR</w:t>
      </w:r>
      <w:r w:rsidR="00033BC6" w:rsidRPr="00101E89">
        <w:t>’s</w:t>
      </w:r>
      <w:r w:rsidR="00A42059" w:rsidRPr="00101E89">
        <w:t xml:space="preserve"> </w:t>
      </w:r>
      <w:r w:rsidR="00295AF9" w:rsidRPr="00101E89">
        <w:t>capacity to deliver a more realistic experience</w:t>
      </w:r>
      <w:r w:rsidR="00AC780E" w:rsidRPr="00101E89">
        <w:t xml:space="preserve">, </w:t>
      </w:r>
      <w:r w:rsidR="00033BC6" w:rsidRPr="00101E89">
        <w:t xml:space="preserve">might </w:t>
      </w:r>
      <w:r w:rsidR="000E67E7" w:rsidRPr="00101E89">
        <w:t>heighten</w:t>
      </w:r>
      <w:r w:rsidR="00AC780E" w:rsidRPr="00101E89">
        <w:t xml:space="preserve"> participants’ emotional arousal and</w:t>
      </w:r>
      <w:r w:rsidR="00295AF9" w:rsidRPr="00101E89">
        <w:t xml:space="preserve"> </w:t>
      </w:r>
      <w:r w:rsidR="00A42059" w:rsidRPr="00101E89">
        <w:t>exacerbat</w:t>
      </w:r>
      <w:r w:rsidR="00295AF9" w:rsidRPr="00101E89">
        <w:t>e</w:t>
      </w:r>
      <w:r w:rsidR="00A42059" w:rsidRPr="00101E89">
        <w:t xml:space="preserve"> participants</w:t>
      </w:r>
      <w:r w:rsidR="00033BC6" w:rsidRPr="00101E89">
        <w:t>’</w:t>
      </w:r>
      <w:r w:rsidR="00A42059" w:rsidRPr="00101E89">
        <w:t xml:space="preserve"> </w:t>
      </w:r>
      <w:r w:rsidR="00295AF9" w:rsidRPr="00101E89">
        <w:t xml:space="preserve">tendency to </w:t>
      </w:r>
      <w:r w:rsidR="00A42059" w:rsidRPr="00101E89">
        <w:t xml:space="preserve">disregard </w:t>
      </w:r>
      <w:r w:rsidR="00D97C86" w:rsidRPr="00101E89">
        <w:t xml:space="preserve">and dismiss </w:t>
      </w:r>
      <w:r w:rsidR="00A42059" w:rsidRPr="00101E89">
        <w:t xml:space="preserve">the message, rendering the fear appeal </w:t>
      </w:r>
      <w:r w:rsidR="00295AF9" w:rsidRPr="00101E89">
        <w:t xml:space="preserve">even less </w:t>
      </w:r>
      <w:r w:rsidR="00A42059" w:rsidRPr="00101E89">
        <w:t>effective (Witte, 1992, 1996).</w:t>
      </w:r>
    </w:p>
    <w:p w14:paraId="418A8419" w14:textId="42869BD6" w:rsidR="00436EB5" w:rsidRPr="00101E89" w:rsidRDefault="00033BC6" w:rsidP="004E6D30">
      <w:pPr>
        <w:ind w:firstLine="720"/>
      </w:pPr>
      <w:r w:rsidRPr="00101E89">
        <w:lastRenderedPageBreak/>
        <w:t>Conversely</w:t>
      </w:r>
      <w:r w:rsidR="00D97C86" w:rsidRPr="00101E89">
        <w:t xml:space="preserve">, our study reveals that </w:t>
      </w:r>
      <w:r w:rsidR="00A42059" w:rsidRPr="00101E89">
        <w:t>positively</w:t>
      </w:r>
      <w:r w:rsidR="00725E30" w:rsidRPr="00101E89">
        <w:t>-</w:t>
      </w:r>
      <w:r w:rsidR="00A42059" w:rsidRPr="00101E89">
        <w:t xml:space="preserve">framed messages </w:t>
      </w:r>
      <w:r w:rsidR="00625F84" w:rsidRPr="00101E89">
        <w:t xml:space="preserve">led to </w:t>
      </w:r>
      <w:r w:rsidR="00725E30" w:rsidRPr="00101E89">
        <w:t xml:space="preserve">a </w:t>
      </w:r>
      <w:r w:rsidR="00625F84" w:rsidRPr="00101E89">
        <w:t xml:space="preserve">reduction in </w:t>
      </w:r>
      <w:r w:rsidR="00D97C86" w:rsidRPr="00101E89">
        <w:t xml:space="preserve">risky behaviour. </w:t>
      </w:r>
      <w:r w:rsidRPr="00101E89">
        <w:t>I</w:t>
      </w:r>
      <w:r w:rsidR="00D97C86" w:rsidRPr="00101E89">
        <w:t xml:space="preserve">n contrast to the fear appeals condition, using VR in </w:t>
      </w:r>
      <w:r w:rsidR="00725E30" w:rsidRPr="00101E89">
        <w:t xml:space="preserve">combination with a </w:t>
      </w:r>
      <w:r w:rsidR="00D97C86" w:rsidRPr="00101E89">
        <w:t xml:space="preserve">positive message </w:t>
      </w:r>
      <w:r w:rsidR="00E50392" w:rsidRPr="00101E89">
        <w:t xml:space="preserve">further reduced </w:t>
      </w:r>
      <w:r w:rsidR="00D97C86" w:rsidRPr="00101E89">
        <w:t>participants</w:t>
      </w:r>
      <w:r w:rsidR="00E50392" w:rsidRPr="00101E89">
        <w:t>’</w:t>
      </w:r>
      <w:r w:rsidR="00D97C86" w:rsidRPr="00101E89">
        <w:t xml:space="preserve"> risky behaviour</w:t>
      </w:r>
      <w:r w:rsidR="00E50392" w:rsidRPr="00101E89">
        <w:t xml:space="preserve"> compared to the positive 2D condition</w:t>
      </w:r>
      <w:r w:rsidR="00D97C86" w:rsidRPr="00101E89">
        <w:t xml:space="preserve">. </w:t>
      </w:r>
      <w:r w:rsidR="00E50392" w:rsidRPr="00101E89">
        <w:t xml:space="preserve">Hence, while </w:t>
      </w:r>
      <w:r w:rsidR="00A42059" w:rsidRPr="00101E89">
        <w:t xml:space="preserve">participants who viewed </w:t>
      </w:r>
      <w:r w:rsidR="00413DF4" w:rsidRPr="00101E89">
        <w:t xml:space="preserve">the </w:t>
      </w:r>
      <w:r w:rsidR="00A42059" w:rsidRPr="00101E89">
        <w:t xml:space="preserve">positive messages </w:t>
      </w:r>
      <w:r w:rsidR="00E50392" w:rsidRPr="00101E89">
        <w:t>showed</w:t>
      </w:r>
      <w:r w:rsidR="00A42059" w:rsidRPr="00101E89">
        <w:t xml:space="preserve"> a decrease in </w:t>
      </w:r>
      <w:r w:rsidR="00E50392" w:rsidRPr="00101E89">
        <w:t xml:space="preserve">self-reported and objectively-measured </w:t>
      </w:r>
      <w:r w:rsidR="00A42059" w:rsidRPr="00101E89">
        <w:t xml:space="preserve">risky driving, participants who viewed the positive VR film </w:t>
      </w:r>
      <w:r w:rsidR="00E50392" w:rsidRPr="00101E89">
        <w:t>exhibited</w:t>
      </w:r>
      <w:r w:rsidR="00A42059" w:rsidRPr="00101E89">
        <w:t xml:space="preserve"> </w:t>
      </w:r>
      <w:r w:rsidR="00A42059" w:rsidRPr="00086EC8">
        <w:t xml:space="preserve">the biggest decrease in </w:t>
      </w:r>
      <w:r w:rsidR="00086EC8">
        <w:t xml:space="preserve">self-reported </w:t>
      </w:r>
      <w:r w:rsidR="00A42059" w:rsidRPr="00086EC8">
        <w:t>risky driving behaviours.</w:t>
      </w:r>
      <w:r w:rsidR="00A42059" w:rsidRPr="00101E89">
        <w:t xml:space="preserve"> </w:t>
      </w:r>
      <w:r w:rsidR="00E50392" w:rsidRPr="00101E89">
        <w:t xml:space="preserve">Consequently, using VR in intervention strategies can be useful, but only when coupled with positive appeals. </w:t>
      </w:r>
    </w:p>
    <w:p w14:paraId="79FA8BB8" w14:textId="48A799EF" w:rsidR="00725E30" w:rsidRDefault="00436EB5" w:rsidP="004E6D30">
      <w:pPr>
        <w:ind w:firstLine="720"/>
      </w:pPr>
      <w:r w:rsidRPr="00101E89">
        <w:t xml:space="preserve">Our results, thus, provide key insights about the role of positive vs </w:t>
      </w:r>
      <w:r w:rsidR="00725E30" w:rsidRPr="00101E89">
        <w:t xml:space="preserve">fear </w:t>
      </w:r>
      <w:r w:rsidRPr="00101E89">
        <w:t xml:space="preserve">framed messages in tackling risky driving behaviour among young drivers. </w:t>
      </w:r>
      <w:r w:rsidR="00A42059" w:rsidRPr="00101E89">
        <w:t xml:space="preserve">On the one hand, </w:t>
      </w:r>
      <w:r w:rsidRPr="00101E89">
        <w:t>they</w:t>
      </w:r>
      <w:r w:rsidR="00A42059" w:rsidRPr="00101E89">
        <w:t xml:space="preserve"> </w:t>
      </w:r>
      <w:r w:rsidRPr="00101E89">
        <w:t>exten</w:t>
      </w:r>
      <w:r w:rsidR="008D3B5C" w:rsidRPr="00101E89">
        <w:t xml:space="preserve">d </w:t>
      </w:r>
      <w:r w:rsidRPr="00101E89">
        <w:t xml:space="preserve">previous </w:t>
      </w:r>
      <w:r w:rsidR="008D3B5C" w:rsidRPr="00101E89">
        <w:t xml:space="preserve">work regarding the effectiveness of </w:t>
      </w:r>
      <w:r w:rsidR="00A42059" w:rsidRPr="00101E89">
        <w:t>positive</w:t>
      </w:r>
      <w:r w:rsidR="008D3B5C" w:rsidRPr="00101E89">
        <w:t xml:space="preserve">ly framed </w:t>
      </w:r>
      <w:r w:rsidR="00A42059" w:rsidRPr="00101E89">
        <w:t xml:space="preserve">messages in promoting road safety (Lewis, 2008; Delhomme, 2002), through the portrayal </w:t>
      </w:r>
      <w:r w:rsidR="00E50392" w:rsidRPr="00101E89">
        <w:t xml:space="preserve">and modelling </w:t>
      </w:r>
      <w:r w:rsidR="00A42059" w:rsidRPr="00101E89">
        <w:t xml:space="preserve">of “safe” driving behaviours and the positive consequences of adhering to that behaviour (Hoekstra &amp; Wegman, 2011; Lewis, 2007). </w:t>
      </w:r>
      <w:r w:rsidR="008D3B5C" w:rsidRPr="00101E89">
        <w:t xml:space="preserve">In addition, they </w:t>
      </w:r>
      <w:r w:rsidR="00A42059" w:rsidRPr="00101E89">
        <w:t xml:space="preserve">contend that allowing the participants to experience what proactive behaviours can lead to and giving them the illusions that the events occurring are authentic through VR (Rizzo &amp; Kim, 2005) can encourage the creation of positive role models and strategies to be safer on the roads, which in turn decreased risky driving behaviours (Zhao, Roditis &amp; Alexander, 2019).  </w:t>
      </w:r>
      <w:r w:rsidR="008D3B5C" w:rsidRPr="00101E89">
        <w:t xml:space="preserve">Taken together, </w:t>
      </w:r>
      <w:r w:rsidR="007403BD" w:rsidRPr="00101E89">
        <w:t>our data question the usage of fear appeals and promote the employment of positively</w:t>
      </w:r>
      <w:r w:rsidR="00725E30" w:rsidRPr="00101E89">
        <w:t>-</w:t>
      </w:r>
      <w:r w:rsidR="007403BD" w:rsidRPr="00101E89">
        <w:t xml:space="preserve">framed messages. </w:t>
      </w:r>
      <w:r w:rsidR="00033BC6" w:rsidRPr="00101E89">
        <w:t>I</w:t>
      </w:r>
      <w:r w:rsidR="007403BD" w:rsidRPr="00101E89">
        <w:t>mportantly, it shows that the effectiveness of novel technologies, such as VR, depends on the type of message</w:t>
      </w:r>
      <w:r w:rsidR="00033BC6" w:rsidRPr="00101E89">
        <w:t>s</w:t>
      </w:r>
      <w:r w:rsidR="007403BD" w:rsidRPr="00101E89">
        <w:t xml:space="preserve"> employed.  </w:t>
      </w:r>
      <w:r w:rsidR="00A42059" w:rsidRPr="00101E89">
        <w:t xml:space="preserve"> </w:t>
      </w:r>
    </w:p>
    <w:p w14:paraId="07DE35DD" w14:textId="3EEB4F39" w:rsidR="00EA292F" w:rsidRDefault="00A03204" w:rsidP="00061FBE">
      <w:pPr>
        <w:ind w:firstLine="720"/>
      </w:pPr>
      <w:r>
        <w:t>Additionally, we used emotional arousal as a manipulation</w:t>
      </w:r>
      <w:r w:rsidR="00F3160E">
        <w:t xml:space="preserve"> check</w:t>
      </w:r>
      <w:r>
        <w:t xml:space="preserve"> to gauge the success of the VR intervention. The results are in line with our hypotheses that VR creates a sense of immersion, and it </w:t>
      </w:r>
      <w:r w:rsidRPr="00101E89">
        <w:rPr>
          <w:highlight w:val="white"/>
        </w:rPr>
        <w:t>provides the illusion that the events occurring are authentic (Rizzo &amp; Kim, 2005)</w:t>
      </w:r>
      <w:r>
        <w:t xml:space="preserve">. However, the triggering of emotional arousal is not necessarily </w:t>
      </w:r>
      <w:r w:rsidR="00EA292F">
        <w:t xml:space="preserve">just </w:t>
      </w:r>
      <w:r>
        <w:t xml:space="preserve">linked to fear, as other emotions can also </w:t>
      </w:r>
      <w:r>
        <w:lastRenderedPageBreak/>
        <w:t xml:space="preserve">activate high arousal (e.g. happiness; </w:t>
      </w:r>
      <w:r w:rsidRPr="00A03204">
        <w:t>Russell, 1980</w:t>
      </w:r>
      <w:r>
        <w:t xml:space="preserve">). Moreover, </w:t>
      </w:r>
      <w:r w:rsidRPr="00A03204">
        <w:rPr>
          <w:rFonts w:ascii="Calibri" w:hAnsi="Calibri" w:cs="Calibri"/>
        </w:rPr>
        <w:t>﻿</w:t>
      </w:r>
      <w:r w:rsidRPr="00A03204">
        <w:t>many</w:t>
      </w:r>
      <w:r>
        <w:t xml:space="preserve"> </w:t>
      </w:r>
      <w:r w:rsidRPr="00A03204">
        <w:t xml:space="preserve">fear appeals may evoke emotions in addition to fear (e.g., disgust, anger), and these emotions may </w:t>
      </w:r>
      <w:r w:rsidR="00EA292F">
        <w:t xml:space="preserve">trigger an additional emotional response to the </w:t>
      </w:r>
      <w:r w:rsidRPr="00A03204">
        <w:t>fear appeals</w:t>
      </w:r>
      <w:r w:rsidR="00EA292F">
        <w:t xml:space="preserve"> message (Tannenbaum et al., 2015)</w:t>
      </w:r>
      <w:r w:rsidRPr="00A03204">
        <w:t>.</w:t>
      </w:r>
      <w:r>
        <w:t xml:space="preserve"> </w:t>
      </w:r>
      <w:r w:rsidR="00EA292F">
        <w:t>F</w:t>
      </w:r>
      <w:r>
        <w:t xml:space="preserve">uture research should </w:t>
      </w:r>
      <w:r w:rsidR="00EA292F" w:rsidRPr="00EA292F">
        <w:t>examine more closely the impact of emotional arousal</w:t>
      </w:r>
      <w:r w:rsidR="00EA292F">
        <w:t xml:space="preserve">, message framing and risky driving behaviours. </w:t>
      </w:r>
    </w:p>
    <w:p w14:paraId="588A5778" w14:textId="660D557E" w:rsidR="005E1FB2" w:rsidRDefault="00DE5673" w:rsidP="00061FBE">
      <w:pPr>
        <w:ind w:firstLine="720"/>
      </w:pPr>
      <w:r w:rsidRPr="00101E89">
        <w:t>While th</w:t>
      </w:r>
      <w:r w:rsidR="00A42059" w:rsidRPr="00101E89">
        <w:t xml:space="preserve">is study </w:t>
      </w:r>
      <w:r w:rsidRPr="00101E89">
        <w:t xml:space="preserve">is </w:t>
      </w:r>
      <w:r w:rsidR="00A42059" w:rsidRPr="00101E89">
        <w:t xml:space="preserve">the first </w:t>
      </w:r>
      <w:r w:rsidRPr="00101E89">
        <w:t xml:space="preserve">to examine the impact of </w:t>
      </w:r>
      <w:r w:rsidR="00A42059" w:rsidRPr="00101E89">
        <w:t xml:space="preserve">VR </w:t>
      </w:r>
      <w:r w:rsidRPr="00101E89">
        <w:t>vs 2D and fear vs positive</w:t>
      </w:r>
      <w:r w:rsidR="00725E30" w:rsidRPr="00101E89">
        <w:t>ly-framed</w:t>
      </w:r>
      <w:r w:rsidRPr="00101E89">
        <w:t xml:space="preserve"> appeals in </w:t>
      </w:r>
      <w:r w:rsidR="00725E30" w:rsidRPr="00101E89">
        <w:t>driver safety programs</w:t>
      </w:r>
      <w:r w:rsidRPr="00101E89">
        <w:t xml:space="preserve">, it does have </w:t>
      </w:r>
      <w:r w:rsidR="00FE2816" w:rsidRPr="00101E89">
        <w:t>several</w:t>
      </w:r>
      <w:r w:rsidRPr="00101E89">
        <w:t xml:space="preserve"> </w:t>
      </w:r>
      <w:r w:rsidR="00A42059" w:rsidRPr="00101E89">
        <w:t xml:space="preserve">limitations. </w:t>
      </w:r>
      <w:r w:rsidRPr="00101E89">
        <w:t>First</w:t>
      </w:r>
      <w:r w:rsidR="002D18BD">
        <w:t>ly</w:t>
      </w:r>
      <w:r w:rsidRPr="00101E89">
        <w:t xml:space="preserve">, </w:t>
      </w:r>
      <w:r w:rsidR="00216798" w:rsidRPr="00101E89">
        <w:t xml:space="preserve">our </w:t>
      </w:r>
      <w:r w:rsidR="00E50392" w:rsidRPr="00101E89">
        <w:t xml:space="preserve">sample was not balanced according to gender. </w:t>
      </w:r>
      <w:r w:rsidR="00B72026">
        <w:t>Previous</w:t>
      </w:r>
      <w:r w:rsidR="00B14026">
        <w:t xml:space="preserve"> research has consistently reported gender differences in responses to interventions</w:t>
      </w:r>
      <w:r w:rsidR="002D18BD">
        <w:t xml:space="preserve"> and in driving behaviours</w:t>
      </w:r>
      <w:r w:rsidR="00003B4A">
        <w:t xml:space="preserve"> (</w:t>
      </w:r>
      <w:r w:rsidR="00E91D33">
        <w:t xml:space="preserve">Scott-Parker et al., 2014; </w:t>
      </w:r>
      <w:r w:rsidR="00003B4A">
        <w:t xml:space="preserve">Watson-Brown, Scott-Parker &amp; </w:t>
      </w:r>
      <w:proofErr w:type="spellStart"/>
      <w:r w:rsidR="00003B4A">
        <w:t>Senserrick</w:t>
      </w:r>
      <w:proofErr w:type="spellEnd"/>
      <w:r w:rsidR="00003B4A">
        <w:t>, 2019)</w:t>
      </w:r>
      <w:r w:rsidR="00B14026">
        <w:t xml:space="preserve">.  </w:t>
      </w:r>
      <w:r w:rsidR="00B72026">
        <w:t xml:space="preserve">For example, </w:t>
      </w:r>
      <w:r w:rsidR="00B72026" w:rsidRPr="00101E89">
        <w:t>research has found that females are more likely to accept the recommendation of fear appeal messages compared to males (</w:t>
      </w:r>
      <w:proofErr w:type="spellStart"/>
      <w:r w:rsidR="00B72026" w:rsidRPr="00101E89">
        <w:t>Goldenbeld</w:t>
      </w:r>
      <w:proofErr w:type="spellEnd"/>
      <w:r w:rsidR="00B72026" w:rsidRPr="00101E89">
        <w:t xml:space="preserve">, </w:t>
      </w:r>
      <w:proofErr w:type="spellStart"/>
      <w:r w:rsidR="00B72026" w:rsidRPr="00101E89">
        <w:t>Twisk</w:t>
      </w:r>
      <w:proofErr w:type="spellEnd"/>
      <w:r w:rsidR="00B72026" w:rsidRPr="00101E89">
        <w:t xml:space="preserve"> &amp; </w:t>
      </w:r>
      <w:proofErr w:type="spellStart"/>
      <w:r w:rsidR="00B72026" w:rsidRPr="00101E89">
        <w:t>Houwing</w:t>
      </w:r>
      <w:proofErr w:type="spellEnd"/>
      <w:r w:rsidR="00B72026" w:rsidRPr="00101E89">
        <w:t>, 2008; Tay &amp; Ozanne, 2002)</w:t>
      </w:r>
      <w:r w:rsidR="00B72026">
        <w:t xml:space="preserve">, and males are more likely to </w:t>
      </w:r>
      <w:r w:rsidR="00C72BA3">
        <w:t xml:space="preserve">report riskier driving behaviours compared to females (Brown, </w:t>
      </w:r>
      <w:proofErr w:type="spellStart"/>
      <w:r w:rsidR="00C72BA3">
        <w:t>Senserrick</w:t>
      </w:r>
      <w:proofErr w:type="spellEnd"/>
      <w:r w:rsidR="00C72BA3">
        <w:t xml:space="preserve"> &amp; Bilston, 2014)</w:t>
      </w:r>
      <w:r w:rsidR="00B72026" w:rsidRPr="00101E89">
        <w:t xml:space="preserve">. </w:t>
      </w:r>
      <w:r w:rsidR="00E50392" w:rsidRPr="00101E89">
        <w:t xml:space="preserve">Consequently, the </w:t>
      </w:r>
      <w:r w:rsidR="004473F7" w:rsidRPr="00101E89">
        <w:t>results</w:t>
      </w:r>
      <w:r w:rsidR="00193E03" w:rsidRPr="00101E89">
        <w:t xml:space="preserve"> of our study might actually underestimate</w:t>
      </w:r>
      <w:r w:rsidR="004473F7" w:rsidRPr="00101E89">
        <w:t xml:space="preserve"> the effects of fear- and positive appeals on risky driving</w:t>
      </w:r>
      <w:r w:rsidR="002D18BD">
        <w:t xml:space="preserve"> and its relationship with gender</w:t>
      </w:r>
      <w:r w:rsidR="004473F7" w:rsidRPr="00101E89">
        <w:t xml:space="preserve">. </w:t>
      </w:r>
      <w:r w:rsidR="002D18BD">
        <w:t>Hence, f</w:t>
      </w:r>
      <w:r w:rsidR="00A42059" w:rsidRPr="00101E89">
        <w:t>uture work should focus on gender differences in the implementation of fear vs positively</w:t>
      </w:r>
      <w:r w:rsidR="00725E30" w:rsidRPr="00101E89">
        <w:t>-framed</w:t>
      </w:r>
      <w:r w:rsidR="00A42059" w:rsidRPr="00101E89">
        <w:t xml:space="preserve"> appeals and VR technologies. Secondly,</w:t>
      </w:r>
      <w:r w:rsidR="00B5200A" w:rsidRPr="00101E89">
        <w:t xml:space="preserve"> we did not measure actual driving behaviour</w:t>
      </w:r>
      <w:r w:rsidR="00AC780E" w:rsidRPr="00101E89">
        <w:t>.</w:t>
      </w:r>
      <w:r w:rsidR="00A42059" w:rsidRPr="00101E89">
        <w:t xml:space="preserve"> </w:t>
      </w:r>
      <w:r w:rsidR="001155AC">
        <w:t xml:space="preserve">Thirdly, young drivers’ behaviour is influenced by a multitude of systemic determinants (i.e. legislations, peers, education, technology etc.). </w:t>
      </w:r>
      <w:r w:rsidR="007B642D">
        <w:t>T</w:t>
      </w:r>
      <w:r w:rsidR="001155AC">
        <w:t xml:space="preserve">he road safety films </w:t>
      </w:r>
      <w:r w:rsidR="00117C47">
        <w:t xml:space="preserve">that were </w:t>
      </w:r>
      <w:r w:rsidR="001155AC">
        <w:t>used in this study</w:t>
      </w:r>
      <w:r w:rsidR="002E2D27">
        <w:t xml:space="preserve">, were created for and used by the Fire and Rescue Service across the UK, </w:t>
      </w:r>
      <w:r w:rsidR="00117C47">
        <w:t xml:space="preserve">and they </w:t>
      </w:r>
      <w:r w:rsidR="001155AC">
        <w:t>tackled some of these determinants</w:t>
      </w:r>
      <w:r w:rsidR="007B642D">
        <w:t>, specifically the role of education and peer influence</w:t>
      </w:r>
      <w:r w:rsidR="001155AC">
        <w:t xml:space="preserve">. </w:t>
      </w:r>
      <w:r w:rsidR="002E2D27">
        <w:t>However</w:t>
      </w:r>
      <w:r w:rsidR="007B642D">
        <w:t xml:space="preserve">, </w:t>
      </w:r>
      <w:r w:rsidR="002E2D27">
        <w:t>the</w:t>
      </w:r>
      <w:r w:rsidR="00061FBE">
        <w:t>se</w:t>
      </w:r>
      <w:r w:rsidR="002E2D27">
        <w:t xml:space="preserve"> films did not portray all the multiple of determinants</w:t>
      </w:r>
      <w:r w:rsidR="00061FBE">
        <w:t xml:space="preserve"> that can influence young drivers</w:t>
      </w:r>
      <w:r w:rsidR="002E2D27">
        <w:t xml:space="preserve">, and </w:t>
      </w:r>
      <w:r w:rsidR="007B642D">
        <w:t xml:space="preserve">this </w:t>
      </w:r>
      <w:r w:rsidR="001155AC">
        <w:t>research</w:t>
      </w:r>
      <w:r w:rsidR="002E2D27">
        <w:t xml:space="preserve"> </w:t>
      </w:r>
      <w:r w:rsidR="001155AC">
        <w:t>did not control for all the factors that are involved in young drivers’ risky behaviours</w:t>
      </w:r>
      <w:r w:rsidR="002E2D27">
        <w:t xml:space="preserve">. </w:t>
      </w:r>
      <w:r w:rsidR="002E2D27">
        <w:rPr>
          <w:lang w:val="en-US"/>
        </w:rPr>
        <w:t>T</w:t>
      </w:r>
      <w:r w:rsidR="002E2D27" w:rsidRPr="000978C3">
        <w:rPr>
          <w:lang w:val="en-US"/>
        </w:rPr>
        <w:t xml:space="preserve">he results of the present study largely </w:t>
      </w:r>
      <w:r w:rsidR="002E2D27">
        <w:rPr>
          <w:lang w:val="en-US"/>
        </w:rPr>
        <w:t xml:space="preserve">raise </w:t>
      </w:r>
      <w:r w:rsidR="002E2D27" w:rsidRPr="000978C3">
        <w:rPr>
          <w:lang w:val="en-US"/>
        </w:rPr>
        <w:t xml:space="preserve">concerns about the use of </w:t>
      </w:r>
      <w:r w:rsidR="002E2D27">
        <w:rPr>
          <w:lang w:val="en-US"/>
        </w:rPr>
        <w:t xml:space="preserve">VR </w:t>
      </w:r>
      <w:r w:rsidR="002E2D27" w:rsidRPr="000978C3">
        <w:rPr>
          <w:lang w:val="en-US"/>
        </w:rPr>
        <w:t xml:space="preserve">and fear appeals. Whether </w:t>
      </w:r>
      <w:r w:rsidR="002E2D27">
        <w:rPr>
          <w:lang w:val="en-US"/>
        </w:rPr>
        <w:t>these results</w:t>
      </w:r>
      <w:r w:rsidR="002E2D27" w:rsidRPr="000978C3">
        <w:rPr>
          <w:lang w:val="en-US"/>
        </w:rPr>
        <w:t xml:space="preserve"> are </w:t>
      </w:r>
      <w:r w:rsidR="002E2D27" w:rsidRPr="000978C3">
        <w:rPr>
          <w:lang w:val="en-US"/>
        </w:rPr>
        <w:lastRenderedPageBreak/>
        <w:t>robust enough to be applicable to other films is an important empirical question.  In the present study we focused on two important vari</w:t>
      </w:r>
      <w:r w:rsidR="002E2D27">
        <w:rPr>
          <w:lang w:val="en-US"/>
        </w:rPr>
        <w:t>a</w:t>
      </w:r>
      <w:r w:rsidR="002E2D27" w:rsidRPr="000978C3">
        <w:rPr>
          <w:lang w:val="en-US"/>
        </w:rPr>
        <w:t>bles (</w:t>
      </w:r>
      <w:r w:rsidR="002E2D27">
        <w:rPr>
          <w:lang w:val="en-US"/>
        </w:rPr>
        <w:t xml:space="preserve">VR </w:t>
      </w:r>
      <w:r w:rsidR="002E2D27" w:rsidRPr="000978C3">
        <w:rPr>
          <w:lang w:val="en-US"/>
        </w:rPr>
        <w:t xml:space="preserve">and fear), </w:t>
      </w:r>
      <w:r w:rsidR="001155AC">
        <w:t xml:space="preserve">and future work should focus on exploring the impact that other determinants may have. </w:t>
      </w:r>
      <w:r w:rsidR="005E1FB2">
        <w:t xml:space="preserve">Despite these limitations, our results have clear implications for risk research. As indicated in the introduction, fear appeals have been extensively </w:t>
      </w:r>
      <w:r w:rsidR="000C4A4D">
        <w:t xml:space="preserve">used in many domains (see de Boer, </w:t>
      </w:r>
      <w:proofErr w:type="spellStart"/>
      <w:r w:rsidR="000C4A4D">
        <w:t>Botzen</w:t>
      </w:r>
      <w:proofErr w:type="spellEnd"/>
      <w:r w:rsidR="000C4A4D">
        <w:t xml:space="preserve">, &amp; </w:t>
      </w:r>
      <w:proofErr w:type="spellStart"/>
      <w:r w:rsidR="000C4A4D">
        <w:t>Toepstra</w:t>
      </w:r>
      <w:proofErr w:type="spellEnd"/>
      <w:r w:rsidR="000C4A4D">
        <w:t>, 2015; Greenberg &amp; Truelove, 2010; Jackson, 2006; Yang, Dillard &amp; Lin, 2018). Our results cast doubt on the use of fear appeals to change human behaviour, at least within the driving domain. Whether they are also applicable to other risky behaviour</w:t>
      </w:r>
      <w:r w:rsidR="00061FBE">
        <w:t>s</w:t>
      </w:r>
      <w:r w:rsidR="000C4A4D">
        <w:t xml:space="preserve"> is an empirical question that would need further </w:t>
      </w:r>
      <w:r w:rsidR="00061FBE">
        <w:t>investigation</w:t>
      </w:r>
      <w:r w:rsidR="000C4A4D">
        <w:t xml:space="preserve">. </w:t>
      </w:r>
      <w:r w:rsidR="00061FBE">
        <w:t>Moreover</w:t>
      </w:r>
      <w:r w:rsidR="000C4A4D">
        <w:t>, our study provides important insights about the utilization of new technology to alter risky driving behaviour. The literature is rife with work on the role of risk and risk perception on accepting or rejecting new technology (e.g. Siegrist, 2002). There is far less work on how new technology—such as VR—can be utilized to impact risk perception as well as behaviour. The present investigation provides, thus, methodological insights about</w:t>
      </w:r>
      <w:r w:rsidR="00AC55F1">
        <w:t xml:space="preserve"> how</w:t>
      </w:r>
      <w:r w:rsidR="000C4A4D">
        <w:t xml:space="preserve"> the use of VR technology i</w:t>
      </w:r>
      <w:r w:rsidR="00AC55F1">
        <w:t>s</w:t>
      </w:r>
      <w:r w:rsidR="000C4A4D">
        <w:t xml:space="preserve"> impacting risky behaviour in the driving domain. Future research should extend the present study to other domains, such as online risk-taking, </w:t>
      </w:r>
      <w:r w:rsidR="00061FBE">
        <w:t>which</w:t>
      </w:r>
      <w:r w:rsidR="000C4A4D">
        <w:t xml:space="preserve"> has gained much attention in the last years (see White, Gummerum &amp; Hanoch, 2015). </w:t>
      </w:r>
    </w:p>
    <w:p w14:paraId="7144D011" w14:textId="4A948E8D" w:rsidR="00625F84" w:rsidRDefault="001155AC" w:rsidP="00B72026">
      <w:pPr>
        <w:ind w:firstLine="720"/>
      </w:pPr>
      <w:r>
        <w:t xml:space="preserve">  </w:t>
      </w:r>
      <w:r w:rsidR="00D45CCD" w:rsidRPr="00101E89">
        <w:t xml:space="preserve">Safe driving interventions </w:t>
      </w:r>
      <w:r w:rsidR="00B5200A" w:rsidRPr="00101E89">
        <w:t xml:space="preserve">are largely focused on and targeted towards young drivers. </w:t>
      </w:r>
      <w:r w:rsidR="00DB5600" w:rsidRPr="00101E89">
        <w:t xml:space="preserve">Reducing risky driving behaviour, and thus collisions, </w:t>
      </w:r>
      <w:r w:rsidR="00D769C3" w:rsidRPr="00101E89">
        <w:t>offers</w:t>
      </w:r>
      <w:r w:rsidR="00DB5600" w:rsidRPr="00101E89">
        <w:t xml:space="preserve"> not only the </w:t>
      </w:r>
      <w:r w:rsidR="00D769C3" w:rsidRPr="00101E89">
        <w:t>opportunity</w:t>
      </w:r>
      <w:r w:rsidR="00DB5600" w:rsidRPr="00101E89">
        <w:t xml:space="preserve"> to save </w:t>
      </w:r>
      <w:r w:rsidR="004473F7" w:rsidRPr="00101E89">
        <w:t>lives</w:t>
      </w:r>
      <w:r w:rsidR="00DB5600" w:rsidRPr="00101E89">
        <w:t xml:space="preserve">, but </w:t>
      </w:r>
      <w:r w:rsidR="00D45CCD" w:rsidRPr="00101E89">
        <w:t xml:space="preserve">also </w:t>
      </w:r>
      <w:r w:rsidR="00DB5600" w:rsidRPr="00101E89">
        <w:t xml:space="preserve">to reduce injuries and </w:t>
      </w:r>
      <w:r w:rsidR="00625F84" w:rsidRPr="00101E89">
        <w:t xml:space="preserve">financial </w:t>
      </w:r>
      <w:r w:rsidR="00DB5600" w:rsidRPr="00101E89">
        <w:t>cost. With millions of young adults being exposed to different driving</w:t>
      </w:r>
      <w:r w:rsidR="00D45CCD" w:rsidRPr="00101E89">
        <w:t xml:space="preserve"> interventions</w:t>
      </w:r>
      <w:r w:rsidR="00DB5600" w:rsidRPr="00101E89">
        <w:t xml:space="preserve">, it is vital that these programs are designed in the best possible way. </w:t>
      </w:r>
      <w:r w:rsidR="00670AEC">
        <w:t>T</w:t>
      </w:r>
      <w:r w:rsidR="00670AEC" w:rsidRPr="00101E89">
        <w:t>his research provides the first examination of the effects of both message content (fear v</w:t>
      </w:r>
      <w:r w:rsidR="00670AEC">
        <w:t>ersus</w:t>
      </w:r>
      <w:r w:rsidR="00670AEC" w:rsidRPr="00101E89">
        <w:t xml:space="preserve"> positive) and mode of delivery (2D v</w:t>
      </w:r>
      <w:r w:rsidR="00670AEC">
        <w:t>ersus</w:t>
      </w:r>
      <w:r w:rsidR="00670AEC" w:rsidRPr="00101E89">
        <w:t xml:space="preserve"> VR) on risky driving behaviour among young drivers. </w:t>
      </w:r>
      <w:r w:rsidR="00625F84" w:rsidRPr="00101E89">
        <w:t xml:space="preserve">The present results caution against further use of fear appeals, especially when delivered via </w:t>
      </w:r>
      <w:r w:rsidR="00725E30" w:rsidRPr="00101E89">
        <w:t xml:space="preserve">VR </w:t>
      </w:r>
      <w:r w:rsidR="00625F84" w:rsidRPr="00101E89">
        <w:t xml:space="preserve">technologies. </w:t>
      </w:r>
      <w:r w:rsidR="00625F84" w:rsidRPr="00101E89">
        <w:lastRenderedPageBreak/>
        <w:t>Rather, using positively</w:t>
      </w:r>
      <w:r w:rsidR="00725E30" w:rsidRPr="00101E89">
        <w:t>-</w:t>
      </w:r>
      <w:r w:rsidR="00625F84" w:rsidRPr="00101E89">
        <w:t xml:space="preserve">framed messages, regardless of the </w:t>
      </w:r>
      <w:r w:rsidR="00725E30" w:rsidRPr="00101E89">
        <w:t xml:space="preserve">delivery </w:t>
      </w:r>
      <w:r w:rsidR="00625F84" w:rsidRPr="00101E89">
        <w:t xml:space="preserve">mode (2D or </w:t>
      </w:r>
      <w:r w:rsidR="00725E30" w:rsidRPr="00101E89">
        <w:t>VR</w:t>
      </w:r>
      <w:r w:rsidR="00625F84" w:rsidRPr="00101E89">
        <w:t xml:space="preserve">), seem to alter driving behaviour in the intended direction. </w:t>
      </w:r>
      <w:r w:rsidR="00712DB9" w:rsidRPr="00101E89">
        <w:t xml:space="preserve">While we focused </w:t>
      </w:r>
      <w:r w:rsidR="00725E30" w:rsidRPr="00101E89">
        <w:t xml:space="preserve">solely </w:t>
      </w:r>
      <w:r w:rsidR="00712DB9" w:rsidRPr="00101E89">
        <w:t xml:space="preserve">on </w:t>
      </w:r>
      <w:r w:rsidR="00725E30" w:rsidRPr="00101E89">
        <w:t>driver safety</w:t>
      </w:r>
      <w:r w:rsidR="00712DB9" w:rsidRPr="00101E89">
        <w:t>, i</w:t>
      </w:r>
      <w:r w:rsidR="00625F84" w:rsidRPr="00101E89">
        <w:t>t is important that</w:t>
      </w:r>
      <w:r w:rsidR="00712DB9" w:rsidRPr="00101E89">
        <w:t xml:space="preserve"> </w:t>
      </w:r>
      <w:r w:rsidR="00625F84" w:rsidRPr="00101E89">
        <w:t xml:space="preserve">future studies extend our results to other domains.  </w:t>
      </w:r>
    </w:p>
    <w:p w14:paraId="402DA48B" w14:textId="77777777" w:rsidR="003F294B" w:rsidRPr="00101E89" w:rsidRDefault="003F294B" w:rsidP="00B72026">
      <w:pPr>
        <w:ind w:firstLine="720"/>
      </w:pPr>
    </w:p>
    <w:p w14:paraId="7E6FED34" w14:textId="12566F83" w:rsidR="001678B5" w:rsidRPr="00061FBE" w:rsidRDefault="00A618FD">
      <w:pPr>
        <w:rPr>
          <w:lang w:val="en-GB"/>
        </w:rPr>
      </w:pPr>
      <w:r w:rsidRPr="00101E89">
        <w:rPr>
          <w:lang w:val="en-GB"/>
        </w:rPr>
        <w:t>The authors declared that they had no conflicts of interest with respect to their authorship or the publication of this article.</w:t>
      </w:r>
    </w:p>
    <w:p w14:paraId="15AED179" w14:textId="0C6149AD" w:rsidR="00F3160E" w:rsidRDefault="00F3160E" w:rsidP="00C64091"/>
    <w:p w14:paraId="7A872EF4" w14:textId="77777777" w:rsidR="00B25FF0" w:rsidRPr="00640A8B" w:rsidRDefault="00B25FF0" w:rsidP="00B25FF0">
      <w:pPr>
        <w:pStyle w:val="Heading1"/>
        <w:jc w:val="left"/>
      </w:pPr>
      <w:r w:rsidRPr="00640A8B">
        <w:t xml:space="preserve">Acknowledgements </w:t>
      </w:r>
    </w:p>
    <w:p w14:paraId="2F2134C9" w14:textId="4A052734" w:rsidR="00B25FF0" w:rsidRPr="00927CE9" w:rsidRDefault="00B25FF0" w:rsidP="00B25FF0">
      <w:pPr>
        <w:pStyle w:val="Heading1"/>
        <w:jc w:val="left"/>
        <w:rPr>
          <w:b w:val="0"/>
        </w:rPr>
      </w:pPr>
      <w:r w:rsidRPr="00927CE9">
        <w:rPr>
          <w:b w:val="0"/>
        </w:rPr>
        <w:t xml:space="preserve">We would like to thank the Devon and Somerset Fire and Rescue Service </w:t>
      </w:r>
      <w:r>
        <w:rPr>
          <w:b w:val="0"/>
        </w:rPr>
        <w:t xml:space="preserve">and the participants </w:t>
      </w:r>
      <w:r w:rsidRPr="00927CE9">
        <w:rPr>
          <w:b w:val="0"/>
        </w:rPr>
        <w:t>for their support and co-operation.</w:t>
      </w:r>
    </w:p>
    <w:p w14:paraId="0B542554" w14:textId="634C207C" w:rsidR="00F3160E" w:rsidRDefault="00F3160E"/>
    <w:p w14:paraId="2C6A7D9A" w14:textId="7363CE38" w:rsidR="00F3160E" w:rsidRDefault="00F3160E" w:rsidP="00C64091"/>
    <w:p w14:paraId="56EB2C75" w14:textId="77777777" w:rsidR="00F3160E" w:rsidRDefault="00F3160E">
      <w:r>
        <w:br w:type="page"/>
      </w:r>
    </w:p>
    <w:p w14:paraId="5261220A" w14:textId="77777777" w:rsidR="00C64091" w:rsidRPr="00101E89" w:rsidRDefault="00C64091" w:rsidP="00C64091"/>
    <w:p w14:paraId="18A2071E" w14:textId="77777777" w:rsidR="00161BD3" w:rsidRPr="00101E89" w:rsidRDefault="00A42059" w:rsidP="00C64091">
      <w:pPr>
        <w:pStyle w:val="Heading1"/>
      </w:pPr>
      <w:bookmarkStart w:id="21" w:name="_dd20uha8exdu" w:colFirst="0" w:colLast="0"/>
      <w:bookmarkEnd w:id="21"/>
      <w:r w:rsidRPr="00101E89">
        <w:t>References</w:t>
      </w:r>
    </w:p>
    <w:p w14:paraId="1AF7BAC1" w14:textId="5E10147B" w:rsidR="00161BD3" w:rsidRPr="00101E89" w:rsidRDefault="00A42059" w:rsidP="004E6D30">
      <w:pPr>
        <w:pBdr>
          <w:top w:val="nil"/>
          <w:left w:val="nil"/>
          <w:bottom w:val="nil"/>
          <w:right w:val="nil"/>
          <w:between w:val="nil"/>
        </w:pBdr>
        <w:ind w:left="850" w:hanging="850"/>
      </w:pPr>
      <w:r w:rsidRPr="00101E89">
        <w:t xml:space="preserve">Anderson, P. L., Price, M., Edwards, S. M., Obasaju, M. A., Schmertz, S. K., Zimand, E., &amp; Calamaras, M. R. (2013). Virtual reality exposure therapy for social anxiety disorder: a randomized controlled trial. </w:t>
      </w:r>
      <w:r w:rsidRPr="00101E89">
        <w:rPr>
          <w:i/>
        </w:rPr>
        <w:t>Journal of Consulting and Clinical Psychology</w:t>
      </w:r>
      <w:r w:rsidRPr="00101E89">
        <w:t>, 81 (5), 751–60. doi: 10.1037/a0033559</w:t>
      </w:r>
    </w:p>
    <w:p w14:paraId="2CC44213" w14:textId="54ECA00A" w:rsidR="00161BD3" w:rsidRDefault="00A42059" w:rsidP="004E6D30">
      <w:pPr>
        <w:pBdr>
          <w:top w:val="nil"/>
          <w:left w:val="nil"/>
          <w:bottom w:val="nil"/>
          <w:right w:val="nil"/>
          <w:between w:val="nil"/>
        </w:pBdr>
        <w:ind w:left="850" w:hanging="850"/>
      </w:pPr>
      <w:r w:rsidRPr="00101E89">
        <w:t xml:space="preserve">Brown, S., &amp; Locker E., (2009). Defensive responses to an emotive anti-alcohol message. </w:t>
      </w:r>
      <w:r w:rsidRPr="00101E89">
        <w:rPr>
          <w:i/>
        </w:rPr>
        <w:t>Psychology &amp; Health</w:t>
      </w:r>
      <w:r w:rsidRPr="00101E89">
        <w:t xml:space="preserve">. 24(5), 517-28. </w:t>
      </w:r>
      <w:proofErr w:type="spellStart"/>
      <w:r w:rsidRPr="00101E89">
        <w:t>doi</w:t>
      </w:r>
      <w:proofErr w:type="spellEnd"/>
      <w:r w:rsidRPr="00101E89">
        <w:t>: 10.1080/08870440801911130.</w:t>
      </w:r>
    </w:p>
    <w:p w14:paraId="14C490A1" w14:textId="41EA49C7" w:rsidR="00C72BA3" w:rsidRPr="00C72BA3" w:rsidRDefault="00C72BA3" w:rsidP="00C72BA3">
      <w:pPr>
        <w:pBdr>
          <w:top w:val="nil"/>
          <w:left w:val="nil"/>
          <w:bottom w:val="nil"/>
          <w:right w:val="nil"/>
          <w:between w:val="nil"/>
        </w:pBdr>
        <w:ind w:left="850" w:hanging="850"/>
        <w:rPr>
          <w:lang w:val="en-US"/>
        </w:rPr>
      </w:pPr>
      <w:r w:rsidRPr="00C72BA3">
        <w:rPr>
          <w:lang w:val="en-US"/>
        </w:rPr>
        <w:t xml:space="preserve">Brown, J., </w:t>
      </w:r>
      <w:proofErr w:type="spellStart"/>
      <w:r w:rsidRPr="00C72BA3">
        <w:rPr>
          <w:lang w:val="en-US"/>
        </w:rPr>
        <w:t>Senserrick</w:t>
      </w:r>
      <w:proofErr w:type="spellEnd"/>
      <w:r w:rsidRPr="00C72BA3">
        <w:rPr>
          <w:lang w:val="en-US"/>
        </w:rPr>
        <w:t>, T., &amp; Bils</w:t>
      </w:r>
      <w:r>
        <w:rPr>
          <w:lang w:val="en-US"/>
        </w:rPr>
        <w:t xml:space="preserve">ton, L.E., (2014). Gender differences in crash characteristics among young drivers admitted to hospitals in NSW. </w:t>
      </w:r>
      <w:r w:rsidRPr="00C72BA3">
        <w:rPr>
          <w:lang w:val="en-US"/>
        </w:rPr>
        <w:t>Proceedings of the 2014 Australasian Road Safety Research, Policing &amp; Education Conference</w:t>
      </w:r>
      <w:r>
        <w:rPr>
          <w:lang w:val="en-US"/>
        </w:rPr>
        <w:t xml:space="preserve"> </w:t>
      </w:r>
      <w:r w:rsidRPr="00C72BA3">
        <w:rPr>
          <w:lang w:val="en-US"/>
        </w:rPr>
        <w:t>12-14 November, Grand Hyatt Melbourne</w:t>
      </w:r>
      <w:r>
        <w:rPr>
          <w:lang w:val="en-US"/>
        </w:rPr>
        <w:t>.</w:t>
      </w:r>
    </w:p>
    <w:p w14:paraId="0027A314" w14:textId="77777777" w:rsidR="00161BD3" w:rsidRPr="00101E89" w:rsidRDefault="00A42059" w:rsidP="004E6D30">
      <w:pPr>
        <w:pBdr>
          <w:top w:val="nil"/>
          <w:left w:val="nil"/>
          <w:bottom w:val="nil"/>
          <w:right w:val="nil"/>
          <w:between w:val="nil"/>
        </w:pBdr>
        <w:ind w:left="850" w:hanging="850"/>
      </w:pPr>
      <w:proofErr w:type="spellStart"/>
      <w:r w:rsidRPr="00F3160E">
        <w:rPr>
          <w:lang w:val="en-US"/>
        </w:rPr>
        <w:t>Blondé</w:t>
      </w:r>
      <w:proofErr w:type="spellEnd"/>
      <w:r w:rsidRPr="00F3160E">
        <w:rPr>
          <w:lang w:val="en-US"/>
        </w:rPr>
        <w:t xml:space="preserve">, J., &amp; </w:t>
      </w:r>
      <w:proofErr w:type="spellStart"/>
      <w:r w:rsidRPr="00F3160E">
        <w:rPr>
          <w:lang w:val="en-US"/>
        </w:rPr>
        <w:t>Girandola</w:t>
      </w:r>
      <w:proofErr w:type="spellEnd"/>
      <w:r w:rsidRPr="00F3160E">
        <w:rPr>
          <w:lang w:val="en-US"/>
        </w:rPr>
        <w:t xml:space="preserve">, F. (2017). </w:t>
      </w:r>
      <w:r w:rsidRPr="00101E89">
        <w:t xml:space="preserve">When Defensive Reactions Contribute to the Acceptance of Fear-Arousing Communications. </w:t>
      </w:r>
      <w:r w:rsidRPr="00101E89">
        <w:rPr>
          <w:i/>
        </w:rPr>
        <w:t>Current Psychology</w:t>
      </w:r>
      <w:r w:rsidRPr="00101E89">
        <w:t>. doi:10.1007/s12144-017-9590-z</w:t>
      </w:r>
    </w:p>
    <w:p w14:paraId="0BA7F762" w14:textId="77777777" w:rsidR="00161BD3" w:rsidRPr="00101E89" w:rsidRDefault="00A42059" w:rsidP="004E6D30">
      <w:pPr>
        <w:pBdr>
          <w:top w:val="nil"/>
          <w:left w:val="nil"/>
          <w:bottom w:val="nil"/>
          <w:right w:val="nil"/>
          <w:between w:val="nil"/>
        </w:pBdr>
        <w:ind w:left="850" w:hanging="850"/>
      </w:pPr>
      <w:r w:rsidRPr="00101E89">
        <w:t xml:space="preserve">Carey, R. N., McDermott, D. T., &amp; Sarma, K. M. (2013). The impact of threat appeals on fear arousal and driver behavior: a meta-analysis of experimental research 1990-2011. </w:t>
      </w:r>
      <w:r w:rsidRPr="00101E89">
        <w:rPr>
          <w:i/>
        </w:rPr>
        <w:t>PLoS One</w:t>
      </w:r>
      <w:r w:rsidRPr="00101E89">
        <w:t>, 8(5), e62821. doi:10.1371/journal.pone.0062821</w:t>
      </w:r>
    </w:p>
    <w:p w14:paraId="45CA1829" w14:textId="77777777" w:rsidR="00035754" w:rsidRPr="00101E89" w:rsidRDefault="00035754" w:rsidP="00035754">
      <w:pPr>
        <w:pBdr>
          <w:top w:val="nil"/>
          <w:left w:val="nil"/>
          <w:bottom w:val="nil"/>
          <w:right w:val="nil"/>
          <w:between w:val="nil"/>
        </w:pBdr>
        <w:ind w:left="850" w:hanging="850"/>
      </w:pPr>
      <w:r w:rsidRPr="00101E89">
        <w:t xml:space="preserve">Chraif, N., Anitei, M., &amp; Alex, S., (2013). The Effects of Exposure to the Publicity Campaign "Stop the Accidents" on the Willingness to Take Risks in Traffic Situations. </w:t>
      </w:r>
      <w:r w:rsidRPr="00101E89">
        <w:rPr>
          <w:i/>
        </w:rPr>
        <w:t xml:space="preserve">Social </w:t>
      </w:r>
      <w:r w:rsidR="00FC1C1E" w:rsidRPr="00101E89">
        <w:rPr>
          <w:i/>
        </w:rPr>
        <w:t xml:space="preserve">&amp; </w:t>
      </w:r>
      <w:r w:rsidRPr="00101E89">
        <w:rPr>
          <w:i/>
        </w:rPr>
        <w:t>Behavioral Sciences</w:t>
      </w:r>
      <w:r w:rsidR="00FC1C1E" w:rsidRPr="00101E89">
        <w:t>,</w:t>
      </w:r>
      <w:r w:rsidRPr="00101E89">
        <w:t xml:space="preserve"> 78 562 – 566. doi: 10.1016/j.sbspro.2013.04.351</w:t>
      </w:r>
    </w:p>
    <w:p w14:paraId="750DAF87" w14:textId="1FB39D2C" w:rsidR="00161BD3" w:rsidRDefault="00A42059" w:rsidP="004E6D30">
      <w:pPr>
        <w:pBdr>
          <w:top w:val="nil"/>
          <w:left w:val="nil"/>
          <w:bottom w:val="nil"/>
          <w:right w:val="nil"/>
          <w:between w:val="nil"/>
        </w:pBdr>
        <w:ind w:left="850" w:hanging="850"/>
      </w:pPr>
      <w:r w:rsidRPr="00101E89">
        <w:t xml:space="preserve">Cohn, J., (1998). Don’t just say no—Berkeley research Dr. Joel Brown questions effectiveness of the federal government’s anti-drug education program, San Francisco Bay Guardian, August 5, 1998. Retrieved April 10, 2009, from: </w:t>
      </w:r>
      <w:hyperlink r:id="rId13">
        <w:r w:rsidRPr="00101E89">
          <w:rPr>
            <w:color w:val="1155CC"/>
            <w:u w:val="single"/>
          </w:rPr>
          <w:t>www.cerd.org/press/press03.html</w:t>
        </w:r>
      </w:hyperlink>
      <w:r w:rsidRPr="00101E89">
        <w:t>.</w:t>
      </w:r>
    </w:p>
    <w:p w14:paraId="48A1702F" w14:textId="0882BFE5" w:rsidR="00C757CF" w:rsidRPr="00C757CF" w:rsidRDefault="00C757CF" w:rsidP="004E6D30">
      <w:pPr>
        <w:pBdr>
          <w:top w:val="nil"/>
          <w:left w:val="nil"/>
          <w:bottom w:val="nil"/>
          <w:right w:val="nil"/>
          <w:between w:val="nil"/>
        </w:pBdr>
        <w:ind w:left="850" w:hanging="850"/>
      </w:pPr>
      <w:r>
        <w:lastRenderedPageBreak/>
        <w:t xml:space="preserve">de Boer, J., </w:t>
      </w:r>
      <w:proofErr w:type="spellStart"/>
      <w:r w:rsidRPr="00C757CF">
        <w:t>Botzen</w:t>
      </w:r>
      <w:proofErr w:type="spellEnd"/>
      <w:r>
        <w:t xml:space="preserve">, W.J.W., &amp; </w:t>
      </w:r>
      <w:r w:rsidRPr="00C757CF">
        <w:t>Terpstra</w:t>
      </w:r>
      <w:r>
        <w:t xml:space="preserve">, T., (2015). </w:t>
      </w:r>
      <w:r w:rsidRPr="00C757CF">
        <w:t>More Than Fear Induction: Toward an Understanding of People's Motivation to Be Well‐Prepared for Emergencies in Flood‐Prone Areas</w:t>
      </w:r>
      <w:r>
        <w:t xml:space="preserve">. </w:t>
      </w:r>
      <w:r>
        <w:rPr>
          <w:i/>
          <w:iCs/>
        </w:rPr>
        <w:t>Risk Analysis</w:t>
      </w:r>
      <w:r>
        <w:t xml:space="preserve">, 35(3), </w:t>
      </w:r>
      <w:r w:rsidRPr="00C757CF">
        <w:t>518-</w:t>
      </w:r>
      <w:proofErr w:type="gramStart"/>
      <w:r w:rsidRPr="00C757CF">
        <w:t>535</w:t>
      </w:r>
      <w:r>
        <w:t xml:space="preserve"> </w:t>
      </w:r>
      <w:r w:rsidRPr="00C757CF">
        <w:t xml:space="preserve"> https://doi.org/10.1111/risa.12289</w:t>
      </w:r>
      <w:proofErr w:type="gramEnd"/>
    </w:p>
    <w:p w14:paraId="2913CC60" w14:textId="77777777" w:rsidR="00161BD3" w:rsidRPr="00101E89" w:rsidRDefault="00A42059" w:rsidP="004E6D30">
      <w:pPr>
        <w:pBdr>
          <w:top w:val="nil"/>
          <w:left w:val="nil"/>
          <w:bottom w:val="nil"/>
          <w:right w:val="nil"/>
          <w:between w:val="nil"/>
        </w:pBdr>
        <w:ind w:left="850" w:hanging="850"/>
      </w:pPr>
      <w:r w:rsidRPr="00101E89">
        <w:t xml:space="preserve">De Hoog, N., Stroebe, W., &amp; de Wit, J. B. F. (2008). The processing of fear-arousing communications: How biased processing leads to persuasion. </w:t>
      </w:r>
      <w:r w:rsidRPr="00101E89">
        <w:rPr>
          <w:i/>
        </w:rPr>
        <w:t>Social Influence</w:t>
      </w:r>
      <w:r w:rsidRPr="00101E89">
        <w:t xml:space="preserve">, 3 (2), 84–113 doi: 10.1080/15534510802185836 </w:t>
      </w:r>
    </w:p>
    <w:p w14:paraId="77943BF0" w14:textId="4E64927F" w:rsidR="00161BD3" w:rsidRDefault="00A42059" w:rsidP="004E6D30">
      <w:pPr>
        <w:pBdr>
          <w:top w:val="nil"/>
          <w:left w:val="nil"/>
          <w:bottom w:val="nil"/>
          <w:right w:val="nil"/>
          <w:between w:val="nil"/>
        </w:pBdr>
        <w:ind w:left="850" w:hanging="850"/>
      </w:pPr>
      <w:r w:rsidRPr="00101E89">
        <w:t xml:space="preserve">Dejong, W., &amp; Atkin, C. K. (1995). A review of national television PSA campaigns for preventing              alcohol impaired driving, 1987-1992. </w:t>
      </w:r>
      <w:r w:rsidRPr="00101E89">
        <w:rPr>
          <w:i/>
        </w:rPr>
        <w:t>Journal of Public Health Policy</w:t>
      </w:r>
      <w:r w:rsidRPr="00101E89">
        <w:t>, 16, 59-80</w:t>
      </w:r>
    </w:p>
    <w:p w14:paraId="0354E490" w14:textId="4BC42099" w:rsidR="003D1C0E" w:rsidRPr="003D1C0E" w:rsidRDefault="003D1C0E" w:rsidP="003D1C0E">
      <w:pPr>
        <w:pBdr>
          <w:top w:val="nil"/>
          <w:left w:val="nil"/>
          <w:bottom w:val="nil"/>
          <w:right w:val="nil"/>
          <w:between w:val="nil"/>
        </w:pBdr>
        <w:ind w:left="850" w:hanging="850"/>
        <w:rPr>
          <w:lang w:val="en-US"/>
        </w:rPr>
      </w:pPr>
      <w:proofErr w:type="spellStart"/>
      <w:r w:rsidRPr="00F3160E">
        <w:rPr>
          <w:lang w:val="en-US"/>
        </w:rPr>
        <w:t>Dorta</w:t>
      </w:r>
      <w:proofErr w:type="spellEnd"/>
      <w:r w:rsidRPr="00F3160E">
        <w:rPr>
          <w:lang w:val="en-US"/>
        </w:rPr>
        <w:t xml:space="preserve">, T., </w:t>
      </w:r>
      <w:proofErr w:type="spellStart"/>
      <w:r w:rsidRPr="00F3160E">
        <w:rPr>
          <w:lang w:val="en-US"/>
        </w:rPr>
        <w:t>Pierini</w:t>
      </w:r>
      <w:proofErr w:type="spellEnd"/>
      <w:r w:rsidRPr="00F3160E">
        <w:rPr>
          <w:lang w:val="en-US"/>
        </w:rPr>
        <w:t xml:space="preserve">, D., </w:t>
      </w:r>
      <w:proofErr w:type="spellStart"/>
      <w:r w:rsidRPr="00F3160E">
        <w:rPr>
          <w:lang w:val="en-US"/>
        </w:rPr>
        <w:t>Boudhraâ</w:t>
      </w:r>
      <w:proofErr w:type="spellEnd"/>
      <w:r w:rsidRPr="00F3160E">
        <w:rPr>
          <w:lang w:val="en-US"/>
        </w:rPr>
        <w:t xml:space="preserve">, S., (2016). </w:t>
      </w:r>
      <w:r w:rsidRPr="003D1C0E">
        <w:rPr>
          <w:lang/>
        </w:rPr>
        <w:t>Why 360° and VR headsets for movies? Exploratory study of Social VR via Hyve-3D</w:t>
      </w:r>
      <w:r w:rsidRPr="003D1C0E">
        <w:rPr>
          <w:lang w:val="en-US"/>
        </w:rPr>
        <w:t xml:space="preserve">. IHM’16: </w:t>
      </w:r>
      <w:proofErr w:type="spellStart"/>
      <w:r w:rsidRPr="003D1C0E">
        <w:rPr>
          <w:lang w:val="en-US"/>
        </w:rPr>
        <w:t>Contextes</w:t>
      </w:r>
      <w:proofErr w:type="spellEnd"/>
      <w:r w:rsidRPr="003D1C0E">
        <w:rPr>
          <w:lang w:val="en-US"/>
        </w:rPr>
        <w:t xml:space="preserve"> et </w:t>
      </w:r>
      <w:proofErr w:type="spellStart"/>
      <w:r w:rsidRPr="003D1C0E">
        <w:rPr>
          <w:lang w:val="en-US"/>
        </w:rPr>
        <w:t>domaines</w:t>
      </w:r>
      <w:proofErr w:type="spellEnd"/>
      <w:r w:rsidRPr="003D1C0E">
        <w:rPr>
          <w:lang w:val="en-US"/>
        </w:rPr>
        <w:t xml:space="preserve"> </w:t>
      </w:r>
      <w:proofErr w:type="spellStart"/>
      <w:r w:rsidRPr="003D1C0E">
        <w:rPr>
          <w:lang w:val="en-US"/>
        </w:rPr>
        <w:t>applicatifs</w:t>
      </w:r>
      <w:proofErr w:type="spellEnd"/>
      <w:r w:rsidRPr="003D1C0E">
        <w:rPr>
          <w:lang w:val="en-US"/>
        </w:rPr>
        <w:t xml:space="preserve"> 10.1145/3004107.3004117</w:t>
      </w:r>
    </w:p>
    <w:p w14:paraId="0CCC67D1" w14:textId="77777777" w:rsidR="009A797A" w:rsidRPr="005D307A" w:rsidRDefault="009A797A" w:rsidP="009A797A">
      <w:pPr>
        <w:pBdr>
          <w:top w:val="nil"/>
          <w:left w:val="nil"/>
          <w:bottom w:val="nil"/>
          <w:right w:val="nil"/>
          <w:between w:val="nil"/>
        </w:pBdr>
        <w:ind w:left="850" w:hanging="850"/>
        <w:rPr>
          <w:lang w:val="en-US"/>
        </w:rPr>
      </w:pPr>
      <w:r w:rsidRPr="00101E89">
        <w:t xml:space="preserve">Fisher, P., </w:t>
      </w:r>
      <w:proofErr w:type="spellStart"/>
      <w:r w:rsidRPr="005D307A">
        <w:rPr>
          <w:lang w:val="en-US"/>
        </w:rPr>
        <w:t>Kastenmüller</w:t>
      </w:r>
      <w:proofErr w:type="spellEnd"/>
      <w:r w:rsidRPr="005D307A">
        <w:rPr>
          <w:lang w:val="en-US"/>
        </w:rPr>
        <w:t xml:space="preserve">, A., &amp; </w:t>
      </w:r>
      <w:proofErr w:type="spellStart"/>
      <w:r w:rsidRPr="005D307A">
        <w:rPr>
          <w:lang w:val="en-US"/>
        </w:rPr>
        <w:t>Asal</w:t>
      </w:r>
      <w:proofErr w:type="spellEnd"/>
      <w:r w:rsidRPr="005D307A">
        <w:rPr>
          <w:lang w:val="en-US"/>
        </w:rPr>
        <w:t xml:space="preserve">, K., (2012) Ego Depletion Increases Risk-Taking. </w:t>
      </w:r>
      <w:r w:rsidRPr="005D307A">
        <w:rPr>
          <w:i/>
          <w:lang w:val="en-US"/>
        </w:rPr>
        <w:t>The Journal of Social Psychology</w:t>
      </w:r>
      <w:r w:rsidRPr="005D307A">
        <w:rPr>
          <w:lang w:val="en-US"/>
        </w:rPr>
        <w:t>, 152:5, 623-638, DOI: 10.1080/00224545.2012.683894</w:t>
      </w:r>
    </w:p>
    <w:p w14:paraId="18B779B2" w14:textId="74A8C6DA" w:rsidR="00161BD3" w:rsidRDefault="00A42059" w:rsidP="004E6D30">
      <w:pPr>
        <w:pBdr>
          <w:top w:val="nil"/>
          <w:left w:val="nil"/>
          <w:bottom w:val="nil"/>
          <w:right w:val="nil"/>
          <w:between w:val="nil"/>
        </w:pBdr>
        <w:ind w:left="850" w:hanging="850"/>
      </w:pPr>
      <w:r w:rsidRPr="00101E89">
        <w:t xml:space="preserve">Forbes, (2018, 5, 31). Ford Uses VR To Let Cyclists And Motorists See The Road From The Other's Point Of View. Retrieved from </w:t>
      </w:r>
      <w:hyperlink r:id="rId14" w:anchor="4c853e9b484b">
        <w:r w:rsidRPr="00101E89">
          <w:rPr>
            <w:color w:val="1155CC"/>
            <w:u w:val="single"/>
          </w:rPr>
          <w:t>https://www.forbes.com/sites/kevinmurnane/2018/05/31/ford-uses-vr-to-let-cyclists-and-motorists-see-the-road-from-the-others-point-of-view/#4c853e9b484b</w:t>
        </w:r>
      </w:hyperlink>
      <w:r w:rsidRPr="00101E89">
        <w:t xml:space="preserve"> </w:t>
      </w:r>
    </w:p>
    <w:p w14:paraId="30A64A5C" w14:textId="6DF7C26E" w:rsidR="00C757CF" w:rsidRPr="00C757CF" w:rsidRDefault="00C757CF" w:rsidP="00C757CF">
      <w:pPr>
        <w:pBdr>
          <w:top w:val="nil"/>
          <w:left w:val="nil"/>
          <w:bottom w:val="nil"/>
          <w:right w:val="nil"/>
          <w:between w:val="nil"/>
        </w:pBdr>
        <w:ind w:left="850" w:hanging="850"/>
      </w:pPr>
      <w:r>
        <w:t xml:space="preserve">Greenberg, M., &amp; Truelove, H.B., (2011). </w:t>
      </w:r>
      <w:r w:rsidRPr="00C757CF">
        <w:t>Energy Choices and Risk Beliefs: Is It Just Global Warming and Fear of a Nuclear Power Plant Accident?</w:t>
      </w:r>
      <w:r>
        <w:t xml:space="preserve"> </w:t>
      </w:r>
      <w:r>
        <w:rPr>
          <w:i/>
          <w:iCs/>
        </w:rPr>
        <w:t xml:space="preserve">Risk Analysis, </w:t>
      </w:r>
      <w:r>
        <w:t xml:space="preserve">31(5), </w:t>
      </w:r>
      <w:r w:rsidRPr="00C757CF">
        <w:t>819-831</w:t>
      </w:r>
      <w:r>
        <w:t xml:space="preserve"> </w:t>
      </w:r>
      <w:r w:rsidRPr="00C757CF">
        <w:t>https://doi.org/10.1111/j.1539-6924.2010.01535.x</w:t>
      </w:r>
    </w:p>
    <w:p w14:paraId="549B421E" w14:textId="0B2B57A2" w:rsidR="00E45535" w:rsidRPr="00E45535" w:rsidRDefault="00E45535" w:rsidP="00E45535">
      <w:pPr>
        <w:pBdr>
          <w:top w:val="nil"/>
          <w:left w:val="nil"/>
          <w:bottom w:val="nil"/>
          <w:right w:val="nil"/>
          <w:between w:val="nil"/>
        </w:pBdr>
        <w:ind w:left="850" w:hanging="850"/>
      </w:pPr>
      <w:r>
        <w:rPr>
          <w:rFonts w:ascii="Calibri" w:hAnsi="Calibri" w:cs="Calibri"/>
        </w:rPr>
        <w:t>﻿</w:t>
      </w:r>
      <w:r>
        <w:t xml:space="preserve">Hardeman, W., Johnston, M., Johnston, D., Bonetti, D., &amp; Wareham, N., (2002). </w:t>
      </w:r>
      <w:r w:rsidRPr="00E45535">
        <w:rPr>
          <w:rFonts w:ascii="Calibri" w:hAnsi="Calibri" w:cs="Calibri"/>
        </w:rPr>
        <w:t>﻿</w:t>
      </w:r>
      <w:r w:rsidRPr="00E45535">
        <w:t>Application of the Theory of Planned Behaviour in Behaviour Change Interventions: A Systematic Review</w:t>
      </w:r>
      <w:r>
        <w:t xml:space="preserve">. </w:t>
      </w:r>
      <w:r>
        <w:rPr>
          <w:i/>
          <w:iCs/>
        </w:rPr>
        <w:t xml:space="preserve">Psychology and Health, </w:t>
      </w:r>
      <w:r>
        <w:t xml:space="preserve">17(2) 123-158 </w:t>
      </w:r>
      <w:r w:rsidRPr="00E45535">
        <w:rPr>
          <w:rFonts w:ascii="Calibri" w:hAnsi="Calibri" w:cs="Calibri"/>
        </w:rPr>
        <w:t>﻿</w:t>
      </w:r>
      <w:r w:rsidRPr="00E45535">
        <w:t>10.1080/08870440290013644</w:t>
      </w:r>
    </w:p>
    <w:p w14:paraId="75CC232F" w14:textId="4087549C" w:rsidR="00161BD3" w:rsidRPr="00101E89" w:rsidRDefault="00A42059" w:rsidP="004E6D30">
      <w:pPr>
        <w:pBdr>
          <w:top w:val="nil"/>
          <w:left w:val="nil"/>
          <w:bottom w:val="nil"/>
          <w:right w:val="nil"/>
          <w:between w:val="nil"/>
        </w:pBdr>
        <w:ind w:left="850" w:hanging="850"/>
      </w:pPr>
      <w:r w:rsidRPr="00101E89">
        <w:lastRenderedPageBreak/>
        <w:t xml:space="preserve">Hastings, G., &amp; </w:t>
      </w:r>
      <w:proofErr w:type="spellStart"/>
      <w:r w:rsidRPr="00101E89">
        <w:t>MacFadyen</w:t>
      </w:r>
      <w:proofErr w:type="spellEnd"/>
      <w:r w:rsidRPr="00101E89">
        <w:t xml:space="preserve">, L., (2002). The limitations of fear messages. </w:t>
      </w:r>
      <w:r w:rsidRPr="00101E89">
        <w:rPr>
          <w:i/>
        </w:rPr>
        <w:t>Tobacco Control</w:t>
      </w:r>
      <w:r w:rsidRPr="00101E89">
        <w:t>, 11(1), 73–75. doi:10.1136/tc.11.1.73</w:t>
      </w:r>
    </w:p>
    <w:p w14:paraId="336EBEC2" w14:textId="13166D95" w:rsidR="00161BD3" w:rsidRDefault="00A42059" w:rsidP="004E6D30">
      <w:pPr>
        <w:pBdr>
          <w:top w:val="nil"/>
          <w:left w:val="nil"/>
          <w:bottom w:val="nil"/>
          <w:right w:val="nil"/>
          <w:between w:val="nil"/>
        </w:pBdr>
        <w:ind w:left="850" w:hanging="850"/>
      </w:pPr>
      <w:r w:rsidRPr="00101E89">
        <w:t xml:space="preserve">Hastings, R.P., &amp; Remington, B., (1993) “Is there anything on … Why ‘good’ behavioural programmes fail?”: A brief review. </w:t>
      </w:r>
      <w:r w:rsidRPr="00101E89">
        <w:rPr>
          <w:i/>
        </w:rPr>
        <w:t>Clinical Psychology Forum</w:t>
      </w:r>
      <w:r w:rsidRPr="00101E89">
        <w:t>, 55, 9-11</w:t>
      </w:r>
    </w:p>
    <w:p w14:paraId="5E76A639" w14:textId="56662D76" w:rsidR="000C4A4D" w:rsidRPr="000C4A4D" w:rsidRDefault="000C4A4D" w:rsidP="004E6D30">
      <w:pPr>
        <w:pBdr>
          <w:top w:val="nil"/>
          <w:left w:val="nil"/>
          <w:bottom w:val="nil"/>
          <w:right w:val="nil"/>
          <w:between w:val="nil"/>
        </w:pBdr>
        <w:ind w:left="850" w:hanging="850"/>
      </w:pPr>
      <w:r>
        <w:t xml:space="preserve">Jackson, J., (2006). </w:t>
      </w:r>
      <w:r w:rsidRPr="000C4A4D">
        <w:t>Introducing Fear of Crime to Risk Research</w:t>
      </w:r>
      <w:r>
        <w:t xml:space="preserve">. </w:t>
      </w:r>
      <w:r>
        <w:rPr>
          <w:i/>
          <w:iCs/>
        </w:rPr>
        <w:t xml:space="preserve">Risk Analysis, </w:t>
      </w:r>
      <w:r>
        <w:t>26(1), 253-</w:t>
      </w:r>
      <w:r w:rsidR="00C757CF">
        <w:t xml:space="preserve">264 </w:t>
      </w:r>
      <w:r w:rsidR="00C757CF" w:rsidRPr="000C4A4D">
        <w:t>https://doi.org/10.1111/j.1539-6924.2006.00715.x</w:t>
      </w:r>
    </w:p>
    <w:p w14:paraId="3A98D58B" w14:textId="77777777" w:rsidR="00161BD3" w:rsidRPr="00101E89" w:rsidRDefault="00A42059" w:rsidP="004E6D30">
      <w:pPr>
        <w:pBdr>
          <w:top w:val="nil"/>
          <w:left w:val="nil"/>
          <w:bottom w:val="nil"/>
          <w:right w:val="nil"/>
          <w:between w:val="nil"/>
        </w:pBdr>
        <w:ind w:left="850" w:hanging="850"/>
      </w:pPr>
      <w:r w:rsidRPr="00101E89">
        <w:t xml:space="preserve">Jessop, D.C., Albery, I.P., Rutter, J., &amp; Garrod, H., (2008). Understanding the impact of mortality related health-risk information: A terror management theory perspective. </w:t>
      </w:r>
      <w:r w:rsidRPr="00101E89">
        <w:rPr>
          <w:i/>
        </w:rPr>
        <w:t>Personality and Social Psychology Bulletin</w:t>
      </w:r>
      <w:r w:rsidRPr="00101E89">
        <w:t xml:space="preserve"> 34, 951–964</w:t>
      </w:r>
    </w:p>
    <w:p w14:paraId="144510C3" w14:textId="77777777" w:rsidR="00640A8B" w:rsidRPr="00101E89" w:rsidRDefault="00640A8B" w:rsidP="00640A8B">
      <w:pPr>
        <w:pBdr>
          <w:top w:val="nil"/>
          <w:left w:val="nil"/>
          <w:bottom w:val="nil"/>
          <w:right w:val="nil"/>
          <w:between w:val="nil"/>
        </w:pBdr>
        <w:ind w:left="850" w:hanging="850"/>
      </w:pPr>
      <w:r w:rsidRPr="00101E89">
        <w:t xml:space="preserve">Keller, P. A., &amp; Block, L. G. (1996). Increasing the persuasiveness of fear appeals: the effect of arousal and elaboration. </w:t>
      </w:r>
      <w:r w:rsidRPr="00101E89">
        <w:rPr>
          <w:i/>
        </w:rPr>
        <w:t>Journal of consumer research</w:t>
      </w:r>
      <w:r w:rsidRPr="00101E89">
        <w:t>, 22(4), 448-459. http://dx.doi.org/10.1086/209461</w:t>
      </w:r>
    </w:p>
    <w:p w14:paraId="38A0C575" w14:textId="1C5C8AE0" w:rsidR="00161BD3" w:rsidRDefault="00A42059" w:rsidP="004E6D30">
      <w:pPr>
        <w:pBdr>
          <w:top w:val="nil"/>
          <w:left w:val="nil"/>
          <w:bottom w:val="nil"/>
          <w:right w:val="nil"/>
          <w:between w:val="nil"/>
        </w:pBdr>
        <w:ind w:left="708" w:hanging="708"/>
      </w:pPr>
      <w:r w:rsidRPr="00101E89">
        <w:t>Kempf, D.S., &amp; Harmon, S.K. (2006). Examining the effectiveness of proposed cigarette package warning labels with graphic images among U.S. college students.</w:t>
      </w:r>
      <w:r w:rsidRPr="00101E89">
        <w:rPr>
          <w:i/>
        </w:rPr>
        <w:t xml:space="preserve"> Academy of Marketing Studies Journal,</w:t>
      </w:r>
      <w:r w:rsidRPr="00101E89">
        <w:t xml:space="preserve"> 10(2), 77-93</w:t>
      </w:r>
    </w:p>
    <w:p w14:paraId="2548856C" w14:textId="7B640F10" w:rsidR="00C757CF" w:rsidRPr="00101E89" w:rsidRDefault="00C757CF" w:rsidP="00C757CF">
      <w:pPr>
        <w:pBdr>
          <w:top w:val="nil"/>
          <w:left w:val="nil"/>
          <w:bottom w:val="nil"/>
          <w:right w:val="nil"/>
          <w:between w:val="nil"/>
        </w:pBdr>
        <w:ind w:left="850" w:hanging="850"/>
      </w:pPr>
      <w:proofErr w:type="spellStart"/>
      <w:r>
        <w:t>Kinmonth</w:t>
      </w:r>
      <w:proofErr w:type="spellEnd"/>
      <w:r>
        <w:t>, A.L.</w:t>
      </w:r>
      <w:r w:rsidRPr="00101E89">
        <w:t xml:space="preserve"> </w:t>
      </w:r>
      <w:proofErr w:type="spellStart"/>
      <w:r w:rsidRPr="00101E89">
        <w:t>Harré</w:t>
      </w:r>
      <w:proofErr w:type="spellEnd"/>
      <w:r w:rsidRPr="00101E89">
        <w:t>, N., Foster, S., &amp; O'Neill, M. (2005). Self-enhancement, crash-risk optimism and the impact of safety advertisements on young drivers</w:t>
      </w:r>
      <w:r w:rsidRPr="00101E89">
        <w:rPr>
          <w:i/>
        </w:rPr>
        <w:t>. British Journal of Psychology</w:t>
      </w:r>
      <w:r w:rsidRPr="00101E89">
        <w:t xml:space="preserve">, 96, 215–654 230. </w:t>
      </w:r>
      <w:proofErr w:type="spellStart"/>
      <w:r w:rsidRPr="00101E89">
        <w:t>doi</w:t>
      </w:r>
      <w:proofErr w:type="spellEnd"/>
      <w:r w:rsidRPr="00101E89">
        <w:t>: 10.1348/000712605X36019</w:t>
      </w:r>
    </w:p>
    <w:p w14:paraId="0AC3F153" w14:textId="77777777" w:rsidR="00161BD3" w:rsidRPr="00101E89" w:rsidRDefault="00A42059" w:rsidP="004E6D30">
      <w:pPr>
        <w:pBdr>
          <w:top w:val="nil"/>
          <w:left w:val="nil"/>
          <w:bottom w:val="nil"/>
          <w:right w:val="nil"/>
          <w:between w:val="nil"/>
        </w:pBdr>
        <w:ind w:left="708" w:hanging="708"/>
      </w:pPr>
      <w:r w:rsidRPr="00101E89">
        <w:t xml:space="preserve">Klimmt, C., Hefner, D., &amp; Vorderer, P. (2009). The video game experience as “true” identification: A theory of enjoyable alterations of players’ self-perception. </w:t>
      </w:r>
      <w:r w:rsidRPr="00101E89">
        <w:rPr>
          <w:i/>
        </w:rPr>
        <w:t>Communication Theory</w:t>
      </w:r>
      <w:r w:rsidRPr="00101E89">
        <w:t xml:space="preserve">, 19, 351-373 </w:t>
      </w:r>
      <w:r w:rsidRPr="00101E89">
        <w:rPr>
          <w:highlight w:val="white"/>
        </w:rPr>
        <w:t>https://doi.org/10.1111/j.1468-2885.2009.01347.x</w:t>
      </w:r>
    </w:p>
    <w:p w14:paraId="1A0DAC23" w14:textId="77777777" w:rsidR="00643F26" w:rsidRPr="00101E89" w:rsidRDefault="00A42059" w:rsidP="004E6D30">
      <w:pPr>
        <w:ind w:left="708" w:hanging="708"/>
      </w:pPr>
      <w:r w:rsidRPr="00101E89">
        <w:lastRenderedPageBreak/>
        <w:t xml:space="preserve">Kok, G., Peters, G.Y., Kessels, L.T.E., Ten Hoor, G.A., &amp; Ruiter, R.A.C., (2018) Ignoring theory and misinterpreting evidence: the false belief in fear appeals. </w:t>
      </w:r>
      <w:r w:rsidRPr="00101E89">
        <w:rPr>
          <w:i/>
        </w:rPr>
        <w:t xml:space="preserve">Health Psychol Review, </w:t>
      </w:r>
      <w:r w:rsidRPr="00101E89">
        <w:t>12(2):111-125  doi: 10.1080/17437199.2017.1415767. Epub 2017 Dec 28.</w:t>
      </w:r>
    </w:p>
    <w:p w14:paraId="199169EC" w14:textId="77777777" w:rsidR="00161BD3" w:rsidRPr="00101E89" w:rsidRDefault="00A42059" w:rsidP="00643F26">
      <w:pPr>
        <w:ind w:left="708" w:hanging="708"/>
      </w:pPr>
      <w:r w:rsidRPr="00101E89">
        <w:t>Lewis, I., Watson, B., &amp; White, K. (2008a). Predicting future speeding behaviour: The appeal of positive emotional appeals for high risk road users. Proceedings of the Australasian  College of Road Safety and the Travelsafe National Conference, Brisbane.</w:t>
      </w:r>
    </w:p>
    <w:p w14:paraId="7A9946D7" w14:textId="77777777" w:rsidR="00161BD3" w:rsidRPr="00101E89" w:rsidRDefault="00A42059" w:rsidP="004E6D30">
      <w:pPr>
        <w:pBdr>
          <w:top w:val="nil"/>
          <w:left w:val="nil"/>
          <w:bottom w:val="nil"/>
          <w:right w:val="nil"/>
          <w:between w:val="nil"/>
        </w:pBdr>
        <w:ind w:left="-141" w:firstLine="141"/>
        <w:rPr>
          <w:color w:val="000000"/>
        </w:rPr>
      </w:pPr>
      <w:r w:rsidRPr="00101E89">
        <w:rPr>
          <w:color w:val="000000"/>
        </w:rPr>
        <w:t>Lewis, I., Watson, B., &amp; White, K.</w:t>
      </w:r>
      <w:r w:rsidRPr="00101E89">
        <w:t xml:space="preserve"> </w:t>
      </w:r>
      <w:r w:rsidRPr="00101E89">
        <w:rPr>
          <w:color w:val="000000"/>
        </w:rPr>
        <w:t xml:space="preserve">(2008). An examination of message-relevant affect in-road safety </w:t>
      </w:r>
    </w:p>
    <w:p w14:paraId="653FAA94" w14:textId="77777777" w:rsidR="00161BD3" w:rsidRPr="00101E89" w:rsidRDefault="00A42059" w:rsidP="00FD4A73">
      <w:pPr>
        <w:pBdr>
          <w:top w:val="nil"/>
          <w:left w:val="nil"/>
          <w:bottom w:val="nil"/>
          <w:right w:val="nil"/>
          <w:between w:val="nil"/>
        </w:pBdr>
        <w:ind w:left="825" w:hanging="105"/>
        <w:rPr>
          <w:color w:val="000000"/>
        </w:rPr>
      </w:pPr>
      <w:r w:rsidRPr="00101E89">
        <w:rPr>
          <w:color w:val="000000"/>
        </w:rPr>
        <w:t xml:space="preserve">messages: Should road safety advertisements aim to make us feel good or bad? </w:t>
      </w:r>
      <w:r w:rsidRPr="00101E89">
        <w:rPr>
          <w:i/>
          <w:color w:val="000000"/>
        </w:rPr>
        <w:t>Transportation Research Part F: Traffic Psychology and Behaviour</w:t>
      </w:r>
      <w:r w:rsidRPr="00101E89">
        <w:rPr>
          <w:color w:val="000000"/>
        </w:rPr>
        <w:t>, 11 (6), 403-417;</w:t>
      </w:r>
    </w:p>
    <w:p w14:paraId="567FCF00" w14:textId="77777777" w:rsidR="00161BD3" w:rsidRPr="00101E89" w:rsidRDefault="00A42059" w:rsidP="004E6D30">
      <w:pPr>
        <w:pBdr>
          <w:top w:val="nil"/>
          <w:left w:val="nil"/>
          <w:bottom w:val="nil"/>
          <w:right w:val="nil"/>
          <w:between w:val="nil"/>
        </w:pBdr>
        <w:ind w:left="850" w:hanging="850"/>
      </w:pPr>
      <w:r w:rsidRPr="00101E89">
        <w:t xml:space="preserve">Lewis, I., Watson, B., White, K., &amp; Tay, R., (2007a). Promoting Public Health Messages: Should We Move Beyond Fear-Evoking Appeals in Road Safety? </w:t>
      </w:r>
      <w:r w:rsidRPr="00101E89">
        <w:rPr>
          <w:i/>
        </w:rPr>
        <w:t>Qualitative Research Health</w:t>
      </w:r>
      <w:r w:rsidRPr="00101E89">
        <w:t xml:space="preserve">, 17 (1), </w:t>
      </w:r>
      <w:r w:rsidRPr="00101E89">
        <w:rPr>
          <w:rFonts w:eastAsia="Arial"/>
          <w:color w:val="333333"/>
          <w:highlight w:val="white"/>
        </w:rPr>
        <w:t xml:space="preserve">61-74 </w:t>
      </w:r>
      <w:r w:rsidRPr="00101E89">
        <w:rPr>
          <w:highlight w:val="white"/>
        </w:rPr>
        <w:t xml:space="preserve">https://doi.org/10.1177/1049732306296395 </w:t>
      </w:r>
    </w:p>
    <w:p w14:paraId="003507AC" w14:textId="77777777" w:rsidR="00161BD3" w:rsidRPr="00101E89" w:rsidRDefault="00A42059" w:rsidP="004E6D30">
      <w:pPr>
        <w:pBdr>
          <w:top w:val="nil"/>
          <w:left w:val="nil"/>
          <w:bottom w:val="nil"/>
          <w:right w:val="nil"/>
          <w:between w:val="nil"/>
        </w:pBdr>
        <w:ind w:left="850" w:hanging="850"/>
      </w:pPr>
      <w:r w:rsidRPr="00101E89">
        <w:t xml:space="preserve">Lewis, I., Watson, B., &amp; Tay, R., (2007). Examining the effectiveness of physical threats in road safety advertising: The role of the third-person effect, gender, and age. </w:t>
      </w:r>
      <w:r w:rsidRPr="00101E89">
        <w:rPr>
          <w:i/>
        </w:rPr>
        <w:t>Transportation Research Part F: Traffic Psychology and Behaviour</w:t>
      </w:r>
      <w:r w:rsidRPr="00101E89">
        <w:t xml:space="preserve"> 10, 48–60 </w:t>
      </w:r>
      <w:hyperlink r:id="rId15">
        <w:r w:rsidRPr="00101E89">
          <w:rPr>
            <w:color w:val="1155CC"/>
            <w:u w:val="single"/>
          </w:rPr>
          <w:t>http://dx.doi.org/10.1016/j.trf.2006.05.001</w:t>
        </w:r>
      </w:hyperlink>
    </w:p>
    <w:p w14:paraId="0D740EB4" w14:textId="77777777" w:rsidR="00161BD3" w:rsidRPr="00101E89" w:rsidRDefault="00A42059" w:rsidP="004E6D30">
      <w:pPr>
        <w:pBdr>
          <w:top w:val="nil"/>
          <w:left w:val="nil"/>
          <w:bottom w:val="nil"/>
          <w:right w:val="nil"/>
          <w:between w:val="nil"/>
        </w:pBdr>
        <w:ind w:left="850" w:hanging="850"/>
      </w:pPr>
      <w:r w:rsidRPr="00101E89">
        <w:t xml:space="preserve">Lin, J.-H. (2013b). Identification matters: A moderated mediation model of media interactivity, character identification, and video game violence on aggression. </w:t>
      </w:r>
      <w:r w:rsidRPr="00101E89">
        <w:rPr>
          <w:i/>
        </w:rPr>
        <w:t>Journal of Communication</w:t>
      </w:r>
      <w:r w:rsidRPr="00101E89">
        <w:t>, 63, 682-702 https://doi.org/10.1111/jcom.12044</w:t>
      </w:r>
    </w:p>
    <w:p w14:paraId="3864D23B" w14:textId="2A22ABCE" w:rsidR="00161BD3" w:rsidRPr="00101E89" w:rsidRDefault="00A42059" w:rsidP="00FD4A73">
      <w:pPr>
        <w:pBdr>
          <w:top w:val="nil"/>
          <w:left w:val="nil"/>
          <w:bottom w:val="nil"/>
          <w:right w:val="nil"/>
          <w:between w:val="nil"/>
        </w:pBdr>
        <w:ind w:left="850" w:hanging="850"/>
        <w:rPr>
          <w:color w:val="1155CC"/>
          <w:u w:val="single"/>
        </w:rPr>
      </w:pPr>
      <w:r w:rsidRPr="00101E89">
        <w:t xml:space="preserve">Lin, J.H.T. (2017). Fear in Virtual Reality (VR): Fear elements, coping reactions, immediate and next-day fright responses toward a survival horror zombie virtual reality game. </w:t>
      </w:r>
      <w:r w:rsidRPr="00101E89">
        <w:rPr>
          <w:i/>
        </w:rPr>
        <w:t>Computers in Human Behavior</w:t>
      </w:r>
      <w:r w:rsidRPr="00101E89">
        <w:t xml:space="preserve">, 72, 350-361. </w:t>
      </w:r>
      <w:hyperlink r:id="rId16">
        <w:r w:rsidRPr="00101E89">
          <w:rPr>
            <w:color w:val="1155CC"/>
            <w:u w:val="single"/>
          </w:rPr>
          <w:t>https://doi.org/10.1016/j.chb.2017.02.057</w:t>
        </w:r>
      </w:hyperlink>
    </w:p>
    <w:p w14:paraId="0F25CA7E" w14:textId="11ABB287" w:rsidR="00304729" w:rsidRPr="00101E89" w:rsidRDefault="00304729" w:rsidP="003C7455">
      <w:pPr>
        <w:ind w:left="720" w:hanging="720"/>
        <w:rPr>
          <w:lang w:val="en-GB"/>
        </w:rPr>
      </w:pPr>
      <w:r w:rsidRPr="00101E89">
        <w:rPr>
          <w:lang w:val="en-GB"/>
        </w:rPr>
        <w:lastRenderedPageBreak/>
        <w:t xml:space="preserve">Malone, S., Biermann, A., </w:t>
      </w:r>
      <w:proofErr w:type="spellStart"/>
      <w:r w:rsidRPr="00101E89">
        <w:rPr>
          <w:lang w:val="en-GB"/>
        </w:rPr>
        <w:t>Brünken</w:t>
      </w:r>
      <w:proofErr w:type="spellEnd"/>
      <w:r w:rsidRPr="00101E89">
        <w:rPr>
          <w:lang w:val="en-GB"/>
        </w:rPr>
        <w:t xml:space="preserve">, R., &amp; Buch, S. (2012). Neue </w:t>
      </w:r>
      <w:proofErr w:type="spellStart"/>
      <w:r w:rsidRPr="00101E89">
        <w:rPr>
          <w:lang w:val="en-GB"/>
        </w:rPr>
        <w:t>Aufgabenformate</w:t>
      </w:r>
      <w:proofErr w:type="spellEnd"/>
      <w:r w:rsidRPr="00101E89">
        <w:rPr>
          <w:lang w:val="en-GB"/>
        </w:rPr>
        <w:t xml:space="preserve"> in der </w:t>
      </w:r>
      <w:proofErr w:type="spellStart"/>
      <w:r w:rsidRPr="00101E89">
        <w:rPr>
          <w:lang w:val="en-GB"/>
        </w:rPr>
        <w:t>Theoretischen</w:t>
      </w:r>
      <w:proofErr w:type="spellEnd"/>
      <w:r w:rsidRPr="00101E89">
        <w:rPr>
          <w:lang w:val="en-GB"/>
        </w:rPr>
        <w:t xml:space="preserve"> </w:t>
      </w:r>
      <w:proofErr w:type="spellStart"/>
      <w:r w:rsidRPr="00101E89">
        <w:rPr>
          <w:lang w:val="en-GB"/>
        </w:rPr>
        <w:t>Fahrerlaubnisprüfung</w:t>
      </w:r>
      <w:proofErr w:type="spellEnd"/>
      <w:r w:rsidRPr="00101E89">
        <w:rPr>
          <w:lang w:val="en-GB"/>
        </w:rPr>
        <w:t xml:space="preserve">. </w:t>
      </w:r>
      <w:proofErr w:type="spellStart"/>
      <w:r w:rsidRPr="00101E89">
        <w:rPr>
          <w:lang w:val="en-GB"/>
        </w:rPr>
        <w:t>Bergisch</w:t>
      </w:r>
      <w:proofErr w:type="spellEnd"/>
      <w:r w:rsidRPr="00101E89">
        <w:rPr>
          <w:lang w:val="en-GB"/>
        </w:rPr>
        <w:t xml:space="preserve"> </w:t>
      </w:r>
      <w:proofErr w:type="spellStart"/>
      <w:r w:rsidRPr="00101E89">
        <w:rPr>
          <w:lang w:val="en-GB"/>
        </w:rPr>
        <w:t>Gladbach</w:t>
      </w:r>
      <w:proofErr w:type="spellEnd"/>
      <w:r w:rsidRPr="00101E89">
        <w:rPr>
          <w:lang w:val="en-GB"/>
        </w:rPr>
        <w:t xml:space="preserve">, Germany: </w:t>
      </w:r>
      <w:proofErr w:type="spellStart"/>
      <w:r w:rsidRPr="00101E89">
        <w:rPr>
          <w:lang w:val="en-GB"/>
        </w:rPr>
        <w:t>Bundesanstalt</w:t>
      </w:r>
      <w:proofErr w:type="spellEnd"/>
      <w:r w:rsidRPr="00101E89">
        <w:rPr>
          <w:lang w:val="en-GB"/>
        </w:rPr>
        <w:t xml:space="preserve"> </w:t>
      </w:r>
      <w:proofErr w:type="spellStart"/>
      <w:r w:rsidRPr="00101E89">
        <w:rPr>
          <w:lang w:val="en-GB"/>
        </w:rPr>
        <w:t>für</w:t>
      </w:r>
      <w:proofErr w:type="spellEnd"/>
      <w:r w:rsidRPr="00101E89">
        <w:rPr>
          <w:lang w:val="en-GB"/>
        </w:rPr>
        <w:t xml:space="preserve"> </w:t>
      </w:r>
      <w:proofErr w:type="spellStart"/>
      <w:r w:rsidRPr="00101E89">
        <w:rPr>
          <w:lang w:val="en-GB"/>
        </w:rPr>
        <w:t>Stra</w:t>
      </w:r>
      <w:proofErr w:type="spellEnd"/>
      <w:r w:rsidRPr="00101E89">
        <w:rPr>
          <w:lang w:val="en-GB"/>
        </w:rPr>
        <w:t>βenwesen.</w:t>
      </w:r>
    </w:p>
    <w:p w14:paraId="166439CD" w14:textId="6D1AB3CF" w:rsidR="00B00B97" w:rsidRPr="00270EF6" w:rsidRDefault="00B00B97" w:rsidP="00270EF6">
      <w:pPr>
        <w:ind w:left="720" w:hanging="720"/>
        <w:rPr>
          <w:lang w:val="en-US"/>
        </w:rPr>
      </w:pPr>
      <w:r w:rsidRPr="005D307A">
        <w:rPr>
          <w:lang w:val="en-US"/>
        </w:rPr>
        <w:t xml:space="preserve">Monahan, J. L. (1995). Thinking positively: Using positive affect when designing health messages. In E. </w:t>
      </w:r>
      <w:proofErr w:type="spellStart"/>
      <w:r w:rsidRPr="005D307A">
        <w:rPr>
          <w:lang w:val="en-US"/>
        </w:rPr>
        <w:t>Maibach</w:t>
      </w:r>
      <w:proofErr w:type="spellEnd"/>
      <w:r w:rsidRPr="005D307A">
        <w:rPr>
          <w:lang w:val="en-US"/>
        </w:rPr>
        <w:t xml:space="preserve"> &amp; R. L. Parrott (Eds.), </w:t>
      </w:r>
      <w:r w:rsidRPr="005D307A">
        <w:rPr>
          <w:i/>
          <w:iCs/>
          <w:lang w:val="en-US"/>
        </w:rPr>
        <w:t>Designing health messages: Approaches from communication theory and public health practice</w:t>
      </w:r>
      <w:r w:rsidRPr="005D307A">
        <w:rPr>
          <w:lang w:val="en-US"/>
        </w:rPr>
        <w:t> (p. 81–98). Sage Publications, Inc. </w:t>
      </w:r>
      <w:hyperlink r:id="rId17" w:tgtFrame="_blank" w:history="1">
        <w:r w:rsidRPr="005D307A">
          <w:rPr>
            <w:rStyle w:val="Hyperlink"/>
            <w:lang w:val="en-US"/>
          </w:rPr>
          <w:t>https://doi.org/10.4135/9781452233451.n5</w:t>
        </w:r>
      </w:hyperlink>
    </w:p>
    <w:p w14:paraId="0EE1E42E" w14:textId="77777777" w:rsidR="00161BD3" w:rsidRPr="00101E89" w:rsidRDefault="00A42059" w:rsidP="00FD4A73">
      <w:pPr>
        <w:pBdr>
          <w:top w:val="nil"/>
          <w:left w:val="nil"/>
          <w:bottom w:val="nil"/>
          <w:right w:val="nil"/>
          <w:between w:val="nil"/>
        </w:pBdr>
        <w:ind w:left="850" w:hanging="850"/>
      </w:pPr>
      <w:r w:rsidRPr="00101E89">
        <w:t xml:space="preserve">Morris, C., (2015). Is 2016 the year of virtual reality? </w:t>
      </w:r>
      <w:r w:rsidRPr="00101E89">
        <w:rPr>
          <w:i/>
        </w:rPr>
        <w:t>Fortune</w:t>
      </w:r>
      <w:r w:rsidRPr="00101E89">
        <w:t>. Retrieved from http://fortune.com/2015/12/04/2016-the-year-of-virtual-reality/</w:t>
      </w:r>
    </w:p>
    <w:p w14:paraId="0AFB6DFD" w14:textId="0210A1BD" w:rsidR="00161BD3" w:rsidRPr="00101E89" w:rsidRDefault="00A42059" w:rsidP="00FD4A73">
      <w:pPr>
        <w:pBdr>
          <w:top w:val="nil"/>
          <w:left w:val="nil"/>
          <w:bottom w:val="nil"/>
          <w:right w:val="nil"/>
          <w:between w:val="nil"/>
        </w:pBdr>
        <w:ind w:left="850" w:hanging="850"/>
        <w:rPr>
          <w:color w:val="1155CC"/>
          <w:u w:val="single"/>
        </w:rPr>
      </w:pPr>
      <w:r w:rsidRPr="00101E89">
        <w:t xml:space="preserve">Nabi, R.L., &amp; Myrick, J.G., (2018). Uplifting Fear Appeals: Considering the Role of Hope in Fear-Based Persuasive Messages. </w:t>
      </w:r>
      <w:r w:rsidRPr="00101E89">
        <w:rPr>
          <w:i/>
        </w:rPr>
        <w:t>Health Communication</w:t>
      </w:r>
      <w:r w:rsidRPr="00101E89">
        <w:t xml:space="preserve">, 34(4) 463-474. </w:t>
      </w:r>
      <w:hyperlink r:id="rId18">
        <w:r w:rsidRPr="00101E89">
          <w:rPr>
            <w:color w:val="1155CC"/>
            <w:u w:val="single"/>
          </w:rPr>
          <w:t>https://doi.org/10.1080/10410236.2017.1422847</w:t>
        </w:r>
      </w:hyperlink>
    </w:p>
    <w:p w14:paraId="00A6F79E" w14:textId="59C14E8D" w:rsidR="00EC226F" w:rsidRPr="00101E89" w:rsidRDefault="00EC226F" w:rsidP="00FD4A73">
      <w:pPr>
        <w:ind w:left="720" w:hanging="720"/>
        <w:rPr>
          <w:lang w:val="en-GB"/>
        </w:rPr>
      </w:pPr>
      <w:r w:rsidRPr="00101E89">
        <w:rPr>
          <w:lang w:val="en-GB"/>
        </w:rPr>
        <w:t xml:space="preserve">Parker, D., Reason, J. T., </w:t>
      </w:r>
      <w:proofErr w:type="spellStart"/>
      <w:r w:rsidRPr="00101E89">
        <w:rPr>
          <w:lang w:val="en-GB"/>
        </w:rPr>
        <w:t>Manstead</w:t>
      </w:r>
      <w:proofErr w:type="spellEnd"/>
      <w:r w:rsidRPr="00101E89">
        <w:rPr>
          <w:lang w:val="en-GB"/>
        </w:rPr>
        <w:t xml:space="preserve">, A. S., &amp; Stradling, S. G. (1995). Driving errors, driving violations and accident involvement. </w:t>
      </w:r>
      <w:r w:rsidRPr="00101E89">
        <w:rPr>
          <w:i/>
          <w:iCs/>
          <w:lang w:val="en-GB"/>
        </w:rPr>
        <w:t>Ergonomics</w:t>
      </w:r>
      <w:r w:rsidRPr="00101E89">
        <w:rPr>
          <w:lang w:val="en-GB"/>
        </w:rPr>
        <w:t xml:space="preserve">, </w:t>
      </w:r>
      <w:r w:rsidRPr="00101E89">
        <w:rPr>
          <w:i/>
          <w:iCs/>
          <w:lang w:val="en-GB"/>
        </w:rPr>
        <w:t>38</w:t>
      </w:r>
      <w:r w:rsidRPr="00101E89">
        <w:rPr>
          <w:lang w:val="en-GB"/>
        </w:rPr>
        <w:t xml:space="preserve">(5), 1036-1048. </w:t>
      </w:r>
      <w:hyperlink r:id="rId19" w:history="1">
        <w:r w:rsidRPr="00101E89">
          <w:rPr>
            <w:rStyle w:val="Hyperlink"/>
          </w:rPr>
          <w:t>https://doi.org/10.1080/00140139508925170</w:t>
        </w:r>
      </w:hyperlink>
    </w:p>
    <w:p w14:paraId="6AB73C01" w14:textId="77777777" w:rsidR="003E7662" w:rsidRPr="00101E89" w:rsidRDefault="003E7662" w:rsidP="00FD4A73">
      <w:pPr>
        <w:pBdr>
          <w:top w:val="nil"/>
          <w:left w:val="nil"/>
          <w:bottom w:val="nil"/>
          <w:right w:val="nil"/>
          <w:between w:val="nil"/>
        </w:pBdr>
        <w:ind w:left="850" w:hanging="850"/>
      </w:pPr>
      <w:r w:rsidRPr="00101E89">
        <w:t xml:space="preserve">Peck, R., (2011). Do driver training programs reduce crashes and traffic violations? — A critical examination of the literature. </w:t>
      </w:r>
      <w:r w:rsidRPr="00101E89">
        <w:rPr>
          <w:i/>
        </w:rPr>
        <w:t xml:space="preserve">International Association Of Traffic and Safety Science, </w:t>
      </w:r>
      <w:r w:rsidRPr="00101E89">
        <w:t xml:space="preserve">34(2), 63-71. https://doi.org/10.1016/j.iatssr.2011.01.001 </w:t>
      </w:r>
    </w:p>
    <w:p w14:paraId="1285DBF1" w14:textId="77777777" w:rsidR="009E64A0" w:rsidRPr="00101E89" w:rsidRDefault="009E64A0" w:rsidP="00FD4A73">
      <w:pPr>
        <w:pBdr>
          <w:top w:val="nil"/>
          <w:left w:val="nil"/>
          <w:bottom w:val="nil"/>
          <w:right w:val="nil"/>
          <w:between w:val="nil"/>
        </w:pBdr>
        <w:ind w:left="850" w:hanging="850"/>
      </w:pPr>
      <w:r w:rsidRPr="00101E89">
        <w:t>Raftery, S., &amp; Wundersitz, L., (2011). The efficacy of road safety education in schools: A review of current approaches.</w:t>
      </w:r>
    </w:p>
    <w:p w14:paraId="34535D68" w14:textId="77777777" w:rsidR="00161BD3" w:rsidRPr="00101E89" w:rsidRDefault="00A42059" w:rsidP="00FD4A73">
      <w:pPr>
        <w:pBdr>
          <w:top w:val="nil"/>
          <w:left w:val="nil"/>
          <w:bottom w:val="nil"/>
          <w:right w:val="nil"/>
          <w:between w:val="nil"/>
        </w:pBdr>
        <w:ind w:left="850" w:hanging="850"/>
      </w:pPr>
      <w:r w:rsidRPr="00101E89">
        <w:t xml:space="preserve">Reason, J., Manstead, A., Stradling, S., Baxter, J., &amp; Campbell, K. (1990). Errors and violations: a real distinction? </w:t>
      </w:r>
      <w:r w:rsidRPr="00101E89">
        <w:rPr>
          <w:i/>
        </w:rPr>
        <w:t>Ergonomics</w:t>
      </w:r>
      <w:r w:rsidRPr="00101E89">
        <w:t xml:space="preserve">, 33, 1315-1332. </w:t>
      </w:r>
    </w:p>
    <w:p w14:paraId="7D3322BD" w14:textId="77777777" w:rsidR="00035754" w:rsidRPr="00101E89" w:rsidRDefault="00A42059" w:rsidP="00FD4A73">
      <w:pPr>
        <w:pBdr>
          <w:top w:val="nil"/>
          <w:left w:val="nil"/>
          <w:bottom w:val="nil"/>
          <w:right w:val="nil"/>
          <w:between w:val="nil"/>
        </w:pBdr>
        <w:ind w:left="850" w:hanging="850"/>
        <w:rPr>
          <w:color w:val="1155CC"/>
          <w:u w:val="single"/>
        </w:rPr>
      </w:pPr>
      <w:r w:rsidRPr="00101E89">
        <w:lastRenderedPageBreak/>
        <w:t xml:space="preserve">Rizzo, A., &amp; Kim, J. (2005). A SWOT analysis of the field of virtual reality rehabilitation and therapy. </w:t>
      </w:r>
      <w:r w:rsidRPr="00101E89">
        <w:rPr>
          <w:i/>
        </w:rPr>
        <w:t>Presence: Teleoperators and Virtual Environments</w:t>
      </w:r>
      <w:r w:rsidRPr="00101E89">
        <w:t xml:space="preserve">, 14(2), 119-146. </w:t>
      </w:r>
      <w:hyperlink r:id="rId20">
        <w:r w:rsidRPr="00101E89">
          <w:rPr>
            <w:color w:val="1155CC"/>
            <w:u w:val="single"/>
          </w:rPr>
          <w:t>https://doi.org/10.1162/1054746053967094</w:t>
        </w:r>
      </w:hyperlink>
    </w:p>
    <w:p w14:paraId="2DC8A333" w14:textId="77777777" w:rsidR="00B01C8F" w:rsidRPr="00350127" w:rsidRDefault="00B01C8F" w:rsidP="00FD4A73">
      <w:pPr>
        <w:pBdr>
          <w:top w:val="nil"/>
          <w:left w:val="nil"/>
          <w:bottom w:val="nil"/>
          <w:right w:val="nil"/>
          <w:between w:val="nil"/>
        </w:pBdr>
        <w:ind w:left="850" w:hanging="850"/>
        <w:rPr>
          <w:lang w:val="en-US"/>
        </w:rPr>
      </w:pPr>
      <w:proofErr w:type="spellStart"/>
      <w:r w:rsidRPr="005D307A">
        <w:rPr>
          <w:lang w:val="en-US"/>
        </w:rPr>
        <w:t>Rusnac</w:t>
      </w:r>
      <w:proofErr w:type="spellEnd"/>
      <w:r w:rsidRPr="005D307A">
        <w:rPr>
          <w:lang w:val="en-US"/>
        </w:rPr>
        <w:t xml:space="preserve">, N., </w:t>
      </w:r>
      <w:proofErr w:type="spellStart"/>
      <w:r w:rsidRPr="005D307A">
        <w:rPr>
          <w:lang w:val="en-US"/>
        </w:rPr>
        <w:t>Spitzenstetter</w:t>
      </w:r>
      <w:proofErr w:type="spellEnd"/>
      <w:r w:rsidRPr="005D307A">
        <w:rPr>
          <w:lang w:val="en-US"/>
        </w:rPr>
        <w:t xml:space="preserve">, F., &amp; </w:t>
      </w:r>
      <w:proofErr w:type="spellStart"/>
      <w:r w:rsidRPr="005D307A">
        <w:rPr>
          <w:lang w:val="en-US"/>
        </w:rPr>
        <w:t>Tassi</w:t>
      </w:r>
      <w:proofErr w:type="spellEnd"/>
      <w:r w:rsidRPr="005D307A">
        <w:rPr>
          <w:lang w:val="en-US"/>
        </w:rPr>
        <w:t xml:space="preserve">, P., (2019) Chronic sleep loss and risk-taking behavior: Does the origin of sleep loss matter? </w:t>
      </w:r>
      <w:r w:rsidRPr="00350127">
        <w:rPr>
          <w:i/>
          <w:lang w:val="en-US"/>
        </w:rPr>
        <w:t>Behavioral Sleep Medicine</w:t>
      </w:r>
      <w:r w:rsidRPr="00350127">
        <w:rPr>
          <w:lang w:val="en-US"/>
        </w:rPr>
        <w:t>, 17:6, 729-739</w:t>
      </w:r>
      <w:r w:rsidR="00035754" w:rsidRPr="00350127">
        <w:rPr>
          <w:lang w:val="en-US"/>
        </w:rPr>
        <w:t xml:space="preserve">. DOI: </w:t>
      </w:r>
      <w:r w:rsidRPr="00350127">
        <w:rPr>
          <w:lang w:val="en-US"/>
        </w:rPr>
        <w:t>10.1080/15402002.2018.1483368</w:t>
      </w:r>
    </w:p>
    <w:p w14:paraId="05299CCB" w14:textId="3FEC98D8" w:rsidR="00C519C9" w:rsidRDefault="00C519C9" w:rsidP="00FD4A73">
      <w:pPr>
        <w:pBdr>
          <w:top w:val="nil"/>
          <w:left w:val="nil"/>
          <w:bottom w:val="nil"/>
          <w:right w:val="nil"/>
          <w:between w:val="nil"/>
        </w:pBdr>
        <w:ind w:left="850" w:hanging="850"/>
        <w:rPr>
          <w:lang w:val="en-US"/>
        </w:rPr>
      </w:pPr>
      <w:proofErr w:type="spellStart"/>
      <w:r w:rsidRPr="005D307A">
        <w:rPr>
          <w:lang w:val="en-US"/>
        </w:rPr>
        <w:t>Rusnac</w:t>
      </w:r>
      <w:proofErr w:type="spellEnd"/>
      <w:r w:rsidRPr="005D307A">
        <w:rPr>
          <w:lang w:val="en-US"/>
        </w:rPr>
        <w:t xml:space="preserve">, N., </w:t>
      </w:r>
      <w:proofErr w:type="spellStart"/>
      <w:r w:rsidRPr="005D307A">
        <w:rPr>
          <w:lang w:val="en-US"/>
        </w:rPr>
        <w:t>Spitzenstetter</w:t>
      </w:r>
      <w:proofErr w:type="spellEnd"/>
      <w:r w:rsidRPr="005D307A">
        <w:rPr>
          <w:lang w:val="en-US"/>
        </w:rPr>
        <w:t xml:space="preserve">, F., &amp; </w:t>
      </w:r>
      <w:proofErr w:type="spellStart"/>
      <w:r w:rsidRPr="005D307A">
        <w:rPr>
          <w:lang w:val="en-US"/>
        </w:rPr>
        <w:t>Tassi</w:t>
      </w:r>
      <w:proofErr w:type="spellEnd"/>
      <w:r w:rsidRPr="005D307A">
        <w:rPr>
          <w:lang w:val="en-US"/>
        </w:rPr>
        <w:t xml:space="preserve">, P., (2016) </w:t>
      </w:r>
      <w:proofErr w:type="spellStart"/>
      <w:r w:rsidRPr="005D307A">
        <w:rPr>
          <w:lang w:val="en-US"/>
        </w:rPr>
        <w:t>Eveningness</w:t>
      </w:r>
      <w:proofErr w:type="spellEnd"/>
      <w:r w:rsidRPr="005D307A">
        <w:rPr>
          <w:lang w:val="en-US"/>
        </w:rPr>
        <w:t xml:space="preserve"> is associated with higher risk-taking in dangerous driving situations</w:t>
      </w:r>
      <w:r w:rsidRPr="005D307A">
        <w:rPr>
          <w:i/>
          <w:lang w:val="en-US"/>
        </w:rPr>
        <w:t>, Chronobiology International</w:t>
      </w:r>
      <w:r w:rsidRPr="005D307A">
        <w:rPr>
          <w:lang w:val="en-US"/>
        </w:rPr>
        <w:t>, 33:7, 937-941, DOI: 10.3109/07420528.2016.1170027</w:t>
      </w:r>
    </w:p>
    <w:p w14:paraId="72B05E8C" w14:textId="6347EA15" w:rsidR="00F2660C" w:rsidRPr="005D307A" w:rsidRDefault="00F2660C" w:rsidP="00FD4A73">
      <w:pPr>
        <w:pBdr>
          <w:top w:val="nil"/>
          <w:left w:val="nil"/>
          <w:bottom w:val="nil"/>
          <w:right w:val="nil"/>
          <w:between w:val="nil"/>
        </w:pBdr>
        <w:ind w:left="850" w:hanging="850"/>
        <w:rPr>
          <w:lang w:val="en-US"/>
        </w:rPr>
      </w:pPr>
      <w:r w:rsidRPr="00F2660C">
        <w:rPr>
          <w:lang w:val="en-US"/>
        </w:rPr>
        <w:t>Russell, J.</w:t>
      </w:r>
      <w:r>
        <w:rPr>
          <w:lang w:val="en-US"/>
        </w:rPr>
        <w:t>,</w:t>
      </w:r>
      <w:r w:rsidRPr="00F2660C">
        <w:rPr>
          <w:lang w:val="en-US"/>
        </w:rPr>
        <w:t xml:space="preserve"> (1980). A Circumplex Model of Affect</w:t>
      </w:r>
      <w:r w:rsidRPr="00F2660C">
        <w:rPr>
          <w:i/>
          <w:iCs/>
          <w:lang w:val="en-US"/>
        </w:rPr>
        <w:t>. Journal of Personality and Social Psychology</w:t>
      </w:r>
      <w:r>
        <w:rPr>
          <w:lang w:val="en-US"/>
        </w:rPr>
        <w:t>,</w:t>
      </w:r>
      <w:r w:rsidRPr="00F2660C">
        <w:rPr>
          <w:lang w:val="en-US"/>
        </w:rPr>
        <w:t xml:space="preserve"> 39. 1161-1178. 10.1037/h0077714.</w:t>
      </w:r>
    </w:p>
    <w:p w14:paraId="28598AAD" w14:textId="49D01B11" w:rsidR="00E91D33" w:rsidRPr="00E91D33" w:rsidRDefault="00A42059" w:rsidP="00E91D33">
      <w:pPr>
        <w:pBdr>
          <w:top w:val="nil"/>
          <w:left w:val="nil"/>
          <w:bottom w:val="nil"/>
          <w:right w:val="nil"/>
          <w:between w:val="nil"/>
        </w:pBdr>
        <w:ind w:left="850" w:hanging="850"/>
        <w:rPr>
          <w:rFonts w:eastAsia="Arial"/>
          <w:color w:val="006ACC"/>
          <w:u w:val="single"/>
        </w:rPr>
      </w:pPr>
      <w:r w:rsidRPr="00101E89">
        <w:t xml:space="preserve">Santa, A.F. &amp; Cochran, B.N. (2008). Does the impact of anti-drinking and driving public service announcements differ based on message type and viewer characteristics? </w:t>
      </w:r>
      <w:r w:rsidRPr="00101E89">
        <w:rPr>
          <w:i/>
        </w:rPr>
        <w:t>Journal of Drug Education</w:t>
      </w:r>
      <w:r w:rsidRPr="00101E89">
        <w:t xml:space="preserve">, 38(2), 109-129. </w:t>
      </w:r>
      <w:hyperlink r:id="rId21">
        <w:r w:rsidRPr="00101E89">
          <w:rPr>
            <w:rFonts w:eastAsia="Arial"/>
            <w:color w:val="006ACC"/>
            <w:highlight w:val="white"/>
            <w:u w:val="single"/>
          </w:rPr>
          <w:t>https://doi.org/10.2190/DE.38.2.b</w:t>
        </w:r>
      </w:hyperlink>
    </w:p>
    <w:p w14:paraId="4BD975C3" w14:textId="449378F3" w:rsidR="00E91D33" w:rsidRPr="00E91D33" w:rsidRDefault="00A42059" w:rsidP="00FD4A73">
      <w:pPr>
        <w:pBdr>
          <w:top w:val="nil"/>
          <w:left w:val="nil"/>
          <w:bottom w:val="nil"/>
          <w:right w:val="nil"/>
          <w:between w:val="nil"/>
        </w:pBdr>
        <w:ind w:left="850" w:hanging="850"/>
        <w:rPr>
          <w:lang w:val="en-US"/>
        </w:rPr>
      </w:pPr>
      <w:r w:rsidRPr="00E91D33">
        <w:rPr>
          <w:lang w:val="en-US"/>
        </w:rPr>
        <w:t>S</w:t>
      </w:r>
      <w:r w:rsidR="00E91D33" w:rsidRPr="00E91D33">
        <w:rPr>
          <w:lang w:val="en-US"/>
        </w:rPr>
        <w:t>cott</w:t>
      </w:r>
      <w:r w:rsidR="00E91D33">
        <w:rPr>
          <w:lang w:val="en-US"/>
        </w:rPr>
        <w:t xml:space="preserve">-Parker, B., Watson, B., King, M.J., &amp; Hyde, M.K., (2014). </w:t>
      </w:r>
      <w:r w:rsidR="00E91D33" w:rsidRPr="00E91D33">
        <w:rPr>
          <w:lang w:val="en-US"/>
        </w:rPr>
        <w:t>“I drove after drinking alcohol” and other risky driving behaviours reported by young novice drivers</w:t>
      </w:r>
      <w:r w:rsidR="00E91D33">
        <w:rPr>
          <w:lang w:val="en-US"/>
        </w:rPr>
        <w:t xml:space="preserve">. </w:t>
      </w:r>
      <w:r w:rsidR="00E91D33">
        <w:rPr>
          <w:i/>
          <w:iCs/>
          <w:lang w:val="en-US"/>
        </w:rPr>
        <w:t xml:space="preserve">Accident Analysis and Prevention, </w:t>
      </w:r>
      <w:r w:rsidR="00E91D33">
        <w:rPr>
          <w:lang w:val="en-US"/>
        </w:rPr>
        <w:t xml:space="preserve">70, 65-73. </w:t>
      </w:r>
      <w:r w:rsidR="00E91D33" w:rsidRPr="00E91D33">
        <w:rPr>
          <w:lang w:val="en-US"/>
        </w:rPr>
        <w:t>https://doi.org/10.1016/j.aap.2014.03.002</w:t>
      </w:r>
    </w:p>
    <w:p w14:paraId="0B64AD8B" w14:textId="602C8233" w:rsidR="00161BD3" w:rsidRDefault="00E91D33" w:rsidP="00FD4A73">
      <w:pPr>
        <w:pBdr>
          <w:top w:val="nil"/>
          <w:left w:val="nil"/>
          <w:bottom w:val="nil"/>
          <w:right w:val="nil"/>
          <w:between w:val="nil"/>
        </w:pBdr>
        <w:ind w:left="850" w:hanging="850"/>
      </w:pPr>
      <w:proofErr w:type="spellStart"/>
      <w:r w:rsidRPr="00E91D33">
        <w:rPr>
          <w:lang w:val="en-US"/>
        </w:rPr>
        <w:t>S</w:t>
      </w:r>
      <w:r w:rsidR="00A42059" w:rsidRPr="00E91D33">
        <w:rPr>
          <w:lang w:val="en-US"/>
        </w:rPr>
        <w:t>hiban</w:t>
      </w:r>
      <w:proofErr w:type="spellEnd"/>
      <w:r w:rsidR="00A42059" w:rsidRPr="00E91D33">
        <w:rPr>
          <w:lang w:val="en-US"/>
        </w:rPr>
        <w:t xml:space="preserve">, Y., Pauli, P., &amp; Muhlberger, A. (2013). </w:t>
      </w:r>
      <w:r w:rsidR="00A42059" w:rsidRPr="00101E89">
        <w:t xml:space="preserve">Effect of multiple context exposure on renewal in spider phobia. </w:t>
      </w:r>
      <w:r w:rsidR="00A42059" w:rsidRPr="00101E89">
        <w:rPr>
          <w:i/>
        </w:rPr>
        <w:t>Behaviour Research and Therapy</w:t>
      </w:r>
      <w:r w:rsidR="00A42059" w:rsidRPr="00101E89">
        <w:t xml:space="preserve">, 51 (2), 68–74. </w:t>
      </w:r>
      <w:proofErr w:type="spellStart"/>
      <w:r w:rsidR="00A42059" w:rsidRPr="00101E89">
        <w:t>doi</w:t>
      </w:r>
      <w:proofErr w:type="spellEnd"/>
      <w:r w:rsidR="00A42059" w:rsidRPr="00101E89">
        <w:t>: 10.1016/j.brat.2012.10.007</w:t>
      </w:r>
    </w:p>
    <w:p w14:paraId="268BC674" w14:textId="46622E7B" w:rsidR="00C757CF" w:rsidRPr="00C757CF" w:rsidRDefault="00C757CF" w:rsidP="00FD4A73">
      <w:pPr>
        <w:pBdr>
          <w:top w:val="nil"/>
          <w:left w:val="nil"/>
          <w:bottom w:val="nil"/>
          <w:right w:val="nil"/>
          <w:between w:val="nil"/>
        </w:pBdr>
        <w:ind w:left="850" w:hanging="850"/>
      </w:pPr>
      <w:r w:rsidRPr="00C757CF">
        <w:t>Siegrist</w:t>
      </w:r>
      <w:r>
        <w:t xml:space="preserve">, M., (2000). </w:t>
      </w:r>
      <w:r w:rsidRPr="00C757CF">
        <w:t>The Influence of Trust and Perceptions of Risks and Benefits on the Acceptance of Gene Technology</w:t>
      </w:r>
      <w:r>
        <w:t xml:space="preserve">. </w:t>
      </w:r>
      <w:r>
        <w:rPr>
          <w:i/>
          <w:iCs/>
        </w:rPr>
        <w:t>Risk Analysis</w:t>
      </w:r>
      <w:r>
        <w:t xml:space="preserve">, 20(2), </w:t>
      </w:r>
      <w:r w:rsidRPr="00C757CF">
        <w:t>195-204</w:t>
      </w:r>
      <w:r>
        <w:t xml:space="preserve"> </w:t>
      </w:r>
      <w:r w:rsidRPr="00C757CF">
        <w:t>https://doi.org/10.1111/0272-4332.202020</w:t>
      </w:r>
    </w:p>
    <w:p w14:paraId="306273EE" w14:textId="77777777" w:rsidR="00161BD3" w:rsidRPr="00101E89" w:rsidRDefault="00A42059" w:rsidP="00FD4A73">
      <w:pPr>
        <w:pBdr>
          <w:top w:val="nil"/>
          <w:left w:val="nil"/>
          <w:bottom w:val="nil"/>
          <w:right w:val="nil"/>
          <w:between w:val="nil"/>
        </w:pBdr>
        <w:ind w:left="850" w:hanging="850"/>
      </w:pPr>
      <w:r w:rsidRPr="00101E89">
        <w:lastRenderedPageBreak/>
        <w:t xml:space="preserve">Slater, M., (2009). Place illusion and plausibility can lead to realistic behaviour in immersive virtual environments. </w:t>
      </w:r>
      <w:r w:rsidRPr="00101E89">
        <w:rPr>
          <w:i/>
        </w:rPr>
        <w:t xml:space="preserve">Philosophical Transactions of the Royal Society B: Biological Sciences, </w:t>
      </w:r>
      <w:r w:rsidRPr="00101E89">
        <w:t>364, pp. 3549-3557 doi: 10.1098/rstb.2009.0138</w:t>
      </w:r>
    </w:p>
    <w:p w14:paraId="4C064169" w14:textId="77777777" w:rsidR="00161BD3" w:rsidRPr="00101E89" w:rsidRDefault="00A42059" w:rsidP="00FD4A73">
      <w:pPr>
        <w:pBdr>
          <w:top w:val="nil"/>
          <w:left w:val="nil"/>
          <w:bottom w:val="nil"/>
          <w:right w:val="nil"/>
          <w:between w:val="nil"/>
        </w:pBdr>
        <w:ind w:left="850" w:hanging="850"/>
      </w:pPr>
      <w:r w:rsidRPr="00101E89">
        <w:t xml:space="preserve">Smith, M. J., Fleming, M. F., Wright, M. A., Losh, M., Humm, L. B., Olsen, D., &amp; Bell, M. D. (2015). Brief Report: Vocational Outcomes for Young Adults with Autism Spectrum Disorders at Six Months After Virtual Reality Job Interview Training. </w:t>
      </w:r>
      <w:r w:rsidRPr="00101E89">
        <w:rPr>
          <w:i/>
        </w:rPr>
        <w:t>Journal of Autism and Developmental Disorders</w:t>
      </w:r>
      <w:r w:rsidRPr="00101E89">
        <w:t>, 45 (10), 3364–3369. doi: 10.1007/s10803-015-2470-1</w:t>
      </w:r>
    </w:p>
    <w:p w14:paraId="27082BB8" w14:textId="77777777" w:rsidR="00161BD3" w:rsidRPr="00101E89" w:rsidRDefault="00A42059" w:rsidP="00FD4A73">
      <w:pPr>
        <w:pBdr>
          <w:top w:val="nil"/>
          <w:left w:val="nil"/>
          <w:bottom w:val="nil"/>
          <w:right w:val="nil"/>
          <w:between w:val="nil"/>
        </w:pBdr>
        <w:ind w:left="850" w:hanging="850"/>
      </w:pPr>
      <w:r w:rsidRPr="00101E89">
        <w:t xml:space="preserve">Tannenbaum, M.B, Hepler, J., Zimmerman, R.S., Saul, L., Jacobs, S.,  Wilson, K., &amp; Albarracin, D., (2015).  Appealing to Fear: A Meta-Analysis of Fear Appeal Effectiveness and Theories. </w:t>
      </w:r>
      <w:r w:rsidRPr="00101E89">
        <w:rPr>
          <w:i/>
        </w:rPr>
        <w:t>Psychological Bulletin</w:t>
      </w:r>
      <w:r w:rsidRPr="00101E89">
        <w:t>, 141 (6), 1178 –1204</w:t>
      </w:r>
    </w:p>
    <w:p w14:paraId="7F81EBC3" w14:textId="77777777" w:rsidR="00161BD3" w:rsidRPr="00101E89" w:rsidRDefault="00A42059" w:rsidP="00FD4A73">
      <w:pPr>
        <w:pBdr>
          <w:top w:val="nil"/>
          <w:left w:val="nil"/>
          <w:bottom w:val="nil"/>
          <w:right w:val="nil"/>
          <w:between w:val="nil"/>
        </w:pBdr>
        <w:ind w:left="850" w:hanging="850"/>
      </w:pPr>
      <w:r w:rsidRPr="00101E89">
        <w:t xml:space="preserve">Tay, R., &amp; de Barros, A., (2010). Public perceptions of the use of dynamic message signs. </w:t>
      </w:r>
      <w:r w:rsidRPr="00101E89">
        <w:rPr>
          <w:i/>
        </w:rPr>
        <w:t xml:space="preserve">Journal of Advanced Transportation, </w:t>
      </w:r>
      <w:r w:rsidRPr="00101E89">
        <w:t>42(1) 95-110. https://doi.org/10.1002/atr.5670420107</w:t>
      </w:r>
    </w:p>
    <w:p w14:paraId="363E8157" w14:textId="77777777" w:rsidR="00161BD3" w:rsidRPr="00101E89" w:rsidRDefault="00A42059" w:rsidP="00FD4A73">
      <w:pPr>
        <w:pBdr>
          <w:top w:val="nil"/>
          <w:left w:val="nil"/>
          <w:bottom w:val="nil"/>
          <w:right w:val="nil"/>
          <w:between w:val="nil"/>
        </w:pBdr>
        <w:ind w:left="992" w:hanging="992"/>
      </w:pPr>
      <w:r w:rsidRPr="00101E89">
        <w:t>Tay, R., &amp; Watson, B. (2002). Changing drivers’ intentions and behaviours using fear- based driver fatigue advertisements.</w:t>
      </w:r>
      <w:r w:rsidRPr="00101E89">
        <w:rPr>
          <w:i/>
        </w:rPr>
        <w:t xml:space="preserve"> Health Marketing Quarterly</w:t>
      </w:r>
      <w:r w:rsidRPr="00101E89">
        <w:t>, 19(4), 55-68.</w:t>
      </w:r>
    </w:p>
    <w:p w14:paraId="16F4B6DB" w14:textId="77777777" w:rsidR="00161BD3" w:rsidRPr="00101E89" w:rsidRDefault="00A42059" w:rsidP="00FD4A73">
      <w:pPr>
        <w:pBdr>
          <w:top w:val="nil"/>
          <w:left w:val="nil"/>
          <w:bottom w:val="nil"/>
          <w:right w:val="nil"/>
          <w:between w:val="nil"/>
        </w:pBdr>
        <w:ind w:left="992" w:hanging="992"/>
      </w:pPr>
      <w:r w:rsidRPr="00101E89">
        <w:t xml:space="preserve">Thompson, L.E., Barnett, J.R. &amp; Pearce, J.R. (2009) Scared Straight? Fear-Appeal Anti-Smoking Campaigns, Risk, Self-Efficacy and Addiction. </w:t>
      </w:r>
      <w:r w:rsidRPr="00101E89">
        <w:rPr>
          <w:i/>
        </w:rPr>
        <w:t>Health, Risk &amp; Society</w:t>
      </w:r>
      <w:r w:rsidRPr="00101E89">
        <w:t xml:space="preserve">, 11, 181-196. </w:t>
      </w:r>
      <w:hyperlink r:id="rId22">
        <w:r w:rsidRPr="00101E89">
          <w:rPr>
            <w:color w:val="1155CC"/>
            <w:u w:val="single"/>
          </w:rPr>
          <w:t>http://dx.doi.org/10.1080/13698570902784281</w:t>
        </w:r>
      </w:hyperlink>
    </w:p>
    <w:p w14:paraId="4517B7A4" w14:textId="7F8C644C" w:rsidR="00161BD3" w:rsidRDefault="00A42059" w:rsidP="00FD4A73">
      <w:pPr>
        <w:pBdr>
          <w:top w:val="nil"/>
          <w:left w:val="nil"/>
          <w:bottom w:val="nil"/>
          <w:right w:val="nil"/>
          <w:between w:val="nil"/>
        </w:pBdr>
        <w:ind w:left="992" w:hanging="992"/>
      </w:pPr>
      <w:r w:rsidRPr="00101E89">
        <w:t xml:space="preserve">Valmaggia, L. R., Latif, L., Kempton, M. J., &amp; Rus-Calafell, M. (2016). Virtual reality in the psychological treatment for mental health problems: An systematic review of recent evidence. Psychiatry Research, 236, 189–195. </w:t>
      </w:r>
      <w:proofErr w:type="spellStart"/>
      <w:r w:rsidRPr="00101E89">
        <w:t>doi</w:t>
      </w:r>
      <w:proofErr w:type="spellEnd"/>
      <w:r w:rsidRPr="00101E89">
        <w:t>: 10.1016/j.psychres.2016.01.015</w:t>
      </w:r>
    </w:p>
    <w:p w14:paraId="47F0BFAE" w14:textId="44670295" w:rsidR="00E45535" w:rsidRPr="00E45535" w:rsidRDefault="00E45535" w:rsidP="00E45535">
      <w:pPr>
        <w:pBdr>
          <w:top w:val="nil"/>
          <w:left w:val="nil"/>
          <w:bottom w:val="nil"/>
          <w:right w:val="nil"/>
          <w:between w:val="nil"/>
        </w:pBdr>
        <w:ind w:left="992" w:hanging="992"/>
        <w:rPr>
          <w:lang w:val="en-US"/>
        </w:rPr>
      </w:pPr>
      <w:r>
        <w:rPr>
          <w:rFonts w:ascii="Calibri" w:hAnsi="Calibri" w:cs="Calibri"/>
        </w:rPr>
        <w:t>﻿</w:t>
      </w:r>
      <w:r w:rsidRPr="00E45535">
        <w:rPr>
          <w:lang w:val="en-US"/>
        </w:rPr>
        <w:t xml:space="preserve">Vassallo, S., Smart, D., </w:t>
      </w:r>
      <w:proofErr w:type="spellStart"/>
      <w:r w:rsidRPr="00E45535">
        <w:rPr>
          <w:lang w:val="en-US"/>
        </w:rPr>
        <w:t>Sanson</w:t>
      </w:r>
      <w:proofErr w:type="spellEnd"/>
      <w:r w:rsidRPr="00E45535">
        <w:rPr>
          <w:lang w:val="en-US"/>
        </w:rPr>
        <w:t xml:space="preserve">, A., </w:t>
      </w:r>
      <w:r>
        <w:t xml:space="preserve">Harrison, W., Harris, A., Cockfield, S., &amp; McIntyre, A., (2007). </w:t>
      </w:r>
      <w:r w:rsidRPr="00E45535">
        <w:rPr>
          <w:rFonts w:ascii="Calibri" w:hAnsi="Calibri" w:cs="Calibri"/>
        </w:rPr>
        <w:t>﻿</w:t>
      </w:r>
      <w:r w:rsidRPr="00E45535">
        <w:t>Risky driving among young Australian drivers: Trends, precursors and correlates</w:t>
      </w:r>
      <w:r>
        <w:t xml:space="preserve">. </w:t>
      </w:r>
      <w:r>
        <w:rPr>
          <w:i/>
          <w:iCs/>
        </w:rPr>
        <w:t>Accident Analysis and Prevention</w:t>
      </w:r>
      <w:r>
        <w:t xml:space="preserve">, 39(3) 444-458 </w:t>
      </w:r>
      <w:r w:rsidRPr="00E45535">
        <w:rPr>
          <w:rFonts w:ascii="Calibri" w:hAnsi="Calibri" w:cs="Calibri"/>
        </w:rPr>
        <w:t>﻿</w:t>
      </w:r>
      <w:r w:rsidRPr="00E45535">
        <w:t>10.1016/j.aap.2006.04.011</w:t>
      </w:r>
    </w:p>
    <w:p w14:paraId="18A9DE74" w14:textId="18057761" w:rsidR="00B23630" w:rsidRPr="00B23630" w:rsidRDefault="00386938" w:rsidP="00B23630">
      <w:pPr>
        <w:spacing w:line="360" w:lineRule="auto"/>
        <w:ind w:left="720" w:hanging="720"/>
        <w:rPr>
          <w:color w:val="0000FF" w:themeColor="hyperlink"/>
          <w:u w:val="single"/>
        </w:rPr>
      </w:pPr>
      <w:proofErr w:type="spellStart"/>
      <w:r w:rsidRPr="00101E89">
        <w:rPr>
          <w:lang w:val="en-GB"/>
        </w:rPr>
        <w:lastRenderedPageBreak/>
        <w:t>Wåhlberg</w:t>
      </w:r>
      <w:proofErr w:type="spellEnd"/>
      <w:r w:rsidRPr="00101E89">
        <w:rPr>
          <w:lang w:val="en-GB"/>
        </w:rPr>
        <w:t xml:space="preserve">, A. E., Dorn, L., &amp; Kline, T. (2010). The effect of social desirability on self reported and recorded road traffic accidents. </w:t>
      </w:r>
      <w:r w:rsidRPr="00101E89">
        <w:rPr>
          <w:i/>
          <w:iCs/>
          <w:lang w:val="en-GB"/>
        </w:rPr>
        <w:t>Transportation Research Part F: Traffic Psychology and Behaviour</w:t>
      </w:r>
      <w:r w:rsidRPr="00101E89">
        <w:rPr>
          <w:lang w:val="en-GB"/>
        </w:rPr>
        <w:t xml:space="preserve">, </w:t>
      </w:r>
      <w:r w:rsidRPr="00101E89">
        <w:rPr>
          <w:i/>
          <w:iCs/>
          <w:lang w:val="en-GB"/>
        </w:rPr>
        <w:t>13</w:t>
      </w:r>
      <w:r w:rsidRPr="00101E89">
        <w:rPr>
          <w:lang w:val="en-GB"/>
        </w:rPr>
        <w:t xml:space="preserve">(2), 106-114. </w:t>
      </w:r>
      <w:hyperlink r:id="rId23" w:tgtFrame="_blank" w:tooltip="Persistent link using digital object identifier" w:history="1">
        <w:r w:rsidRPr="00101E89">
          <w:rPr>
            <w:rStyle w:val="Hyperlink"/>
          </w:rPr>
          <w:t>https://doi.org/10.1016/j.trf.2009.11.004</w:t>
        </w:r>
      </w:hyperlink>
    </w:p>
    <w:p w14:paraId="0064F415" w14:textId="47AD4485" w:rsidR="00B23630" w:rsidRDefault="00B23630" w:rsidP="00FD4A73">
      <w:pPr>
        <w:pBdr>
          <w:top w:val="nil"/>
          <w:left w:val="nil"/>
          <w:bottom w:val="nil"/>
          <w:right w:val="nil"/>
          <w:between w:val="nil"/>
        </w:pBdr>
        <w:ind w:left="992" w:hanging="992"/>
      </w:pPr>
      <w:r>
        <w:t xml:space="preserve">Watson-Brown, N., Scott-Parker, B., &amp; </w:t>
      </w:r>
      <w:proofErr w:type="spellStart"/>
      <w:r>
        <w:t>Senserrick</w:t>
      </w:r>
      <w:proofErr w:type="spellEnd"/>
      <w:r>
        <w:t xml:space="preserve">, T., (2019). </w:t>
      </w:r>
      <w:r w:rsidRPr="00B23630">
        <w:t>Association between higher-order driving instruction and risky driving behaviours: Exploring the mediating effects of a self-regulated safety orientation</w:t>
      </w:r>
      <w:r>
        <w:t xml:space="preserve">. </w:t>
      </w:r>
      <w:r>
        <w:rPr>
          <w:i/>
          <w:iCs/>
        </w:rPr>
        <w:t xml:space="preserve">Accident Analysis and Prevention, </w:t>
      </w:r>
      <w:r>
        <w:t xml:space="preserve">131, 275-283 </w:t>
      </w:r>
      <w:hyperlink r:id="rId24" w:history="1">
        <w:r w:rsidR="00C757CF" w:rsidRPr="00C80853">
          <w:rPr>
            <w:rStyle w:val="Hyperlink"/>
          </w:rPr>
          <w:t>https://doi.org/10.1016/j.aap.2019.07.005</w:t>
        </w:r>
      </w:hyperlink>
    </w:p>
    <w:p w14:paraId="786E4703" w14:textId="024CE60D" w:rsidR="00C757CF" w:rsidRPr="00C757CF" w:rsidRDefault="00C757CF" w:rsidP="00FD4A73">
      <w:pPr>
        <w:pBdr>
          <w:top w:val="nil"/>
          <w:left w:val="nil"/>
          <w:bottom w:val="nil"/>
          <w:right w:val="nil"/>
          <w:between w:val="nil"/>
        </w:pBdr>
        <w:ind w:left="992" w:hanging="992"/>
      </w:pPr>
      <w:r>
        <w:t xml:space="preserve">White, C.M., Gummerum, M., &amp; Hanoch, Y., (2015). </w:t>
      </w:r>
      <w:r w:rsidRPr="00C757CF">
        <w:t>Adolescents’ and Young Adults’ Online Risk Taking: The Role of Gist and Verbatim Representations</w:t>
      </w:r>
      <w:r>
        <w:t xml:space="preserve">. </w:t>
      </w:r>
      <w:r>
        <w:rPr>
          <w:i/>
          <w:iCs/>
        </w:rPr>
        <w:t xml:space="preserve">Risk Analysis, </w:t>
      </w:r>
      <w:r>
        <w:t xml:space="preserve">35(8), </w:t>
      </w:r>
      <w:r w:rsidRPr="00C757CF">
        <w:t>1407-</w:t>
      </w:r>
      <w:proofErr w:type="gramStart"/>
      <w:r w:rsidRPr="00C757CF">
        <w:t>1422</w:t>
      </w:r>
      <w:r>
        <w:t xml:space="preserve"> </w:t>
      </w:r>
      <w:r w:rsidRPr="00C757CF">
        <w:t xml:space="preserve"> https://doi.org/10.1111/risa.12369</w:t>
      </w:r>
      <w:proofErr w:type="gramEnd"/>
      <w:r>
        <w:rPr>
          <w:i/>
          <w:iCs/>
        </w:rPr>
        <w:t xml:space="preserve"> </w:t>
      </w:r>
    </w:p>
    <w:p w14:paraId="2039086C" w14:textId="15051E38" w:rsidR="00EC226F" w:rsidRPr="00101E89" w:rsidRDefault="00EC226F" w:rsidP="00FD4A73">
      <w:pPr>
        <w:pBdr>
          <w:top w:val="nil"/>
          <w:left w:val="nil"/>
          <w:bottom w:val="nil"/>
          <w:right w:val="nil"/>
          <w:between w:val="nil"/>
        </w:pBdr>
        <w:ind w:left="992" w:hanging="992"/>
      </w:pPr>
      <w:r w:rsidRPr="00101E89">
        <w:t xml:space="preserve">Wilde, G. J. S. (1994). </w:t>
      </w:r>
      <w:r w:rsidRPr="00101E89">
        <w:rPr>
          <w:i/>
        </w:rPr>
        <w:t xml:space="preserve">Target risk: dealing with the danger of death, disease, and damage in everyday decisions. </w:t>
      </w:r>
      <w:r w:rsidRPr="00101E89">
        <w:t>Toronto: PDE</w:t>
      </w:r>
    </w:p>
    <w:p w14:paraId="39ECDE61" w14:textId="77777777" w:rsidR="00161BD3" w:rsidRPr="00101E89" w:rsidRDefault="00A42059" w:rsidP="00FD4A73">
      <w:pPr>
        <w:pBdr>
          <w:top w:val="nil"/>
          <w:left w:val="nil"/>
          <w:bottom w:val="nil"/>
          <w:right w:val="nil"/>
          <w:between w:val="nil"/>
        </w:pBdr>
        <w:ind w:left="992" w:hanging="992"/>
      </w:pPr>
      <w:r w:rsidRPr="00101E89">
        <w:t xml:space="preserve">Witte, K. (1992). Putting the fear back into fear appeals: The extended parallel process model. </w:t>
      </w:r>
      <w:r w:rsidRPr="00101E89">
        <w:rPr>
          <w:i/>
        </w:rPr>
        <w:t>Communications Monographs</w:t>
      </w:r>
      <w:r w:rsidRPr="00101E89">
        <w:t xml:space="preserve">, 59(4), 329-349. doi:10.1080/03637759209376276 </w:t>
      </w:r>
    </w:p>
    <w:p w14:paraId="4F1BF3DF" w14:textId="77777777" w:rsidR="00161BD3" w:rsidRPr="00101E89" w:rsidRDefault="00A42059" w:rsidP="00FD4A73">
      <w:pPr>
        <w:pBdr>
          <w:top w:val="nil"/>
          <w:left w:val="nil"/>
          <w:bottom w:val="nil"/>
          <w:right w:val="nil"/>
          <w:between w:val="nil"/>
        </w:pBdr>
        <w:ind w:left="992" w:hanging="992"/>
      </w:pPr>
      <w:r w:rsidRPr="00101E89">
        <w:t>Witte, K. (1996). Predicting risk behaviors: Development and validation of a diagnostic scale. J</w:t>
      </w:r>
      <w:r w:rsidRPr="00101E89">
        <w:rPr>
          <w:i/>
        </w:rPr>
        <w:t>ournal of Health Communication</w:t>
      </w:r>
      <w:r w:rsidRPr="00101E89">
        <w:t>, 1(4), 317-342. doi:10.1080/108107396127988</w:t>
      </w:r>
    </w:p>
    <w:p w14:paraId="7E679A88" w14:textId="77777777" w:rsidR="00161BD3" w:rsidRPr="00101E89" w:rsidRDefault="00A42059" w:rsidP="00FD4A73">
      <w:pPr>
        <w:pBdr>
          <w:top w:val="nil"/>
          <w:left w:val="nil"/>
          <w:bottom w:val="nil"/>
          <w:right w:val="nil"/>
          <w:between w:val="nil"/>
        </w:pBdr>
        <w:ind w:left="992" w:hanging="992"/>
      </w:pPr>
      <w:r w:rsidRPr="00101E89">
        <w:t xml:space="preserve">Witte, K., &amp; Allen, M. (2000). A meta-analysis of fear appeals: Implications for effective  public health campaigns. </w:t>
      </w:r>
      <w:r w:rsidRPr="00101E89">
        <w:rPr>
          <w:i/>
        </w:rPr>
        <w:t>Health Education and Behaviour</w:t>
      </w:r>
      <w:r w:rsidRPr="00101E89">
        <w:t>, 27(5), 608-632.</w:t>
      </w:r>
    </w:p>
    <w:p w14:paraId="0EF05FC3" w14:textId="09709ABA" w:rsidR="00161BD3" w:rsidRPr="00101E89" w:rsidRDefault="00A42059" w:rsidP="00FD4A73">
      <w:pPr>
        <w:pBdr>
          <w:top w:val="nil"/>
          <w:left w:val="nil"/>
          <w:bottom w:val="nil"/>
          <w:right w:val="nil"/>
          <w:between w:val="nil"/>
        </w:pBdr>
        <w:ind w:left="992" w:hanging="992"/>
      </w:pPr>
      <w:r w:rsidRPr="00101E89">
        <w:t>W</w:t>
      </w:r>
      <w:r w:rsidR="00CF0559">
        <w:t xml:space="preserve">orld </w:t>
      </w:r>
      <w:r w:rsidRPr="00101E89">
        <w:t>H</w:t>
      </w:r>
      <w:r w:rsidR="00CF0559">
        <w:t xml:space="preserve">ealth </w:t>
      </w:r>
      <w:r w:rsidRPr="00101E89">
        <w:t>O</w:t>
      </w:r>
      <w:r w:rsidR="00CF0559">
        <w:t>rganization</w:t>
      </w:r>
      <w:r w:rsidRPr="00101E89">
        <w:t xml:space="preserve"> (2019). Road traffic injury report. Retrieved from: </w:t>
      </w:r>
      <w:hyperlink r:id="rId25">
        <w:r w:rsidRPr="00101E89">
          <w:rPr>
            <w:color w:val="1155CC"/>
            <w:u w:val="single"/>
          </w:rPr>
          <w:t>https://www.who.int/news-room/fact-sheets/detail/road-traffic-injuries</w:t>
        </w:r>
      </w:hyperlink>
    </w:p>
    <w:p w14:paraId="36966E58" w14:textId="79D2AC6A" w:rsidR="00161BD3" w:rsidRDefault="00A42059" w:rsidP="00FD4A73">
      <w:pPr>
        <w:pBdr>
          <w:top w:val="nil"/>
          <w:left w:val="nil"/>
          <w:bottom w:val="nil"/>
          <w:right w:val="nil"/>
          <w:between w:val="nil"/>
        </w:pBdr>
        <w:ind w:left="992" w:hanging="992"/>
      </w:pPr>
      <w:r w:rsidRPr="00101E89">
        <w:t xml:space="preserve">Xu, X., Alexander, R. L., Jr., Simpson, S. A., Goates, S., Nonnemaker, J. M., Davis, K. C., &amp; McAfee, T. (2015). A cost-effectiveness analysis of the first federally funded anti-smoking campaign. </w:t>
      </w:r>
      <w:r w:rsidRPr="00101E89">
        <w:rPr>
          <w:i/>
        </w:rPr>
        <w:t>American Journal of Preventive Medicine</w:t>
      </w:r>
      <w:r w:rsidRPr="00101E89">
        <w:t xml:space="preserve">, 48, 318 –325. </w:t>
      </w:r>
      <w:hyperlink r:id="rId26" w:history="1">
        <w:r w:rsidR="00C757CF" w:rsidRPr="00C80853">
          <w:rPr>
            <w:rStyle w:val="Hyperlink"/>
          </w:rPr>
          <w:t>http://dx.doi.org/10.1016/j.amepre .2014.10.011</w:t>
        </w:r>
      </w:hyperlink>
    </w:p>
    <w:p w14:paraId="7FFBBE8C" w14:textId="3334A10E" w:rsidR="00C757CF" w:rsidRPr="00C757CF" w:rsidRDefault="00C757CF" w:rsidP="00FD4A73">
      <w:pPr>
        <w:pBdr>
          <w:top w:val="nil"/>
          <w:left w:val="nil"/>
          <w:bottom w:val="nil"/>
          <w:right w:val="nil"/>
          <w:between w:val="nil"/>
        </w:pBdr>
        <w:ind w:left="992" w:hanging="992"/>
      </w:pPr>
      <w:r>
        <w:lastRenderedPageBreak/>
        <w:t xml:space="preserve">Yang, C., Dillard, J.P., &amp; Lin, R., (2018). </w:t>
      </w:r>
      <w:r w:rsidRPr="00C757CF">
        <w:t>Understanding Fear of Zika: Personal, Interpersonal, and Media Influences</w:t>
      </w:r>
      <w:r>
        <w:t xml:space="preserve">. </w:t>
      </w:r>
      <w:r>
        <w:rPr>
          <w:i/>
          <w:iCs/>
        </w:rPr>
        <w:t>Risk Analysis</w:t>
      </w:r>
      <w:r>
        <w:t xml:space="preserve">, 38(12), </w:t>
      </w:r>
      <w:r w:rsidRPr="00C757CF">
        <w:t>2535-</w:t>
      </w:r>
      <w:proofErr w:type="gramStart"/>
      <w:r w:rsidRPr="00C757CF">
        <w:t>2545</w:t>
      </w:r>
      <w:r>
        <w:t xml:space="preserve"> </w:t>
      </w:r>
      <w:r w:rsidRPr="00C757CF">
        <w:t xml:space="preserve"> https://doi.org/10.1111/risa.12973</w:t>
      </w:r>
      <w:proofErr w:type="gramEnd"/>
    </w:p>
    <w:p w14:paraId="4413E9C7" w14:textId="77777777" w:rsidR="00161BD3" w:rsidRPr="00101E89" w:rsidRDefault="00A42059" w:rsidP="00FD4A73">
      <w:pPr>
        <w:pBdr>
          <w:top w:val="nil"/>
          <w:left w:val="nil"/>
          <w:bottom w:val="nil"/>
          <w:right w:val="nil"/>
          <w:between w:val="nil"/>
        </w:pBdr>
        <w:ind w:left="850" w:hanging="850"/>
      </w:pPr>
      <w:r w:rsidRPr="00101E89">
        <w:t xml:space="preserve">Zhao, X., Roditis, M.L., &amp; Alexander, T.N., (2019). Fear and Humor Appeals in “The Real Cost” Campaign: Evidence of Potential Effectiveness in Message Pretesting. </w:t>
      </w:r>
      <w:r w:rsidRPr="00101E89">
        <w:rPr>
          <w:i/>
        </w:rPr>
        <w:t>American Journal of Preventive Medicine</w:t>
      </w:r>
      <w:r w:rsidRPr="00101E89">
        <w:t>, 56(2) 31-39. https://doi.org/10.1016/j.amepre.2018.07.033</w:t>
      </w:r>
    </w:p>
    <w:p w14:paraId="4AFC5FE4" w14:textId="77777777" w:rsidR="00161BD3" w:rsidRPr="00101E89" w:rsidRDefault="00161BD3" w:rsidP="004E6D30">
      <w:pPr>
        <w:ind w:left="720" w:firstLine="720"/>
      </w:pPr>
    </w:p>
    <w:p w14:paraId="4EF79D8C" w14:textId="77777777" w:rsidR="00161BD3" w:rsidRPr="00101E89" w:rsidRDefault="00161BD3" w:rsidP="001A781B">
      <w:pPr>
        <w:ind w:left="720" w:firstLine="720"/>
      </w:pPr>
    </w:p>
    <w:p w14:paraId="0C63D709" w14:textId="77777777" w:rsidR="00161BD3" w:rsidRPr="00101E89" w:rsidRDefault="00161BD3" w:rsidP="004E6D30">
      <w:pPr>
        <w:jc w:val="center"/>
      </w:pPr>
    </w:p>
    <w:p w14:paraId="6D3D1935" w14:textId="77777777" w:rsidR="00161BD3" w:rsidRPr="00101E89" w:rsidRDefault="00161BD3" w:rsidP="004E6D30">
      <w:pPr>
        <w:jc w:val="center"/>
      </w:pPr>
    </w:p>
    <w:p w14:paraId="5BFCF525" w14:textId="77777777" w:rsidR="00161BD3" w:rsidRDefault="00A42059" w:rsidP="004E6D30">
      <w:pPr>
        <w:jc w:val="center"/>
        <w:rPr>
          <w:sz w:val="22"/>
          <w:szCs w:val="22"/>
        </w:rPr>
      </w:pPr>
      <w:r>
        <w:rPr>
          <w:sz w:val="22"/>
          <w:szCs w:val="22"/>
        </w:rPr>
        <w:t xml:space="preserve"> </w:t>
      </w:r>
    </w:p>
    <w:sectPr w:rsidR="00161BD3" w:rsidSect="007D4FA6">
      <w:headerReference w:type="default" r:id="rId27"/>
      <w:footerReference w:type="even" r:id="rId28"/>
      <w:footerReference w:type="default" r:id="rId29"/>
      <w:headerReference w:type="first" r:id="rId30"/>
      <w:footerReference w:type="first" r:id="rId31"/>
      <w:pgSz w:w="12240" w:h="15840"/>
      <w:pgMar w:top="1440" w:right="1440" w:bottom="1440" w:left="992"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11A4F" w14:textId="77777777" w:rsidR="00ED3376" w:rsidRDefault="00ED3376">
      <w:pPr>
        <w:spacing w:line="240" w:lineRule="auto"/>
      </w:pPr>
      <w:r>
        <w:separator/>
      </w:r>
    </w:p>
  </w:endnote>
  <w:endnote w:type="continuationSeparator" w:id="0">
    <w:p w14:paraId="2F11901F" w14:textId="77777777" w:rsidR="00ED3376" w:rsidRDefault="00ED3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59B6" w14:textId="77777777" w:rsidR="0067524A" w:rsidRDefault="0067524A" w:rsidP="009D56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FB5303" w14:textId="77777777" w:rsidR="0067524A" w:rsidRDefault="00675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E1C5" w14:textId="0F18D8A2" w:rsidR="0067524A" w:rsidRDefault="0067524A" w:rsidP="000B2DB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2B5B0089" w14:textId="77777777" w:rsidR="0067524A" w:rsidRDefault="0067524A" w:rsidP="000B2DB4">
    <w:pPr>
      <w:pStyle w:val="Footer"/>
      <w:framePr w:wrap="around" w:vAnchor="text" w:hAnchor="margin" w:xAlign="center"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6816" w14:textId="77777777" w:rsidR="0067524A" w:rsidRDefault="0067524A">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935F8" w14:textId="77777777" w:rsidR="00ED3376" w:rsidRDefault="00ED3376">
      <w:pPr>
        <w:spacing w:line="240" w:lineRule="auto"/>
      </w:pPr>
      <w:r>
        <w:separator/>
      </w:r>
    </w:p>
  </w:footnote>
  <w:footnote w:type="continuationSeparator" w:id="0">
    <w:p w14:paraId="3029BE12" w14:textId="77777777" w:rsidR="00ED3376" w:rsidRDefault="00ED3376">
      <w:pPr>
        <w:spacing w:line="240" w:lineRule="auto"/>
      </w:pPr>
      <w:r>
        <w:continuationSeparator/>
      </w:r>
    </w:p>
  </w:footnote>
  <w:footnote w:id="1">
    <w:p w14:paraId="18B2F2DE" w14:textId="262C7F21" w:rsidR="0067524A" w:rsidRPr="00A268BF" w:rsidRDefault="0067524A">
      <w:pPr>
        <w:pStyle w:val="FootnoteText"/>
        <w:rPr>
          <w:lang w:val="en-US"/>
        </w:rPr>
      </w:pPr>
      <w:r>
        <w:rPr>
          <w:rStyle w:val="FootnoteReference"/>
        </w:rPr>
        <w:footnoteRef/>
      </w:r>
      <w:r>
        <w:t xml:space="preserve"> </w:t>
      </w:r>
      <w:r>
        <w:rPr>
          <w:lang w:val="en-US"/>
        </w:rPr>
        <w:t>Additional</w:t>
      </w:r>
      <w:r w:rsidRPr="00A268BF">
        <w:rPr>
          <w:lang w:val="en-US"/>
        </w:rPr>
        <w:t xml:space="preserve"> providers include UKROEd/NDORs</w:t>
      </w:r>
      <w:r>
        <w:rPr>
          <w:lang w:val="en-US"/>
        </w:rPr>
        <w:t>,</w:t>
      </w:r>
      <w:r w:rsidRPr="00A268BF">
        <w:rPr>
          <w:lang w:val="en-US"/>
        </w:rPr>
        <w:t xml:space="preserve"> who deliver National Speed </w:t>
      </w:r>
      <w:r>
        <w:rPr>
          <w:lang w:val="en-US"/>
        </w:rPr>
        <w:t xml:space="preserve">Awareness Courses to over 1.2. million UK drivers each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5214" w14:textId="77777777" w:rsidR="0067524A" w:rsidRDefault="0067524A">
    <w:pPr>
      <w:pStyle w:val="Header"/>
    </w:pPr>
    <w:r>
      <w:tab/>
    </w:r>
    <w:r>
      <w:tab/>
    </w:r>
  </w:p>
  <w:p w14:paraId="44A58210" w14:textId="77777777" w:rsidR="0067524A" w:rsidRDefault="0067524A" w:rsidP="00B25FF0">
    <w:pPr>
      <w:pStyle w:val="Header"/>
      <w:jc w:val="right"/>
    </w:pPr>
    <w:r>
      <w:tab/>
    </w:r>
    <w:r>
      <w:tab/>
      <w:t>Evaluating safe driving interventions</w:t>
    </w:r>
  </w:p>
  <w:p w14:paraId="1C7B6D84" w14:textId="77777777" w:rsidR="0067524A" w:rsidRPr="00DC775A" w:rsidRDefault="0067524A" w:rsidP="00DC7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C335" w14:textId="77777777" w:rsidR="0067524A" w:rsidRDefault="0067524A">
    <w:pPr>
      <w:pBdr>
        <w:top w:val="nil"/>
        <w:left w:val="nil"/>
        <w:bottom w:val="nil"/>
        <w:right w:val="nil"/>
        <w:between w:val="nil"/>
      </w:pBdr>
      <w:spacing w:before="960"/>
      <w:rPr>
        <w:color w:val="000000"/>
        <w:sz w:val="18"/>
        <w:szCs w:val="18"/>
      </w:rPr>
    </w:pPr>
    <w:r>
      <w:rPr>
        <w:rFonts w:ascii="Roboto" w:eastAsia="Roboto" w:hAnsi="Roboto" w:cs="Roboto"/>
        <w:sz w:val="18"/>
        <w:szCs w:val="18"/>
      </w:rPr>
      <w:t xml:space="preserve">Effectiveness of a Young Driver-Education Intervention </w:t>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p>
  <w:p w14:paraId="5BF97E33" w14:textId="77777777" w:rsidR="0067524A" w:rsidRDefault="0067524A">
    <w:pPr>
      <w:pBdr>
        <w:top w:val="nil"/>
        <w:left w:val="nil"/>
        <w:bottom w:val="nil"/>
        <w:right w:val="nil"/>
        <w:between w:val="nil"/>
      </w:pBdr>
      <w:spacing w:before="960"/>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D3"/>
    <w:rsid w:val="00003B4A"/>
    <w:rsid w:val="0000770B"/>
    <w:rsid w:val="00020521"/>
    <w:rsid w:val="00027C30"/>
    <w:rsid w:val="000300CA"/>
    <w:rsid w:val="00033BC6"/>
    <w:rsid w:val="00035754"/>
    <w:rsid w:val="000402D7"/>
    <w:rsid w:val="00044CB8"/>
    <w:rsid w:val="00050EEB"/>
    <w:rsid w:val="00055F94"/>
    <w:rsid w:val="00061FBE"/>
    <w:rsid w:val="000672EC"/>
    <w:rsid w:val="000745EA"/>
    <w:rsid w:val="00086EC8"/>
    <w:rsid w:val="00091487"/>
    <w:rsid w:val="00096A98"/>
    <w:rsid w:val="000B198A"/>
    <w:rsid w:val="000B2DB4"/>
    <w:rsid w:val="000B3F89"/>
    <w:rsid w:val="000B60B8"/>
    <w:rsid w:val="000B68E9"/>
    <w:rsid w:val="000C4A4D"/>
    <w:rsid w:val="000C6CAE"/>
    <w:rsid w:val="000C7778"/>
    <w:rsid w:val="000D2909"/>
    <w:rsid w:val="000D3507"/>
    <w:rsid w:val="000D7C73"/>
    <w:rsid w:val="000E67E7"/>
    <w:rsid w:val="000F5B8D"/>
    <w:rsid w:val="000F68D2"/>
    <w:rsid w:val="001016B5"/>
    <w:rsid w:val="001019FF"/>
    <w:rsid w:val="00101E89"/>
    <w:rsid w:val="001155AC"/>
    <w:rsid w:val="00117381"/>
    <w:rsid w:val="00117C47"/>
    <w:rsid w:val="001254E3"/>
    <w:rsid w:val="0013237A"/>
    <w:rsid w:val="00156E8B"/>
    <w:rsid w:val="00161BD3"/>
    <w:rsid w:val="001678B5"/>
    <w:rsid w:val="001843C8"/>
    <w:rsid w:val="00184B53"/>
    <w:rsid w:val="001908A2"/>
    <w:rsid w:val="00193E03"/>
    <w:rsid w:val="001958C9"/>
    <w:rsid w:val="001A5304"/>
    <w:rsid w:val="001A781B"/>
    <w:rsid w:val="001C3393"/>
    <w:rsid w:val="001D1371"/>
    <w:rsid w:val="002164BF"/>
    <w:rsid w:val="00216798"/>
    <w:rsid w:val="002208CE"/>
    <w:rsid w:val="00244577"/>
    <w:rsid w:val="00244899"/>
    <w:rsid w:val="00247DD8"/>
    <w:rsid w:val="00270EF6"/>
    <w:rsid w:val="00291415"/>
    <w:rsid w:val="002938DD"/>
    <w:rsid w:val="00295AF9"/>
    <w:rsid w:val="002B1835"/>
    <w:rsid w:val="002B6F38"/>
    <w:rsid w:val="002D18BD"/>
    <w:rsid w:val="002D5EB5"/>
    <w:rsid w:val="002D6006"/>
    <w:rsid w:val="002E2D27"/>
    <w:rsid w:val="002E31EE"/>
    <w:rsid w:val="002E75E5"/>
    <w:rsid w:val="002E7B4C"/>
    <w:rsid w:val="002F29CA"/>
    <w:rsid w:val="00304729"/>
    <w:rsid w:val="0031497C"/>
    <w:rsid w:val="0033520D"/>
    <w:rsid w:val="00347CF3"/>
    <w:rsid w:val="00350127"/>
    <w:rsid w:val="00360B33"/>
    <w:rsid w:val="0037045A"/>
    <w:rsid w:val="00374D0A"/>
    <w:rsid w:val="003832EB"/>
    <w:rsid w:val="0038337C"/>
    <w:rsid w:val="003854BA"/>
    <w:rsid w:val="00386938"/>
    <w:rsid w:val="00392B98"/>
    <w:rsid w:val="003A545D"/>
    <w:rsid w:val="003A5A40"/>
    <w:rsid w:val="003A6434"/>
    <w:rsid w:val="003C7455"/>
    <w:rsid w:val="003D0F0A"/>
    <w:rsid w:val="003D1C0E"/>
    <w:rsid w:val="003D72E6"/>
    <w:rsid w:val="003E7662"/>
    <w:rsid w:val="003F1F71"/>
    <w:rsid w:val="003F294B"/>
    <w:rsid w:val="00411479"/>
    <w:rsid w:val="0041235F"/>
    <w:rsid w:val="00412839"/>
    <w:rsid w:val="00413DF4"/>
    <w:rsid w:val="00431F71"/>
    <w:rsid w:val="00433CDB"/>
    <w:rsid w:val="00436EB5"/>
    <w:rsid w:val="00445678"/>
    <w:rsid w:val="004473F7"/>
    <w:rsid w:val="0045007B"/>
    <w:rsid w:val="004577B3"/>
    <w:rsid w:val="0046077E"/>
    <w:rsid w:val="0046081D"/>
    <w:rsid w:val="00470922"/>
    <w:rsid w:val="0048238E"/>
    <w:rsid w:val="00482C1B"/>
    <w:rsid w:val="00493E3D"/>
    <w:rsid w:val="004A7D01"/>
    <w:rsid w:val="004B1716"/>
    <w:rsid w:val="004B176F"/>
    <w:rsid w:val="004C3068"/>
    <w:rsid w:val="004C3318"/>
    <w:rsid w:val="004C7620"/>
    <w:rsid w:val="004C7C56"/>
    <w:rsid w:val="004D3142"/>
    <w:rsid w:val="004D6F21"/>
    <w:rsid w:val="004D7521"/>
    <w:rsid w:val="004E645C"/>
    <w:rsid w:val="004E6D30"/>
    <w:rsid w:val="004F47C9"/>
    <w:rsid w:val="004F5729"/>
    <w:rsid w:val="0050437C"/>
    <w:rsid w:val="0051519F"/>
    <w:rsid w:val="00550AF6"/>
    <w:rsid w:val="00555B6A"/>
    <w:rsid w:val="00565C76"/>
    <w:rsid w:val="0056609A"/>
    <w:rsid w:val="00566C03"/>
    <w:rsid w:val="005768FA"/>
    <w:rsid w:val="0057713A"/>
    <w:rsid w:val="0059329E"/>
    <w:rsid w:val="00597864"/>
    <w:rsid w:val="005A35E0"/>
    <w:rsid w:val="005B26AC"/>
    <w:rsid w:val="005C070F"/>
    <w:rsid w:val="005C32D0"/>
    <w:rsid w:val="005D283A"/>
    <w:rsid w:val="005D307A"/>
    <w:rsid w:val="005E1FB2"/>
    <w:rsid w:val="005F0772"/>
    <w:rsid w:val="005F1EAB"/>
    <w:rsid w:val="005F7B34"/>
    <w:rsid w:val="005F7D27"/>
    <w:rsid w:val="00611BC2"/>
    <w:rsid w:val="00625F84"/>
    <w:rsid w:val="00640A8B"/>
    <w:rsid w:val="00643F26"/>
    <w:rsid w:val="00670AEC"/>
    <w:rsid w:val="0067111E"/>
    <w:rsid w:val="0067524A"/>
    <w:rsid w:val="0067686E"/>
    <w:rsid w:val="00676A6A"/>
    <w:rsid w:val="00677906"/>
    <w:rsid w:val="00685CB2"/>
    <w:rsid w:val="00690B22"/>
    <w:rsid w:val="00697370"/>
    <w:rsid w:val="006C5976"/>
    <w:rsid w:val="006C6D9A"/>
    <w:rsid w:val="006E06E5"/>
    <w:rsid w:val="006E0B60"/>
    <w:rsid w:val="006E5400"/>
    <w:rsid w:val="00702A09"/>
    <w:rsid w:val="00702D1F"/>
    <w:rsid w:val="00712DB9"/>
    <w:rsid w:val="007158F0"/>
    <w:rsid w:val="0071628F"/>
    <w:rsid w:val="00725E30"/>
    <w:rsid w:val="007320D2"/>
    <w:rsid w:val="00733452"/>
    <w:rsid w:val="007403BD"/>
    <w:rsid w:val="00755FFA"/>
    <w:rsid w:val="0076271C"/>
    <w:rsid w:val="0077145C"/>
    <w:rsid w:val="00784522"/>
    <w:rsid w:val="00795DE9"/>
    <w:rsid w:val="007A4C9D"/>
    <w:rsid w:val="007B20B4"/>
    <w:rsid w:val="007B4238"/>
    <w:rsid w:val="007B642D"/>
    <w:rsid w:val="007D4FA6"/>
    <w:rsid w:val="007E031D"/>
    <w:rsid w:val="007E2B8F"/>
    <w:rsid w:val="007F1105"/>
    <w:rsid w:val="007F4384"/>
    <w:rsid w:val="00806615"/>
    <w:rsid w:val="00810815"/>
    <w:rsid w:val="00812916"/>
    <w:rsid w:val="0081475D"/>
    <w:rsid w:val="0081516D"/>
    <w:rsid w:val="00815706"/>
    <w:rsid w:val="00827E53"/>
    <w:rsid w:val="0083194B"/>
    <w:rsid w:val="00832C36"/>
    <w:rsid w:val="00833E06"/>
    <w:rsid w:val="0084542C"/>
    <w:rsid w:val="008468D7"/>
    <w:rsid w:val="00857874"/>
    <w:rsid w:val="00860B4C"/>
    <w:rsid w:val="00861FFD"/>
    <w:rsid w:val="00863762"/>
    <w:rsid w:val="00864931"/>
    <w:rsid w:val="0086741E"/>
    <w:rsid w:val="00877B03"/>
    <w:rsid w:val="00895F84"/>
    <w:rsid w:val="008A0886"/>
    <w:rsid w:val="008B6D8E"/>
    <w:rsid w:val="008B7C96"/>
    <w:rsid w:val="008C5730"/>
    <w:rsid w:val="008D1889"/>
    <w:rsid w:val="008D1CF3"/>
    <w:rsid w:val="008D25A8"/>
    <w:rsid w:val="008D3B5C"/>
    <w:rsid w:val="008D708A"/>
    <w:rsid w:val="008F72FE"/>
    <w:rsid w:val="00901EC4"/>
    <w:rsid w:val="00903F05"/>
    <w:rsid w:val="009045B5"/>
    <w:rsid w:val="00935421"/>
    <w:rsid w:val="00946294"/>
    <w:rsid w:val="00947E3D"/>
    <w:rsid w:val="009532A2"/>
    <w:rsid w:val="00954DBD"/>
    <w:rsid w:val="00976E52"/>
    <w:rsid w:val="00987F87"/>
    <w:rsid w:val="00993A2D"/>
    <w:rsid w:val="00995096"/>
    <w:rsid w:val="009A0DAD"/>
    <w:rsid w:val="009A4E8A"/>
    <w:rsid w:val="009A797A"/>
    <w:rsid w:val="009B6190"/>
    <w:rsid w:val="009D06B5"/>
    <w:rsid w:val="009D2C8A"/>
    <w:rsid w:val="009D5671"/>
    <w:rsid w:val="009E4CE9"/>
    <w:rsid w:val="009E64A0"/>
    <w:rsid w:val="009F5D4A"/>
    <w:rsid w:val="00A03204"/>
    <w:rsid w:val="00A07A19"/>
    <w:rsid w:val="00A13A96"/>
    <w:rsid w:val="00A263B1"/>
    <w:rsid w:val="00A268BF"/>
    <w:rsid w:val="00A3287B"/>
    <w:rsid w:val="00A33BC7"/>
    <w:rsid w:val="00A42059"/>
    <w:rsid w:val="00A4332C"/>
    <w:rsid w:val="00A50720"/>
    <w:rsid w:val="00A56870"/>
    <w:rsid w:val="00A57AD4"/>
    <w:rsid w:val="00A618FD"/>
    <w:rsid w:val="00A739DB"/>
    <w:rsid w:val="00A919D1"/>
    <w:rsid w:val="00A95B17"/>
    <w:rsid w:val="00A95FE9"/>
    <w:rsid w:val="00AB6177"/>
    <w:rsid w:val="00AC3333"/>
    <w:rsid w:val="00AC55F1"/>
    <w:rsid w:val="00AC6C01"/>
    <w:rsid w:val="00AC70F6"/>
    <w:rsid w:val="00AC780E"/>
    <w:rsid w:val="00AE1608"/>
    <w:rsid w:val="00AF1014"/>
    <w:rsid w:val="00AF2352"/>
    <w:rsid w:val="00AF5D50"/>
    <w:rsid w:val="00B00620"/>
    <w:rsid w:val="00B00B97"/>
    <w:rsid w:val="00B01C8F"/>
    <w:rsid w:val="00B11856"/>
    <w:rsid w:val="00B14026"/>
    <w:rsid w:val="00B203A3"/>
    <w:rsid w:val="00B23630"/>
    <w:rsid w:val="00B25FF0"/>
    <w:rsid w:val="00B5200A"/>
    <w:rsid w:val="00B53672"/>
    <w:rsid w:val="00B536D5"/>
    <w:rsid w:val="00B60BC6"/>
    <w:rsid w:val="00B62B7E"/>
    <w:rsid w:val="00B6357D"/>
    <w:rsid w:val="00B719B7"/>
    <w:rsid w:val="00B72026"/>
    <w:rsid w:val="00B755EA"/>
    <w:rsid w:val="00B80758"/>
    <w:rsid w:val="00B971C3"/>
    <w:rsid w:val="00BA473F"/>
    <w:rsid w:val="00BA7E95"/>
    <w:rsid w:val="00BB0AB7"/>
    <w:rsid w:val="00BB4292"/>
    <w:rsid w:val="00BB7EA5"/>
    <w:rsid w:val="00BC34FA"/>
    <w:rsid w:val="00BC4E6D"/>
    <w:rsid w:val="00BC7FE8"/>
    <w:rsid w:val="00BD1571"/>
    <w:rsid w:val="00BF58D6"/>
    <w:rsid w:val="00C0431B"/>
    <w:rsid w:val="00C14794"/>
    <w:rsid w:val="00C16A2C"/>
    <w:rsid w:val="00C245D8"/>
    <w:rsid w:val="00C34F73"/>
    <w:rsid w:val="00C42196"/>
    <w:rsid w:val="00C46223"/>
    <w:rsid w:val="00C519C9"/>
    <w:rsid w:val="00C53A42"/>
    <w:rsid w:val="00C64091"/>
    <w:rsid w:val="00C669AB"/>
    <w:rsid w:val="00C72BA3"/>
    <w:rsid w:val="00C757CF"/>
    <w:rsid w:val="00C85458"/>
    <w:rsid w:val="00C9436D"/>
    <w:rsid w:val="00CB4555"/>
    <w:rsid w:val="00CC1DB3"/>
    <w:rsid w:val="00CD5E92"/>
    <w:rsid w:val="00CD7B6E"/>
    <w:rsid w:val="00CE127E"/>
    <w:rsid w:val="00CE4448"/>
    <w:rsid w:val="00CE4EC9"/>
    <w:rsid w:val="00CE675C"/>
    <w:rsid w:val="00CE7FE6"/>
    <w:rsid w:val="00CF0559"/>
    <w:rsid w:val="00D02B41"/>
    <w:rsid w:val="00D03E7E"/>
    <w:rsid w:val="00D0553E"/>
    <w:rsid w:val="00D31118"/>
    <w:rsid w:val="00D31959"/>
    <w:rsid w:val="00D33F28"/>
    <w:rsid w:val="00D344D9"/>
    <w:rsid w:val="00D375D5"/>
    <w:rsid w:val="00D45CCD"/>
    <w:rsid w:val="00D55DD9"/>
    <w:rsid w:val="00D57628"/>
    <w:rsid w:val="00D576E3"/>
    <w:rsid w:val="00D66B1B"/>
    <w:rsid w:val="00D7103D"/>
    <w:rsid w:val="00D769C3"/>
    <w:rsid w:val="00D97C86"/>
    <w:rsid w:val="00DA6E51"/>
    <w:rsid w:val="00DB5600"/>
    <w:rsid w:val="00DB6B97"/>
    <w:rsid w:val="00DC1836"/>
    <w:rsid w:val="00DC29DB"/>
    <w:rsid w:val="00DC76CC"/>
    <w:rsid w:val="00DC775A"/>
    <w:rsid w:val="00DD50D6"/>
    <w:rsid w:val="00DE55D0"/>
    <w:rsid w:val="00DE5673"/>
    <w:rsid w:val="00DE6ED7"/>
    <w:rsid w:val="00DF0ED3"/>
    <w:rsid w:val="00E025E8"/>
    <w:rsid w:val="00E03FAF"/>
    <w:rsid w:val="00E0590C"/>
    <w:rsid w:val="00E05D1C"/>
    <w:rsid w:val="00E17804"/>
    <w:rsid w:val="00E17CFB"/>
    <w:rsid w:val="00E20171"/>
    <w:rsid w:val="00E218A6"/>
    <w:rsid w:val="00E226DC"/>
    <w:rsid w:val="00E34E8F"/>
    <w:rsid w:val="00E415FE"/>
    <w:rsid w:val="00E43391"/>
    <w:rsid w:val="00E43813"/>
    <w:rsid w:val="00E452FE"/>
    <w:rsid w:val="00E45535"/>
    <w:rsid w:val="00E50392"/>
    <w:rsid w:val="00E56B20"/>
    <w:rsid w:val="00E77892"/>
    <w:rsid w:val="00E91C2B"/>
    <w:rsid w:val="00E91D33"/>
    <w:rsid w:val="00E95F37"/>
    <w:rsid w:val="00EA256C"/>
    <w:rsid w:val="00EA292F"/>
    <w:rsid w:val="00EB5521"/>
    <w:rsid w:val="00EC226F"/>
    <w:rsid w:val="00EC288F"/>
    <w:rsid w:val="00EC3356"/>
    <w:rsid w:val="00ED3376"/>
    <w:rsid w:val="00ED49B7"/>
    <w:rsid w:val="00EE0B53"/>
    <w:rsid w:val="00EE5170"/>
    <w:rsid w:val="00EF66BA"/>
    <w:rsid w:val="00F0037C"/>
    <w:rsid w:val="00F07F8B"/>
    <w:rsid w:val="00F1239E"/>
    <w:rsid w:val="00F236DE"/>
    <w:rsid w:val="00F2660C"/>
    <w:rsid w:val="00F26B8D"/>
    <w:rsid w:val="00F3160E"/>
    <w:rsid w:val="00F322AB"/>
    <w:rsid w:val="00F32304"/>
    <w:rsid w:val="00F339EA"/>
    <w:rsid w:val="00F3577F"/>
    <w:rsid w:val="00F35C38"/>
    <w:rsid w:val="00F4003F"/>
    <w:rsid w:val="00F41C0E"/>
    <w:rsid w:val="00F42B2C"/>
    <w:rsid w:val="00F66362"/>
    <w:rsid w:val="00F67345"/>
    <w:rsid w:val="00F708A9"/>
    <w:rsid w:val="00F84BA0"/>
    <w:rsid w:val="00F879AE"/>
    <w:rsid w:val="00F902E2"/>
    <w:rsid w:val="00F9080E"/>
    <w:rsid w:val="00F9168F"/>
    <w:rsid w:val="00FA0CEB"/>
    <w:rsid w:val="00FA2139"/>
    <w:rsid w:val="00FB3278"/>
    <w:rsid w:val="00FC1C1E"/>
    <w:rsid w:val="00FD4A73"/>
    <w:rsid w:val="00FD4D1D"/>
    <w:rsid w:val="00FE00B0"/>
    <w:rsid w:val="00FE2816"/>
    <w:rsid w:val="00FE4E7C"/>
    <w:rsid w:val="00FE624D"/>
    <w:rsid w:val="00FF045B"/>
    <w:rsid w:val="00FF221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D23C7E"/>
  <w15:docId w15:val="{592B05C4-D8C0-534F-94D9-CAC9EEFE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jc w:val="center"/>
      <w:outlineLvl w:val="0"/>
    </w:pPr>
    <w:rPr>
      <w:b/>
      <w:color w:val="000000"/>
    </w:rPr>
  </w:style>
  <w:style w:type="paragraph" w:styleId="Heading2">
    <w:name w:val="heading 2"/>
    <w:basedOn w:val="Normal"/>
    <w:next w:val="Normal"/>
    <w:pPr>
      <w:keepNext/>
      <w:keepLines/>
      <w:pBdr>
        <w:top w:val="nil"/>
        <w:left w:val="nil"/>
        <w:bottom w:val="nil"/>
        <w:right w:val="nil"/>
        <w:between w:val="nil"/>
      </w:pBdr>
      <w:outlineLvl w:val="1"/>
    </w:pPr>
    <w:rPr>
      <w:b/>
      <w:color w:val="000000"/>
    </w:rPr>
  </w:style>
  <w:style w:type="paragraph" w:styleId="Heading3">
    <w:name w:val="heading 3"/>
    <w:basedOn w:val="Normal"/>
    <w:next w:val="Normal"/>
    <w:pPr>
      <w:keepNext/>
      <w:keepLines/>
      <w:pBdr>
        <w:top w:val="nil"/>
        <w:left w:val="nil"/>
        <w:bottom w:val="nil"/>
        <w:right w:val="nil"/>
        <w:between w:val="nil"/>
      </w:pBdr>
      <w:ind w:firstLine="720"/>
      <w:outlineLvl w:val="2"/>
    </w:pPr>
    <w:rPr>
      <w:b/>
      <w:color w:val="000000"/>
    </w:rPr>
  </w:style>
  <w:style w:type="paragraph" w:styleId="Heading4">
    <w:name w:val="heading 4"/>
    <w:basedOn w:val="Normal"/>
    <w:next w:val="Normal"/>
    <w:pPr>
      <w:keepNext/>
      <w:keepLines/>
      <w:pBdr>
        <w:top w:val="nil"/>
        <w:left w:val="nil"/>
        <w:bottom w:val="nil"/>
        <w:right w:val="nil"/>
        <w:between w:val="nil"/>
      </w:pBdr>
      <w:ind w:firstLine="720"/>
      <w:outlineLvl w:val="3"/>
    </w:pPr>
    <w:rPr>
      <w:b/>
      <w:i/>
      <w:color w:val="000000"/>
    </w:rPr>
  </w:style>
  <w:style w:type="paragraph" w:styleId="Heading5">
    <w:name w:val="heading 5"/>
    <w:basedOn w:val="Normal"/>
    <w:next w:val="Normal"/>
    <w:pPr>
      <w:keepNext/>
      <w:keepLines/>
      <w:pBdr>
        <w:top w:val="nil"/>
        <w:left w:val="nil"/>
        <w:bottom w:val="nil"/>
        <w:right w:val="nil"/>
        <w:between w:val="nil"/>
      </w:pBdr>
      <w:outlineLvl w:val="4"/>
    </w:pPr>
    <w:rPr>
      <w:i/>
      <w:color w:val="000000"/>
    </w:rPr>
  </w:style>
  <w:style w:type="paragraph" w:styleId="Heading6">
    <w:name w:val="heading 6"/>
    <w:basedOn w:val="Normal"/>
    <w:next w:val="Normal"/>
    <w:pPr>
      <w:keepNext/>
      <w:keepLines/>
      <w:pBdr>
        <w:top w:val="nil"/>
        <w:left w:val="nil"/>
        <w:bottom w:val="nil"/>
        <w:right w:val="nil"/>
        <w:between w:val="nil"/>
      </w:pBdr>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pBdr>
        <w:top w:val="nil"/>
        <w:left w:val="nil"/>
        <w:bottom w:val="nil"/>
        <w:right w:val="nil"/>
        <w:between w:val="nil"/>
      </w:pBdr>
      <w:spacing w:before="2160"/>
      <w:jc w:val="center"/>
    </w:pPr>
    <w:rPr>
      <w:color w:val="000000"/>
    </w:rPr>
  </w:style>
  <w:style w:type="paragraph" w:styleId="Subtitle">
    <w:name w:val="Subtitle"/>
    <w:basedOn w:val="Normal"/>
    <w:next w:val="Normal"/>
    <w:link w:val="SubtitleChar"/>
    <w:pPr>
      <w:keepNext/>
      <w:keepLines/>
      <w:pBdr>
        <w:top w:val="nil"/>
        <w:left w:val="nil"/>
        <w:bottom w:val="nil"/>
        <w:right w:val="nil"/>
        <w:between w:val="nil"/>
      </w:pBdr>
      <w:jc w:val="center"/>
    </w:pPr>
    <w:rPr>
      <w:color w:val="000000"/>
    </w:rPr>
  </w:style>
  <w:style w:type="character" w:styleId="CommentReference">
    <w:name w:val="annotation reference"/>
    <w:basedOn w:val="DefaultParagraphFont"/>
    <w:uiPriority w:val="99"/>
    <w:semiHidden/>
    <w:unhideWhenUsed/>
    <w:rsid w:val="00F236DE"/>
    <w:rPr>
      <w:sz w:val="16"/>
      <w:szCs w:val="16"/>
    </w:rPr>
  </w:style>
  <w:style w:type="paragraph" w:styleId="CommentText">
    <w:name w:val="annotation text"/>
    <w:basedOn w:val="Normal"/>
    <w:link w:val="CommentTextChar"/>
    <w:uiPriority w:val="99"/>
    <w:semiHidden/>
    <w:unhideWhenUsed/>
    <w:rsid w:val="00F236DE"/>
    <w:pPr>
      <w:spacing w:line="240" w:lineRule="auto"/>
    </w:pPr>
    <w:rPr>
      <w:sz w:val="20"/>
      <w:szCs w:val="20"/>
    </w:rPr>
  </w:style>
  <w:style w:type="character" w:customStyle="1" w:styleId="CommentTextChar">
    <w:name w:val="Comment Text Char"/>
    <w:basedOn w:val="DefaultParagraphFont"/>
    <w:link w:val="CommentText"/>
    <w:uiPriority w:val="99"/>
    <w:semiHidden/>
    <w:rsid w:val="00F236DE"/>
    <w:rPr>
      <w:sz w:val="20"/>
      <w:szCs w:val="20"/>
    </w:rPr>
  </w:style>
  <w:style w:type="paragraph" w:styleId="CommentSubject">
    <w:name w:val="annotation subject"/>
    <w:basedOn w:val="CommentText"/>
    <w:next w:val="CommentText"/>
    <w:link w:val="CommentSubjectChar"/>
    <w:uiPriority w:val="99"/>
    <w:semiHidden/>
    <w:unhideWhenUsed/>
    <w:rsid w:val="00F236DE"/>
    <w:rPr>
      <w:b/>
      <w:bCs/>
    </w:rPr>
  </w:style>
  <w:style w:type="character" w:customStyle="1" w:styleId="CommentSubjectChar">
    <w:name w:val="Comment Subject Char"/>
    <w:basedOn w:val="CommentTextChar"/>
    <w:link w:val="CommentSubject"/>
    <w:uiPriority w:val="99"/>
    <w:semiHidden/>
    <w:rsid w:val="00F236DE"/>
    <w:rPr>
      <w:b/>
      <w:bCs/>
      <w:sz w:val="20"/>
      <w:szCs w:val="20"/>
    </w:rPr>
  </w:style>
  <w:style w:type="paragraph" w:styleId="BalloonText">
    <w:name w:val="Balloon Text"/>
    <w:basedOn w:val="Normal"/>
    <w:link w:val="BalloonTextChar"/>
    <w:uiPriority w:val="99"/>
    <w:semiHidden/>
    <w:unhideWhenUsed/>
    <w:rsid w:val="00F236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6DE"/>
    <w:rPr>
      <w:rFonts w:ascii="Segoe UI" w:hAnsi="Segoe UI" w:cs="Segoe UI"/>
      <w:sz w:val="18"/>
      <w:szCs w:val="18"/>
    </w:rPr>
  </w:style>
  <w:style w:type="paragraph" w:styleId="Header">
    <w:name w:val="header"/>
    <w:basedOn w:val="Normal"/>
    <w:link w:val="HeaderChar"/>
    <w:uiPriority w:val="99"/>
    <w:unhideWhenUsed/>
    <w:rsid w:val="00A4332C"/>
    <w:pPr>
      <w:tabs>
        <w:tab w:val="center" w:pos="4513"/>
        <w:tab w:val="right" w:pos="9026"/>
      </w:tabs>
      <w:spacing w:line="240" w:lineRule="auto"/>
    </w:pPr>
  </w:style>
  <w:style w:type="character" w:customStyle="1" w:styleId="HeaderChar">
    <w:name w:val="Header Char"/>
    <w:basedOn w:val="DefaultParagraphFont"/>
    <w:link w:val="Header"/>
    <w:uiPriority w:val="99"/>
    <w:rsid w:val="00A4332C"/>
  </w:style>
  <w:style w:type="paragraph" w:styleId="Footer">
    <w:name w:val="footer"/>
    <w:basedOn w:val="Normal"/>
    <w:link w:val="FooterChar"/>
    <w:uiPriority w:val="99"/>
    <w:unhideWhenUsed/>
    <w:rsid w:val="00A4332C"/>
    <w:pPr>
      <w:tabs>
        <w:tab w:val="center" w:pos="4513"/>
        <w:tab w:val="right" w:pos="9026"/>
      </w:tabs>
      <w:spacing w:line="240" w:lineRule="auto"/>
    </w:pPr>
  </w:style>
  <w:style w:type="character" w:customStyle="1" w:styleId="FooterChar">
    <w:name w:val="Footer Char"/>
    <w:basedOn w:val="DefaultParagraphFont"/>
    <w:link w:val="Footer"/>
    <w:uiPriority w:val="99"/>
    <w:rsid w:val="00A4332C"/>
  </w:style>
  <w:style w:type="character" w:styleId="Hyperlink">
    <w:name w:val="Hyperlink"/>
    <w:basedOn w:val="DefaultParagraphFont"/>
    <w:uiPriority w:val="99"/>
    <w:unhideWhenUsed/>
    <w:rsid w:val="00AC6C01"/>
    <w:rPr>
      <w:color w:val="0000FF" w:themeColor="hyperlink"/>
      <w:u w:val="single"/>
    </w:rPr>
  </w:style>
  <w:style w:type="paragraph" w:styleId="Revision">
    <w:name w:val="Revision"/>
    <w:hidden/>
    <w:uiPriority w:val="99"/>
    <w:semiHidden/>
    <w:rsid w:val="00643F26"/>
    <w:pPr>
      <w:spacing w:line="240" w:lineRule="auto"/>
    </w:pPr>
  </w:style>
  <w:style w:type="character" w:styleId="PageNumber">
    <w:name w:val="page number"/>
    <w:basedOn w:val="DefaultParagraphFont"/>
    <w:uiPriority w:val="99"/>
    <w:semiHidden/>
    <w:unhideWhenUsed/>
    <w:rsid w:val="000B2DB4"/>
  </w:style>
  <w:style w:type="character" w:customStyle="1" w:styleId="TitleChar">
    <w:name w:val="Title Char"/>
    <w:basedOn w:val="DefaultParagraphFont"/>
    <w:link w:val="Title"/>
    <w:rsid w:val="00D31959"/>
    <w:rPr>
      <w:color w:val="000000"/>
    </w:rPr>
  </w:style>
  <w:style w:type="character" w:customStyle="1" w:styleId="SubtitleChar">
    <w:name w:val="Subtitle Char"/>
    <w:basedOn w:val="DefaultParagraphFont"/>
    <w:link w:val="Subtitle"/>
    <w:rsid w:val="00D31959"/>
    <w:rPr>
      <w:color w:val="000000"/>
    </w:rPr>
  </w:style>
  <w:style w:type="character" w:styleId="UnresolvedMention">
    <w:name w:val="Unresolved Mention"/>
    <w:basedOn w:val="DefaultParagraphFont"/>
    <w:uiPriority w:val="99"/>
    <w:semiHidden/>
    <w:unhideWhenUsed/>
    <w:rsid w:val="00D31959"/>
    <w:rPr>
      <w:color w:val="605E5C"/>
      <w:shd w:val="clear" w:color="auto" w:fill="E1DFDD"/>
    </w:rPr>
  </w:style>
  <w:style w:type="character" w:styleId="LineNumber">
    <w:name w:val="line number"/>
    <w:basedOn w:val="DefaultParagraphFont"/>
    <w:uiPriority w:val="99"/>
    <w:semiHidden/>
    <w:unhideWhenUsed/>
    <w:rsid w:val="008A0886"/>
  </w:style>
  <w:style w:type="paragraph" w:styleId="FootnoteText">
    <w:name w:val="footnote text"/>
    <w:basedOn w:val="Normal"/>
    <w:link w:val="FootnoteTextChar"/>
    <w:uiPriority w:val="99"/>
    <w:semiHidden/>
    <w:unhideWhenUsed/>
    <w:rsid w:val="00A268BF"/>
    <w:pPr>
      <w:spacing w:line="240" w:lineRule="auto"/>
    </w:pPr>
    <w:rPr>
      <w:sz w:val="20"/>
      <w:szCs w:val="20"/>
    </w:rPr>
  </w:style>
  <w:style w:type="character" w:customStyle="1" w:styleId="FootnoteTextChar">
    <w:name w:val="Footnote Text Char"/>
    <w:basedOn w:val="DefaultParagraphFont"/>
    <w:link w:val="FootnoteText"/>
    <w:uiPriority w:val="99"/>
    <w:semiHidden/>
    <w:rsid w:val="00A268BF"/>
    <w:rPr>
      <w:sz w:val="20"/>
      <w:szCs w:val="20"/>
    </w:rPr>
  </w:style>
  <w:style w:type="character" w:styleId="FootnoteReference">
    <w:name w:val="footnote reference"/>
    <w:basedOn w:val="DefaultParagraphFont"/>
    <w:uiPriority w:val="99"/>
    <w:semiHidden/>
    <w:unhideWhenUsed/>
    <w:rsid w:val="00A26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691">
      <w:bodyDiv w:val="1"/>
      <w:marLeft w:val="0"/>
      <w:marRight w:val="0"/>
      <w:marTop w:val="0"/>
      <w:marBottom w:val="0"/>
      <w:divBdr>
        <w:top w:val="none" w:sz="0" w:space="0" w:color="auto"/>
        <w:left w:val="none" w:sz="0" w:space="0" w:color="auto"/>
        <w:bottom w:val="none" w:sz="0" w:space="0" w:color="auto"/>
        <w:right w:val="none" w:sz="0" w:space="0" w:color="auto"/>
      </w:divBdr>
    </w:div>
    <w:div w:id="33627770">
      <w:bodyDiv w:val="1"/>
      <w:marLeft w:val="0"/>
      <w:marRight w:val="0"/>
      <w:marTop w:val="0"/>
      <w:marBottom w:val="0"/>
      <w:divBdr>
        <w:top w:val="none" w:sz="0" w:space="0" w:color="auto"/>
        <w:left w:val="none" w:sz="0" w:space="0" w:color="auto"/>
        <w:bottom w:val="none" w:sz="0" w:space="0" w:color="auto"/>
        <w:right w:val="none" w:sz="0" w:space="0" w:color="auto"/>
      </w:divBdr>
    </w:div>
    <w:div w:id="85813759">
      <w:bodyDiv w:val="1"/>
      <w:marLeft w:val="0"/>
      <w:marRight w:val="0"/>
      <w:marTop w:val="0"/>
      <w:marBottom w:val="0"/>
      <w:divBdr>
        <w:top w:val="none" w:sz="0" w:space="0" w:color="auto"/>
        <w:left w:val="none" w:sz="0" w:space="0" w:color="auto"/>
        <w:bottom w:val="none" w:sz="0" w:space="0" w:color="auto"/>
        <w:right w:val="none" w:sz="0" w:space="0" w:color="auto"/>
      </w:divBdr>
      <w:divsChild>
        <w:div w:id="1255170822">
          <w:marLeft w:val="0"/>
          <w:marRight w:val="0"/>
          <w:marTop w:val="0"/>
          <w:marBottom w:val="0"/>
          <w:divBdr>
            <w:top w:val="none" w:sz="0" w:space="0" w:color="auto"/>
            <w:left w:val="none" w:sz="0" w:space="0" w:color="auto"/>
            <w:bottom w:val="none" w:sz="0" w:space="0" w:color="auto"/>
            <w:right w:val="none" w:sz="0" w:space="0" w:color="auto"/>
          </w:divBdr>
        </w:div>
      </w:divsChild>
    </w:div>
    <w:div w:id="137043323">
      <w:bodyDiv w:val="1"/>
      <w:marLeft w:val="0"/>
      <w:marRight w:val="0"/>
      <w:marTop w:val="0"/>
      <w:marBottom w:val="0"/>
      <w:divBdr>
        <w:top w:val="none" w:sz="0" w:space="0" w:color="auto"/>
        <w:left w:val="none" w:sz="0" w:space="0" w:color="auto"/>
        <w:bottom w:val="none" w:sz="0" w:space="0" w:color="auto"/>
        <w:right w:val="none" w:sz="0" w:space="0" w:color="auto"/>
      </w:divBdr>
    </w:div>
    <w:div w:id="161510796">
      <w:bodyDiv w:val="1"/>
      <w:marLeft w:val="0"/>
      <w:marRight w:val="0"/>
      <w:marTop w:val="0"/>
      <w:marBottom w:val="0"/>
      <w:divBdr>
        <w:top w:val="none" w:sz="0" w:space="0" w:color="auto"/>
        <w:left w:val="none" w:sz="0" w:space="0" w:color="auto"/>
        <w:bottom w:val="none" w:sz="0" w:space="0" w:color="auto"/>
        <w:right w:val="none" w:sz="0" w:space="0" w:color="auto"/>
      </w:divBdr>
    </w:div>
    <w:div w:id="291524579">
      <w:bodyDiv w:val="1"/>
      <w:marLeft w:val="0"/>
      <w:marRight w:val="0"/>
      <w:marTop w:val="0"/>
      <w:marBottom w:val="0"/>
      <w:divBdr>
        <w:top w:val="none" w:sz="0" w:space="0" w:color="auto"/>
        <w:left w:val="none" w:sz="0" w:space="0" w:color="auto"/>
        <w:bottom w:val="none" w:sz="0" w:space="0" w:color="auto"/>
        <w:right w:val="none" w:sz="0" w:space="0" w:color="auto"/>
      </w:divBdr>
    </w:div>
    <w:div w:id="298533527">
      <w:bodyDiv w:val="1"/>
      <w:marLeft w:val="0"/>
      <w:marRight w:val="0"/>
      <w:marTop w:val="0"/>
      <w:marBottom w:val="0"/>
      <w:divBdr>
        <w:top w:val="none" w:sz="0" w:space="0" w:color="auto"/>
        <w:left w:val="none" w:sz="0" w:space="0" w:color="auto"/>
        <w:bottom w:val="none" w:sz="0" w:space="0" w:color="auto"/>
        <w:right w:val="none" w:sz="0" w:space="0" w:color="auto"/>
      </w:divBdr>
    </w:div>
    <w:div w:id="302585000">
      <w:bodyDiv w:val="1"/>
      <w:marLeft w:val="0"/>
      <w:marRight w:val="0"/>
      <w:marTop w:val="0"/>
      <w:marBottom w:val="0"/>
      <w:divBdr>
        <w:top w:val="none" w:sz="0" w:space="0" w:color="auto"/>
        <w:left w:val="none" w:sz="0" w:space="0" w:color="auto"/>
        <w:bottom w:val="none" w:sz="0" w:space="0" w:color="auto"/>
        <w:right w:val="none" w:sz="0" w:space="0" w:color="auto"/>
      </w:divBdr>
    </w:div>
    <w:div w:id="328407905">
      <w:bodyDiv w:val="1"/>
      <w:marLeft w:val="0"/>
      <w:marRight w:val="0"/>
      <w:marTop w:val="0"/>
      <w:marBottom w:val="0"/>
      <w:divBdr>
        <w:top w:val="none" w:sz="0" w:space="0" w:color="auto"/>
        <w:left w:val="none" w:sz="0" w:space="0" w:color="auto"/>
        <w:bottom w:val="none" w:sz="0" w:space="0" w:color="auto"/>
        <w:right w:val="none" w:sz="0" w:space="0" w:color="auto"/>
      </w:divBdr>
    </w:div>
    <w:div w:id="391469353">
      <w:bodyDiv w:val="1"/>
      <w:marLeft w:val="0"/>
      <w:marRight w:val="0"/>
      <w:marTop w:val="0"/>
      <w:marBottom w:val="0"/>
      <w:divBdr>
        <w:top w:val="none" w:sz="0" w:space="0" w:color="auto"/>
        <w:left w:val="none" w:sz="0" w:space="0" w:color="auto"/>
        <w:bottom w:val="none" w:sz="0" w:space="0" w:color="auto"/>
        <w:right w:val="none" w:sz="0" w:space="0" w:color="auto"/>
      </w:divBdr>
    </w:div>
    <w:div w:id="414518113">
      <w:bodyDiv w:val="1"/>
      <w:marLeft w:val="0"/>
      <w:marRight w:val="0"/>
      <w:marTop w:val="0"/>
      <w:marBottom w:val="0"/>
      <w:divBdr>
        <w:top w:val="none" w:sz="0" w:space="0" w:color="auto"/>
        <w:left w:val="none" w:sz="0" w:space="0" w:color="auto"/>
        <w:bottom w:val="none" w:sz="0" w:space="0" w:color="auto"/>
        <w:right w:val="none" w:sz="0" w:space="0" w:color="auto"/>
      </w:divBdr>
    </w:div>
    <w:div w:id="419446689">
      <w:bodyDiv w:val="1"/>
      <w:marLeft w:val="0"/>
      <w:marRight w:val="0"/>
      <w:marTop w:val="0"/>
      <w:marBottom w:val="0"/>
      <w:divBdr>
        <w:top w:val="none" w:sz="0" w:space="0" w:color="auto"/>
        <w:left w:val="none" w:sz="0" w:space="0" w:color="auto"/>
        <w:bottom w:val="none" w:sz="0" w:space="0" w:color="auto"/>
        <w:right w:val="none" w:sz="0" w:space="0" w:color="auto"/>
      </w:divBdr>
    </w:div>
    <w:div w:id="430663700">
      <w:bodyDiv w:val="1"/>
      <w:marLeft w:val="0"/>
      <w:marRight w:val="0"/>
      <w:marTop w:val="0"/>
      <w:marBottom w:val="0"/>
      <w:divBdr>
        <w:top w:val="none" w:sz="0" w:space="0" w:color="auto"/>
        <w:left w:val="none" w:sz="0" w:space="0" w:color="auto"/>
        <w:bottom w:val="none" w:sz="0" w:space="0" w:color="auto"/>
        <w:right w:val="none" w:sz="0" w:space="0" w:color="auto"/>
      </w:divBdr>
    </w:div>
    <w:div w:id="463697000">
      <w:bodyDiv w:val="1"/>
      <w:marLeft w:val="0"/>
      <w:marRight w:val="0"/>
      <w:marTop w:val="0"/>
      <w:marBottom w:val="0"/>
      <w:divBdr>
        <w:top w:val="none" w:sz="0" w:space="0" w:color="auto"/>
        <w:left w:val="none" w:sz="0" w:space="0" w:color="auto"/>
        <w:bottom w:val="none" w:sz="0" w:space="0" w:color="auto"/>
        <w:right w:val="none" w:sz="0" w:space="0" w:color="auto"/>
      </w:divBdr>
    </w:div>
    <w:div w:id="474571453">
      <w:bodyDiv w:val="1"/>
      <w:marLeft w:val="0"/>
      <w:marRight w:val="0"/>
      <w:marTop w:val="0"/>
      <w:marBottom w:val="0"/>
      <w:divBdr>
        <w:top w:val="none" w:sz="0" w:space="0" w:color="auto"/>
        <w:left w:val="none" w:sz="0" w:space="0" w:color="auto"/>
        <w:bottom w:val="none" w:sz="0" w:space="0" w:color="auto"/>
        <w:right w:val="none" w:sz="0" w:space="0" w:color="auto"/>
      </w:divBdr>
    </w:div>
    <w:div w:id="495729925">
      <w:bodyDiv w:val="1"/>
      <w:marLeft w:val="0"/>
      <w:marRight w:val="0"/>
      <w:marTop w:val="0"/>
      <w:marBottom w:val="0"/>
      <w:divBdr>
        <w:top w:val="none" w:sz="0" w:space="0" w:color="auto"/>
        <w:left w:val="none" w:sz="0" w:space="0" w:color="auto"/>
        <w:bottom w:val="none" w:sz="0" w:space="0" w:color="auto"/>
        <w:right w:val="none" w:sz="0" w:space="0" w:color="auto"/>
      </w:divBdr>
    </w:div>
    <w:div w:id="501966633">
      <w:bodyDiv w:val="1"/>
      <w:marLeft w:val="0"/>
      <w:marRight w:val="0"/>
      <w:marTop w:val="0"/>
      <w:marBottom w:val="0"/>
      <w:divBdr>
        <w:top w:val="none" w:sz="0" w:space="0" w:color="auto"/>
        <w:left w:val="none" w:sz="0" w:space="0" w:color="auto"/>
        <w:bottom w:val="none" w:sz="0" w:space="0" w:color="auto"/>
        <w:right w:val="none" w:sz="0" w:space="0" w:color="auto"/>
      </w:divBdr>
    </w:div>
    <w:div w:id="512846524">
      <w:bodyDiv w:val="1"/>
      <w:marLeft w:val="0"/>
      <w:marRight w:val="0"/>
      <w:marTop w:val="0"/>
      <w:marBottom w:val="0"/>
      <w:divBdr>
        <w:top w:val="none" w:sz="0" w:space="0" w:color="auto"/>
        <w:left w:val="none" w:sz="0" w:space="0" w:color="auto"/>
        <w:bottom w:val="none" w:sz="0" w:space="0" w:color="auto"/>
        <w:right w:val="none" w:sz="0" w:space="0" w:color="auto"/>
      </w:divBdr>
    </w:div>
    <w:div w:id="512885859">
      <w:bodyDiv w:val="1"/>
      <w:marLeft w:val="0"/>
      <w:marRight w:val="0"/>
      <w:marTop w:val="0"/>
      <w:marBottom w:val="0"/>
      <w:divBdr>
        <w:top w:val="none" w:sz="0" w:space="0" w:color="auto"/>
        <w:left w:val="none" w:sz="0" w:space="0" w:color="auto"/>
        <w:bottom w:val="none" w:sz="0" w:space="0" w:color="auto"/>
        <w:right w:val="none" w:sz="0" w:space="0" w:color="auto"/>
      </w:divBdr>
    </w:div>
    <w:div w:id="520631880">
      <w:bodyDiv w:val="1"/>
      <w:marLeft w:val="0"/>
      <w:marRight w:val="0"/>
      <w:marTop w:val="0"/>
      <w:marBottom w:val="0"/>
      <w:divBdr>
        <w:top w:val="none" w:sz="0" w:space="0" w:color="auto"/>
        <w:left w:val="none" w:sz="0" w:space="0" w:color="auto"/>
        <w:bottom w:val="none" w:sz="0" w:space="0" w:color="auto"/>
        <w:right w:val="none" w:sz="0" w:space="0" w:color="auto"/>
      </w:divBdr>
    </w:div>
    <w:div w:id="522287423">
      <w:bodyDiv w:val="1"/>
      <w:marLeft w:val="0"/>
      <w:marRight w:val="0"/>
      <w:marTop w:val="0"/>
      <w:marBottom w:val="0"/>
      <w:divBdr>
        <w:top w:val="none" w:sz="0" w:space="0" w:color="auto"/>
        <w:left w:val="none" w:sz="0" w:space="0" w:color="auto"/>
        <w:bottom w:val="none" w:sz="0" w:space="0" w:color="auto"/>
        <w:right w:val="none" w:sz="0" w:space="0" w:color="auto"/>
      </w:divBdr>
    </w:div>
    <w:div w:id="527334247">
      <w:bodyDiv w:val="1"/>
      <w:marLeft w:val="0"/>
      <w:marRight w:val="0"/>
      <w:marTop w:val="0"/>
      <w:marBottom w:val="0"/>
      <w:divBdr>
        <w:top w:val="none" w:sz="0" w:space="0" w:color="auto"/>
        <w:left w:val="none" w:sz="0" w:space="0" w:color="auto"/>
        <w:bottom w:val="none" w:sz="0" w:space="0" w:color="auto"/>
        <w:right w:val="none" w:sz="0" w:space="0" w:color="auto"/>
      </w:divBdr>
    </w:div>
    <w:div w:id="553852117">
      <w:bodyDiv w:val="1"/>
      <w:marLeft w:val="0"/>
      <w:marRight w:val="0"/>
      <w:marTop w:val="0"/>
      <w:marBottom w:val="0"/>
      <w:divBdr>
        <w:top w:val="none" w:sz="0" w:space="0" w:color="auto"/>
        <w:left w:val="none" w:sz="0" w:space="0" w:color="auto"/>
        <w:bottom w:val="none" w:sz="0" w:space="0" w:color="auto"/>
        <w:right w:val="none" w:sz="0" w:space="0" w:color="auto"/>
      </w:divBdr>
    </w:div>
    <w:div w:id="588394896">
      <w:bodyDiv w:val="1"/>
      <w:marLeft w:val="0"/>
      <w:marRight w:val="0"/>
      <w:marTop w:val="0"/>
      <w:marBottom w:val="0"/>
      <w:divBdr>
        <w:top w:val="none" w:sz="0" w:space="0" w:color="auto"/>
        <w:left w:val="none" w:sz="0" w:space="0" w:color="auto"/>
        <w:bottom w:val="none" w:sz="0" w:space="0" w:color="auto"/>
        <w:right w:val="none" w:sz="0" w:space="0" w:color="auto"/>
      </w:divBdr>
    </w:div>
    <w:div w:id="589971947">
      <w:bodyDiv w:val="1"/>
      <w:marLeft w:val="0"/>
      <w:marRight w:val="0"/>
      <w:marTop w:val="0"/>
      <w:marBottom w:val="0"/>
      <w:divBdr>
        <w:top w:val="none" w:sz="0" w:space="0" w:color="auto"/>
        <w:left w:val="none" w:sz="0" w:space="0" w:color="auto"/>
        <w:bottom w:val="none" w:sz="0" w:space="0" w:color="auto"/>
        <w:right w:val="none" w:sz="0" w:space="0" w:color="auto"/>
      </w:divBdr>
    </w:div>
    <w:div w:id="608120553">
      <w:bodyDiv w:val="1"/>
      <w:marLeft w:val="0"/>
      <w:marRight w:val="0"/>
      <w:marTop w:val="0"/>
      <w:marBottom w:val="0"/>
      <w:divBdr>
        <w:top w:val="none" w:sz="0" w:space="0" w:color="auto"/>
        <w:left w:val="none" w:sz="0" w:space="0" w:color="auto"/>
        <w:bottom w:val="none" w:sz="0" w:space="0" w:color="auto"/>
        <w:right w:val="none" w:sz="0" w:space="0" w:color="auto"/>
      </w:divBdr>
    </w:div>
    <w:div w:id="675613658">
      <w:bodyDiv w:val="1"/>
      <w:marLeft w:val="0"/>
      <w:marRight w:val="0"/>
      <w:marTop w:val="0"/>
      <w:marBottom w:val="0"/>
      <w:divBdr>
        <w:top w:val="none" w:sz="0" w:space="0" w:color="auto"/>
        <w:left w:val="none" w:sz="0" w:space="0" w:color="auto"/>
        <w:bottom w:val="none" w:sz="0" w:space="0" w:color="auto"/>
        <w:right w:val="none" w:sz="0" w:space="0" w:color="auto"/>
      </w:divBdr>
      <w:divsChild>
        <w:div w:id="1422413193">
          <w:marLeft w:val="0"/>
          <w:marRight w:val="0"/>
          <w:marTop w:val="0"/>
          <w:marBottom w:val="0"/>
          <w:divBdr>
            <w:top w:val="none" w:sz="0" w:space="0" w:color="auto"/>
            <w:left w:val="none" w:sz="0" w:space="0" w:color="auto"/>
            <w:bottom w:val="none" w:sz="0" w:space="0" w:color="auto"/>
            <w:right w:val="none" w:sz="0" w:space="0" w:color="auto"/>
          </w:divBdr>
        </w:div>
      </w:divsChild>
    </w:div>
    <w:div w:id="676464468">
      <w:bodyDiv w:val="1"/>
      <w:marLeft w:val="0"/>
      <w:marRight w:val="0"/>
      <w:marTop w:val="0"/>
      <w:marBottom w:val="0"/>
      <w:divBdr>
        <w:top w:val="none" w:sz="0" w:space="0" w:color="auto"/>
        <w:left w:val="none" w:sz="0" w:space="0" w:color="auto"/>
        <w:bottom w:val="none" w:sz="0" w:space="0" w:color="auto"/>
        <w:right w:val="none" w:sz="0" w:space="0" w:color="auto"/>
      </w:divBdr>
      <w:divsChild>
        <w:div w:id="1668367319">
          <w:marLeft w:val="0"/>
          <w:marRight w:val="0"/>
          <w:marTop w:val="0"/>
          <w:marBottom w:val="0"/>
          <w:divBdr>
            <w:top w:val="none" w:sz="0" w:space="0" w:color="auto"/>
            <w:left w:val="none" w:sz="0" w:space="0" w:color="auto"/>
            <w:bottom w:val="none" w:sz="0" w:space="0" w:color="auto"/>
            <w:right w:val="none" w:sz="0" w:space="0" w:color="auto"/>
          </w:divBdr>
        </w:div>
      </w:divsChild>
    </w:div>
    <w:div w:id="679163895">
      <w:bodyDiv w:val="1"/>
      <w:marLeft w:val="0"/>
      <w:marRight w:val="0"/>
      <w:marTop w:val="0"/>
      <w:marBottom w:val="0"/>
      <w:divBdr>
        <w:top w:val="none" w:sz="0" w:space="0" w:color="auto"/>
        <w:left w:val="none" w:sz="0" w:space="0" w:color="auto"/>
        <w:bottom w:val="none" w:sz="0" w:space="0" w:color="auto"/>
        <w:right w:val="none" w:sz="0" w:space="0" w:color="auto"/>
      </w:divBdr>
      <w:divsChild>
        <w:div w:id="1942715762">
          <w:marLeft w:val="0"/>
          <w:marRight w:val="0"/>
          <w:marTop w:val="0"/>
          <w:marBottom w:val="0"/>
          <w:divBdr>
            <w:top w:val="none" w:sz="0" w:space="0" w:color="auto"/>
            <w:left w:val="none" w:sz="0" w:space="0" w:color="auto"/>
            <w:bottom w:val="none" w:sz="0" w:space="0" w:color="auto"/>
            <w:right w:val="none" w:sz="0" w:space="0" w:color="auto"/>
          </w:divBdr>
        </w:div>
      </w:divsChild>
    </w:div>
    <w:div w:id="749811499">
      <w:bodyDiv w:val="1"/>
      <w:marLeft w:val="0"/>
      <w:marRight w:val="0"/>
      <w:marTop w:val="0"/>
      <w:marBottom w:val="0"/>
      <w:divBdr>
        <w:top w:val="none" w:sz="0" w:space="0" w:color="auto"/>
        <w:left w:val="none" w:sz="0" w:space="0" w:color="auto"/>
        <w:bottom w:val="none" w:sz="0" w:space="0" w:color="auto"/>
        <w:right w:val="none" w:sz="0" w:space="0" w:color="auto"/>
      </w:divBdr>
    </w:div>
    <w:div w:id="782118724">
      <w:bodyDiv w:val="1"/>
      <w:marLeft w:val="0"/>
      <w:marRight w:val="0"/>
      <w:marTop w:val="0"/>
      <w:marBottom w:val="0"/>
      <w:divBdr>
        <w:top w:val="none" w:sz="0" w:space="0" w:color="auto"/>
        <w:left w:val="none" w:sz="0" w:space="0" w:color="auto"/>
        <w:bottom w:val="none" w:sz="0" w:space="0" w:color="auto"/>
        <w:right w:val="none" w:sz="0" w:space="0" w:color="auto"/>
      </w:divBdr>
    </w:div>
    <w:div w:id="789125331">
      <w:bodyDiv w:val="1"/>
      <w:marLeft w:val="0"/>
      <w:marRight w:val="0"/>
      <w:marTop w:val="0"/>
      <w:marBottom w:val="0"/>
      <w:divBdr>
        <w:top w:val="none" w:sz="0" w:space="0" w:color="auto"/>
        <w:left w:val="none" w:sz="0" w:space="0" w:color="auto"/>
        <w:bottom w:val="none" w:sz="0" w:space="0" w:color="auto"/>
        <w:right w:val="none" w:sz="0" w:space="0" w:color="auto"/>
      </w:divBdr>
      <w:divsChild>
        <w:div w:id="1033572828">
          <w:marLeft w:val="0"/>
          <w:marRight w:val="0"/>
          <w:marTop w:val="0"/>
          <w:marBottom w:val="0"/>
          <w:divBdr>
            <w:top w:val="none" w:sz="0" w:space="0" w:color="auto"/>
            <w:left w:val="none" w:sz="0" w:space="0" w:color="auto"/>
            <w:bottom w:val="none" w:sz="0" w:space="0" w:color="auto"/>
            <w:right w:val="none" w:sz="0" w:space="0" w:color="auto"/>
          </w:divBdr>
        </w:div>
      </w:divsChild>
    </w:div>
    <w:div w:id="792135202">
      <w:bodyDiv w:val="1"/>
      <w:marLeft w:val="0"/>
      <w:marRight w:val="0"/>
      <w:marTop w:val="0"/>
      <w:marBottom w:val="0"/>
      <w:divBdr>
        <w:top w:val="none" w:sz="0" w:space="0" w:color="auto"/>
        <w:left w:val="none" w:sz="0" w:space="0" w:color="auto"/>
        <w:bottom w:val="none" w:sz="0" w:space="0" w:color="auto"/>
        <w:right w:val="none" w:sz="0" w:space="0" w:color="auto"/>
      </w:divBdr>
    </w:div>
    <w:div w:id="815950513">
      <w:bodyDiv w:val="1"/>
      <w:marLeft w:val="0"/>
      <w:marRight w:val="0"/>
      <w:marTop w:val="0"/>
      <w:marBottom w:val="0"/>
      <w:divBdr>
        <w:top w:val="none" w:sz="0" w:space="0" w:color="auto"/>
        <w:left w:val="none" w:sz="0" w:space="0" w:color="auto"/>
        <w:bottom w:val="none" w:sz="0" w:space="0" w:color="auto"/>
        <w:right w:val="none" w:sz="0" w:space="0" w:color="auto"/>
      </w:divBdr>
    </w:div>
    <w:div w:id="822962835">
      <w:bodyDiv w:val="1"/>
      <w:marLeft w:val="0"/>
      <w:marRight w:val="0"/>
      <w:marTop w:val="0"/>
      <w:marBottom w:val="0"/>
      <w:divBdr>
        <w:top w:val="none" w:sz="0" w:space="0" w:color="auto"/>
        <w:left w:val="none" w:sz="0" w:space="0" w:color="auto"/>
        <w:bottom w:val="none" w:sz="0" w:space="0" w:color="auto"/>
        <w:right w:val="none" w:sz="0" w:space="0" w:color="auto"/>
      </w:divBdr>
    </w:div>
    <w:div w:id="847863776">
      <w:bodyDiv w:val="1"/>
      <w:marLeft w:val="0"/>
      <w:marRight w:val="0"/>
      <w:marTop w:val="0"/>
      <w:marBottom w:val="0"/>
      <w:divBdr>
        <w:top w:val="none" w:sz="0" w:space="0" w:color="auto"/>
        <w:left w:val="none" w:sz="0" w:space="0" w:color="auto"/>
        <w:bottom w:val="none" w:sz="0" w:space="0" w:color="auto"/>
        <w:right w:val="none" w:sz="0" w:space="0" w:color="auto"/>
      </w:divBdr>
    </w:div>
    <w:div w:id="879054144">
      <w:bodyDiv w:val="1"/>
      <w:marLeft w:val="0"/>
      <w:marRight w:val="0"/>
      <w:marTop w:val="0"/>
      <w:marBottom w:val="0"/>
      <w:divBdr>
        <w:top w:val="none" w:sz="0" w:space="0" w:color="auto"/>
        <w:left w:val="none" w:sz="0" w:space="0" w:color="auto"/>
        <w:bottom w:val="none" w:sz="0" w:space="0" w:color="auto"/>
        <w:right w:val="none" w:sz="0" w:space="0" w:color="auto"/>
      </w:divBdr>
    </w:div>
    <w:div w:id="965115850">
      <w:bodyDiv w:val="1"/>
      <w:marLeft w:val="0"/>
      <w:marRight w:val="0"/>
      <w:marTop w:val="0"/>
      <w:marBottom w:val="0"/>
      <w:divBdr>
        <w:top w:val="none" w:sz="0" w:space="0" w:color="auto"/>
        <w:left w:val="none" w:sz="0" w:space="0" w:color="auto"/>
        <w:bottom w:val="none" w:sz="0" w:space="0" w:color="auto"/>
        <w:right w:val="none" w:sz="0" w:space="0" w:color="auto"/>
      </w:divBdr>
    </w:div>
    <w:div w:id="997613994">
      <w:bodyDiv w:val="1"/>
      <w:marLeft w:val="0"/>
      <w:marRight w:val="0"/>
      <w:marTop w:val="0"/>
      <w:marBottom w:val="0"/>
      <w:divBdr>
        <w:top w:val="none" w:sz="0" w:space="0" w:color="auto"/>
        <w:left w:val="none" w:sz="0" w:space="0" w:color="auto"/>
        <w:bottom w:val="none" w:sz="0" w:space="0" w:color="auto"/>
        <w:right w:val="none" w:sz="0" w:space="0" w:color="auto"/>
      </w:divBdr>
    </w:div>
    <w:div w:id="1009139286">
      <w:bodyDiv w:val="1"/>
      <w:marLeft w:val="0"/>
      <w:marRight w:val="0"/>
      <w:marTop w:val="0"/>
      <w:marBottom w:val="0"/>
      <w:divBdr>
        <w:top w:val="none" w:sz="0" w:space="0" w:color="auto"/>
        <w:left w:val="none" w:sz="0" w:space="0" w:color="auto"/>
        <w:bottom w:val="none" w:sz="0" w:space="0" w:color="auto"/>
        <w:right w:val="none" w:sz="0" w:space="0" w:color="auto"/>
      </w:divBdr>
    </w:div>
    <w:div w:id="1021510419">
      <w:bodyDiv w:val="1"/>
      <w:marLeft w:val="0"/>
      <w:marRight w:val="0"/>
      <w:marTop w:val="0"/>
      <w:marBottom w:val="0"/>
      <w:divBdr>
        <w:top w:val="none" w:sz="0" w:space="0" w:color="auto"/>
        <w:left w:val="none" w:sz="0" w:space="0" w:color="auto"/>
        <w:bottom w:val="none" w:sz="0" w:space="0" w:color="auto"/>
        <w:right w:val="none" w:sz="0" w:space="0" w:color="auto"/>
      </w:divBdr>
    </w:div>
    <w:div w:id="1070344415">
      <w:bodyDiv w:val="1"/>
      <w:marLeft w:val="0"/>
      <w:marRight w:val="0"/>
      <w:marTop w:val="0"/>
      <w:marBottom w:val="0"/>
      <w:divBdr>
        <w:top w:val="none" w:sz="0" w:space="0" w:color="auto"/>
        <w:left w:val="none" w:sz="0" w:space="0" w:color="auto"/>
        <w:bottom w:val="none" w:sz="0" w:space="0" w:color="auto"/>
        <w:right w:val="none" w:sz="0" w:space="0" w:color="auto"/>
      </w:divBdr>
    </w:div>
    <w:div w:id="1072895985">
      <w:bodyDiv w:val="1"/>
      <w:marLeft w:val="0"/>
      <w:marRight w:val="0"/>
      <w:marTop w:val="0"/>
      <w:marBottom w:val="0"/>
      <w:divBdr>
        <w:top w:val="none" w:sz="0" w:space="0" w:color="auto"/>
        <w:left w:val="none" w:sz="0" w:space="0" w:color="auto"/>
        <w:bottom w:val="none" w:sz="0" w:space="0" w:color="auto"/>
        <w:right w:val="none" w:sz="0" w:space="0" w:color="auto"/>
      </w:divBdr>
    </w:div>
    <w:div w:id="1095713633">
      <w:bodyDiv w:val="1"/>
      <w:marLeft w:val="0"/>
      <w:marRight w:val="0"/>
      <w:marTop w:val="0"/>
      <w:marBottom w:val="0"/>
      <w:divBdr>
        <w:top w:val="none" w:sz="0" w:space="0" w:color="auto"/>
        <w:left w:val="none" w:sz="0" w:space="0" w:color="auto"/>
        <w:bottom w:val="none" w:sz="0" w:space="0" w:color="auto"/>
        <w:right w:val="none" w:sz="0" w:space="0" w:color="auto"/>
      </w:divBdr>
    </w:div>
    <w:div w:id="1128595519">
      <w:bodyDiv w:val="1"/>
      <w:marLeft w:val="0"/>
      <w:marRight w:val="0"/>
      <w:marTop w:val="0"/>
      <w:marBottom w:val="0"/>
      <w:divBdr>
        <w:top w:val="none" w:sz="0" w:space="0" w:color="auto"/>
        <w:left w:val="none" w:sz="0" w:space="0" w:color="auto"/>
        <w:bottom w:val="none" w:sz="0" w:space="0" w:color="auto"/>
        <w:right w:val="none" w:sz="0" w:space="0" w:color="auto"/>
      </w:divBdr>
    </w:div>
    <w:div w:id="1134980863">
      <w:bodyDiv w:val="1"/>
      <w:marLeft w:val="0"/>
      <w:marRight w:val="0"/>
      <w:marTop w:val="0"/>
      <w:marBottom w:val="0"/>
      <w:divBdr>
        <w:top w:val="none" w:sz="0" w:space="0" w:color="auto"/>
        <w:left w:val="none" w:sz="0" w:space="0" w:color="auto"/>
        <w:bottom w:val="none" w:sz="0" w:space="0" w:color="auto"/>
        <w:right w:val="none" w:sz="0" w:space="0" w:color="auto"/>
      </w:divBdr>
    </w:div>
    <w:div w:id="1135488806">
      <w:bodyDiv w:val="1"/>
      <w:marLeft w:val="0"/>
      <w:marRight w:val="0"/>
      <w:marTop w:val="0"/>
      <w:marBottom w:val="0"/>
      <w:divBdr>
        <w:top w:val="none" w:sz="0" w:space="0" w:color="auto"/>
        <w:left w:val="none" w:sz="0" w:space="0" w:color="auto"/>
        <w:bottom w:val="none" w:sz="0" w:space="0" w:color="auto"/>
        <w:right w:val="none" w:sz="0" w:space="0" w:color="auto"/>
      </w:divBdr>
    </w:div>
    <w:div w:id="1172379741">
      <w:bodyDiv w:val="1"/>
      <w:marLeft w:val="0"/>
      <w:marRight w:val="0"/>
      <w:marTop w:val="0"/>
      <w:marBottom w:val="0"/>
      <w:divBdr>
        <w:top w:val="none" w:sz="0" w:space="0" w:color="auto"/>
        <w:left w:val="none" w:sz="0" w:space="0" w:color="auto"/>
        <w:bottom w:val="none" w:sz="0" w:space="0" w:color="auto"/>
        <w:right w:val="none" w:sz="0" w:space="0" w:color="auto"/>
      </w:divBdr>
    </w:div>
    <w:div w:id="1184976038">
      <w:bodyDiv w:val="1"/>
      <w:marLeft w:val="0"/>
      <w:marRight w:val="0"/>
      <w:marTop w:val="0"/>
      <w:marBottom w:val="0"/>
      <w:divBdr>
        <w:top w:val="none" w:sz="0" w:space="0" w:color="auto"/>
        <w:left w:val="none" w:sz="0" w:space="0" w:color="auto"/>
        <w:bottom w:val="none" w:sz="0" w:space="0" w:color="auto"/>
        <w:right w:val="none" w:sz="0" w:space="0" w:color="auto"/>
      </w:divBdr>
    </w:div>
    <w:div w:id="1218249647">
      <w:bodyDiv w:val="1"/>
      <w:marLeft w:val="0"/>
      <w:marRight w:val="0"/>
      <w:marTop w:val="0"/>
      <w:marBottom w:val="0"/>
      <w:divBdr>
        <w:top w:val="none" w:sz="0" w:space="0" w:color="auto"/>
        <w:left w:val="none" w:sz="0" w:space="0" w:color="auto"/>
        <w:bottom w:val="none" w:sz="0" w:space="0" w:color="auto"/>
        <w:right w:val="none" w:sz="0" w:space="0" w:color="auto"/>
      </w:divBdr>
    </w:div>
    <w:div w:id="1218471498">
      <w:bodyDiv w:val="1"/>
      <w:marLeft w:val="0"/>
      <w:marRight w:val="0"/>
      <w:marTop w:val="0"/>
      <w:marBottom w:val="0"/>
      <w:divBdr>
        <w:top w:val="none" w:sz="0" w:space="0" w:color="auto"/>
        <w:left w:val="none" w:sz="0" w:space="0" w:color="auto"/>
        <w:bottom w:val="none" w:sz="0" w:space="0" w:color="auto"/>
        <w:right w:val="none" w:sz="0" w:space="0" w:color="auto"/>
      </w:divBdr>
    </w:div>
    <w:div w:id="1314259937">
      <w:bodyDiv w:val="1"/>
      <w:marLeft w:val="0"/>
      <w:marRight w:val="0"/>
      <w:marTop w:val="0"/>
      <w:marBottom w:val="0"/>
      <w:divBdr>
        <w:top w:val="none" w:sz="0" w:space="0" w:color="auto"/>
        <w:left w:val="none" w:sz="0" w:space="0" w:color="auto"/>
        <w:bottom w:val="none" w:sz="0" w:space="0" w:color="auto"/>
        <w:right w:val="none" w:sz="0" w:space="0" w:color="auto"/>
      </w:divBdr>
    </w:div>
    <w:div w:id="1316762576">
      <w:bodyDiv w:val="1"/>
      <w:marLeft w:val="0"/>
      <w:marRight w:val="0"/>
      <w:marTop w:val="0"/>
      <w:marBottom w:val="0"/>
      <w:divBdr>
        <w:top w:val="none" w:sz="0" w:space="0" w:color="auto"/>
        <w:left w:val="none" w:sz="0" w:space="0" w:color="auto"/>
        <w:bottom w:val="none" w:sz="0" w:space="0" w:color="auto"/>
        <w:right w:val="none" w:sz="0" w:space="0" w:color="auto"/>
      </w:divBdr>
    </w:div>
    <w:div w:id="1333948273">
      <w:bodyDiv w:val="1"/>
      <w:marLeft w:val="0"/>
      <w:marRight w:val="0"/>
      <w:marTop w:val="0"/>
      <w:marBottom w:val="0"/>
      <w:divBdr>
        <w:top w:val="none" w:sz="0" w:space="0" w:color="auto"/>
        <w:left w:val="none" w:sz="0" w:space="0" w:color="auto"/>
        <w:bottom w:val="none" w:sz="0" w:space="0" w:color="auto"/>
        <w:right w:val="none" w:sz="0" w:space="0" w:color="auto"/>
      </w:divBdr>
      <w:divsChild>
        <w:div w:id="1470857047">
          <w:marLeft w:val="0"/>
          <w:marRight w:val="0"/>
          <w:marTop w:val="0"/>
          <w:marBottom w:val="0"/>
          <w:divBdr>
            <w:top w:val="none" w:sz="0" w:space="0" w:color="auto"/>
            <w:left w:val="none" w:sz="0" w:space="0" w:color="auto"/>
            <w:bottom w:val="none" w:sz="0" w:space="0" w:color="auto"/>
            <w:right w:val="none" w:sz="0" w:space="0" w:color="auto"/>
          </w:divBdr>
        </w:div>
      </w:divsChild>
    </w:div>
    <w:div w:id="1337001101">
      <w:bodyDiv w:val="1"/>
      <w:marLeft w:val="0"/>
      <w:marRight w:val="0"/>
      <w:marTop w:val="0"/>
      <w:marBottom w:val="0"/>
      <w:divBdr>
        <w:top w:val="none" w:sz="0" w:space="0" w:color="auto"/>
        <w:left w:val="none" w:sz="0" w:space="0" w:color="auto"/>
        <w:bottom w:val="none" w:sz="0" w:space="0" w:color="auto"/>
        <w:right w:val="none" w:sz="0" w:space="0" w:color="auto"/>
      </w:divBdr>
    </w:div>
    <w:div w:id="1381443761">
      <w:bodyDiv w:val="1"/>
      <w:marLeft w:val="0"/>
      <w:marRight w:val="0"/>
      <w:marTop w:val="0"/>
      <w:marBottom w:val="0"/>
      <w:divBdr>
        <w:top w:val="none" w:sz="0" w:space="0" w:color="auto"/>
        <w:left w:val="none" w:sz="0" w:space="0" w:color="auto"/>
        <w:bottom w:val="none" w:sz="0" w:space="0" w:color="auto"/>
        <w:right w:val="none" w:sz="0" w:space="0" w:color="auto"/>
      </w:divBdr>
    </w:div>
    <w:div w:id="1384211606">
      <w:bodyDiv w:val="1"/>
      <w:marLeft w:val="0"/>
      <w:marRight w:val="0"/>
      <w:marTop w:val="0"/>
      <w:marBottom w:val="0"/>
      <w:divBdr>
        <w:top w:val="none" w:sz="0" w:space="0" w:color="auto"/>
        <w:left w:val="none" w:sz="0" w:space="0" w:color="auto"/>
        <w:bottom w:val="none" w:sz="0" w:space="0" w:color="auto"/>
        <w:right w:val="none" w:sz="0" w:space="0" w:color="auto"/>
      </w:divBdr>
    </w:div>
    <w:div w:id="1507282890">
      <w:bodyDiv w:val="1"/>
      <w:marLeft w:val="0"/>
      <w:marRight w:val="0"/>
      <w:marTop w:val="0"/>
      <w:marBottom w:val="0"/>
      <w:divBdr>
        <w:top w:val="none" w:sz="0" w:space="0" w:color="auto"/>
        <w:left w:val="none" w:sz="0" w:space="0" w:color="auto"/>
        <w:bottom w:val="none" w:sz="0" w:space="0" w:color="auto"/>
        <w:right w:val="none" w:sz="0" w:space="0" w:color="auto"/>
      </w:divBdr>
    </w:div>
    <w:div w:id="1513030187">
      <w:bodyDiv w:val="1"/>
      <w:marLeft w:val="0"/>
      <w:marRight w:val="0"/>
      <w:marTop w:val="0"/>
      <w:marBottom w:val="0"/>
      <w:divBdr>
        <w:top w:val="none" w:sz="0" w:space="0" w:color="auto"/>
        <w:left w:val="none" w:sz="0" w:space="0" w:color="auto"/>
        <w:bottom w:val="none" w:sz="0" w:space="0" w:color="auto"/>
        <w:right w:val="none" w:sz="0" w:space="0" w:color="auto"/>
      </w:divBdr>
    </w:div>
    <w:div w:id="1576016979">
      <w:bodyDiv w:val="1"/>
      <w:marLeft w:val="0"/>
      <w:marRight w:val="0"/>
      <w:marTop w:val="0"/>
      <w:marBottom w:val="0"/>
      <w:divBdr>
        <w:top w:val="none" w:sz="0" w:space="0" w:color="auto"/>
        <w:left w:val="none" w:sz="0" w:space="0" w:color="auto"/>
        <w:bottom w:val="none" w:sz="0" w:space="0" w:color="auto"/>
        <w:right w:val="none" w:sz="0" w:space="0" w:color="auto"/>
      </w:divBdr>
    </w:div>
    <w:div w:id="1580558780">
      <w:bodyDiv w:val="1"/>
      <w:marLeft w:val="0"/>
      <w:marRight w:val="0"/>
      <w:marTop w:val="0"/>
      <w:marBottom w:val="0"/>
      <w:divBdr>
        <w:top w:val="none" w:sz="0" w:space="0" w:color="auto"/>
        <w:left w:val="none" w:sz="0" w:space="0" w:color="auto"/>
        <w:bottom w:val="none" w:sz="0" w:space="0" w:color="auto"/>
        <w:right w:val="none" w:sz="0" w:space="0" w:color="auto"/>
      </w:divBdr>
    </w:div>
    <w:div w:id="1613198992">
      <w:bodyDiv w:val="1"/>
      <w:marLeft w:val="0"/>
      <w:marRight w:val="0"/>
      <w:marTop w:val="0"/>
      <w:marBottom w:val="0"/>
      <w:divBdr>
        <w:top w:val="none" w:sz="0" w:space="0" w:color="auto"/>
        <w:left w:val="none" w:sz="0" w:space="0" w:color="auto"/>
        <w:bottom w:val="none" w:sz="0" w:space="0" w:color="auto"/>
        <w:right w:val="none" w:sz="0" w:space="0" w:color="auto"/>
      </w:divBdr>
    </w:div>
    <w:div w:id="1650014519">
      <w:bodyDiv w:val="1"/>
      <w:marLeft w:val="0"/>
      <w:marRight w:val="0"/>
      <w:marTop w:val="0"/>
      <w:marBottom w:val="0"/>
      <w:divBdr>
        <w:top w:val="none" w:sz="0" w:space="0" w:color="auto"/>
        <w:left w:val="none" w:sz="0" w:space="0" w:color="auto"/>
        <w:bottom w:val="none" w:sz="0" w:space="0" w:color="auto"/>
        <w:right w:val="none" w:sz="0" w:space="0" w:color="auto"/>
      </w:divBdr>
    </w:div>
    <w:div w:id="1719015069">
      <w:bodyDiv w:val="1"/>
      <w:marLeft w:val="0"/>
      <w:marRight w:val="0"/>
      <w:marTop w:val="0"/>
      <w:marBottom w:val="0"/>
      <w:divBdr>
        <w:top w:val="none" w:sz="0" w:space="0" w:color="auto"/>
        <w:left w:val="none" w:sz="0" w:space="0" w:color="auto"/>
        <w:bottom w:val="none" w:sz="0" w:space="0" w:color="auto"/>
        <w:right w:val="none" w:sz="0" w:space="0" w:color="auto"/>
      </w:divBdr>
    </w:div>
    <w:div w:id="1731268796">
      <w:bodyDiv w:val="1"/>
      <w:marLeft w:val="0"/>
      <w:marRight w:val="0"/>
      <w:marTop w:val="0"/>
      <w:marBottom w:val="0"/>
      <w:divBdr>
        <w:top w:val="none" w:sz="0" w:space="0" w:color="auto"/>
        <w:left w:val="none" w:sz="0" w:space="0" w:color="auto"/>
        <w:bottom w:val="none" w:sz="0" w:space="0" w:color="auto"/>
        <w:right w:val="none" w:sz="0" w:space="0" w:color="auto"/>
      </w:divBdr>
    </w:div>
    <w:div w:id="1743944501">
      <w:bodyDiv w:val="1"/>
      <w:marLeft w:val="0"/>
      <w:marRight w:val="0"/>
      <w:marTop w:val="0"/>
      <w:marBottom w:val="0"/>
      <w:divBdr>
        <w:top w:val="none" w:sz="0" w:space="0" w:color="auto"/>
        <w:left w:val="none" w:sz="0" w:space="0" w:color="auto"/>
        <w:bottom w:val="none" w:sz="0" w:space="0" w:color="auto"/>
        <w:right w:val="none" w:sz="0" w:space="0" w:color="auto"/>
      </w:divBdr>
    </w:div>
    <w:div w:id="1788504892">
      <w:bodyDiv w:val="1"/>
      <w:marLeft w:val="0"/>
      <w:marRight w:val="0"/>
      <w:marTop w:val="0"/>
      <w:marBottom w:val="0"/>
      <w:divBdr>
        <w:top w:val="none" w:sz="0" w:space="0" w:color="auto"/>
        <w:left w:val="none" w:sz="0" w:space="0" w:color="auto"/>
        <w:bottom w:val="none" w:sz="0" w:space="0" w:color="auto"/>
        <w:right w:val="none" w:sz="0" w:space="0" w:color="auto"/>
      </w:divBdr>
    </w:div>
    <w:div w:id="1805076279">
      <w:bodyDiv w:val="1"/>
      <w:marLeft w:val="0"/>
      <w:marRight w:val="0"/>
      <w:marTop w:val="0"/>
      <w:marBottom w:val="0"/>
      <w:divBdr>
        <w:top w:val="none" w:sz="0" w:space="0" w:color="auto"/>
        <w:left w:val="none" w:sz="0" w:space="0" w:color="auto"/>
        <w:bottom w:val="none" w:sz="0" w:space="0" w:color="auto"/>
        <w:right w:val="none" w:sz="0" w:space="0" w:color="auto"/>
      </w:divBdr>
    </w:div>
    <w:div w:id="1844473185">
      <w:bodyDiv w:val="1"/>
      <w:marLeft w:val="0"/>
      <w:marRight w:val="0"/>
      <w:marTop w:val="0"/>
      <w:marBottom w:val="0"/>
      <w:divBdr>
        <w:top w:val="none" w:sz="0" w:space="0" w:color="auto"/>
        <w:left w:val="none" w:sz="0" w:space="0" w:color="auto"/>
        <w:bottom w:val="none" w:sz="0" w:space="0" w:color="auto"/>
        <w:right w:val="none" w:sz="0" w:space="0" w:color="auto"/>
      </w:divBdr>
    </w:div>
    <w:div w:id="1851874545">
      <w:bodyDiv w:val="1"/>
      <w:marLeft w:val="0"/>
      <w:marRight w:val="0"/>
      <w:marTop w:val="0"/>
      <w:marBottom w:val="0"/>
      <w:divBdr>
        <w:top w:val="none" w:sz="0" w:space="0" w:color="auto"/>
        <w:left w:val="none" w:sz="0" w:space="0" w:color="auto"/>
        <w:bottom w:val="none" w:sz="0" w:space="0" w:color="auto"/>
        <w:right w:val="none" w:sz="0" w:space="0" w:color="auto"/>
      </w:divBdr>
    </w:div>
    <w:div w:id="1863786212">
      <w:bodyDiv w:val="1"/>
      <w:marLeft w:val="0"/>
      <w:marRight w:val="0"/>
      <w:marTop w:val="0"/>
      <w:marBottom w:val="0"/>
      <w:divBdr>
        <w:top w:val="none" w:sz="0" w:space="0" w:color="auto"/>
        <w:left w:val="none" w:sz="0" w:space="0" w:color="auto"/>
        <w:bottom w:val="none" w:sz="0" w:space="0" w:color="auto"/>
        <w:right w:val="none" w:sz="0" w:space="0" w:color="auto"/>
      </w:divBdr>
    </w:div>
    <w:div w:id="1905722561">
      <w:bodyDiv w:val="1"/>
      <w:marLeft w:val="0"/>
      <w:marRight w:val="0"/>
      <w:marTop w:val="0"/>
      <w:marBottom w:val="0"/>
      <w:divBdr>
        <w:top w:val="none" w:sz="0" w:space="0" w:color="auto"/>
        <w:left w:val="none" w:sz="0" w:space="0" w:color="auto"/>
        <w:bottom w:val="none" w:sz="0" w:space="0" w:color="auto"/>
        <w:right w:val="none" w:sz="0" w:space="0" w:color="auto"/>
      </w:divBdr>
    </w:div>
    <w:div w:id="1907838056">
      <w:bodyDiv w:val="1"/>
      <w:marLeft w:val="0"/>
      <w:marRight w:val="0"/>
      <w:marTop w:val="0"/>
      <w:marBottom w:val="0"/>
      <w:divBdr>
        <w:top w:val="none" w:sz="0" w:space="0" w:color="auto"/>
        <w:left w:val="none" w:sz="0" w:space="0" w:color="auto"/>
        <w:bottom w:val="none" w:sz="0" w:space="0" w:color="auto"/>
        <w:right w:val="none" w:sz="0" w:space="0" w:color="auto"/>
      </w:divBdr>
    </w:div>
    <w:div w:id="1942642005">
      <w:bodyDiv w:val="1"/>
      <w:marLeft w:val="0"/>
      <w:marRight w:val="0"/>
      <w:marTop w:val="0"/>
      <w:marBottom w:val="0"/>
      <w:divBdr>
        <w:top w:val="none" w:sz="0" w:space="0" w:color="auto"/>
        <w:left w:val="none" w:sz="0" w:space="0" w:color="auto"/>
        <w:bottom w:val="none" w:sz="0" w:space="0" w:color="auto"/>
        <w:right w:val="none" w:sz="0" w:space="0" w:color="auto"/>
      </w:divBdr>
    </w:div>
    <w:div w:id="1959213635">
      <w:bodyDiv w:val="1"/>
      <w:marLeft w:val="0"/>
      <w:marRight w:val="0"/>
      <w:marTop w:val="0"/>
      <w:marBottom w:val="0"/>
      <w:divBdr>
        <w:top w:val="none" w:sz="0" w:space="0" w:color="auto"/>
        <w:left w:val="none" w:sz="0" w:space="0" w:color="auto"/>
        <w:bottom w:val="none" w:sz="0" w:space="0" w:color="auto"/>
        <w:right w:val="none" w:sz="0" w:space="0" w:color="auto"/>
      </w:divBdr>
    </w:div>
    <w:div w:id="1994142148">
      <w:bodyDiv w:val="1"/>
      <w:marLeft w:val="0"/>
      <w:marRight w:val="0"/>
      <w:marTop w:val="0"/>
      <w:marBottom w:val="0"/>
      <w:divBdr>
        <w:top w:val="none" w:sz="0" w:space="0" w:color="auto"/>
        <w:left w:val="none" w:sz="0" w:space="0" w:color="auto"/>
        <w:bottom w:val="none" w:sz="0" w:space="0" w:color="auto"/>
        <w:right w:val="none" w:sz="0" w:space="0" w:color="auto"/>
      </w:divBdr>
      <w:divsChild>
        <w:div w:id="771629552">
          <w:marLeft w:val="0"/>
          <w:marRight w:val="0"/>
          <w:marTop w:val="0"/>
          <w:marBottom w:val="0"/>
          <w:divBdr>
            <w:top w:val="none" w:sz="0" w:space="0" w:color="auto"/>
            <w:left w:val="none" w:sz="0" w:space="0" w:color="auto"/>
            <w:bottom w:val="none" w:sz="0" w:space="0" w:color="auto"/>
            <w:right w:val="none" w:sz="0" w:space="0" w:color="auto"/>
          </w:divBdr>
        </w:div>
      </w:divsChild>
    </w:div>
    <w:div w:id="2004695839">
      <w:bodyDiv w:val="1"/>
      <w:marLeft w:val="0"/>
      <w:marRight w:val="0"/>
      <w:marTop w:val="0"/>
      <w:marBottom w:val="0"/>
      <w:divBdr>
        <w:top w:val="none" w:sz="0" w:space="0" w:color="auto"/>
        <w:left w:val="none" w:sz="0" w:space="0" w:color="auto"/>
        <w:bottom w:val="none" w:sz="0" w:space="0" w:color="auto"/>
        <w:right w:val="none" w:sz="0" w:space="0" w:color="auto"/>
      </w:divBdr>
    </w:div>
    <w:div w:id="2031830101">
      <w:bodyDiv w:val="1"/>
      <w:marLeft w:val="0"/>
      <w:marRight w:val="0"/>
      <w:marTop w:val="0"/>
      <w:marBottom w:val="0"/>
      <w:divBdr>
        <w:top w:val="none" w:sz="0" w:space="0" w:color="auto"/>
        <w:left w:val="none" w:sz="0" w:space="0" w:color="auto"/>
        <w:bottom w:val="none" w:sz="0" w:space="0" w:color="auto"/>
        <w:right w:val="none" w:sz="0" w:space="0" w:color="auto"/>
      </w:divBdr>
    </w:div>
    <w:div w:id="2053385714">
      <w:bodyDiv w:val="1"/>
      <w:marLeft w:val="0"/>
      <w:marRight w:val="0"/>
      <w:marTop w:val="0"/>
      <w:marBottom w:val="0"/>
      <w:divBdr>
        <w:top w:val="none" w:sz="0" w:space="0" w:color="auto"/>
        <w:left w:val="none" w:sz="0" w:space="0" w:color="auto"/>
        <w:bottom w:val="none" w:sz="0" w:space="0" w:color="auto"/>
        <w:right w:val="none" w:sz="0" w:space="0" w:color="auto"/>
      </w:divBdr>
    </w:div>
    <w:div w:id="2066906585">
      <w:bodyDiv w:val="1"/>
      <w:marLeft w:val="0"/>
      <w:marRight w:val="0"/>
      <w:marTop w:val="0"/>
      <w:marBottom w:val="0"/>
      <w:divBdr>
        <w:top w:val="none" w:sz="0" w:space="0" w:color="auto"/>
        <w:left w:val="none" w:sz="0" w:space="0" w:color="auto"/>
        <w:bottom w:val="none" w:sz="0" w:space="0" w:color="auto"/>
        <w:right w:val="none" w:sz="0" w:space="0" w:color="auto"/>
      </w:divBdr>
    </w:div>
    <w:div w:id="2072776533">
      <w:bodyDiv w:val="1"/>
      <w:marLeft w:val="0"/>
      <w:marRight w:val="0"/>
      <w:marTop w:val="0"/>
      <w:marBottom w:val="0"/>
      <w:divBdr>
        <w:top w:val="none" w:sz="0" w:space="0" w:color="auto"/>
        <w:left w:val="none" w:sz="0" w:space="0" w:color="auto"/>
        <w:bottom w:val="none" w:sz="0" w:space="0" w:color="auto"/>
        <w:right w:val="none" w:sz="0" w:space="0" w:color="auto"/>
      </w:divBdr>
    </w:div>
    <w:div w:id="2099473120">
      <w:bodyDiv w:val="1"/>
      <w:marLeft w:val="0"/>
      <w:marRight w:val="0"/>
      <w:marTop w:val="0"/>
      <w:marBottom w:val="0"/>
      <w:divBdr>
        <w:top w:val="none" w:sz="0" w:space="0" w:color="auto"/>
        <w:left w:val="none" w:sz="0" w:space="0" w:color="auto"/>
        <w:bottom w:val="none" w:sz="0" w:space="0" w:color="auto"/>
        <w:right w:val="none" w:sz="0" w:space="0" w:color="auto"/>
      </w:divBdr>
    </w:div>
    <w:div w:id="2124760467">
      <w:bodyDiv w:val="1"/>
      <w:marLeft w:val="0"/>
      <w:marRight w:val="0"/>
      <w:marTop w:val="0"/>
      <w:marBottom w:val="0"/>
      <w:divBdr>
        <w:top w:val="none" w:sz="0" w:space="0" w:color="auto"/>
        <w:left w:val="none" w:sz="0" w:space="0" w:color="auto"/>
        <w:bottom w:val="none" w:sz="0" w:space="0" w:color="auto"/>
        <w:right w:val="none" w:sz="0" w:space="0" w:color="auto"/>
      </w:divBdr>
      <w:divsChild>
        <w:div w:id="3318405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rd.org/press/press03.html" TargetMode="External"/><Relationship Id="rId18" Type="http://schemas.openxmlformats.org/officeDocument/2006/relationships/hyperlink" Target="https://doi.org/10.1080/10410236.2017.1422847" TargetMode="External"/><Relationship Id="rId26" Type="http://schemas.openxmlformats.org/officeDocument/2006/relationships/hyperlink" Target="http://dx.doi.org/10.1016/j.amepre%20.2014.10.011" TargetMode="External"/><Relationship Id="rId3" Type="http://schemas.openxmlformats.org/officeDocument/2006/relationships/customXml" Target="../customXml/item3.xml"/><Relationship Id="rId21" Type="http://schemas.openxmlformats.org/officeDocument/2006/relationships/hyperlink" Target="https://doi.org/10.2190%2FDE.38.2.b" TargetMode="Externa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s://psycnet.apa.org/doi/10.4135/9781452233451.n5" TargetMode="External"/><Relationship Id="rId25" Type="http://schemas.openxmlformats.org/officeDocument/2006/relationships/hyperlink" Target="https://www.who.int/news-room/fact-sheets/detail/road-traffic-injuri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chb.2017.02.057" TargetMode="External"/><Relationship Id="rId20" Type="http://schemas.openxmlformats.org/officeDocument/2006/relationships/hyperlink" Target="https://doi.org/10.1162/105474605396709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hyperlink" Target="https://doi.org/10.1016/j.aap.2019.07.005"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dx.doi.org/10.1016/j.trf.2006.05.001" TargetMode="External"/><Relationship Id="rId23" Type="http://schemas.openxmlformats.org/officeDocument/2006/relationships/hyperlink" Target="https://doi.org/10.1016/j.trf.2009.11.004" TargetMode="External"/><Relationship Id="rId28" Type="http://schemas.openxmlformats.org/officeDocument/2006/relationships/footer" Target="footer1.xml"/><Relationship Id="rId10" Type="http://schemas.openxmlformats.org/officeDocument/2006/relationships/hyperlink" Target="mailto:clara.cutello@plymouth.ac.uk" TargetMode="External"/><Relationship Id="rId19" Type="http://schemas.openxmlformats.org/officeDocument/2006/relationships/hyperlink" Target="https://doi.org/10.1080/0014013950892517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forbes.com/sites/kevinmurnane/2018/05/31/ford-uses-vr-to-let-cyclists-and-motorists-see-the-road-from-the-others-point-of-view/" TargetMode="External"/><Relationship Id="rId22" Type="http://schemas.openxmlformats.org/officeDocument/2006/relationships/hyperlink" Target="http://dx.doi.org/10.1080/13698570902784281"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01CA71BB03B46BB99E116CD519D2F" ma:contentTypeVersion="8" ma:contentTypeDescription="Create a new document." ma:contentTypeScope="" ma:versionID="c96029635cbeb0ecf588d1a5d2325a42">
  <xsd:schema xmlns:xsd="http://www.w3.org/2001/XMLSchema" xmlns:xs="http://www.w3.org/2001/XMLSchema" xmlns:p="http://schemas.microsoft.com/office/2006/metadata/properties" xmlns:ns3="10b1e301-03c6-4526-840b-33c5d60348c7" targetNamespace="http://schemas.microsoft.com/office/2006/metadata/properties" ma:root="true" ma:fieldsID="fcafdfe7298364e2c1b1d960ad443311" ns3:_="">
    <xsd:import namespace="10b1e301-03c6-4526-840b-33c5d60348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1e301-03c6-4526-840b-33c5d6034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94453EF-5CD3-43F4-8605-5603ED436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1e301-03c6-4526-840b-33c5d603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0C7E0-7897-44DE-B3B2-22AC3523B440}">
  <ds:schemaRefs>
    <ds:schemaRef ds:uri="http://schemas.microsoft.com/sharepoint/v3/contenttype/forms"/>
  </ds:schemaRefs>
</ds:datastoreItem>
</file>

<file path=customXml/itemProps3.xml><?xml version="1.0" encoding="utf-8"?>
<ds:datastoreItem xmlns:ds="http://schemas.openxmlformats.org/officeDocument/2006/customXml" ds:itemID="{405D56BB-2421-4B2A-B873-9131F7FD8B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C24301-6E9B-459D-9C21-F041FE19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7695</Words>
  <Characters>43868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51461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Yaniv Hanoch</dc:creator>
  <cp:keywords/>
  <dc:description/>
  <cp:lastModifiedBy>Yaniv Hanoch Hanoch</cp:lastModifiedBy>
  <cp:revision>2</cp:revision>
  <cp:lastPrinted>2019-12-09T12:44:00Z</cp:lastPrinted>
  <dcterms:created xsi:type="dcterms:W3CDTF">2020-11-25T14:12:00Z</dcterms:created>
  <dcterms:modified xsi:type="dcterms:W3CDTF">2020-11-25T14:12:00Z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0x010100FED01CA71BB03B46BB99E116CD519D2F</vt:lpwstr>
  </property>
</Properties>
</file>