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BA56F" w14:textId="77777777" w:rsidR="007E290E" w:rsidRPr="00641A7D" w:rsidRDefault="007E290E" w:rsidP="00491A0F">
      <w:pPr>
        <w:jc w:val="both"/>
        <w:rPr>
          <w:b/>
          <w:sz w:val="24"/>
        </w:rPr>
      </w:pPr>
      <w:bookmarkStart w:id="0" w:name="_GoBack"/>
      <w:bookmarkEnd w:id="0"/>
      <w:r w:rsidRPr="00641A7D">
        <w:rPr>
          <w:b/>
          <w:sz w:val="24"/>
        </w:rPr>
        <w:t xml:space="preserve">Ethnic Differences in Bone Microarchitecture </w:t>
      </w:r>
    </w:p>
    <w:p w14:paraId="7BB67A6C" w14:textId="77777777" w:rsidR="007E290E" w:rsidRDefault="007E290E" w:rsidP="00491A0F">
      <w:pPr>
        <w:jc w:val="both"/>
        <w:rPr>
          <w:b/>
          <w:sz w:val="24"/>
        </w:rPr>
      </w:pPr>
    </w:p>
    <w:p w14:paraId="22837F0B" w14:textId="77777777" w:rsidR="007E290E" w:rsidRPr="00EA4C72" w:rsidRDefault="007E290E" w:rsidP="00491A0F">
      <w:pPr>
        <w:jc w:val="both"/>
        <w:rPr>
          <w:sz w:val="24"/>
        </w:rPr>
      </w:pPr>
      <w:r w:rsidRPr="00641A7D">
        <w:rPr>
          <w:sz w:val="24"/>
        </w:rPr>
        <w:t>Ruth Durdin</w:t>
      </w:r>
      <w:r w:rsidRPr="00852EDB">
        <w:rPr>
          <w:rFonts w:cstheme="minorHAnsi"/>
          <w:i/>
          <w:iCs/>
          <w:vertAlign w:val="superscript"/>
        </w:rPr>
        <w:t>1</w:t>
      </w:r>
      <w:r>
        <w:rPr>
          <w:rFonts w:cstheme="minorHAnsi"/>
          <w:i/>
          <w:iCs/>
          <w:vertAlign w:val="superscript"/>
        </w:rPr>
        <w:t>,2</w:t>
      </w:r>
      <w:r>
        <w:rPr>
          <w:sz w:val="24"/>
        </w:rPr>
        <w:t xml:space="preserve"> MSc,</w:t>
      </w:r>
      <w:r w:rsidRPr="00641A7D">
        <w:rPr>
          <w:sz w:val="24"/>
        </w:rPr>
        <w:t xml:space="preserve"> Camille</w:t>
      </w:r>
      <w:r>
        <w:rPr>
          <w:sz w:val="24"/>
        </w:rPr>
        <w:t xml:space="preserve"> M</w:t>
      </w:r>
      <w:r w:rsidRPr="00641A7D">
        <w:rPr>
          <w:sz w:val="24"/>
        </w:rPr>
        <w:t xml:space="preserve"> Parsons</w:t>
      </w:r>
      <w:r w:rsidRPr="00852EDB">
        <w:rPr>
          <w:rFonts w:cstheme="minorHAnsi"/>
          <w:i/>
          <w:iCs/>
          <w:vertAlign w:val="superscript"/>
        </w:rPr>
        <w:t>1</w:t>
      </w:r>
      <w:r>
        <w:rPr>
          <w:sz w:val="24"/>
        </w:rPr>
        <w:t xml:space="preserve"> PhD,</w:t>
      </w:r>
      <w:r w:rsidRPr="00641A7D">
        <w:rPr>
          <w:sz w:val="24"/>
        </w:rPr>
        <w:t xml:space="preserve"> Elaine Dennison</w:t>
      </w:r>
      <w:r>
        <w:rPr>
          <w:rFonts w:cstheme="minorHAnsi"/>
          <w:i/>
          <w:iCs/>
          <w:vertAlign w:val="superscript"/>
        </w:rPr>
        <w:t>1,2</w:t>
      </w:r>
      <w:r>
        <w:rPr>
          <w:sz w:val="24"/>
        </w:rPr>
        <w:t xml:space="preserve"> PhD, Nicholas C Harvey</w:t>
      </w:r>
      <w:r>
        <w:rPr>
          <w:rFonts w:cstheme="minorHAnsi"/>
          <w:i/>
          <w:iCs/>
          <w:vertAlign w:val="superscript"/>
        </w:rPr>
        <w:t>1,2</w:t>
      </w:r>
      <w:r>
        <w:rPr>
          <w:sz w:val="24"/>
        </w:rPr>
        <w:t xml:space="preserve"> PhD,</w:t>
      </w:r>
      <w:r w:rsidRPr="00641A7D">
        <w:rPr>
          <w:sz w:val="24"/>
        </w:rPr>
        <w:t xml:space="preserve"> Cyrus Cooper</w:t>
      </w:r>
      <w:r w:rsidRPr="00852EDB">
        <w:rPr>
          <w:rFonts w:cstheme="minorHAnsi"/>
          <w:i/>
          <w:iCs/>
          <w:vertAlign w:val="superscript"/>
        </w:rPr>
        <w:t>1</w:t>
      </w:r>
      <w:r>
        <w:rPr>
          <w:rFonts w:cstheme="minorHAnsi"/>
          <w:i/>
          <w:iCs/>
          <w:vertAlign w:val="superscript"/>
        </w:rPr>
        <w:t xml:space="preserve">,2,3 </w:t>
      </w:r>
      <w:r>
        <w:rPr>
          <w:sz w:val="24"/>
        </w:rPr>
        <w:t>FMedSci,</w:t>
      </w:r>
      <w:r w:rsidRPr="00641A7D">
        <w:rPr>
          <w:sz w:val="24"/>
        </w:rPr>
        <w:t xml:space="preserve"> Kate Ward</w:t>
      </w:r>
      <w:r w:rsidRPr="00852EDB">
        <w:rPr>
          <w:rFonts w:cstheme="minorHAnsi"/>
          <w:i/>
          <w:iCs/>
          <w:vertAlign w:val="superscript"/>
        </w:rPr>
        <w:t>1</w:t>
      </w:r>
      <w:r>
        <w:rPr>
          <w:rFonts w:cstheme="minorHAnsi"/>
          <w:i/>
          <w:iCs/>
          <w:vertAlign w:val="superscript"/>
        </w:rPr>
        <w:t xml:space="preserve">,2 </w:t>
      </w:r>
      <w:r w:rsidRPr="00F03675">
        <w:rPr>
          <w:rFonts w:cstheme="minorHAnsi"/>
          <w:iCs/>
          <w:sz w:val="24"/>
          <w:szCs w:val="24"/>
        </w:rPr>
        <w:t>PhD</w:t>
      </w:r>
    </w:p>
    <w:p w14:paraId="29AD7B93" w14:textId="77777777" w:rsidR="007E290E" w:rsidRDefault="007E290E" w:rsidP="00491A0F">
      <w:pPr>
        <w:jc w:val="both"/>
        <w:rPr>
          <w:sz w:val="24"/>
        </w:rPr>
      </w:pPr>
    </w:p>
    <w:p w14:paraId="7F6A812D" w14:textId="77777777" w:rsidR="007E290E" w:rsidRPr="00852EDB" w:rsidRDefault="007E290E" w:rsidP="00491A0F">
      <w:pPr>
        <w:spacing w:line="360" w:lineRule="auto"/>
        <w:jc w:val="both"/>
        <w:rPr>
          <w:rFonts w:cstheme="minorHAnsi"/>
          <w:i/>
          <w:iCs/>
        </w:rPr>
      </w:pPr>
      <w:r w:rsidRPr="00852EDB">
        <w:rPr>
          <w:rFonts w:cstheme="minorHAnsi"/>
          <w:i/>
          <w:iCs/>
          <w:vertAlign w:val="superscript"/>
        </w:rPr>
        <w:t xml:space="preserve">1 </w:t>
      </w:r>
      <w:r w:rsidRPr="00852EDB">
        <w:rPr>
          <w:rFonts w:cstheme="minorHAnsi"/>
          <w:i/>
          <w:iCs/>
        </w:rPr>
        <w:t>MRC Lifecourse Epidemiology Unit, University of Southampton, Southampton General Hospital, Southampton, UK;</w:t>
      </w:r>
    </w:p>
    <w:p w14:paraId="33EAA631" w14:textId="77777777" w:rsidR="007E290E" w:rsidRPr="00852EDB" w:rsidRDefault="007E290E" w:rsidP="00491A0F">
      <w:pPr>
        <w:spacing w:line="360" w:lineRule="auto"/>
        <w:jc w:val="both"/>
        <w:rPr>
          <w:rFonts w:eastAsia="Times New Roman" w:cstheme="minorHAnsi"/>
          <w:i/>
          <w:lang w:val="en-US" w:eastAsia="en-GB"/>
        </w:rPr>
      </w:pPr>
      <w:r w:rsidRPr="00852EDB">
        <w:rPr>
          <w:rFonts w:cstheme="minorHAnsi"/>
          <w:b/>
          <w:vertAlign w:val="superscript"/>
        </w:rPr>
        <w:t>2</w:t>
      </w:r>
      <w:r w:rsidRPr="00852EDB">
        <w:rPr>
          <w:rFonts w:cstheme="minorHAnsi"/>
        </w:rPr>
        <w:t xml:space="preserve"> </w:t>
      </w:r>
      <w:r w:rsidRPr="00852EDB">
        <w:rPr>
          <w:rFonts w:eastAsia="Times New Roman" w:cstheme="minorHAnsi"/>
          <w:i/>
          <w:lang w:val="en-US" w:eastAsia="en-GB"/>
        </w:rPr>
        <w:t>National Institute for Health Research Biomedical Research Centre, University of Southampton and University Hospital Southampton NHS Foundation Trust;</w:t>
      </w:r>
    </w:p>
    <w:p w14:paraId="4BF66F9B" w14:textId="77777777" w:rsidR="007E290E" w:rsidRPr="00852EDB" w:rsidRDefault="007E290E" w:rsidP="00491A0F">
      <w:pPr>
        <w:spacing w:line="360" w:lineRule="auto"/>
        <w:jc w:val="both"/>
        <w:rPr>
          <w:rFonts w:eastAsia="Times New Roman" w:cstheme="minorHAnsi"/>
          <w:i/>
          <w:lang w:val="en-US" w:eastAsia="en-GB"/>
        </w:rPr>
      </w:pPr>
      <w:r w:rsidRPr="00852EDB">
        <w:rPr>
          <w:rFonts w:eastAsia="Times New Roman" w:cstheme="minorHAnsi"/>
          <w:i/>
          <w:lang w:val="en-US" w:eastAsia="en-GB"/>
        </w:rPr>
        <w:t xml:space="preserve"> </w:t>
      </w:r>
      <w:r>
        <w:rPr>
          <w:rFonts w:eastAsia="Times New Roman" w:cstheme="minorHAnsi"/>
          <w:i/>
          <w:vertAlign w:val="superscript"/>
          <w:lang w:val="en-US" w:eastAsia="en-GB"/>
        </w:rPr>
        <w:t>3</w:t>
      </w:r>
      <w:r w:rsidRPr="00852EDB">
        <w:rPr>
          <w:rFonts w:eastAsia="Times New Roman" w:cstheme="minorHAnsi"/>
          <w:i/>
          <w:lang w:val="en-US" w:eastAsia="en-GB"/>
        </w:rPr>
        <w:t xml:space="preserve"> National Institute for Health Research Musculoskeletal Biomedical Research Unit, University of Oxford, UK;</w:t>
      </w:r>
    </w:p>
    <w:p w14:paraId="482463ED" w14:textId="77777777" w:rsidR="007E290E" w:rsidRDefault="007E290E" w:rsidP="00491A0F">
      <w:pPr>
        <w:jc w:val="both"/>
        <w:rPr>
          <w:sz w:val="24"/>
        </w:rPr>
      </w:pPr>
    </w:p>
    <w:p w14:paraId="371A540A" w14:textId="77777777" w:rsidR="007E290E" w:rsidRPr="00641A7D" w:rsidRDefault="007E290E" w:rsidP="00491A0F">
      <w:pPr>
        <w:jc w:val="both"/>
        <w:rPr>
          <w:sz w:val="24"/>
        </w:rPr>
      </w:pPr>
    </w:p>
    <w:p w14:paraId="0816CE6A" w14:textId="77777777" w:rsidR="007E290E" w:rsidRDefault="007E290E" w:rsidP="00491A0F">
      <w:pPr>
        <w:spacing w:line="360" w:lineRule="auto"/>
        <w:jc w:val="both"/>
        <w:rPr>
          <w:rFonts w:cstheme="minorHAnsi"/>
        </w:rPr>
      </w:pPr>
      <w:r w:rsidRPr="00641A7D">
        <w:rPr>
          <w:sz w:val="24"/>
        </w:rPr>
        <w:t>Address for correspondence:</w:t>
      </w:r>
      <w:r w:rsidRPr="006504B0">
        <w:rPr>
          <w:rFonts w:cstheme="minorHAnsi"/>
        </w:rPr>
        <w:t xml:space="preserve"> </w:t>
      </w:r>
      <w:r>
        <w:rPr>
          <w:rFonts w:cstheme="minorHAnsi"/>
        </w:rPr>
        <w:t xml:space="preserve"> </w:t>
      </w:r>
    </w:p>
    <w:p w14:paraId="6DF9769F" w14:textId="77777777" w:rsidR="007E290E" w:rsidRPr="00852EDB" w:rsidRDefault="007E290E" w:rsidP="00491A0F">
      <w:pPr>
        <w:spacing w:line="360" w:lineRule="auto"/>
        <w:jc w:val="both"/>
        <w:rPr>
          <w:rFonts w:cstheme="minorHAnsi"/>
        </w:rPr>
      </w:pPr>
      <w:r w:rsidRPr="00852EDB">
        <w:rPr>
          <w:rFonts w:cstheme="minorHAnsi"/>
        </w:rPr>
        <w:t>MRC Lifecourse Epidemiology Unit (University of Southampton), Southampton General Hospital, Southampton, SO16 6YD, UK.</w:t>
      </w:r>
    </w:p>
    <w:p w14:paraId="1648A1DB" w14:textId="77777777" w:rsidR="007E290E" w:rsidRPr="00852EDB" w:rsidRDefault="007E290E" w:rsidP="00491A0F">
      <w:pPr>
        <w:spacing w:line="360" w:lineRule="auto"/>
        <w:jc w:val="both"/>
        <w:rPr>
          <w:rFonts w:cstheme="minorHAnsi"/>
        </w:rPr>
      </w:pPr>
      <w:r w:rsidRPr="00852EDB">
        <w:rPr>
          <w:rFonts w:cstheme="minorHAnsi"/>
        </w:rPr>
        <w:t xml:space="preserve">Tel:  +44 (0)23 8077 7624       Fax: +44 (0)23 8070 4021     Email: </w:t>
      </w:r>
      <w:r w:rsidRPr="00852EDB">
        <w:rPr>
          <w:rStyle w:val="Hyperlink"/>
          <w:rFonts w:cstheme="minorHAnsi"/>
        </w:rPr>
        <w:t>cc@mrc.soton.ac.uk</w:t>
      </w:r>
    </w:p>
    <w:p w14:paraId="7B761E34" w14:textId="77777777" w:rsidR="007E290E" w:rsidRPr="00641A7D" w:rsidRDefault="007E290E" w:rsidP="00491A0F">
      <w:pPr>
        <w:jc w:val="both"/>
        <w:rPr>
          <w:sz w:val="24"/>
        </w:rPr>
      </w:pPr>
    </w:p>
    <w:p w14:paraId="7D71B450" w14:textId="77777777" w:rsidR="007E290E" w:rsidRPr="00641A7D" w:rsidRDefault="007E290E" w:rsidP="00491A0F">
      <w:pPr>
        <w:jc w:val="both"/>
        <w:rPr>
          <w:sz w:val="24"/>
        </w:rPr>
      </w:pPr>
      <w:r>
        <w:rPr>
          <w:sz w:val="24"/>
        </w:rPr>
        <w:t xml:space="preserve">Keywords:  adult; microarchitecture; quantitative computed tomography; dual-energy X-ray absorptiometry; ethnicity </w:t>
      </w:r>
    </w:p>
    <w:p w14:paraId="0E1F51FC" w14:textId="77777777" w:rsidR="007E290E" w:rsidRDefault="007E290E" w:rsidP="00491A0F">
      <w:pPr>
        <w:jc w:val="both"/>
        <w:rPr>
          <w:b/>
          <w:sz w:val="24"/>
        </w:rPr>
      </w:pPr>
      <w:r>
        <w:rPr>
          <w:b/>
          <w:sz w:val="24"/>
        </w:rPr>
        <w:br w:type="page"/>
      </w:r>
    </w:p>
    <w:p w14:paraId="6298D9D5" w14:textId="77777777" w:rsidR="007E290E" w:rsidRPr="00852E50" w:rsidRDefault="007E290E" w:rsidP="00491A0F">
      <w:pPr>
        <w:jc w:val="both"/>
        <w:rPr>
          <w:b/>
          <w:sz w:val="24"/>
        </w:rPr>
      </w:pPr>
      <w:r w:rsidRPr="00852E50">
        <w:rPr>
          <w:b/>
          <w:sz w:val="24"/>
        </w:rPr>
        <w:lastRenderedPageBreak/>
        <w:t>Abstract</w:t>
      </w:r>
    </w:p>
    <w:p w14:paraId="1CE99D71" w14:textId="77777777" w:rsidR="007E290E" w:rsidRPr="00852E50" w:rsidRDefault="007E290E" w:rsidP="00491A0F">
      <w:pPr>
        <w:spacing w:line="240" w:lineRule="auto"/>
        <w:ind w:firstLine="720"/>
        <w:jc w:val="both"/>
        <w:rPr>
          <w:b/>
          <w:sz w:val="24"/>
        </w:rPr>
      </w:pPr>
      <w:r w:rsidRPr="00852E50">
        <w:rPr>
          <w:b/>
          <w:sz w:val="24"/>
        </w:rPr>
        <w:t>Purpose of the review</w:t>
      </w:r>
    </w:p>
    <w:p w14:paraId="4949C274" w14:textId="77777777" w:rsidR="007E290E" w:rsidRDefault="007E290E" w:rsidP="00491A0F">
      <w:pPr>
        <w:spacing w:line="240" w:lineRule="auto"/>
        <w:jc w:val="both"/>
        <w:rPr>
          <w:sz w:val="24"/>
        </w:rPr>
      </w:pPr>
      <w:r>
        <w:rPr>
          <w:sz w:val="24"/>
        </w:rPr>
        <w:t>The aim of this review is to briefly introduce updates in global fracture epidemiology and then to highlight recent contributions to understanding ethnic differences in bone density, geometry and microarchitecture and consider how these might contribute to differences in fracture risk. The review focusses on studies using peripheral quantitative computed tomography techniques.</w:t>
      </w:r>
    </w:p>
    <w:p w14:paraId="2DB5C424" w14:textId="77777777" w:rsidR="007E290E" w:rsidRPr="00852E50" w:rsidRDefault="007E290E" w:rsidP="00491A0F">
      <w:pPr>
        <w:spacing w:line="240" w:lineRule="auto"/>
        <w:jc w:val="both"/>
        <w:rPr>
          <w:b/>
          <w:sz w:val="24"/>
        </w:rPr>
      </w:pPr>
      <w:r>
        <w:rPr>
          <w:sz w:val="24"/>
        </w:rPr>
        <w:tab/>
      </w:r>
      <w:r w:rsidRPr="00852E50">
        <w:rPr>
          <w:b/>
          <w:sz w:val="24"/>
        </w:rPr>
        <w:t xml:space="preserve">Recent findings </w:t>
      </w:r>
    </w:p>
    <w:p w14:paraId="3132776A" w14:textId="77777777" w:rsidR="007E290E" w:rsidRDefault="007E290E" w:rsidP="00491A0F">
      <w:pPr>
        <w:spacing w:line="240" w:lineRule="auto"/>
        <w:jc w:val="both"/>
        <w:rPr>
          <w:sz w:val="24"/>
        </w:rPr>
      </w:pPr>
      <w:r>
        <w:rPr>
          <w:sz w:val="24"/>
        </w:rPr>
        <w:t>Recent studies have contributed to our understanding of the differences in fracture incidence both between countries, as well as between ethnic groups living within the same country. In terms of understanding the reasons for ethnic differences in fracture incidence, advanced imaging techniques continue to increase our understanding, though there remain relatively few studies.</w:t>
      </w:r>
    </w:p>
    <w:p w14:paraId="781BEB48" w14:textId="77777777" w:rsidR="007E290E" w:rsidRPr="00852E50" w:rsidRDefault="007E290E" w:rsidP="00491A0F">
      <w:pPr>
        <w:spacing w:line="240" w:lineRule="auto"/>
        <w:jc w:val="both"/>
        <w:rPr>
          <w:b/>
          <w:sz w:val="24"/>
        </w:rPr>
      </w:pPr>
      <w:r>
        <w:rPr>
          <w:sz w:val="24"/>
        </w:rPr>
        <w:tab/>
      </w:r>
      <w:r w:rsidRPr="00852E50">
        <w:rPr>
          <w:b/>
          <w:sz w:val="24"/>
        </w:rPr>
        <w:t>Summary</w:t>
      </w:r>
    </w:p>
    <w:p w14:paraId="621E17D3" w14:textId="77777777" w:rsidR="007E290E" w:rsidRDefault="007E290E" w:rsidP="00491A0F">
      <w:pPr>
        <w:spacing w:line="240" w:lineRule="auto"/>
        <w:jc w:val="both"/>
        <w:rPr>
          <w:sz w:val="24"/>
        </w:rPr>
      </w:pPr>
      <w:r>
        <w:rPr>
          <w:sz w:val="24"/>
        </w:rPr>
        <w:t xml:space="preserve">It is a priority to continue to understand the epidemiology, and changes in the patterns of, fracture, as well as the underlying phenotypic and biological reasons for the ethnic differences which are observed. </w:t>
      </w:r>
    </w:p>
    <w:p w14:paraId="3784DE6F" w14:textId="77777777" w:rsidR="007E290E" w:rsidRDefault="007E290E" w:rsidP="00491A0F">
      <w:pPr>
        <w:spacing w:line="240" w:lineRule="auto"/>
        <w:jc w:val="both"/>
        <w:rPr>
          <w:sz w:val="24"/>
        </w:rPr>
      </w:pPr>
    </w:p>
    <w:p w14:paraId="7F56078F" w14:textId="77777777" w:rsidR="007E290E" w:rsidRDefault="007E290E" w:rsidP="00491A0F">
      <w:pPr>
        <w:jc w:val="both"/>
        <w:rPr>
          <w:sz w:val="24"/>
        </w:rPr>
      </w:pPr>
    </w:p>
    <w:p w14:paraId="226D04D8" w14:textId="77777777" w:rsidR="007E290E" w:rsidRDefault="007E290E" w:rsidP="00491A0F">
      <w:pPr>
        <w:jc w:val="both"/>
        <w:rPr>
          <w:color w:val="FF0000"/>
          <w:sz w:val="24"/>
        </w:rPr>
      </w:pPr>
      <w:r>
        <w:rPr>
          <w:color w:val="FF0000"/>
          <w:sz w:val="24"/>
        </w:rPr>
        <w:br w:type="page"/>
      </w:r>
    </w:p>
    <w:p w14:paraId="4B5F8ABD" w14:textId="77777777" w:rsidR="007E290E" w:rsidRDefault="007E290E" w:rsidP="00491A0F">
      <w:pPr>
        <w:spacing w:line="240" w:lineRule="auto"/>
        <w:jc w:val="both"/>
        <w:rPr>
          <w:b/>
          <w:sz w:val="24"/>
        </w:rPr>
      </w:pPr>
      <w:r>
        <w:rPr>
          <w:b/>
          <w:sz w:val="24"/>
        </w:rPr>
        <w:lastRenderedPageBreak/>
        <w:t>Introduction</w:t>
      </w:r>
    </w:p>
    <w:p w14:paraId="2B5A5E50" w14:textId="4C333E34" w:rsidR="007E290E" w:rsidRDefault="007E290E" w:rsidP="00491A0F">
      <w:pPr>
        <w:spacing w:line="240" w:lineRule="auto"/>
        <w:jc w:val="both"/>
        <w:rPr>
          <w:sz w:val="24"/>
        </w:rPr>
      </w:pPr>
      <w:r>
        <w:rPr>
          <w:sz w:val="24"/>
        </w:rPr>
        <w:t xml:space="preserve">Demographic shifts towards older populations are occurring in countries worldwide </w:t>
      </w:r>
      <w:r>
        <w:rPr>
          <w:noProof/>
          <w:sz w:val="24"/>
        </w:rPr>
        <w:t>[1]</w:t>
      </w:r>
      <w:r>
        <w:rPr>
          <w:sz w:val="24"/>
        </w:rPr>
        <w:t xml:space="preserve">. </w:t>
      </w:r>
      <w:r w:rsidR="00564A25">
        <w:rPr>
          <w:sz w:val="24"/>
        </w:rPr>
        <w:t xml:space="preserve">Across the globe, osteoporotic fractures, remain a substantial healthcare burden; in order to prevent fractures and therefore lessen their associated burden, it is important to understand why these differences exist. </w:t>
      </w:r>
      <w:r w:rsidR="00564A25" w:rsidRPr="006C5E03">
        <w:rPr>
          <w:sz w:val="24"/>
        </w:rPr>
        <w:t xml:space="preserve">The risk of fragility fracture is underpinned by low bone </w:t>
      </w:r>
      <w:r w:rsidR="00564A25">
        <w:rPr>
          <w:sz w:val="24"/>
        </w:rPr>
        <w:t>mineral density, but past evidence shows other aspects of bone strength also contribute to fracture risk.</w:t>
      </w:r>
      <w:r w:rsidR="00564A25" w:rsidDel="00BB0C97">
        <w:rPr>
          <w:sz w:val="24"/>
        </w:rPr>
        <w:t xml:space="preserve"> </w:t>
      </w:r>
      <w:r>
        <w:rPr>
          <w:sz w:val="24"/>
        </w:rPr>
        <w:t>The aim of this review is</w:t>
      </w:r>
      <w:r w:rsidR="00564A25">
        <w:rPr>
          <w:sz w:val="24"/>
        </w:rPr>
        <w:t xml:space="preserve"> therefore</w:t>
      </w:r>
      <w:r>
        <w:rPr>
          <w:sz w:val="24"/>
        </w:rPr>
        <w:t xml:space="preserve"> to present updates </w:t>
      </w:r>
      <w:r w:rsidRPr="00B5777B">
        <w:rPr>
          <w:sz w:val="24"/>
        </w:rPr>
        <w:t xml:space="preserve">on </w:t>
      </w:r>
      <w:r>
        <w:rPr>
          <w:sz w:val="24"/>
        </w:rPr>
        <w:t>global, and ethnic, patterns of fracture incidence and to describe ethnic differences in bone microarchitecture, exploring the potential underlying bone phenotype for these differences</w:t>
      </w:r>
      <w:r>
        <w:rPr>
          <w:rStyle w:val="FootnoteReference"/>
          <w:sz w:val="24"/>
        </w:rPr>
        <w:footnoteReference w:id="1"/>
      </w:r>
      <w:r>
        <w:rPr>
          <w:sz w:val="24"/>
        </w:rPr>
        <w:t xml:space="preserve">. </w:t>
      </w:r>
    </w:p>
    <w:p w14:paraId="44E0DAE2" w14:textId="77777777" w:rsidR="007E290E" w:rsidRPr="00A7374B" w:rsidRDefault="007E290E" w:rsidP="00491A0F">
      <w:pPr>
        <w:spacing w:line="240" w:lineRule="auto"/>
        <w:jc w:val="both"/>
        <w:rPr>
          <w:b/>
          <w:sz w:val="24"/>
        </w:rPr>
      </w:pPr>
    </w:p>
    <w:p w14:paraId="0139F64F" w14:textId="77777777" w:rsidR="007E290E" w:rsidRDefault="007E290E" w:rsidP="00491A0F">
      <w:pPr>
        <w:spacing w:line="240" w:lineRule="auto"/>
        <w:jc w:val="both"/>
        <w:rPr>
          <w:b/>
          <w:sz w:val="24"/>
        </w:rPr>
      </w:pPr>
      <w:r>
        <w:rPr>
          <w:b/>
          <w:sz w:val="24"/>
        </w:rPr>
        <w:t>Global and Ethnic Variation in Fracture Incidence</w:t>
      </w:r>
    </w:p>
    <w:p w14:paraId="27AADEE3" w14:textId="15B8EF33" w:rsidR="007E290E" w:rsidRDefault="007E290E" w:rsidP="00491A0F">
      <w:pPr>
        <w:spacing w:line="240" w:lineRule="auto"/>
        <w:jc w:val="both"/>
        <w:rPr>
          <w:sz w:val="24"/>
        </w:rPr>
      </w:pPr>
      <w:r>
        <w:rPr>
          <w:sz w:val="24"/>
        </w:rPr>
        <w:t xml:space="preserve">Worldwide, there is an approximately 10-fold range in hip fracture incidence rates </w:t>
      </w:r>
      <w:r>
        <w:rPr>
          <w:noProof/>
          <w:sz w:val="24"/>
        </w:rPr>
        <w:t>[2]</w:t>
      </w:r>
      <w:r>
        <w:rPr>
          <w:sz w:val="24"/>
        </w:rPr>
        <w:t xml:space="preserve">. For women, countries with the highest annual age-standardised hip fracture incidences included Denmark, Sweden and Austria; the lowest, included Morocco, Ecuador and Tunisia. </w:t>
      </w:r>
      <w:r w:rsidR="0032721F">
        <w:rPr>
          <w:sz w:val="24"/>
        </w:rPr>
        <w:t xml:space="preserve">Recent additions to the global literature include data reporting </w:t>
      </w:r>
      <w:r w:rsidR="0032721F" w:rsidRPr="001E052F">
        <w:rPr>
          <w:sz w:val="24"/>
        </w:rPr>
        <w:t>sex-specific trends in hip fracture incidence rate i</w:t>
      </w:r>
      <w:r w:rsidR="0032721F">
        <w:rPr>
          <w:sz w:val="24"/>
        </w:rPr>
        <w:t xml:space="preserve">n Lebanon between 2006 and 2017; where a decrease in fracture incidence was observed over follow-up </w:t>
      </w:r>
      <w:r w:rsidR="0032721F">
        <w:rPr>
          <w:noProof/>
          <w:sz w:val="24"/>
        </w:rPr>
        <w:t>[5]</w:t>
      </w:r>
      <w:r w:rsidR="0032721F">
        <w:rPr>
          <w:sz w:val="24"/>
        </w:rPr>
        <w:t xml:space="preserve">. There remains a gap in </w:t>
      </w:r>
      <w:r>
        <w:rPr>
          <w:sz w:val="24"/>
        </w:rPr>
        <w:t xml:space="preserve">data in </w:t>
      </w:r>
      <w:r w:rsidR="0032721F">
        <w:rPr>
          <w:sz w:val="24"/>
        </w:rPr>
        <w:t>low—and middle income countries (LMICs</w:t>
      </w:r>
      <w:r w:rsidR="0032721F">
        <w:rPr>
          <w:rStyle w:val="FootnoteReference"/>
          <w:sz w:val="24"/>
        </w:rPr>
        <w:footnoteReference w:id="2"/>
      </w:r>
      <w:r w:rsidR="0032721F">
        <w:rPr>
          <w:sz w:val="24"/>
        </w:rPr>
        <w:t xml:space="preserve">), </w:t>
      </w:r>
      <w:r w:rsidR="00BD0E50">
        <w:rPr>
          <w:sz w:val="24"/>
        </w:rPr>
        <w:t>which are discussed</w:t>
      </w:r>
      <w:r w:rsidR="0032721F">
        <w:rPr>
          <w:sz w:val="24"/>
        </w:rPr>
        <w:t xml:space="preserve"> </w:t>
      </w:r>
      <w:r w:rsidR="00BD0E50">
        <w:rPr>
          <w:sz w:val="24"/>
        </w:rPr>
        <w:t>later</w:t>
      </w:r>
      <w:r>
        <w:rPr>
          <w:sz w:val="24"/>
        </w:rPr>
        <w:t xml:space="preserve"> </w:t>
      </w:r>
      <w:r>
        <w:rPr>
          <w:noProof/>
          <w:sz w:val="24"/>
        </w:rPr>
        <w:t>[3-5]</w:t>
      </w:r>
      <w:r>
        <w:rPr>
          <w:sz w:val="24"/>
        </w:rPr>
        <w:t xml:space="preserve">. </w:t>
      </w:r>
    </w:p>
    <w:p w14:paraId="6135680E" w14:textId="77777777" w:rsidR="007E290E" w:rsidRDefault="007E290E" w:rsidP="00491A0F">
      <w:pPr>
        <w:spacing w:line="240" w:lineRule="auto"/>
        <w:jc w:val="both"/>
        <w:rPr>
          <w:sz w:val="24"/>
        </w:rPr>
      </w:pPr>
      <w:r>
        <w:rPr>
          <w:sz w:val="24"/>
        </w:rPr>
        <w:t xml:space="preserve">While the data presented above demonstrate between-country differences in fracture incidence, variation in fracture rates between ethnic groups in the same country have also been described </w:t>
      </w:r>
      <w:r>
        <w:rPr>
          <w:noProof/>
          <w:sz w:val="24"/>
        </w:rPr>
        <w:t>[6]</w:t>
      </w:r>
      <w:r>
        <w:rPr>
          <w:sz w:val="24"/>
        </w:rPr>
        <w:t xml:space="preserve">. For instance, in the UK, notable ethnic differences in hip fracture were recently shown using data from the Clinical Practice Research Datalink (CPRD), fragility fracture rates (radius/ulna, spine and femur/hip fractures), were highest in </w:t>
      </w:r>
      <w:r w:rsidRPr="00154AC5">
        <w:rPr>
          <w:sz w:val="24"/>
        </w:rPr>
        <w:t xml:space="preserve">White, and lowest in Black, </w:t>
      </w:r>
      <w:r>
        <w:rPr>
          <w:sz w:val="24"/>
        </w:rPr>
        <w:t xml:space="preserve">men and women aged 50 years and above </w:t>
      </w:r>
      <w:r>
        <w:rPr>
          <w:noProof/>
          <w:sz w:val="24"/>
        </w:rPr>
        <w:t>[6]</w:t>
      </w:r>
      <w:r>
        <w:rPr>
          <w:sz w:val="24"/>
        </w:rPr>
        <w:t xml:space="preserve">. </w:t>
      </w:r>
      <w:r w:rsidRPr="008A3B54">
        <w:rPr>
          <w:sz w:val="24"/>
        </w:rPr>
        <w:t xml:space="preserve">In Singapore, age-standardized hip fracture incidence </w:t>
      </w:r>
      <w:r>
        <w:rPr>
          <w:sz w:val="24"/>
        </w:rPr>
        <w:t xml:space="preserve">rates </w:t>
      </w:r>
      <w:r w:rsidRPr="008A3B54">
        <w:rPr>
          <w:sz w:val="24"/>
        </w:rPr>
        <w:t xml:space="preserve">decreased between 2000 and 2017 </w:t>
      </w:r>
      <w:r>
        <w:rPr>
          <w:noProof/>
          <w:sz w:val="24"/>
        </w:rPr>
        <w:t>[7]</w:t>
      </w:r>
      <w:r w:rsidRPr="008A3B54">
        <w:rPr>
          <w:sz w:val="24"/>
        </w:rPr>
        <w:t xml:space="preserve">. </w:t>
      </w:r>
      <w:r>
        <w:rPr>
          <w:sz w:val="24"/>
        </w:rPr>
        <w:t xml:space="preserve">Hip fracture incidence rates </w:t>
      </w:r>
      <w:r w:rsidRPr="008A3B54">
        <w:rPr>
          <w:sz w:val="24"/>
        </w:rPr>
        <w:t>were higher in women</w:t>
      </w:r>
      <w:r>
        <w:rPr>
          <w:sz w:val="24"/>
        </w:rPr>
        <w:t xml:space="preserve"> than men and ethnic differences, examined in women only, existed;</w:t>
      </w:r>
      <w:r w:rsidRPr="008A3B54">
        <w:rPr>
          <w:sz w:val="24"/>
        </w:rPr>
        <w:t xml:space="preserve"> Chinese women had the highest fracture rates, compared to Malay and Indian women, </w:t>
      </w:r>
      <w:r>
        <w:rPr>
          <w:sz w:val="24"/>
        </w:rPr>
        <w:t>yet were also the only ethnic group in which a</w:t>
      </w:r>
      <w:r w:rsidRPr="008A3B54">
        <w:rPr>
          <w:sz w:val="24"/>
        </w:rPr>
        <w:t xml:space="preserve"> decline</w:t>
      </w:r>
      <w:r>
        <w:rPr>
          <w:sz w:val="24"/>
        </w:rPr>
        <w:t xml:space="preserve"> in rate</w:t>
      </w:r>
      <w:r w:rsidRPr="008A3B54">
        <w:rPr>
          <w:sz w:val="24"/>
        </w:rPr>
        <w:t xml:space="preserve"> </w:t>
      </w:r>
      <w:r>
        <w:rPr>
          <w:sz w:val="24"/>
        </w:rPr>
        <w:t xml:space="preserve">was </w:t>
      </w:r>
      <w:r w:rsidRPr="008A3B54">
        <w:rPr>
          <w:sz w:val="24"/>
        </w:rPr>
        <w:t xml:space="preserve">during </w:t>
      </w:r>
      <w:r>
        <w:rPr>
          <w:sz w:val="24"/>
        </w:rPr>
        <w:t xml:space="preserve">seen during the follow-up period </w:t>
      </w:r>
      <w:r>
        <w:rPr>
          <w:noProof/>
          <w:sz w:val="24"/>
        </w:rPr>
        <w:t>[7]</w:t>
      </w:r>
      <w:r w:rsidRPr="008A3B54">
        <w:rPr>
          <w:sz w:val="24"/>
        </w:rPr>
        <w:t xml:space="preserve">. </w:t>
      </w:r>
      <w:r>
        <w:rPr>
          <w:sz w:val="24"/>
        </w:rPr>
        <w:t xml:space="preserve"> </w:t>
      </w:r>
    </w:p>
    <w:p w14:paraId="58E5D244" w14:textId="77777777" w:rsidR="00926DEF" w:rsidRDefault="00926DEF" w:rsidP="00491A0F">
      <w:pPr>
        <w:spacing w:line="240" w:lineRule="auto"/>
        <w:jc w:val="both"/>
        <w:rPr>
          <w:sz w:val="24"/>
        </w:rPr>
      </w:pPr>
    </w:p>
    <w:p w14:paraId="03C04F87" w14:textId="77777777" w:rsidR="00926DEF" w:rsidRPr="00CE67E5" w:rsidRDefault="00926DEF" w:rsidP="00491A0F">
      <w:pPr>
        <w:spacing w:line="240" w:lineRule="auto"/>
        <w:jc w:val="both"/>
        <w:rPr>
          <w:b/>
          <w:sz w:val="24"/>
        </w:rPr>
      </w:pPr>
      <w:r w:rsidRPr="00CE67E5">
        <w:rPr>
          <w:b/>
          <w:sz w:val="24"/>
        </w:rPr>
        <w:t xml:space="preserve">Mortality </w:t>
      </w:r>
      <w:r>
        <w:rPr>
          <w:b/>
          <w:sz w:val="24"/>
        </w:rPr>
        <w:t>p</w:t>
      </w:r>
      <w:r w:rsidRPr="00CE67E5">
        <w:rPr>
          <w:b/>
          <w:sz w:val="24"/>
        </w:rPr>
        <w:t>ost hip fracture</w:t>
      </w:r>
    </w:p>
    <w:p w14:paraId="03B792D6" w14:textId="77777777" w:rsidR="007E290E" w:rsidRDefault="007E290E" w:rsidP="00491A0F">
      <w:pPr>
        <w:spacing w:line="240" w:lineRule="auto"/>
        <w:jc w:val="both"/>
        <w:rPr>
          <w:sz w:val="24"/>
        </w:rPr>
      </w:pPr>
      <w:r w:rsidRPr="00352961">
        <w:rPr>
          <w:sz w:val="24"/>
        </w:rPr>
        <w:t xml:space="preserve">In England, ethnic differences in mortality within one year of a fracture, including a higher </w:t>
      </w:r>
      <w:r>
        <w:rPr>
          <w:sz w:val="24"/>
        </w:rPr>
        <w:t xml:space="preserve">mortality </w:t>
      </w:r>
      <w:r w:rsidRPr="00352961">
        <w:rPr>
          <w:sz w:val="24"/>
        </w:rPr>
        <w:t xml:space="preserve">rate in </w:t>
      </w:r>
      <w:r>
        <w:rPr>
          <w:sz w:val="24"/>
        </w:rPr>
        <w:t>B</w:t>
      </w:r>
      <w:r w:rsidRPr="00352961">
        <w:rPr>
          <w:sz w:val="24"/>
        </w:rPr>
        <w:t xml:space="preserve">lack women compared to </w:t>
      </w:r>
      <w:r>
        <w:rPr>
          <w:sz w:val="24"/>
        </w:rPr>
        <w:t>W</w:t>
      </w:r>
      <w:r w:rsidRPr="00352961">
        <w:rPr>
          <w:sz w:val="24"/>
        </w:rPr>
        <w:t xml:space="preserve">hite women, have been demonstrated using data from the </w:t>
      </w:r>
      <w:r>
        <w:rPr>
          <w:sz w:val="24"/>
        </w:rPr>
        <w:t xml:space="preserve">CPRD </w:t>
      </w:r>
      <w:r>
        <w:rPr>
          <w:noProof/>
          <w:sz w:val="24"/>
        </w:rPr>
        <w:t>[8]</w:t>
      </w:r>
      <w:r w:rsidRPr="00352961">
        <w:rPr>
          <w:sz w:val="24"/>
        </w:rPr>
        <w:t>. Both fracture, such as hospital-related, and non-fracture related, such as socioeconomic</w:t>
      </w:r>
      <w:r>
        <w:rPr>
          <w:sz w:val="24"/>
        </w:rPr>
        <w:t xml:space="preserve"> status</w:t>
      </w:r>
      <w:r w:rsidRPr="00352961">
        <w:rPr>
          <w:sz w:val="24"/>
        </w:rPr>
        <w:t>, reasons are suggested for these ethnic differences</w:t>
      </w:r>
      <w:r>
        <w:rPr>
          <w:sz w:val="24"/>
        </w:rPr>
        <w:t xml:space="preserve"> in outcome</w:t>
      </w:r>
      <w:r w:rsidRPr="00352961">
        <w:rPr>
          <w:sz w:val="24"/>
        </w:rPr>
        <w:t xml:space="preserve">. </w:t>
      </w:r>
      <w:r w:rsidRPr="006E7783">
        <w:rPr>
          <w:sz w:val="24"/>
        </w:rPr>
        <w:t xml:space="preserve">In a </w:t>
      </w:r>
      <w:r>
        <w:rPr>
          <w:sz w:val="24"/>
        </w:rPr>
        <w:t>study</w:t>
      </w:r>
      <w:r w:rsidRPr="006E7783">
        <w:rPr>
          <w:sz w:val="24"/>
        </w:rPr>
        <w:t xml:space="preserve"> of universa</w:t>
      </w:r>
      <w:r>
        <w:rPr>
          <w:sz w:val="24"/>
        </w:rPr>
        <w:t>l</w:t>
      </w:r>
      <w:r w:rsidRPr="006E7783">
        <w:rPr>
          <w:sz w:val="24"/>
        </w:rPr>
        <w:t>l</w:t>
      </w:r>
      <w:r>
        <w:rPr>
          <w:sz w:val="24"/>
        </w:rPr>
        <w:t>y</w:t>
      </w:r>
      <w:r w:rsidRPr="006E7783">
        <w:rPr>
          <w:sz w:val="24"/>
        </w:rPr>
        <w:t xml:space="preserve"> insured health patients in the US, the odd</w:t>
      </w:r>
      <w:r>
        <w:rPr>
          <w:sz w:val="24"/>
        </w:rPr>
        <w:t>s</w:t>
      </w:r>
      <w:r w:rsidRPr="006E7783">
        <w:rPr>
          <w:sz w:val="24"/>
        </w:rPr>
        <w:t xml:space="preserve"> ratio</w:t>
      </w:r>
      <w:r>
        <w:rPr>
          <w:sz w:val="24"/>
        </w:rPr>
        <w:t xml:space="preserve"> (adjusted for covariates including socioeconomic status)</w:t>
      </w:r>
      <w:r w:rsidRPr="006E7783">
        <w:rPr>
          <w:sz w:val="24"/>
        </w:rPr>
        <w:t xml:space="preserve"> of one-year mortality following hip fracture</w:t>
      </w:r>
      <w:r>
        <w:rPr>
          <w:sz w:val="24"/>
        </w:rPr>
        <w:t xml:space="preserve"> surgery</w:t>
      </w:r>
      <w:r w:rsidRPr="006E7783">
        <w:rPr>
          <w:sz w:val="24"/>
        </w:rPr>
        <w:t xml:space="preserve"> was significantly lower in Hispanic and Asian patients, but similar in </w:t>
      </w:r>
      <w:r>
        <w:rPr>
          <w:sz w:val="24"/>
        </w:rPr>
        <w:t>B</w:t>
      </w:r>
      <w:r w:rsidRPr="006E7783">
        <w:rPr>
          <w:sz w:val="24"/>
        </w:rPr>
        <w:t xml:space="preserve">lack patients compared to </w:t>
      </w:r>
      <w:r>
        <w:rPr>
          <w:sz w:val="24"/>
        </w:rPr>
        <w:t>W</w:t>
      </w:r>
      <w:r w:rsidRPr="006E7783">
        <w:rPr>
          <w:sz w:val="24"/>
        </w:rPr>
        <w:t xml:space="preserve">hite patients </w:t>
      </w:r>
      <w:r>
        <w:rPr>
          <w:noProof/>
          <w:sz w:val="24"/>
        </w:rPr>
        <w:t>[9]</w:t>
      </w:r>
      <w:r w:rsidRPr="006E7783">
        <w:rPr>
          <w:sz w:val="24"/>
        </w:rPr>
        <w:t xml:space="preserve">. </w:t>
      </w:r>
      <w:r w:rsidRPr="00F11B2B">
        <w:rPr>
          <w:sz w:val="24"/>
        </w:rPr>
        <w:t xml:space="preserve">Finally, </w:t>
      </w:r>
      <w:r>
        <w:rPr>
          <w:sz w:val="24"/>
        </w:rPr>
        <w:t xml:space="preserve">in relation to </w:t>
      </w:r>
      <w:r w:rsidRPr="00F11B2B">
        <w:rPr>
          <w:sz w:val="24"/>
        </w:rPr>
        <w:t xml:space="preserve">hip fracture care, </w:t>
      </w:r>
      <w:r>
        <w:rPr>
          <w:sz w:val="24"/>
        </w:rPr>
        <w:t xml:space="preserve">Black patients in the US, have been </w:t>
      </w:r>
      <w:r>
        <w:rPr>
          <w:sz w:val="24"/>
        </w:rPr>
        <w:lastRenderedPageBreak/>
        <w:t xml:space="preserve">shown to be at greater risk of aspects such as </w:t>
      </w:r>
      <w:r w:rsidRPr="00F11B2B">
        <w:rPr>
          <w:sz w:val="24"/>
        </w:rPr>
        <w:t xml:space="preserve">delayed surgery and readmission after surgery </w:t>
      </w:r>
      <w:r>
        <w:rPr>
          <w:sz w:val="24"/>
        </w:rPr>
        <w:t>compared</w:t>
      </w:r>
      <w:r w:rsidRPr="00F11B2B">
        <w:rPr>
          <w:sz w:val="24"/>
        </w:rPr>
        <w:t xml:space="preserve"> to </w:t>
      </w:r>
      <w:r>
        <w:rPr>
          <w:sz w:val="24"/>
        </w:rPr>
        <w:t>W</w:t>
      </w:r>
      <w:r w:rsidRPr="00F11B2B">
        <w:rPr>
          <w:sz w:val="24"/>
        </w:rPr>
        <w:t xml:space="preserve">hite patients </w:t>
      </w:r>
      <w:r>
        <w:rPr>
          <w:noProof/>
          <w:sz w:val="24"/>
        </w:rPr>
        <w:t>[10]</w:t>
      </w:r>
      <w:r w:rsidRPr="00F11B2B">
        <w:rPr>
          <w:sz w:val="24"/>
        </w:rPr>
        <w:t>. Of note, evidence from this study also indicated differences in hip fracture care according to health insurance type. The multifaceted reasons for these ethnic disparities certainly require further investigation to be able to reduce the disparities in outcomes which exist.</w:t>
      </w:r>
      <w:r>
        <w:rPr>
          <w:sz w:val="24"/>
        </w:rPr>
        <w:t xml:space="preserve">  </w:t>
      </w:r>
    </w:p>
    <w:p w14:paraId="3488D656" w14:textId="77777777" w:rsidR="007E290E" w:rsidRPr="00A7374B" w:rsidRDefault="007E290E" w:rsidP="00491A0F">
      <w:pPr>
        <w:spacing w:line="240" w:lineRule="auto"/>
        <w:jc w:val="both"/>
        <w:rPr>
          <w:color w:val="5B9BD5" w:themeColor="accent1"/>
          <w:sz w:val="24"/>
        </w:rPr>
      </w:pPr>
    </w:p>
    <w:p w14:paraId="00937CBC" w14:textId="77777777" w:rsidR="007E290E" w:rsidRPr="00E47C73" w:rsidRDefault="007E290E" w:rsidP="00491A0F">
      <w:pPr>
        <w:spacing w:line="240" w:lineRule="auto"/>
        <w:jc w:val="both"/>
        <w:rPr>
          <w:b/>
          <w:sz w:val="24"/>
        </w:rPr>
      </w:pPr>
      <w:r w:rsidRPr="00E47C73">
        <w:rPr>
          <w:b/>
          <w:sz w:val="24"/>
        </w:rPr>
        <w:t>Rising Burden of Fracture in Low and Middle Income Countries</w:t>
      </w:r>
    </w:p>
    <w:p w14:paraId="3524E375" w14:textId="1B9C1BC3" w:rsidR="007E290E" w:rsidRDefault="007E290E" w:rsidP="00491A0F">
      <w:pPr>
        <w:spacing w:line="240" w:lineRule="auto"/>
        <w:jc w:val="both"/>
        <w:rPr>
          <w:sz w:val="24"/>
        </w:rPr>
      </w:pPr>
      <w:r>
        <w:rPr>
          <w:sz w:val="24"/>
        </w:rPr>
        <w:t xml:space="preserve">Globally, the rising ageing population and burden of non-communicable diseases </w:t>
      </w:r>
      <w:r w:rsidR="00BD0E50">
        <w:rPr>
          <w:sz w:val="24"/>
        </w:rPr>
        <w:t xml:space="preserve">including osteoporosis </w:t>
      </w:r>
      <w:r>
        <w:rPr>
          <w:sz w:val="24"/>
        </w:rPr>
        <w:t xml:space="preserve">associated with ageing is a concern, however, in LMICs this is in conjunction with the existing burden of communicable diseases, such as HIV. Older peoples’ health is also affected by other issues such as under- and over-nutrition, micronutrient deficiency and marked socioeconomic disparity </w:t>
      </w:r>
      <w:r>
        <w:rPr>
          <w:noProof/>
          <w:sz w:val="24"/>
        </w:rPr>
        <w:t>[4]</w:t>
      </w:r>
      <w:r>
        <w:rPr>
          <w:sz w:val="24"/>
        </w:rPr>
        <w:t>. In addition, various nutritional and epidemiological transitions are occurring in LMICs; urbanisation, the transition from rural to urban lifestyles, is also likely to be contributing to changing patterns of disease</w:t>
      </w:r>
      <w:r w:rsidR="00BD0E50">
        <w:rPr>
          <w:sz w:val="24"/>
        </w:rPr>
        <w:t xml:space="preserve"> and hip fracture incidence</w:t>
      </w:r>
      <w:r>
        <w:rPr>
          <w:sz w:val="24"/>
        </w:rPr>
        <w:t>, through mechanisms such as reduced physical activity, increased trauma rates and changes in diet patterns.</w:t>
      </w:r>
      <w:r w:rsidRPr="005E085F">
        <w:rPr>
          <w:sz w:val="24"/>
        </w:rPr>
        <w:t xml:space="preserve"> </w:t>
      </w:r>
      <w:r>
        <w:rPr>
          <w:sz w:val="24"/>
        </w:rPr>
        <w:t xml:space="preserve">In addition, in LMIC settings older people often play highly valued roles within their family as carers of younger generations, make economic contributions through continuing to work and, in turn, are often cared-for by younger family members when necessary, impacting education and work of younger generations </w:t>
      </w:r>
      <w:r>
        <w:rPr>
          <w:noProof/>
          <w:sz w:val="24"/>
        </w:rPr>
        <w:t>[11]</w:t>
      </w:r>
      <w:r>
        <w:rPr>
          <w:sz w:val="24"/>
        </w:rPr>
        <w:t xml:space="preserve">. Therefore, the effects of fractures extend from an individual, to their family and potentially also the economy. Prevention strategies are therefore also likely to have wider effects. It is particularly alarming that the </w:t>
      </w:r>
      <w:r w:rsidRPr="00DA7B09">
        <w:rPr>
          <w:sz w:val="24"/>
        </w:rPr>
        <w:t xml:space="preserve">number of individuals </w:t>
      </w:r>
      <w:r>
        <w:rPr>
          <w:sz w:val="24"/>
        </w:rPr>
        <w:t>at high risk of</w:t>
      </w:r>
      <w:r w:rsidRPr="00BE0467">
        <w:rPr>
          <w:sz w:val="24"/>
        </w:rPr>
        <w:t xml:space="preserve"> </w:t>
      </w:r>
      <w:r>
        <w:rPr>
          <w:sz w:val="24"/>
        </w:rPr>
        <w:t xml:space="preserve">a major </w:t>
      </w:r>
      <w:r w:rsidRPr="00BE0467">
        <w:rPr>
          <w:sz w:val="24"/>
        </w:rPr>
        <w:t xml:space="preserve">osteoporotic fracture </w:t>
      </w:r>
      <w:r>
        <w:rPr>
          <w:sz w:val="24"/>
        </w:rPr>
        <w:t>has been predicted</w:t>
      </w:r>
      <w:r w:rsidRPr="00BE0467">
        <w:rPr>
          <w:sz w:val="24"/>
        </w:rPr>
        <w:t xml:space="preserve"> to double </w:t>
      </w:r>
      <w:r>
        <w:rPr>
          <w:sz w:val="24"/>
        </w:rPr>
        <w:t xml:space="preserve">by 2040 </w:t>
      </w:r>
      <w:r w:rsidRPr="00AC374A">
        <w:rPr>
          <w:sz w:val="24"/>
        </w:rPr>
        <w:t xml:space="preserve">worldwide </w:t>
      </w:r>
      <w:r>
        <w:rPr>
          <w:noProof/>
          <w:sz w:val="24"/>
        </w:rPr>
        <w:t>[12]</w:t>
      </w:r>
      <w:r>
        <w:rPr>
          <w:sz w:val="24"/>
        </w:rPr>
        <w:t>. This figure highlights the urgent need to better understand the epidemiology of musculoskeletal disease (including osteoporosis and sarcopenia) as well as fracture incidence, particularly in the ageing populations of LMICs with the aim of implementing prevention strategies.</w:t>
      </w:r>
    </w:p>
    <w:p w14:paraId="6336CAF5" w14:textId="77777777" w:rsidR="0032721F" w:rsidRDefault="0032721F" w:rsidP="00491A0F">
      <w:pPr>
        <w:spacing w:line="240" w:lineRule="auto"/>
        <w:jc w:val="both"/>
        <w:rPr>
          <w:sz w:val="24"/>
          <w:szCs w:val="24"/>
        </w:rPr>
      </w:pPr>
    </w:p>
    <w:p w14:paraId="4814FAF9" w14:textId="77777777" w:rsidR="0032721F" w:rsidRPr="00CE67E5" w:rsidRDefault="0032721F" w:rsidP="00491A0F">
      <w:pPr>
        <w:spacing w:line="240" w:lineRule="auto"/>
        <w:jc w:val="both"/>
        <w:rPr>
          <w:b/>
          <w:sz w:val="24"/>
          <w:szCs w:val="24"/>
        </w:rPr>
      </w:pPr>
      <w:r w:rsidRPr="00CE67E5">
        <w:rPr>
          <w:b/>
          <w:sz w:val="24"/>
          <w:szCs w:val="24"/>
        </w:rPr>
        <w:t xml:space="preserve">Fracture incidence in Sub-Saharan Africa </w:t>
      </w:r>
    </w:p>
    <w:p w14:paraId="67ECFC12" w14:textId="3510FC80" w:rsidR="007E290E" w:rsidRDefault="007E290E" w:rsidP="00491A0F">
      <w:pPr>
        <w:spacing w:line="240" w:lineRule="auto"/>
        <w:jc w:val="both"/>
        <w:rPr>
          <w:sz w:val="24"/>
          <w:szCs w:val="24"/>
        </w:rPr>
      </w:pPr>
      <w:r w:rsidRPr="00641A7D">
        <w:rPr>
          <w:sz w:val="24"/>
          <w:szCs w:val="24"/>
        </w:rPr>
        <w:t xml:space="preserve">Taking Sub-Saharan </w:t>
      </w:r>
      <w:r>
        <w:rPr>
          <w:sz w:val="24"/>
          <w:szCs w:val="24"/>
        </w:rPr>
        <w:t>Africa (SSA) as an example of a</w:t>
      </w:r>
      <w:r w:rsidRPr="00641A7D">
        <w:rPr>
          <w:sz w:val="24"/>
          <w:szCs w:val="24"/>
        </w:rPr>
        <w:t xml:space="preserve"> LMIC region where fracture burden will rise dramatically over coming years, there are limited data</w:t>
      </w:r>
      <w:r w:rsidR="00564A25">
        <w:rPr>
          <w:sz w:val="24"/>
          <w:szCs w:val="24"/>
        </w:rPr>
        <w:t xml:space="preserve">.  </w:t>
      </w:r>
      <w:r>
        <w:rPr>
          <w:sz w:val="24"/>
          <w:szCs w:val="24"/>
        </w:rPr>
        <w:t xml:space="preserve">. </w:t>
      </w:r>
      <w:r w:rsidRPr="005E085F">
        <w:rPr>
          <w:sz w:val="24"/>
          <w:szCs w:val="24"/>
        </w:rPr>
        <w:t xml:space="preserve">Notably, ethnic differences in the </w:t>
      </w:r>
      <w:r w:rsidR="00926DEF">
        <w:rPr>
          <w:sz w:val="24"/>
          <w:szCs w:val="24"/>
        </w:rPr>
        <w:t xml:space="preserve">hip fracture </w:t>
      </w:r>
      <w:r w:rsidRPr="005E085F">
        <w:rPr>
          <w:sz w:val="24"/>
          <w:szCs w:val="24"/>
        </w:rPr>
        <w:t>incidence</w:t>
      </w:r>
      <w:r w:rsidR="00926DEF">
        <w:rPr>
          <w:sz w:val="24"/>
          <w:szCs w:val="24"/>
        </w:rPr>
        <w:t xml:space="preserve"> </w:t>
      </w:r>
      <w:r w:rsidRPr="005E085F">
        <w:rPr>
          <w:sz w:val="24"/>
          <w:szCs w:val="24"/>
        </w:rPr>
        <w:t xml:space="preserve">have been </w:t>
      </w:r>
      <w:r w:rsidR="00926DEF">
        <w:rPr>
          <w:sz w:val="24"/>
          <w:szCs w:val="24"/>
        </w:rPr>
        <w:t>reported</w:t>
      </w:r>
      <w:r w:rsidRPr="005E085F">
        <w:rPr>
          <w:sz w:val="24"/>
          <w:szCs w:val="24"/>
        </w:rPr>
        <w:t xml:space="preserve"> in </w:t>
      </w:r>
      <w:r>
        <w:rPr>
          <w:sz w:val="24"/>
          <w:szCs w:val="24"/>
        </w:rPr>
        <w:t xml:space="preserve">the first multi-centre, multi-ethnic study in South Africa </w:t>
      </w:r>
      <w:r w:rsidRPr="005E085F">
        <w:rPr>
          <w:sz w:val="24"/>
          <w:szCs w:val="24"/>
        </w:rPr>
        <w:t xml:space="preserve">across both </w:t>
      </w:r>
      <w:r w:rsidRPr="00FB0F0D">
        <w:rPr>
          <w:sz w:val="24"/>
          <w:szCs w:val="24"/>
        </w:rPr>
        <w:t>the public and private healthcare sectors</w:t>
      </w:r>
      <w:r>
        <w:rPr>
          <w:sz w:val="24"/>
          <w:szCs w:val="24"/>
        </w:rPr>
        <w:t xml:space="preserve">. </w:t>
      </w:r>
      <w:r w:rsidR="00926DEF">
        <w:rPr>
          <w:sz w:val="24"/>
          <w:szCs w:val="24"/>
        </w:rPr>
        <w:t>I</w:t>
      </w:r>
      <w:r w:rsidRPr="00FB0F0D">
        <w:rPr>
          <w:sz w:val="24"/>
          <w:szCs w:val="24"/>
        </w:rPr>
        <w:t>ncidence rates</w:t>
      </w:r>
      <w:r w:rsidR="00BD0E50">
        <w:rPr>
          <w:sz w:val="24"/>
          <w:szCs w:val="24"/>
        </w:rPr>
        <w:t>, in adults aged 40 and above,</w:t>
      </w:r>
      <w:r w:rsidRPr="00FB0F0D">
        <w:rPr>
          <w:sz w:val="24"/>
          <w:szCs w:val="24"/>
        </w:rPr>
        <w:t xml:space="preserve"> were </w:t>
      </w:r>
      <w:r w:rsidR="00926DEF" w:rsidRPr="00FB0F0D">
        <w:rPr>
          <w:sz w:val="24"/>
          <w:szCs w:val="24"/>
        </w:rPr>
        <w:t>highe</w:t>
      </w:r>
      <w:r w:rsidR="00926DEF">
        <w:rPr>
          <w:sz w:val="24"/>
          <w:szCs w:val="24"/>
        </w:rPr>
        <w:t>st</w:t>
      </w:r>
      <w:r w:rsidR="00926DEF" w:rsidRPr="00FB0F0D">
        <w:rPr>
          <w:sz w:val="24"/>
          <w:szCs w:val="24"/>
        </w:rPr>
        <w:t xml:space="preserve"> </w:t>
      </w:r>
      <w:r w:rsidRPr="00FB0F0D">
        <w:rPr>
          <w:sz w:val="24"/>
          <w:szCs w:val="24"/>
        </w:rPr>
        <w:t>in White and Indian</w:t>
      </w:r>
      <w:r w:rsidR="00926DEF">
        <w:rPr>
          <w:sz w:val="24"/>
          <w:szCs w:val="24"/>
        </w:rPr>
        <w:t xml:space="preserve"> men and women</w:t>
      </w:r>
      <w:r w:rsidRPr="00FB0F0D">
        <w:rPr>
          <w:sz w:val="24"/>
          <w:szCs w:val="24"/>
        </w:rPr>
        <w:t xml:space="preserve">, and </w:t>
      </w:r>
      <w:r w:rsidR="00926DEF" w:rsidRPr="00FB0F0D">
        <w:rPr>
          <w:sz w:val="24"/>
          <w:szCs w:val="24"/>
        </w:rPr>
        <w:t>lowe</w:t>
      </w:r>
      <w:r w:rsidR="00926DEF">
        <w:rPr>
          <w:sz w:val="24"/>
          <w:szCs w:val="24"/>
        </w:rPr>
        <w:t>st</w:t>
      </w:r>
      <w:r w:rsidR="00926DEF" w:rsidRPr="00FB0F0D">
        <w:rPr>
          <w:sz w:val="24"/>
          <w:szCs w:val="24"/>
        </w:rPr>
        <w:t xml:space="preserve"> </w:t>
      </w:r>
      <w:r w:rsidRPr="00FB0F0D">
        <w:rPr>
          <w:sz w:val="24"/>
          <w:szCs w:val="24"/>
        </w:rPr>
        <w:t>in Coloured and African</w:t>
      </w:r>
      <w:r w:rsidR="00926DEF">
        <w:rPr>
          <w:sz w:val="24"/>
          <w:szCs w:val="24"/>
        </w:rPr>
        <w:t xml:space="preserve"> groups. Importantly Africans had the second highest rate per capita. W</w:t>
      </w:r>
      <w:r>
        <w:rPr>
          <w:sz w:val="24"/>
          <w:szCs w:val="24"/>
        </w:rPr>
        <w:t>omen had higher rates than men except under 60-year-olds</w:t>
      </w:r>
      <w:r w:rsidRPr="00FB0F0D">
        <w:rPr>
          <w:sz w:val="24"/>
          <w:szCs w:val="24"/>
        </w:rPr>
        <w:t xml:space="preserve"> </w:t>
      </w:r>
      <w:r>
        <w:rPr>
          <w:noProof/>
          <w:sz w:val="24"/>
          <w:szCs w:val="24"/>
        </w:rPr>
        <w:t>[3]</w:t>
      </w:r>
      <w:r w:rsidRPr="005E085F">
        <w:rPr>
          <w:sz w:val="24"/>
          <w:szCs w:val="24"/>
        </w:rPr>
        <w:t xml:space="preserve">. </w:t>
      </w:r>
      <w:r w:rsidR="00926DEF">
        <w:rPr>
          <w:sz w:val="24"/>
          <w:szCs w:val="24"/>
        </w:rPr>
        <w:t>Further to this, in a sub-sample,</w:t>
      </w:r>
      <w:r>
        <w:rPr>
          <w:sz w:val="24"/>
          <w:szCs w:val="24"/>
        </w:rPr>
        <w:t xml:space="preserve"> 1 in 3 individuals die</w:t>
      </w:r>
      <w:r w:rsidR="00926DEF">
        <w:rPr>
          <w:sz w:val="24"/>
          <w:szCs w:val="24"/>
        </w:rPr>
        <w:t>d</w:t>
      </w:r>
      <w:r>
        <w:rPr>
          <w:sz w:val="24"/>
          <w:szCs w:val="24"/>
        </w:rPr>
        <w:t xml:space="preserve"> within a year of hip-fracture</w:t>
      </w:r>
      <w:r w:rsidR="00926DEF">
        <w:rPr>
          <w:sz w:val="24"/>
          <w:szCs w:val="24"/>
        </w:rPr>
        <w:t>, comparable to UK and US</w:t>
      </w:r>
      <w:r>
        <w:rPr>
          <w:sz w:val="24"/>
          <w:szCs w:val="24"/>
        </w:rPr>
        <w:t xml:space="preserve">, </w:t>
      </w:r>
      <w:r w:rsidR="00BD0E50">
        <w:rPr>
          <w:sz w:val="24"/>
          <w:szCs w:val="24"/>
        </w:rPr>
        <w:t xml:space="preserve">and </w:t>
      </w:r>
      <w:r w:rsidR="00926DEF">
        <w:rPr>
          <w:sz w:val="24"/>
          <w:szCs w:val="24"/>
        </w:rPr>
        <w:t xml:space="preserve">delays in </w:t>
      </w:r>
      <w:r>
        <w:rPr>
          <w:sz w:val="24"/>
          <w:szCs w:val="24"/>
        </w:rPr>
        <w:t>surgery</w:t>
      </w:r>
      <w:r w:rsidR="00926DEF">
        <w:rPr>
          <w:sz w:val="24"/>
          <w:szCs w:val="24"/>
        </w:rPr>
        <w:t xml:space="preserve"> predic</w:t>
      </w:r>
      <w:r w:rsidR="00BD0E50">
        <w:rPr>
          <w:sz w:val="24"/>
          <w:szCs w:val="24"/>
        </w:rPr>
        <w:t>ted</w:t>
      </w:r>
      <w:r w:rsidR="00926DEF">
        <w:rPr>
          <w:sz w:val="24"/>
          <w:szCs w:val="24"/>
        </w:rPr>
        <w:t xml:space="preserve"> mortality.  </w:t>
      </w:r>
      <w:r>
        <w:rPr>
          <w:sz w:val="24"/>
          <w:szCs w:val="24"/>
        </w:rPr>
        <w:t xml:space="preserve">African patients were more likely to die than Indian patients </w:t>
      </w:r>
      <w:r>
        <w:rPr>
          <w:noProof/>
          <w:sz w:val="24"/>
          <w:szCs w:val="24"/>
        </w:rPr>
        <w:t>[13]</w:t>
      </w:r>
      <w:r>
        <w:rPr>
          <w:sz w:val="24"/>
          <w:szCs w:val="24"/>
        </w:rPr>
        <w:t xml:space="preserve">.  </w:t>
      </w:r>
    </w:p>
    <w:p w14:paraId="098F21AC" w14:textId="77777777" w:rsidR="007E290E" w:rsidRPr="00641A7D" w:rsidRDefault="007E290E" w:rsidP="00491A0F">
      <w:pPr>
        <w:spacing w:line="240" w:lineRule="auto"/>
        <w:jc w:val="both"/>
        <w:rPr>
          <w:sz w:val="24"/>
          <w:szCs w:val="24"/>
        </w:rPr>
      </w:pPr>
      <w:r w:rsidRPr="00641A7D">
        <w:rPr>
          <w:sz w:val="24"/>
          <w:szCs w:val="24"/>
        </w:rPr>
        <w:t xml:space="preserve">The prevalence of vertebral fractures was assessed in an opportunistic sample in a small study from South Africa, showing similar frequencies in </w:t>
      </w:r>
      <w:r>
        <w:rPr>
          <w:sz w:val="24"/>
          <w:szCs w:val="24"/>
        </w:rPr>
        <w:t>B</w:t>
      </w:r>
      <w:r w:rsidRPr="00641A7D">
        <w:rPr>
          <w:sz w:val="24"/>
          <w:szCs w:val="24"/>
        </w:rPr>
        <w:t xml:space="preserve">lack (9%) and </w:t>
      </w:r>
      <w:r>
        <w:rPr>
          <w:sz w:val="24"/>
          <w:szCs w:val="24"/>
        </w:rPr>
        <w:t>W</w:t>
      </w:r>
      <w:r w:rsidRPr="00641A7D">
        <w:rPr>
          <w:sz w:val="24"/>
          <w:szCs w:val="24"/>
        </w:rPr>
        <w:t>hite (5%) women</w:t>
      </w:r>
      <w:r>
        <w:rPr>
          <w:sz w:val="24"/>
          <w:szCs w:val="24"/>
        </w:rPr>
        <w:t xml:space="preserve"> </w:t>
      </w:r>
      <w:r>
        <w:rPr>
          <w:noProof/>
          <w:sz w:val="24"/>
          <w:szCs w:val="24"/>
        </w:rPr>
        <w:t>[14]</w:t>
      </w:r>
      <w:r w:rsidRPr="00641A7D">
        <w:rPr>
          <w:sz w:val="24"/>
          <w:szCs w:val="24"/>
        </w:rPr>
        <w:t xml:space="preserve">. A similar vertebral fracture prevalence (9%) was observed in The Gambian Bone Ageing Study of 488 Gambians aged </w:t>
      </w:r>
      <w:r>
        <w:rPr>
          <w:sz w:val="24"/>
          <w:szCs w:val="24"/>
        </w:rPr>
        <w:t>40 years and over</w:t>
      </w:r>
      <w:r w:rsidRPr="00641A7D">
        <w:rPr>
          <w:sz w:val="24"/>
          <w:szCs w:val="24"/>
        </w:rPr>
        <w:t xml:space="preserve"> residing within 10 survey villages in rural Gambia; </w:t>
      </w:r>
      <w:r>
        <w:rPr>
          <w:sz w:val="24"/>
          <w:szCs w:val="24"/>
        </w:rPr>
        <w:t xml:space="preserve">in </w:t>
      </w:r>
      <w:r>
        <w:rPr>
          <w:sz w:val="24"/>
          <w:szCs w:val="24"/>
        </w:rPr>
        <w:lastRenderedPageBreak/>
        <w:t xml:space="preserve">addition, </w:t>
      </w:r>
      <w:r w:rsidRPr="00641A7D">
        <w:rPr>
          <w:sz w:val="24"/>
          <w:szCs w:val="24"/>
        </w:rPr>
        <w:t xml:space="preserve">3% </w:t>
      </w:r>
      <w:r>
        <w:rPr>
          <w:sz w:val="24"/>
          <w:szCs w:val="24"/>
        </w:rPr>
        <w:t xml:space="preserve">of </w:t>
      </w:r>
      <w:r w:rsidRPr="00641A7D">
        <w:rPr>
          <w:sz w:val="24"/>
          <w:szCs w:val="24"/>
        </w:rPr>
        <w:t>women</w:t>
      </w:r>
      <w:r>
        <w:rPr>
          <w:sz w:val="24"/>
          <w:szCs w:val="24"/>
        </w:rPr>
        <w:t xml:space="preserve"> and</w:t>
      </w:r>
      <w:r w:rsidRPr="00641A7D">
        <w:rPr>
          <w:sz w:val="24"/>
          <w:szCs w:val="24"/>
        </w:rPr>
        <w:t xml:space="preserve"> 0.4%</w:t>
      </w:r>
      <w:r>
        <w:rPr>
          <w:sz w:val="24"/>
          <w:szCs w:val="24"/>
        </w:rPr>
        <w:t xml:space="preserve"> of</w:t>
      </w:r>
      <w:r w:rsidRPr="00641A7D">
        <w:rPr>
          <w:sz w:val="24"/>
          <w:szCs w:val="24"/>
        </w:rPr>
        <w:t xml:space="preserve"> men self-reported</w:t>
      </w:r>
      <w:r>
        <w:rPr>
          <w:sz w:val="24"/>
          <w:szCs w:val="24"/>
        </w:rPr>
        <w:t xml:space="preserve"> </w:t>
      </w:r>
      <w:r w:rsidRPr="00641A7D">
        <w:rPr>
          <w:sz w:val="24"/>
          <w:szCs w:val="24"/>
        </w:rPr>
        <w:t>hip fracture</w:t>
      </w:r>
      <w:r>
        <w:rPr>
          <w:sz w:val="24"/>
          <w:szCs w:val="24"/>
        </w:rPr>
        <w:t xml:space="preserve"> or </w:t>
      </w:r>
      <w:r w:rsidRPr="00641A7D">
        <w:rPr>
          <w:sz w:val="24"/>
          <w:szCs w:val="24"/>
        </w:rPr>
        <w:t xml:space="preserve">fracture-like deformities </w:t>
      </w:r>
      <w:r>
        <w:rPr>
          <w:noProof/>
          <w:sz w:val="24"/>
          <w:szCs w:val="24"/>
        </w:rPr>
        <w:t>[15]</w:t>
      </w:r>
      <w:r>
        <w:rPr>
          <w:sz w:val="24"/>
          <w:szCs w:val="24"/>
        </w:rPr>
        <w:t>.</w:t>
      </w:r>
      <w:r w:rsidRPr="00641A7D">
        <w:rPr>
          <w:sz w:val="24"/>
          <w:szCs w:val="24"/>
        </w:rPr>
        <w:t xml:space="preserve">  </w:t>
      </w:r>
    </w:p>
    <w:p w14:paraId="530B82DF" w14:textId="77777777" w:rsidR="007E290E" w:rsidRPr="00FB0F0D" w:rsidRDefault="007E290E" w:rsidP="00491A0F">
      <w:pPr>
        <w:spacing w:line="240" w:lineRule="auto"/>
        <w:jc w:val="both"/>
        <w:rPr>
          <w:sz w:val="24"/>
          <w:szCs w:val="24"/>
        </w:rPr>
      </w:pPr>
      <w:r w:rsidRPr="00641A7D">
        <w:rPr>
          <w:sz w:val="24"/>
          <w:szCs w:val="24"/>
        </w:rPr>
        <w:t xml:space="preserve">Increasing evidence is </w:t>
      </w:r>
      <w:r>
        <w:rPr>
          <w:sz w:val="24"/>
          <w:szCs w:val="24"/>
        </w:rPr>
        <w:t xml:space="preserve">therefore beginning to dispel </w:t>
      </w:r>
      <w:r w:rsidRPr="00641A7D">
        <w:rPr>
          <w:sz w:val="24"/>
          <w:szCs w:val="24"/>
        </w:rPr>
        <w:t>the outdated myth that fragility fract</w:t>
      </w:r>
      <w:r>
        <w:rPr>
          <w:sz w:val="24"/>
          <w:szCs w:val="24"/>
        </w:rPr>
        <w:t xml:space="preserve">ures are not a problem in SSA. </w:t>
      </w:r>
      <w:r w:rsidRPr="00641A7D">
        <w:rPr>
          <w:sz w:val="24"/>
          <w:szCs w:val="24"/>
        </w:rPr>
        <w:t xml:space="preserve">There </w:t>
      </w:r>
      <w:r>
        <w:rPr>
          <w:sz w:val="24"/>
          <w:szCs w:val="24"/>
        </w:rPr>
        <w:t>remains</w:t>
      </w:r>
      <w:r w:rsidRPr="00641A7D">
        <w:rPr>
          <w:sz w:val="24"/>
          <w:szCs w:val="24"/>
        </w:rPr>
        <w:t xml:space="preserve"> limited evidence from across the regions, particularly in the most resource poor countries</w:t>
      </w:r>
      <w:r>
        <w:rPr>
          <w:sz w:val="24"/>
          <w:szCs w:val="24"/>
        </w:rPr>
        <w:t xml:space="preserve"> [4]</w:t>
      </w:r>
      <w:r w:rsidRPr="00641A7D">
        <w:rPr>
          <w:sz w:val="24"/>
          <w:szCs w:val="24"/>
        </w:rPr>
        <w:t>. It is clear that data are needed to better understand underlying phenotypic differences that drive differences in fracture, and not to assume that risk factors in high-inc</w:t>
      </w:r>
      <w:r>
        <w:rPr>
          <w:sz w:val="24"/>
          <w:szCs w:val="24"/>
        </w:rPr>
        <w:t xml:space="preserve">ome countries apply to LMIC’s. </w:t>
      </w:r>
      <w:r w:rsidRPr="00641A7D">
        <w:rPr>
          <w:sz w:val="24"/>
          <w:szCs w:val="24"/>
        </w:rPr>
        <w:t xml:space="preserve">This area </w:t>
      </w:r>
      <w:r>
        <w:rPr>
          <w:sz w:val="24"/>
          <w:szCs w:val="24"/>
        </w:rPr>
        <w:t xml:space="preserve">should </w:t>
      </w:r>
      <w:r w:rsidRPr="00641A7D">
        <w:rPr>
          <w:sz w:val="24"/>
          <w:szCs w:val="24"/>
        </w:rPr>
        <w:t xml:space="preserve">be the focus of research over coming years. </w:t>
      </w:r>
    </w:p>
    <w:p w14:paraId="7BA89879" w14:textId="77777777" w:rsidR="007E290E" w:rsidRDefault="007E290E" w:rsidP="00491A0F">
      <w:pPr>
        <w:spacing w:line="240" w:lineRule="auto"/>
        <w:jc w:val="both"/>
        <w:rPr>
          <w:sz w:val="24"/>
        </w:rPr>
      </w:pPr>
    </w:p>
    <w:p w14:paraId="0DEE56A4" w14:textId="77777777" w:rsidR="007E290E" w:rsidRDefault="007E290E" w:rsidP="00491A0F">
      <w:pPr>
        <w:spacing w:line="240" w:lineRule="auto"/>
        <w:jc w:val="both"/>
        <w:rPr>
          <w:b/>
          <w:sz w:val="24"/>
        </w:rPr>
      </w:pPr>
      <w:r>
        <w:rPr>
          <w:b/>
          <w:sz w:val="24"/>
        </w:rPr>
        <w:t xml:space="preserve">Bone densitometry </w:t>
      </w:r>
    </w:p>
    <w:p w14:paraId="0B7E8EA6" w14:textId="77777777" w:rsidR="007E290E" w:rsidRDefault="007E290E" w:rsidP="00491A0F">
      <w:pPr>
        <w:spacing w:line="240" w:lineRule="auto"/>
        <w:jc w:val="both"/>
        <w:rPr>
          <w:sz w:val="24"/>
        </w:rPr>
      </w:pPr>
      <w:r>
        <w:rPr>
          <w:sz w:val="24"/>
        </w:rPr>
        <w:t xml:space="preserve">Various skeletal imaging methods are available, and include advanced techniques capable of estimating various parameters, in addition to bone mineral density. Dual-energy X-ray absorptiometry (DXA) is a 2-dimensional, projection technique which estimates areal BMD (aBMD); the fact that depth is not taken into account can lead to underestimation of aBMD of smaller bones, and overestimation in larger bones, therefore in comparing populations or different groups of differing body size, this can lead to inaccuracies </w:t>
      </w:r>
      <w:r>
        <w:rPr>
          <w:noProof/>
          <w:sz w:val="24"/>
        </w:rPr>
        <w:t>[16, 17]</w:t>
      </w:r>
      <w:r>
        <w:rPr>
          <w:sz w:val="24"/>
        </w:rPr>
        <w:t xml:space="preserve">. Advantages of DXA are that it provides images of lateral spine for vertebral fracture assessment and detailed measures of body composition. In contrast, three dimensional imaging techniques include peripheral quantitative computed tomography (pQCT) and high resolution pQCT (HR-pQCT). Both methods are limited to peripheral skeletal sites, take physiological cross-sectional images, can provide separate measures of the cortical and trabecular compartments and measure volumetric bone mineral density (vBMD), which is size-independent, bone size, shape and strength. In addition, HR-pQCT is also able to quantify bone microarchitecture parameters in the trabecular and cortical compartments such as trabecular number, thickness and plate properties, and cortical porosity and cortical thickness.  Finite element analysis (FEA) of HR-pQCT images is also possible using manufacturer software and provides extra detail of bone strength of each of the bone compartments. Further analysis of HR-pQCT data also includes individual trabecular segmentation (ITS), which characterises the plates and rods in the trabecular compartment </w:t>
      </w:r>
      <w:r>
        <w:rPr>
          <w:noProof/>
          <w:sz w:val="24"/>
        </w:rPr>
        <w:t>[18]</w:t>
      </w:r>
      <w:r>
        <w:rPr>
          <w:sz w:val="24"/>
        </w:rPr>
        <w:t xml:space="preserve">. </w:t>
      </w:r>
    </w:p>
    <w:p w14:paraId="11332B35" w14:textId="77777777" w:rsidR="007E290E" w:rsidRDefault="007E290E" w:rsidP="00491A0F">
      <w:pPr>
        <w:spacing w:line="240" w:lineRule="auto"/>
        <w:jc w:val="both"/>
        <w:rPr>
          <w:sz w:val="24"/>
        </w:rPr>
      </w:pPr>
      <w:r>
        <w:rPr>
          <w:sz w:val="24"/>
        </w:rPr>
        <w:t xml:space="preserve">It is well established that there are limitations to the assessment of fracture risk by DXA BMD alone, and that a low BMD does not necessarily predict fracture risk </w:t>
      </w:r>
      <w:r>
        <w:rPr>
          <w:noProof/>
          <w:sz w:val="24"/>
        </w:rPr>
        <w:t>[19-21]</w:t>
      </w:r>
      <w:r>
        <w:rPr>
          <w:sz w:val="24"/>
        </w:rPr>
        <w:t xml:space="preserve">.  Enhancing phenotypic information to include more components of bone strength, such as bone shape, geometry and microarchitecture, may help to elucidate the reason for ethnic differences in fracture risk </w:t>
      </w:r>
      <w:r>
        <w:rPr>
          <w:noProof/>
          <w:sz w:val="24"/>
        </w:rPr>
        <w:t>[21]</w:t>
      </w:r>
      <w:r>
        <w:rPr>
          <w:sz w:val="24"/>
        </w:rPr>
        <w:t xml:space="preserve">. Therefore, although DXA is the clinical gold standard, and provides important insights into bone health, pQCT techniques may refine understanding of differences in the cortical and trabecular compartments including microarchitecture and response to loading, to better define differences in ethnic bone phenotype and therefore fracture risk. </w:t>
      </w:r>
    </w:p>
    <w:p w14:paraId="730D4CDE" w14:textId="77777777" w:rsidR="007E290E" w:rsidRDefault="007E290E" w:rsidP="00491A0F">
      <w:pPr>
        <w:spacing w:line="240" w:lineRule="auto"/>
        <w:ind w:firstLine="720"/>
        <w:jc w:val="both"/>
        <w:rPr>
          <w:i/>
          <w:sz w:val="24"/>
        </w:rPr>
      </w:pPr>
    </w:p>
    <w:p w14:paraId="604ADED3" w14:textId="77777777" w:rsidR="007E290E" w:rsidRPr="00641A7D" w:rsidRDefault="007E290E" w:rsidP="00491A0F">
      <w:pPr>
        <w:spacing w:line="240" w:lineRule="auto"/>
        <w:jc w:val="both"/>
        <w:rPr>
          <w:b/>
          <w:sz w:val="24"/>
        </w:rPr>
      </w:pPr>
      <w:r w:rsidRPr="00641A7D">
        <w:rPr>
          <w:b/>
          <w:sz w:val="24"/>
        </w:rPr>
        <w:t xml:space="preserve">Ethnic differences in bone microarchitecture </w:t>
      </w:r>
    </w:p>
    <w:p w14:paraId="3353405C" w14:textId="6B6EEBE4" w:rsidR="007E290E" w:rsidRDefault="007E290E" w:rsidP="00491A0F">
      <w:pPr>
        <w:spacing w:line="240" w:lineRule="auto"/>
        <w:jc w:val="both"/>
        <w:rPr>
          <w:sz w:val="24"/>
        </w:rPr>
      </w:pPr>
      <w:r>
        <w:rPr>
          <w:sz w:val="24"/>
        </w:rPr>
        <w:t xml:space="preserve">A number of recent studies have investigated differences in bone microarchitecture between ethnic groups, an overview of these is given in Table 1.  </w:t>
      </w:r>
      <w:r w:rsidR="00B811A3">
        <w:rPr>
          <w:sz w:val="24"/>
        </w:rPr>
        <w:t>With the exception of on</w:t>
      </w:r>
      <w:r w:rsidR="0081658D">
        <w:rPr>
          <w:sz w:val="24"/>
        </w:rPr>
        <w:t>e</w:t>
      </w:r>
      <w:r w:rsidR="00B811A3">
        <w:rPr>
          <w:sz w:val="24"/>
        </w:rPr>
        <w:t xml:space="preserve"> study from South Africa, all others are in high-income countries.  </w:t>
      </w:r>
      <w:r>
        <w:rPr>
          <w:sz w:val="24"/>
        </w:rPr>
        <w:t xml:space="preserve">There are no studies that currently </w:t>
      </w:r>
      <w:r w:rsidR="00BD0E50">
        <w:rPr>
          <w:sz w:val="24"/>
        </w:rPr>
        <w:lastRenderedPageBreak/>
        <w:t>directly determine the</w:t>
      </w:r>
      <w:r>
        <w:rPr>
          <w:sz w:val="24"/>
        </w:rPr>
        <w:t xml:space="preserve"> </w:t>
      </w:r>
      <w:r w:rsidR="00564A25">
        <w:rPr>
          <w:sz w:val="24"/>
        </w:rPr>
        <w:t>micro</w:t>
      </w:r>
      <w:r w:rsidR="00BD0E50">
        <w:rPr>
          <w:sz w:val="24"/>
        </w:rPr>
        <w:t xml:space="preserve">architectural </w:t>
      </w:r>
      <w:r>
        <w:rPr>
          <w:sz w:val="24"/>
        </w:rPr>
        <w:t xml:space="preserve">basis for ethnic differences in fracture prevalence or incidence. Though there are a growing number of studies providing evidence for aBMD and FRAX-risk independent associations between HR-pQCT outcomes and fracture, this remains to be explored in different ethnic groups </w:t>
      </w:r>
      <w:r>
        <w:rPr>
          <w:noProof/>
          <w:sz w:val="24"/>
        </w:rPr>
        <w:t>[22-25]</w:t>
      </w:r>
      <w:r>
        <w:rPr>
          <w:sz w:val="24"/>
        </w:rPr>
        <w:t xml:space="preserve">. </w:t>
      </w:r>
    </w:p>
    <w:p w14:paraId="1BD8DEFE" w14:textId="77777777" w:rsidR="003B11FC" w:rsidRDefault="003B11FC" w:rsidP="00491A0F">
      <w:pPr>
        <w:jc w:val="both"/>
        <w:rPr>
          <w:sz w:val="24"/>
          <w:szCs w:val="24"/>
        </w:rPr>
      </w:pPr>
    </w:p>
    <w:p w14:paraId="69EF7A62" w14:textId="77777777" w:rsidR="00926DEF" w:rsidRPr="00CE67E5" w:rsidRDefault="00926DEF" w:rsidP="00491A0F">
      <w:pPr>
        <w:jc w:val="both"/>
        <w:rPr>
          <w:i/>
          <w:sz w:val="24"/>
          <w:szCs w:val="24"/>
        </w:rPr>
      </w:pPr>
      <w:r>
        <w:rPr>
          <w:i/>
          <w:sz w:val="24"/>
          <w:szCs w:val="24"/>
        </w:rPr>
        <w:t>Women</w:t>
      </w:r>
    </w:p>
    <w:p w14:paraId="77E5D95C" w14:textId="1B6020FF" w:rsidR="00E10FCA" w:rsidRDefault="007E290E" w:rsidP="00CE67E5">
      <w:pPr>
        <w:jc w:val="both"/>
        <w:rPr>
          <w:sz w:val="24"/>
          <w:szCs w:val="24"/>
        </w:rPr>
      </w:pPr>
      <w:r>
        <w:rPr>
          <w:sz w:val="24"/>
          <w:szCs w:val="24"/>
        </w:rPr>
        <w:t xml:space="preserve">The most extensive HR-pQCT data are in comparisons of Chinese-American and Caucasian women. DXA-measured aBMD at the total hip, femoral neck and lumbar spine is </w:t>
      </w:r>
      <w:r w:rsidRPr="00FC0D7E">
        <w:rPr>
          <w:sz w:val="24"/>
          <w:szCs w:val="24"/>
        </w:rPr>
        <w:t>lower in Chinese-American</w:t>
      </w:r>
      <w:r>
        <w:rPr>
          <w:sz w:val="24"/>
          <w:szCs w:val="24"/>
        </w:rPr>
        <w:t xml:space="preserve">, compared to Caucasian, women across a range of age groups </w:t>
      </w:r>
      <w:r>
        <w:rPr>
          <w:noProof/>
          <w:sz w:val="24"/>
          <w:szCs w:val="24"/>
        </w:rPr>
        <w:t>[26]</w:t>
      </w:r>
      <w:r w:rsidRPr="00FC0D7E">
        <w:rPr>
          <w:sz w:val="24"/>
          <w:szCs w:val="24"/>
        </w:rPr>
        <w:t xml:space="preserve">. </w:t>
      </w:r>
      <w:r w:rsidR="00505489">
        <w:rPr>
          <w:sz w:val="24"/>
          <w:szCs w:val="24"/>
        </w:rPr>
        <w:t>However, t</w:t>
      </w:r>
      <w:r>
        <w:rPr>
          <w:sz w:val="24"/>
          <w:szCs w:val="24"/>
        </w:rPr>
        <w:t>hese differences in BMD do not necessarily translate to previous reports of fracture rates</w:t>
      </w:r>
      <w:r w:rsidR="00505489">
        <w:rPr>
          <w:sz w:val="24"/>
          <w:szCs w:val="24"/>
        </w:rPr>
        <w:t xml:space="preserve"> where Asians often have similar or lower risk of fracture</w:t>
      </w:r>
      <w:r>
        <w:rPr>
          <w:sz w:val="24"/>
          <w:szCs w:val="24"/>
        </w:rPr>
        <w:t xml:space="preserve"> </w:t>
      </w:r>
      <w:r>
        <w:rPr>
          <w:noProof/>
          <w:sz w:val="24"/>
          <w:szCs w:val="24"/>
        </w:rPr>
        <w:t>[27]</w:t>
      </w:r>
      <w:r w:rsidR="00E24745">
        <w:rPr>
          <w:noProof/>
          <w:sz w:val="24"/>
          <w:szCs w:val="24"/>
        </w:rPr>
        <w:t xml:space="preserve"> and</w:t>
      </w:r>
      <w:r w:rsidR="00E24745">
        <w:rPr>
          <w:sz w:val="24"/>
          <w:szCs w:val="24"/>
        </w:rPr>
        <w:t xml:space="preserve"> studies with</w:t>
      </w:r>
      <w:r w:rsidR="0019134F" w:rsidRPr="00CE67E5">
        <w:rPr>
          <w:sz w:val="24"/>
          <w:szCs w:val="24"/>
        </w:rPr>
        <w:t xml:space="preserve"> HRpQCT have </w:t>
      </w:r>
      <w:r w:rsidR="00E24745">
        <w:rPr>
          <w:sz w:val="24"/>
          <w:szCs w:val="24"/>
        </w:rPr>
        <w:t xml:space="preserve">begun to </w:t>
      </w:r>
      <w:r w:rsidR="0019134F" w:rsidRPr="00CE67E5">
        <w:rPr>
          <w:sz w:val="24"/>
          <w:szCs w:val="24"/>
        </w:rPr>
        <w:t>explain</w:t>
      </w:r>
      <w:r w:rsidR="00E24745">
        <w:rPr>
          <w:sz w:val="24"/>
          <w:szCs w:val="24"/>
        </w:rPr>
        <w:t xml:space="preserve"> </w:t>
      </w:r>
      <w:r w:rsidR="0019134F" w:rsidRPr="00CE67E5">
        <w:rPr>
          <w:sz w:val="24"/>
          <w:szCs w:val="24"/>
        </w:rPr>
        <w:t>this paradox</w:t>
      </w:r>
      <w:r w:rsidR="00E24745">
        <w:rPr>
          <w:sz w:val="24"/>
          <w:szCs w:val="24"/>
        </w:rPr>
        <w:t xml:space="preserve"> [28-32]</w:t>
      </w:r>
      <w:r w:rsidR="0019134F" w:rsidRPr="00CE67E5">
        <w:rPr>
          <w:sz w:val="24"/>
          <w:szCs w:val="24"/>
        </w:rPr>
        <w:t xml:space="preserve">.  In premenopausal women, </w:t>
      </w:r>
      <w:r w:rsidR="00E24745">
        <w:rPr>
          <w:sz w:val="24"/>
          <w:szCs w:val="24"/>
        </w:rPr>
        <w:t xml:space="preserve">both </w:t>
      </w:r>
      <w:r w:rsidR="0019134F" w:rsidRPr="00CE67E5">
        <w:rPr>
          <w:sz w:val="24"/>
          <w:szCs w:val="24"/>
        </w:rPr>
        <w:t>cortical and trabecular</w:t>
      </w:r>
      <w:r w:rsidR="00E24745">
        <w:rPr>
          <w:sz w:val="24"/>
          <w:szCs w:val="24"/>
        </w:rPr>
        <w:t>,</w:t>
      </w:r>
      <w:r w:rsidR="0019134F" w:rsidRPr="00CE67E5">
        <w:rPr>
          <w:sz w:val="24"/>
          <w:szCs w:val="24"/>
        </w:rPr>
        <w:t xml:space="preserve"> thickness and vBMD were higher, and bone size smaller in</w:t>
      </w:r>
      <w:r w:rsidRPr="00E24745">
        <w:rPr>
          <w:sz w:val="24"/>
          <w:szCs w:val="24"/>
        </w:rPr>
        <w:t xml:space="preserve"> Chinese-American women compared to White women </w:t>
      </w:r>
      <w:r w:rsidRPr="00E24745">
        <w:rPr>
          <w:noProof/>
          <w:sz w:val="24"/>
          <w:szCs w:val="24"/>
        </w:rPr>
        <w:t>[28]</w:t>
      </w:r>
      <w:r w:rsidRPr="00E24745">
        <w:rPr>
          <w:sz w:val="24"/>
          <w:szCs w:val="24"/>
        </w:rPr>
        <w:t xml:space="preserve">. </w:t>
      </w:r>
      <w:r w:rsidR="0019134F" w:rsidRPr="00CE67E5">
        <w:rPr>
          <w:sz w:val="24"/>
          <w:szCs w:val="24"/>
        </w:rPr>
        <w:t>Similar patterns were seen in post-menopausal women</w:t>
      </w:r>
      <w:r w:rsidR="00985D65" w:rsidRPr="00CE67E5">
        <w:rPr>
          <w:sz w:val="24"/>
          <w:szCs w:val="24"/>
        </w:rPr>
        <w:t xml:space="preserve"> </w:t>
      </w:r>
      <w:r w:rsidRPr="00E24745">
        <w:rPr>
          <w:noProof/>
          <w:sz w:val="24"/>
          <w:szCs w:val="24"/>
        </w:rPr>
        <w:t>[29]</w:t>
      </w:r>
      <w:r w:rsidRPr="00E24745">
        <w:rPr>
          <w:sz w:val="24"/>
          <w:szCs w:val="24"/>
        </w:rPr>
        <w:t>.</w:t>
      </w:r>
      <w:r>
        <w:rPr>
          <w:sz w:val="24"/>
          <w:szCs w:val="24"/>
        </w:rPr>
        <w:t xml:space="preserve"> </w:t>
      </w:r>
      <w:r w:rsidR="00985D65">
        <w:rPr>
          <w:sz w:val="24"/>
          <w:szCs w:val="24"/>
        </w:rPr>
        <w:t xml:space="preserve">Further image analysis using </w:t>
      </w:r>
      <w:r>
        <w:rPr>
          <w:sz w:val="24"/>
          <w:szCs w:val="24"/>
        </w:rPr>
        <w:t xml:space="preserve">ITS </w:t>
      </w:r>
      <w:r w:rsidR="00E24745">
        <w:rPr>
          <w:sz w:val="24"/>
          <w:szCs w:val="24"/>
        </w:rPr>
        <w:t>showed</w:t>
      </w:r>
      <w:r>
        <w:rPr>
          <w:sz w:val="24"/>
          <w:szCs w:val="24"/>
        </w:rPr>
        <w:t xml:space="preserve"> higher plate bone volume fraction</w:t>
      </w:r>
      <w:r w:rsidR="00985D65">
        <w:rPr>
          <w:sz w:val="24"/>
          <w:szCs w:val="24"/>
        </w:rPr>
        <w:t xml:space="preserve"> and number which conferred greater bone strength </w:t>
      </w:r>
      <w:r>
        <w:rPr>
          <w:sz w:val="24"/>
          <w:szCs w:val="24"/>
        </w:rPr>
        <w:t xml:space="preserve">in </w:t>
      </w:r>
      <w:r w:rsidR="00ED11A3">
        <w:rPr>
          <w:sz w:val="24"/>
          <w:szCs w:val="24"/>
        </w:rPr>
        <w:t xml:space="preserve">premenopausal </w:t>
      </w:r>
      <w:r>
        <w:rPr>
          <w:sz w:val="24"/>
          <w:szCs w:val="24"/>
        </w:rPr>
        <w:t>Chinese-American women</w:t>
      </w:r>
      <w:r w:rsidRPr="00FC0D7E">
        <w:rPr>
          <w:sz w:val="24"/>
          <w:szCs w:val="24"/>
        </w:rPr>
        <w:t xml:space="preserve"> </w:t>
      </w:r>
      <w:r>
        <w:rPr>
          <w:noProof/>
          <w:sz w:val="24"/>
          <w:szCs w:val="24"/>
        </w:rPr>
        <w:t>[18]</w:t>
      </w:r>
      <w:r>
        <w:rPr>
          <w:sz w:val="24"/>
          <w:szCs w:val="24"/>
        </w:rPr>
        <w:t xml:space="preserve">. </w:t>
      </w:r>
      <w:r w:rsidR="00ED11A3">
        <w:rPr>
          <w:sz w:val="24"/>
          <w:szCs w:val="24"/>
        </w:rPr>
        <w:t xml:space="preserve">Further analyses of this cohort aimed to determine whether </w:t>
      </w:r>
      <w:r w:rsidRPr="00FC0D7E">
        <w:rPr>
          <w:sz w:val="24"/>
          <w:szCs w:val="24"/>
        </w:rPr>
        <w:t>ethnic</w:t>
      </w:r>
      <w:r>
        <w:rPr>
          <w:sz w:val="24"/>
          <w:szCs w:val="24"/>
        </w:rPr>
        <w:t xml:space="preserve"> differences which exist in pre</w:t>
      </w:r>
      <w:r w:rsidRPr="00FC0D7E">
        <w:rPr>
          <w:sz w:val="24"/>
          <w:szCs w:val="24"/>
        </w:rPr>
        <w:t xml:space="preserve">menopausal women </w:t>
      </w:r>
      <w:r w:rsidR="00ED11A3">
        <w:rPr>
          <w:sz w:val="24"/>
          <w:szCs w:val="24"/>
        </w:rPr>
        <w:t xml:space="preserve">were </w:t>
      </w:r>
      <w:r w:rsidRPr="00FC0D7E">
        <w:rPr>
          <w:sz w:val="24"/>
          <w:szCs w:val="24"/>
        </w:rPr>
        <w:t xml:space="preserve">also </w:t>
      </w:r>
      <w:r w:rsidR="00ED11A3">
        <w:rPr>
          <w:sz w:val="24"/>
          <w:szCs w:val="24"/>
        </w:rPr>
        <w:t xml:space="preserve">present </w:t>
      </w:r>
      <w:r>
        <w:rPr>
          <w:sz w:val="24"/>
          <w:szCs w:val="24"/>
        </w:rPr>
        <w:t>in post</w:t>
      </w:r>
      <w:r w:rsidRPr="00FC0D7E">
        <w:rPr>
          <w:sz w:val="24"/>
          <w:szCs w:val="24"/>
        </w:rPr>
        <w:t>menopausal women</w:t>
      </w:r>
      <w:r>
        <w:rPr>
          <w:sz w:val="24"/>
          <w:szCs w:val="24"/>
        </w:rPr>
        <w:t xml:space="preserve">, and whether </w:t>
      </w:r>
      <w:r w:rsidR="00DD7931">
        <w:rPr>
          <w:sz w:val="24"/>
          <w:szCs w:val="24"/>
        </w:rPr>
        <w:t xml:space="preserve">post-menopausal differences reflected a different pattern of </w:t>
      </w:r>
      <w:r>
        <w:rPr>
          <w:sz w:val="24"/>
          <w:szCs w:val="24"/>
        </w:rPr>
        <w:t>bone loss differ between ethnic groups</w:t>
      </w:r>
      <w:r w:rsidRPr="00FC0D7E">
        <w:rPr>
          <w:sz w:val="24"/>
          <w:szCs w:val="24"/>
        </w:rPr>
        <w:t xml:space="preserve">. </w:t>
      </w:r>
      <w:r w:rsidR="00DD7931">
        <w:rPr>
          <w:sz w:val="24"/>
          <w:szCs w:val="24"/>
        </w:rPr>
        <w:t xml:space="preserve">Data confirmed advantages in both trabecular and cortical bone in pre-menopausal Chinese women; in post-menopausal women data suggest the cortical bone differences remain, </w:t>
      </w:r>
      <w:r w:rsidR="00E24745">
        <w:rPr>
          <w:sz w:val="24"/>
          <w:szCs w:val="24"/>
        </w:rPr>
        <w:t>with</w:t>
      </w:r>
      <w:r w:rsidR="00DD7931">
        <w:rPr>
          <w:sz w:val="24"/>
          <w:szCs w:val="24"/>
        </w:rPr>
        <w:t xml:space="preserve"> greater loss of trabecular bone</w:t>
      </w:r>
      <w:r w:rsidR="00E24745">
        <w:rPr>
          <w:sz w:val="24"/>
          <w:szCs w:val="24"/>
        </w:rPr>
        <w:t xml:space="preserve"> with no ethnic differences in trabecular outcomes</w:t>
      </w:r>
      <w:r w:rsidR="0081658D">
        <w:rPr>
          <w:sz w:val="24"/>
          <w:szCs w:val="24"/>
        </w:rPr>
        <w:t xml:space="preserve"> in the postmenopausal groups</w:t>
      </w:r>
      <w:r>
        <w:rPr>
          <w:sz w:val="24"/>
          <w:szCs w:val="24"/>
        </w:rPr>
        <w:t xml:space="preserve"> </w:t>
      </w:r>
      <w:r>
        <w:rPr>
          <w:noProof/>
          <w:sz w:val="24"/>
          <w:szCs w:val="24"/>
        </w:rPr>
        <w:t>[30]</w:t>
      </w:r>
      <w:r w:rsidRPr="00FC0D7E">
        <w:rPr>
          <w:sz w:val="24"/>
          <w:szCs w:val="24"/>
        </w:rPr>
        <w:t xml:space="preserve">. </w:t>
      </w:r>
      <w:r>
        <w:rPr>
          <w:sz w:val="24"/>
          <w:szCs w:val="24"/>
        </w:rPr>
        <w:t xml:space="preserve">Furthermore, in a comparison of pre- and postmenopausal Chinese and Caucasian women in Australia, many of the ethnic differences seen in premenopausal women, such as lower total cortex porosity and higher plate bone volume fraction at the distal radius and tibia in Chinese women, were not observed when the same comparison was made in postmenopausal women </w:t>
      </w:r>
      <w:r>
        <w:rPr>
          <w:noProof/>
          <w:sz w:val="24"/>
          <w:szCs w:val="24"/>
        </w:rPr>
        <w:t>[31]</w:t>
      </w:r>
      <w:r>
        <w:rPr>
          <w:sz w:val="24"/>
          <w:szCs w:val="24"/>
        </w:rPr>
        <w:t>. In addition,</w:t>
      </w:r>
      <w:r w:rsidRPr="00FC0D7E">
        <w:rPr>
          <w:sz w:val="24"/>
          <w:szCs w:val="24"/>
        </w:rPr>
        <w:t xml:space="preserve"> </w:t>
      </w:r>
      <w:r>
        <w:rPr>
          <w:sz w:val="24"/>
          <w:szCs w:val="24"/>
        </w:rPr>
        <w:t xml:space="preserve">differences in microarchitecture have been shown to exist in pre- and postmenopausal Chinese women in the US and Hong Kong compared to White women in the US, for example plate to rod ratio at the tibia </w:t>
      </w:r>
      <w:r w:rsidR="00DD7931">
        <w:rPr>
          <w:sz w:val="24"/>
          <w:szCs w:val="24"/>
        </w:rPr>
        <w:t xml:space="preserve">was </w:t>
      </w:r>
      <w:r>
        <w:rPr>
          <w:sz w:val="24"/>
          <w:szCs w:val="24"/>
        </w:rPr>
        <w:t xml:space="preserve">higher in Chinese women (US and Hong Kong), however, this was not the case at the radius in postmenopausal women </w:t>
      </w:r>
      <w:r>
        <w:rPr>
          <w:noProof/>
          <w:sz w:val="24"/>
          <w:szCs w:val="24"/>
        </w:rPr>
        <w:t>[32]</w:t>
      </w:r>
      <w:r w:rsidRPr="00FC0D7E">
        <w:rPr>
          <w:sz w:val="24"/>
          <w:szCs w:val="24"/>
        </w:rPr>
        <w:t>.</w:t>
      </w:r>
      <w:r w:rsidRPr="00FC0D7E">
        <w:rPr>
          <w:color w:val="5B9BD5" w:themeColor="accent1"/>
          <w:sz w:val="24"/>
          <w:szCs w:val="24"/>
        </w:rPr>
        <w:t xml:space="preserve"> </w:t>
      </w:r>
      <w:r w:rsidRPr="001C665E">
        <w:rPr>
          <w:sz w:val="24"/>
          <w:szCs w:val="24"/>
        </w:rPr>
        <w:t xml:space="preserve">This study helped to establish whether </w:t>
      </w:r>
      <w:r>
        <w:rPr>
          <w:sz w:val="24"/>
          <w:szCs w:val="24"/>
        </w:rPr>
        <w:t xml:space="preserve">ethnic differences continued to exist </w:t>
      </w:r>
      <w:r w:rsidR="00E24745">
        <w:rPr>
          <w:sz w:val="24"/>
          <w:szCs w:val="24"/>
        </w:rPr>
        <w:t xml:space="preserve">across </w:t>
      </w:r>
      <w:r>
        <w:rPr>
          <w:sz w:val="24"/>
          <w:szCs w:val="24"/>
        </w:rPr>
        <w:t>geographical location</w:t>
      </w:r>
      <w:r w:rsidR="00E24745">
        <w:rPr>
          <w:sz w:val="24"/>
          <w:szCs w:val="24"/>
        </w:rPr>
        <w:t>s</w:t>
      </w:r>
      <w:r>
        <w:rPr>
          <w:sz w:val="24"/>
          <w:szCs w:val="24"/>
        </w:rPr>
        <w:t xml:space="preserve">. </w:t>
      </w:r>
    </w:p>
    <w:p w14:paraId="47D0A85D" w14:textId="56391BAA" w:rsidR="007E290E" w:rsidRPr="00C03D9B" w:rsidRDefault="00DD7931" w:rsidP="00491A0F">
      <w:pPr>
        <w:spacing w:line="240" w:lineRule="auto"/>
        <w:jc w:val="both"/>
        <w:rPr>
          <w:sz w:val="24"/>
          <w:szCs w:val="24"/>
        </w:rPr>
      </w:pPr>
      <w:r>
        <w:rPr>
          <w:sz w:val="24"/>
          <w:szCs w:val="24"/>
        </w:rPr>
        <w:t>C</w:t>
      </w:r>
      <w:r w:rsidR="007E290E">
        <w:rPr>
          <w:sz w:val="24"/>
          <w:szCs w:val="24"/>
        </w:rPr>
        <w:t xml:space="preserve">entral QCT was used to determine </w:t>
      </w:r>
      <w:r w:rsidR="007E290E" w:rsidRPr="007158EA">
        <w:rPr>
          <w:sz w:val="24"/>
          <w:szCs w:val="24"/>
        </w:rPr>
        <w:t xml:space="preserve">differences </w:t>
      </w:r>
      <w:r w:rsidR="007E290E">
        <w:rPr>
          <w:sz w:val="24"/>
          <w:szCs w:val="24"/>
        </w:rPr>
        <w:t xml:space="preserve">in </w:t>
      </w:r>
      <w:r w:rsidR="007E290E" w:rsidRPr="00FC0D7E">
        <w:rPr>
          <w:sz w:val="24"/>
          <w:szCs w:val="24"/>
        </w:rPr>
        <w:t>femoral neck</w:t>
      </w:r>
      <w:r w:rsidR="007E290E">
        <w:rPr>
          <w:sz w:val="24"/>
          <w:szCs w:val="24"/>
        </w:rPr>
        <w:t xml:space="preserve"> geometry</w:t>
      </w:r>
      <w:r w:rsidR="007E290E" w:rsidRPr="00FC0D7E">
        <w:rPr>
          <w:sz w:val="24"/>
          <w:szCs w:val="24"/>
        </w:rPr>
        <w:t xml:space="preserve"> between postmenopausal Chinese women living in Beijing and Caucasian women living in Perth </w:t>
      </w:r>
      <w:r w:rsidR="007E290E">
        <w:rPr>
          <w:noProof/>
          <w:sz w:val="24"/>
          <w:szCs w:val="24"/>
        </w:rPr>
        <w:t>[33]</w:t>
      </w:r>
      <w:r w:rsidR="007E290E" w:rsidRPr="00FC0D7E">
        <w:rPr>
          <w:sz w:val="24"/>
          <w:szCs w:val="24"/>
        </w:rPr>
        <w:t xml:space="preserve">. </w:t>
      </w:r>
      <w:r w:rsidR="007E290E">
        <w:rPr>
          <w:sz w:val="24"/>
          <w:szCs w:val="24"/>
        </w:rPr>
        <w:t xml:space="preserve">As previously reported, differences in bone mineral content were largely due to differences in body size, however, there was higher resistance to failure in Beijing –Chinese women due to wider </w:t>
      </w:r>
      <w:r>
        <w:rPr>
          <w:sz w:val="24"/>
          <w:szCs w:val="24"/>
        </w:rPr>
        <w:t>femoral necks</w:t>
      </w:r>
      <w:r w:rsidR="007E290E">
        <w:rPr>
          <w:sz w:val="24"/>
          <w:szCs w:val="24"/>
        </w:rPr>
        <w:t>.</w:t>
      </w:r>
      <w:r>
        <w:rPr>
          <w:sz w:val="24"/>
          <w:szCs w:val="24"/>
        </w:rPr>
        <w:t xml:space="preserve"> </w:t>
      </w:r>
    </w:p>
    <w:p w14:paraId="2AD7E110" w14:textId="4A09E8E7" w:rsidR="007E290E" w:rsidRPr="00472B38" w:rsidRDefault="00E24745" w:rsidP="00491A0F">
      <w:pPr>
        <w:spacing w:line="240" w:lineRule="auto"/>
        <w:jc w:val="both"/>
        <w:rPr>
          <w:color w:val="5B9BD5" w:themeColor="accent1"/>
          <w:sz w:val="24"/>
        </w:rPr>
      </w:pPr>
      <w:r>
        <w:rPr>
          <w:sz w:val="24"/>
        </w:rPr>
        <w:t>In African-American compared to Caucasian women, d</w:t>
      </w:r>
      <w:r w:rsidR="007E290E">
        <w:rPr>
          <w:sz w:val="24"/>
        </w:rPr>
        <w:t xml:space="preserve">ifferences in bone microarchitecture, such as greater cortical thickness and area at the radius, have been shown </w:t>
      </w:r>
      <w:r w:rsidR="007E290E">
        <w:rPr>
          <w:noProof/>
          <w:sz w:val="24"/>
        </w:rPr>
        <w:t>[34]</w:t>
      </w:r>
      <w:r w:rsidR="007E290E">
        <w:rPr>
          <w:sz w:val="24"/>
        </w:rPr>
        <w:t xml:space="preserve">. In the same study, bone stiffness and failure load, from </w:t>
      </w:r>
      <w:r>
        <w:rPr>
          <w:sz w:val="24"/>
        </w:rPr>
        <w:t xml:space="preserve">FEA, </w:t>
      </w:r>
      <w:r w:rsidR="007E290E">
        <w:rPr>
          <w:sz w:val="24"/>
        </w:rPr>
        <w:t xml:space="preserve">were also higher in African-American women </w:t>
      </w:r>
      <w:r w:rsidR="007E290E">
        <w:rPr>
          <w:noProof/>
          <w:sz w:val="24"/>
        </w:rPr>
        <w:t>[34]</w:t>
      </w:r>
      <w:r w:rsidR="007E290E">
        <w:rPr>
          <w:sz w:val="24"/>
        </w:rPr>
        <w:t xml:space="preserve">. </w:t>
      </w:r>
      <w:r w:rsidR="007E290E" w:rsidRPr="009B5AEA">
        <w:rPr>
          <w:sz w:val="24"/>
        </w:rPr>
        <w:t xml:space="preserve">Using ITS analysis, additional differences in trabecular microarchitecture have also been </w:t>
      </w:r>
      <w:r w:rsidR="0081658D">
        <w:rPr>
          <w:sz w:val="24"/>
        </w:rPr>
        <w:lastRenderedPageBreak/>
        <w:t>described</w:t>
      </w:r>
      <w:r w:rsidR="007E290E" w:rsidRPr="009B5AEA">
        <w:rPr>
          <w:sz w:val="24"/>
        </w:rPr>
        <w:t xml:space="preserve">; for example, </w:t>
      </w:r>
      <w:r w:rsidR="007E290E">
        <w:rPr>
          <w:sz w:val="24"/>
        </w:rPr>
        <w:t xml:space="preserve">plate bone volume fraction remained higher in African-American women, with this parameter also being a predictor of failure load at both sites </w:t>
      </w:r>
      <w:r w:rsidR="007E290E">
        <w:rPr>
          <w:noProof/>
          <w:sz w:val="24"/>
        </w:rPr>
        <w:t>[35]</w:t>
      </w:r>
      <w:r w:rsidR="007E290E" w:rsidRPr="009B5AEA">
        <w:rPr>
          <w:sz w:val="24"/>
        </w:rPr>
        <w:t>.</w:t>
      </w:r>
      <w:r w:rsidR="007E290E">
        <w:rPr>
          <w:sz w:val="24"/>
        </w:rPr>
        <w:t xml:space="preserve"> </w:t>
      </w:r>
    </w:p>
    <w:p w14:paraId="121478FB" w14:textId="77777777" w:rsidR="00926DEF" w:rsidRPr="00CE67E5" w:rsidRDefault="00926DEF" w:rsidP="00491A0F">
      <w:pPr>
        <w:spacing w:line="240" w:lineRule="auto"/>
        <w:jc w:val="both"/>
        <w:rPr>
          <w:i/>
          <w:sz w:val="24"/>
        </w:rPr>
      </w:pPr>
      <w:r>
        <w:rPr>
          <w:i/>
          <w:sz w:val="24"/>
        </w:rPr>
        <w:t>Men</w:t>
      </w:r>
    </w:p>
    <w:p w14:paraId="4DEFC252" w14:textId="42175C73" w:rsidR="00852EC1" w:rsidRDefault="00807905" w:rsidP="00491A0F">
      <w:pPr>
        <w:spacing w:line="240" w:lineRule="auto"/>
        <w:jc w:val="both"/>
        <w:rPr>
          <w:sz w:val="24"/>
        </w:rPr>
      </w:pPr>
      <w:r>
        <w:rPr>
          <w:sz w:val="24"/>
        </w:rPr>
        <w:t>R</w:t>
      </w:r>
      <w:r w:rsidR="007E290E" w:rsidRPr="00D063F6">
        <w:rPr>
          <w:sz w:val="24"/>
        </w:rPr>
        <w:t>ecent studies have used pQCT to assess ethnic and geographic differences in bone</w:t>
      </w:r>
      <w:r>
        <w:rPr>
          <w:sz w:val="24"/>
        </w:rPr>
        <w:t xml:space="preserve"> phenotype</w:t>
      </w:r>
      <w:r w:rsidR="007E290E" w:rsidRPr="00D063F6">
        <w:rPr>
          <w:sz w:val="24"/>
        </w:rPr>
        <w:t xml:space="preserve">. </w:t>
      </w:r>
      <w:r w:rsidR="007E290E" w:rsidRPr="00931AC4">
        <w:rPr>
          <w:sz w:val="24"/>
        </w:rPr>
        <w:t xml:space="preserve">In </w:t>
      </w:r>
      <w:r w:rsidR="00985D7D">
        <w:rPr>
          <w:sz w:val="24"/>
        </w:rPr>
        <w:t>men aged 40 and above from the UK</w:t>
      </w:r>
      <w:r w:rsidR="007E290E" w:rsidRPr="00931AC4">
        <w:rPr>
          <w:sz w:val="24"/>
        </w:rPr>
        <w:t xml:space="preserve">,  Black men had the highest </w:t>
      </w:r>
      <w:r w:rsidR="00985D7D">
        <w:rPr>
          <w:sz w:val="24"/>
        </w:rPr>
        <w:t xml:space="preserve">DXA measured </w:t>
      </w:r>
      <w:r w:rsidR="007E290E">
        <w:rPr>
          <w:sz w:val="24"/>
        </w:rPr>
        <w:t>a</w:t>
      </w:r>
      <w:r w:rsidR="007E290E" w:rsidRPr="00931AC4">
        <w:rPr>
          <w:sz w:val="24"/>
        </w:rPr>
        <w:t>BMD</w:t>
      </w:r>
      <w:r w:rsidR="00985D7D">
        <w:rPr>
          <w:sz w:val="24"/>
        </w:rPr>
        <w:t xml:space="preserve"> with far fewer</w:t>
      </w:r>
      <w:r w:rsidR="007E290E">
        <w:rPr>
          <w:sz w:val="24"/>
        </w:rPr>
        <w:t xml:space="preserve"> differences in aBMD</w:t>
      </w:r>
      <w:r w:rsidR="007E290E" w:rsidRPr="00931AC4">
        <w:rPr>
          <w:sz w:val="24"/>
        </w:rPr>
        <w:t xml:space="preserve"> between White and South Asian men</w:t>
      </w:r>
      <w:r w:rsidR="00985D7D">
        <w:rPr>
          <w:sz w:val="24"/>
        </w:rPr>
        <w:t xml:space="preserve">, </w:t>
      </w:r>
      <w:r w:rsidR="00E24745">
        <w:rPr>
          <w:sz w:val="24"/>
        </w:rPr>
        <w:t xml:space="preserve">despite </w:t>
      </w:r>
      <w:r w:rsidR="00985D7D">
        <w:rPr>
          <w:sz w:val="24"/>
        </w:rPr>
        <w:t xml:space="preserve">White men have higher fracture risk than South Asian </w:t>
      </w:r>
      <w:r w:rsidR="00852EC1">
        <w:rPr>
          <w:sz w:val="24"/>
        </w:rPr>
        <w:t>[6]</w:t>
      </w:r>
      <w:r w:rsidR="00985D7D">
        <w:rPr>
          <w:sz w:val="24"/>
        </w:rPr>
        <w:t xml:space="preserve">.  </w:t>
      </w:r>
      <w:r w:rsidR="00852EC1">
        <w:rPr>
          <w:sz w:val="24"/>
        </w:rPr>
        <w:t>Similarly, using pQCT, Black men had larger bones, thicker cortices and greater vBMD.  Cortical vBMD was lowest in White men, though South Asians had smaller bones and lower distal vBMD than the other groups</w:t>
      </w:r>
      <w:r w:rsidR="00985D7D">
        <w:rPr>
          <w:sz w:val="24"/>
        </w:rPr>
        <w:t xml:space="preserve"> </w:t>
      </w:r>
      <w:r w:rsidR="007E290E">
        <w:rPr>
          <w:noProof/>
          <w:sz w:val="24"/>
        </w:rPr>
        <w:t>[36]</w:t>
      </w:r>
      <w:r w:rsidR="007E290E" w:rsidRPr="00931AC4">
        <w:rPr>
          <w:sz w:val="24"/>
        </w:rPr>
        <w:t>.</w:t>
      </w:r>
      <w:r w:rsidR="00852EC1">
        <w:rPr>
          <w:sz w:val="24"/>
        </w:rPr>
        <w:t xml:space="preserve">  </w:t>
      </w:r>
    </w:p>
    <w:p w14:paraId="494B2056" w14:textId="1299C2E5" w:rsidR="00926DEF" w:rsidRDefault="00852EC1" w:rsidP="00491A0F">
      <w:pPr>
        <w:spacing w:line="240" w:lineRule="auto"/>
        <w:jc w:val="both"/>
        <w:rPr>
          <w:sz w:val="24"/>
        </w:rPr>
      </w:pPr>
      <w:r>
        <w:rPr>
          <w:sz w:val="24"/>
        </w:rPr>
        <w:t>I</w:t>
      </w:r>
      <w:r w:rsidR="007E290E" w:rsidRPr="004661BD">
        <w:rPr>
          <w:sz w:val="24"/>
        </w:rPr>
        <w:t xml:space="preserve">n </w:t>
      </w:r>
      <w:r w:rsidR="0018119E">
        <w:rPr>
          <w:sz w:val="24"/>
        </w:rPr>
        <w:t xml:space="preserve">a cross-cohort comparison between rural South Indian, US Caucasian </w:t>
      </w:r>
      <w:r w:rsidR="0081658D">
        <w:rPr>
          <w:sz w:val="24"/>
        </w:rPr>
        <w:t xml:space="preserve">(MrOS) </w:t>
      </w:r>
      <w:r w:rsidR="0018119E">
        <w:rPr>
          <w:sz w:val="24"/>
        </w:rPr>
        <w:t xml:space="preserve">and </w:t>
      </w:r>
      <w:r w:rsidR="0081658D">
        <w:rPr>
          <w:sz w:val="24"/>
        </w:rPr>
        <w:t>Afro Caribbean (Tobago Cohort) men</w:t>
      </w:r>
      <w:r w:rsidR="0018119E">
        <w:rPr>
          <w:sz w:val="24"/>
        </w:rPr>
        <w:t xml:space="preserve"> aged 60 and above, similar patterns were observed. Compared to US-Caucasians, rural Indian men had lower bone strength, trabecular vBMD and cortical thickness, whereas Afro-</w:t>
      </w:r>
      <w:r w:rsidR="006C0915">
        <w:rPr>
          <w:sz w:val="24"/>
        </w:rPr>
        <w:t>Caribbean’s</w:t>
      </w:r>
      <w:r w:rsidR="0018119E">
        <w:rPr>
          <w:sz w:val="24"/>
        </w:rPr>
        <w:t xml:space="preserve"> had </w:t>
      </w:r>
      <w:r w:rsidR="006C0915">
        <w:rPr>
          <w:sz w:val="24"/>
        </w:rPr>
        <w:t>similar trabecular vBMD, higher cortical vBMD and greater strength.</w:t>
      </w:r>
      <w:r w:rsidR="007E290E" w:rsidRPr="004661BD">
        <w:rPr>
          <w:sz w:val="24"/>
        </w:rPr>
        <w:t xml:space="preserve"> </w:t>
      </w:r>
      <w:r w:rsidR="007E290E">
        <w:rPr>
          <w:noProof/>
          <w:sz w:val="24"/>
        </w:rPr>
        <w:t>[37]</w:t>
      </w:r>
      <w:r w:rsidR="00E24745">
        <w:rPr>
          <w:sz w:val="24"/>
        </w:rPr>
        <w:t>;</w:t>
      </w:r>
      <w:r w:rsidR="007E290E">
        <w:rPr>
          <w:sz w:val="24"/>
        </w:rPr>
        <w:t xml:space="preserve"> similar to the reported UK differences</w:t>
      </w:r>
      <w:r w:rsidR="00E24745">
        <w:rPr>
          <w:sz w:val="24"/>
        </w:rPr>
        <w:t xml:space="preserve"> [36]</w:t>
      </w:r>
      <w:r w:rsidR="007E290E" w:rsidRPr="004661BD">
        <w:rPr>
          <w:sz w:val="24"/>
        </w:rPr>
        <w:t xml:space="preserve">. </w:t>
      </w:r>
      <w:r>
        <w:rPr>
          <w:sz w:val="24"/>
        </w:rPr>
        <w:t>More studies are required to understand how bone geometry translate to fracture risk in men.</w:t>
      </w:r>
      <w:r w:rsidRPr="00931AC4">
        <w:rPr>
          <w:sz w:val="24"/>
        </w:rPr>
        <w:t xml:space="preserve"> </w:t>
      </w:r>
      <w:r>
        <w:rPr>
          <w:sz w:val="24"/>
        </w:rPr>
        <w:t xml:space="preserve"> </w:t>
      </w:r>
    </w:p>
    <w:p w14:paraId="4A4396C3" w14:textId="77777777" w:rsidR="006C0915" w:rsidRDefault="006C0915" w:rsidP="00491A0F">
      <w:pPr>
        <w:spacing w:line="240" w:lineRule="auto"/>
        <w:jc w:val="both"/>
        <w:rPr>
          <w:i/>
          <w:sz w:val="24"/>
        </w:rPr>
      </w:pPr>
    </w:p>
    <w:p w14:paraId="62245CDB" w14:textId="77777777" w:rsidR="00926DEF" w:rsidRPr="00CE67E5" w:rsidRDefault="00926DEF" w:rsidP="00491A0F">
      <w:pPr>
        <w:spacing w:line="240" w:lineRule="auto"/>
        <w:jc w:val="both"/>
        <w:rPr>
          <w:i/>
          <w:sz w:val="24"/>
        </w:rPr>
      </w:pPr>
      <w:r>
        <w:rPr>
          <w:i/>
          <w:sz w:val="24"/>
        </w:rPr>
        <w:t>Adolescents</w:t>
      </w:r>
      <w:r w:rsidR="00EC654B">
        <w:rPr>
          <w:i/>
          <w:sz w:val="24"/>
        </w:rPr>
        <w:t xml:space="preserve"> and young</w:t>
      </w:r>
      <w:r>
        <w:rPr>
          <w:i/>
          <w:sz w:val="24"/>
        </w:rPr>
        <w:t xml:space="preserve"> adults</w:t>
      </w:r>
    </w:p>
    <w:p w14:paraId="280B20B1" w14:textId="524A9D5A" w:rsidR="007E290E" w:rsidRPr="00FE369B" w:rsidRDefault="007E290E" w:rsidP="00491A0F">
      <w:pPr>
        <w:spacing w:line="240" w:lineRule="auto"/>
        <w:jc w:val="both"/>
        <w:rPr>
          <w:sz w:val="24"/>
        </w:rPr>
      </w:pPr>
      <w:r w:rsidRPr="00FE369B">
        <w:rPr>
          <w:sz w:val="24"/>
        </w:rPr>
        <w:t xml:space="preserve">Finally, studies in young adults provide an important insight into when in the life course ethnic differences in bone microarchitecture may be established. Such insights are likely to increase our understanding of the determinants </w:t>
      </w:r>
      <w:r>
        <w:rPr>
          <w:sz w:val="24"/>
        </w:rPr>
        <w:t>of</w:t>
      </w:r>
      <w:r w:rsidRPr="00FE369B">
        <w:rPr>
          <w:sz w:val="24"/>
        </w:rPr>
        <w:t xml:space="preserve"> fracture risk later in life. Several studies published in </w:t>
      </w:r>
      <w:r w:rsidR="00E24745">
        <w:rPr>
          <w:sz w:val="24"/>
        </w:rPr>
        <w:t xml:space="preserve">recent </w:t>
      </w:r>
      <w:r w:rsidRPr="00FE369B">
        <w:rPr>
          <w:sz w:val="24"/>
        </w:rPr>
        <w:t xml:space="preserve">years have used either pQCT, HR-pQCT or both, in younger adults around the time of, or before, the attainment of peak bone mass. </w:t>
      </w:r>
    </w:p>
    <w:p w14:paraId="4DF1E5B1" w14:textId="4493C84E" w:rsidR="007E290E" w:rsidRPr="00472B38" w:rsidRDefault="007E290E" w:rsidP="00491A0F">
      <w:pPr>
        <w:spacing w:line="240" w:lineRule="auto"/>
        <w:jc w:val="both"/>
        <w:rPr>
          <w:color w:val="5B9BD5" w:themeColor="accent1"/>
          <w:sz w:val="24"/>
        </w:rPr>
      </w:pPr>
      <w:r w:rsidRPr="00B1726B">
        <w:rPr>
          <w:sz w:val="24"/>
        </w:rPr>
        <w:t>It has been shown that by young adulthood (in a study population wit</w:t>
      </w:r>
      <w:r>
        <w:rPr>
          <w:sz w:val="24"/>
        </w:rPr>
        <w:t xml:space="preserve">h a mean age of 24.4 years), various </w:t>
      </w:r>
      <w:r w:rsidRPr="00B1726B">
        <w:rPr>
          <w:sz w:val="24"/>
        </w:rPr>
        <w:t xml:space="preserve">differences in bone microarchitecture </w:t>
      </w:r>
      <w:r>
        <w:rPr>
          <w:sz w:val="24"/>
        </w:rPr>
        <w:t xml:space="preserve">exist </w:t>
      </w:r>
      <w:r w:rsidRPr="00B1726B">
        <w:rPr>
          <w:sz w:val="24"/>
        </w:rPr>
        <w:t xml:space="preserve">between Black African-American and White Caucasian men and women, </w:t>
      </w:r>
      <w:r w:rsidR="00942B72">
        <w:rPr>
          <w:sz w:val="24"/>
        </w:rPr>
        <w:t>interestingly race and ethnic differences didn’t differ by sex</w:t>
      </w:r>
      <w:r w:rsidRPr="00B1726B">
        <w:rPr>
          <w:sz w:val="24"/>
        </w:rPr>
        <w:t xml:space="preserve"> </w:t>
      </w:r>
      <w:r>
        <w:rPr>
          <w:noProof/>
          <w:sz w:val="24"/>
        </w:rPr>
        <w:t>[38]</w:t>
      </w:r>
      <w:r w:rsidRPr="00E73ACC">
        <w:rPr>
          <w:sz w:val="24"/>
        </w:rPr>
        <w:t xml:space="preserve">. </w:t>
      </w:r>
      <w:r w:rsidR="00942B72">
        <w:rPr>
          <w:sz w:val="24"/>
        </w:rPr>
        <w:t>Patterns were similar to those found elsewhere, with Black</w:t>
      </w:r>
      <w:r w:rsidR="00564A25">
        <w:rPr>
          <w:sz w:val="24"/>
        </w:rPr>
        <w:t xml:space="preserve"> African American young men and women</w:t>
      </w:r>
      <w:r w:rsidR="00942B72">
        <w:rPr>
          <w:sz w:val="24"/>
        </w:rPr>
        <w:t xml:space="preserve"> having greater cortical area, lower porosity, thicker trabecula</w:t>
      </w:r>
      <w:r w:rsidR="00704DB2">
        <w:rPr>
          <w:sz w:val="24"/>
        </w:rPr>
        <w:t xml:space="preserve">e, </w:t>
      </w:r>
      <w:r w:rsidR="00942B72">
        <w:rPr>
          <w:sz w:val="24"/>
        </w:rPr>
        <w:t xml:space="preserve"> greater trabecular vBMD</w:t>
      </w:r>
      <w:r w:rsidR="00704DB2">
        <w:rPr>
          <w:sz w:val="24"/>
        </w:rPr>
        <w:t xml:space="preserve"> and plate number density and surface area</w:t>
      </w:r>
      <w:r w:rsidR="00942B72">
        <w:rPr>
          <w:sz w:val="24"/>
        </w:rPr>
        <w:t xml:space="preserve"> </w:t>
      </w:r>
      <w:r>
        <w:rPr>
          <w:noProof/>
          <w:sz w:val="24"/>
        </w:rPr>
        <w:t>[</w:t>
      </w:r>
      <w:r w:rsidR="00704DB2">
        <w:rPr>
          <w:noProof/>
          <w:sz w:val="24"/>
        </w:rPr>
        <w:t xml:space="preserve">38, </w:t>
      </w:r>
      <w:r>
        <w:rPr>
          <w:noProof/>
          <w:sz w:val="24"/>
        </w:rPr>
        <w:t>39]</w:t>
      </w:r>
      <w:r w:rsidRPr="00E73ACC">
        <w:rPr>
          <w:sz w:val="24"/>
        </w:rPr>
        <w:t xml:space="preserve">. </w:t>
      </w:r>
      <w:r w:rsidR="00704DB2">
        <w:rPr>
          <w:sz w:val="24"/>
        </w:rPr>
        <w:t xml:space="preserve"> This study </w:t>
      </w:r>
      <w:r>
        <w:rPr>
          <w:sz w:val="24"/>
        </w:rPr>
        <w:t>indicate</w:t>
      </w:r>
      <w:r w:rsidR="00704DB2">
        <w:rPr>
          <w:sz w:val="24"/>
        </w:rPr>
        <w:t>s</w:t>
      </w:r>
      <w:r>
        <w:rPr>
          <w:sz w:val="24"/>
        </w:rPr>
        <w:t xml:space="preserve"> that </w:t>
      </w:r>
      <w:r w:rsidR="00564A25">
        <w:rPr>
          <w:sz w:val="24"/>
        </w:rPr>
        <w:t xml:space="preserve">ethnic </w:t>
      </w:r>
      <w:r>
        <w:rPr>
          <w:sz w:val="24"/>
        </w:rPr>
        <w:t>d</w:t>
      </w:r>
      <w:r w:rsidRPr="00E73ACC">
        <w:rPr>
          <w:sz w:val="24"/>
        </w:rPr>
        <w:t>ifferences in both cortical and trabecular bone microarchitecture are apparent by young adulthood.</w:t>
      </w:r>
    </w:p>
    <w:p w14:paraId="7C702E2F" w14:textId="5D2E5E53" w:rsidR="0081658D" w:rsidRDefault="007E290E" w:rsidP="00491A0F">
      <w:pPr>
        <w:spacing w:line="240" w:lineRule="auto"/>
        <w:jc w:val="both"/>
        <w:rPr>
          <w:sz w:val="24"/>
        </w:rPr>
      </w:pPr>
      <w:r w:rsidRPr="00154DB7">
        <w:rPr>
          <w:sz w:val="24"/>
        </w:rPr>
        <w:t xml:space="preserve">Furthermore, in young adult men (with an age range of 25-35 years) of Asian compared to Caucasian ethnicity, </w:t>
      </w:r>
      <w:r w:rsidR="00E24745">
        <w:rPr>
          <w:sz w:val="24"/>
        </w:rPr>
        <w:t xml:space="preserve">size-adjusted </w:t>
      </w:r>
      <w:r w:rsidRPr="00154DB7">
        <w:rPr>
          <w:sz w:val="24"/>
        </w:rPr>
        <w:t xml:space="preserve">DXA-measured </w:t>
      </w:r>
      <w:r w:rsidR="00E24745">
        <w:rPr>
          <w:sz w:val="24"/>
        </w:rPr>
        <w:t>a</w:t>
      </w:r>
      <w:r w:rsidRPr="00154DB7">
        <w:rPr>
          <w:sz w:val="24"/>
        </w:rPr>
        <w:t>BMD at various sites did not differ between the ethnic groups</w:t>
      </w:r>
      <w:r w:rsidR="00E24745">
        <w:rPr>
          <w:sz w:val="24"/>
        </w:rPr>
        <w:t xml:space="preserve">.  </w:t>
      </w:r>
      <w:r w:rsidRPr="00154DB7">
        <w:rPr>
          <w:sz w:val="24"/>
        </w:rPr>
        <w:t xml:space="preserve">HR-pQCT revealed that </w:t>
      </w:r>
      <w:r>
        <w:rPr>
          <w:sz w:val="24"/>
        </w:rPr>
        <w:t>differences in microarchitecture, including</w:t>
      </w:r>
      <w:r w:rsidRPr="00154DB7">
        <w:rPr>
          <w:sz w:val="24"/>
        </w:rPr>
        <w:t xml:space="preserve"> lower total bone area combined with greater cortical density and thickness</w:t>
      </w:r>
      <w:r>
        <w:rPr>
          <w:sz w:val="24"/>
        </w:rPr>
        <w:t xml:space="preserve"> in</w:t>
      </w:r>
      <w:r w:rsidRPr="00154DB7">
        <w:rPr>
          <w:sz w:val="24"/>
        </w:rPr>
        <w:t xml:space="preserve"> Asian men, remained at the radius</w:t>
      </w:r>
      <w:r w:rsidR="00E24745">
        <w:rPr>
          <w:sz w:val="24"/>
        </w:rPr>
        <w:t>.</w:t>
      </w:r>
      <w:r w:rsidRPr="00154DB7">
        <w:rPr>
          <w:sz w:val="24"/>
        </w:rPr>
        <w:t xml:space="preserve"> ITS analysis also revealed significant differences in microarchitecture at the radius </w:t>
      </w:r>
      <w:r w:rsidR="001F0BB4">
        <w:rPr>
          <w:sz w:val="24"/>
        </w:rPr>
        <w:t>including, as in women,</w:t>
      </w:r>
      <w:r w:rsidRPr="00154DB7">
        <w:rPr>
          <w:sz w:val="24"/>
        </w:rPr>
        <w:t xml:space="preserve"> higher plate-rod ratio, in the young Asian men </w:t>
      </w:r>
      <w:r>
        <w:rPr>
          <w:noProof/>
          <w:sz w:val="24"/>
        </w:rPr>
        <w:t>[40]</w:t>
      </w:r>
      <w:r w:rsidRPr="00154DB7">
        <w:rPr>
          <w:sz w:val="24"/>
        </w:rPr>
        <w:t xml:space="preserve">. </w:t>
      </w:r>
      <w:r w:rsidRPr="00903B7A">
        <w:rPr>
          <w:sz w:val="24"/>
        </w:rPr>
        <w:t xml:space="preserve">It has also been shown that, although trabecular area was lower at the radius and tibia in Caribbean Hispanic, compared to non-Hispanic Caucasian, young men, smaller bone size was in combination with differences, notably in cortical bone microarchitecture, including greater cortical thickness at the radius and tibia and lower cortical porosity at tibia </w:t>
      </w:r>
      <w:r>
        <w:rPr>
          <w:noProof/>
          <w:sz w:val="24"/>
        </w:rPr>
        <w:t>[41]</w:t>
      </w:r>
      <w:r w:rsidRPr="00903B7A">
        <w:rPr>
          <w:sz w:val="24"/>
        </w:rPr>
        <w:t xml:space="preserve">. Both of these studies highlight adaptations, illustrated here in terms of microarchitecture, of </w:t>
      </w:r>
      <w:r>
        <w:rPr>
          <w:sz w:val="24"/>
        </w:rPr>
        <w:t xml:space="preserve">smaller </w:t>
      </w:r>
      <w:r w:rsidRPr="00903B7A">
        <w:rPr>
          <w:sz w:val="24"/>
        </w:rPr>
        <w:t>bone</w:t>
      </w:r>
      <w:r>
        <w:rPr>
          <w:sz w:val="24"/>
        </w:rPr>
        <w:t>s to maintain strength</w:t>
      </w:r>
      <w:r w:rsidRPr="00903B7A">
        <w:rPr>
          <w:sz w:val="24"/>
        </w:rPr>
        <w:t xml:space="preserve">. </w:t>
      </w:r>
    </w:p>
    <w:p w14:paraId="54058467" w14:textId="56E56D25" w:rsidR="007E290E" w:rsidRDefault="007E290E" w:rsidP="00491A0F">
      <w:pPr>
        <w:spacing w:line="240" w:lineRule="auto"/>
        <w:jc w:val="both"/>
        <w:rPr>
          <w:sz w:val="24"/>
        </w:rPr>
      </w:pPr>
      <w:r>
        <w:rPr>
          <w:sz w:val="24"/>
        </w:rPr>
        <w:lastRenderedPageBreak/>
        <w:t xml:space="preserve">In South African adolescents, there were </w:t>
      </w:r>
      <w:r w:rsidR="001F0BB4">
        <w:rPr>
          <w:sz w:val="24"/>
        </w:rPr>
        <w:t>ethnic</w:t>
      </w:r>
      <w:r>
        <w:rPr>
          <w:sz w:val="24"/>
        </w:rPr>
        <w:t xml:space="preserve">-specific differences in the radius and tibia at the end of growth where White adolescents had greater bone size and derived strength at the radius diaphysis, and Black adolescents greater size and strength at the tibia. At the end of growth Black adolescents tended to have greater vBMD at the distal radius, the most common site of fracture </w:t>
      </w:r>
      <w:r>
        <w:rPr>
          <w:noProof/>
          <w:sz w:val="24"/>
        </w:rPr>
        <w:t>[42]</w:t>
      </w:r>
      <w:r>
        <w:rPr>
          <w:sz w:val="24"/>
        </w:rPr>
        <w:t xml:space="preserve">.  </w:t>
      </w:r>
    </w:p>
    <w:p w14:paraId="25F9243B" w14:textId="77777777" w:rsidR="007E290E" w:rsidRDefault="007E290E" w:rsidP="00491A0F">
      <w:pPr>
        <w:spacing w:line="240" w:lineRule="auto"/>
        <w:jc w:val="both"/>
        <w:rPr>
          <w:b/>
          <w:sz w:val="24"/>
        </w:rPr>
      </w:pPr>
      <w:r w:rsidRPr="0080738C">
        <w:rPr>
          <w:b/>
          <w:sz w:val="24"/>
        </w:rPr>
        <w:t>Conclusions</w:t>
      </w:r>
    </w:p>
    <w:p w14:paraId="791FA2F8" w14:textId="77777777" w:rsidR="00F6658F" w:rsidRDefault="007E290E" w:rsidP="00F6658F">
      <w:pPr>
        <w:spacing w:line="240" w:lineRule="auto"/>
        <w:jc w:val="both"/>
        <w:rPr>
          <w:sz w:val="24"/>
        </w:rPr>
      </w:pPr>
      <w:r w:rsidRPr="00165899">
        <w:rPr>
          <w:sz w:val="24"/>
        </w:rPr>
        <w:t>In conclusion, recent evidence concerning ethnic differences in fracture incidence and BMD, between and within countries, has been described. Furthermore, the need to increase our understanding of the picture of musculoskeletal disease and fracture risk in</w:t>
      </w:r>
      <w:r>
        <w:rPr>
          <w:sz w:val="24"/>
        </w:rPr>
        <w:t xml:space="preserve"> LMICs</w:t>
      </w:r>
      <w:r w:rsidRPr="00165899">
        <w:rPr>
          <w:sz w:val="24"/>
        </w:rPr>
        <w:t xml:space="preserve"> has been highlighted.</w:t>
      </w:r>
      <w:r>
        <w:rPr>
          <w:sz w:val="24"/>
        </w:rPr>
        <w:t xml:space="preserve"> </w:t>
      </w:r>
      <w:r w:rsidRPr="00165899">
        <w:rPr>
          <w:sz w:val="24"/>
        </w:rPr>
        <w:t>Wherever ethnic difference</w:t>
      </w:r>
      <w:r>
        <w:rPr>
          <w:sz w:val="24"/>
        </w:rPr>
        <w:t>s</w:t>
      </w:r>
      <w:r w:rsidRPr="00165899">
        <w:rPr>
          <w:sz w:val="24"/>
        </w:rPr>
        <w:t xml:space="preserve"> in bone health exist, it is essential to fully understand their underlying causes. From this, there is the potential to design interventions and therefore reduce the healthcare burden associated with fracture. </w:t>
      </w:r>
    </w:p>
    <w:p w14:paraId="6AD3B5BE" w14:textId="778ECEC1" w:rsidR="007E290E" w:rsidRDefault="00F6658F" w:rsidP="00491A0F">
      <w:pPr>
        <w:spacing w:line="240" w:lineRule="auto"/>
        <w:jc w:val="both"/>
        <w:rPr>
          <w:sz w:val="24"/>
        </w:rPr>
        <w:sectPr w:rsidR="007E290E">
          <w:footerReference w:type="default" r:id="rId8"/>
          <w:pgSz w:w="11906" w:h="16838"/>
          <w:pgMar w:top="1440" w:right="1440" w:bottom="1440" w:left="1440" w:header="708" w:footer="708" w:gutter="0"/>
          <w:cols w:space="708"/>
          <w:docGrid w:linePitch="360"/>
        </w:sectPr>
      </w:pPr>
      <w:r>
        <w:rPr>
          <w:sz w:val="24"/>
        </w:rPr>
        <w:t>I</w:t>
      </w:r>
      <w:r w:rsidRPr="005877F1">
        <w:rPr>
          <w:sz w:val="24"/>
        </w:rPr>
        <w:t>n general, the results presented here indicate the ability of advanced imaging techniques to reveal cortical and trabecular differences in bone beyond the differences in bone mass which are highlighted by DXA.</w:t>
      </w:r>
      <w:r>
        <w:rPr>
          <w:sz w:val="24"/>
        </w:rPr>
        <w:t xml:space="preserve"> </w:t>
      </w:r>
      <w:r w:rsidR="00FA2B18">
        <w:rPr>
          <w:sz w:val="24"/>
        </w:rPr>
        <w:t xml:space="preserve"> </w:t>
      </w:r>
      <w:r w:rsidR="007E290E" w:rsidRPr="00165899">
        <w:rPr>
          <w:sz w:val="24"/>
        </w:rPr>
        <w:t xml:space="preserve">The use of </w:t>
      </w:r>
      <w:r w:rsidR="007E290E">
        <w:rPr>
          <w:sz w:val="24"/>
        </w:rPr>
        <w:t>p</w:t>
      </w:r>
      <w:r w:rsidR="007E290E" w:rsidRPr="00165899">
        <w:rPr>
          <w:sz w:val="24"/>
        </w:rPr>
        <w:t>QCT imaging techniques, and</w:t>
      </w:r>
      <w:r w:rsidR="007E290E">
        <w:rPr>
          <w:sz w:val="24"/>
        </w:rPr>
        <w:t xml:space="preserve"> their derived parameters, present</w:t>
      </w:r>
      <w:r w:rsidR="007E290E" w:rsidRPr="00165899">
        <w:rPr>
          <w:sz w:val="24"/>
        </w:rPr>
        <w:t xml:space="preserve"> an opportunity to understand the potential contribution of bone microarchitecture in establishing bone strength. </w:t>
      </w:r>
      <w:r w:rsidR="007E290E">
        <w:rPr>
          <w:sz w:val="24"/>
        </w:rPr>
        <w:t xml:space="preserve">However, it is important to determine the underlying causes of these differences in microarchitecture, and wherever possible not to apply assumptions that one size fits all in understanding ethnic differences in fracture risk. </w:t>
      </w:r>
    </w:p>
    <w:p w14:paraId="56F03953" w14:textId="005FA946" w:rsidR="007E290E" w:rsidRPr="008400AD" w:rsidRDefault="007E290E" w:rsidP="00491A0F">
      <w:pPr>
        <w:pStyle w:val="Caption"/>
        <w:keepNext/>
        <w:jc w:val="both"/>
        <w:rPr>
          <w:color w:val="auto"/>
          <w:sz w:val="22"/>
        </w:rPr>
      </w:pPr>
      <w:r w:rsidRPr="008400AD">
        <w:rPr>
          <w:color w:val="auto"/>
          <w:sz w:val="22"/>
        </w:rPr>
        <w:lastRenderedPageBreak/>
        <w:t xml:space="preserve">Table </w:t>
      </w:r>
      <w:r w:rsidRPr="008400AD">
        <w:rPr>
          <w:color w:val="auto"/>
          <w:sz w:val="22"/>
        </w:rPr>
        <w:fldChar w:fldCharType="begin"/>
      </w:r>
      <w:r w:rsidRPr="008400AD">
        <w:rPr>
          <w:color w:val="auto"/>
          <w:sz w:val="22"/>
        </w:rPr>
        <w:instrText xml:space="preserve"> SEQ Table \* ARABIC </w:instrText>
      </w:r>
      <w:r w:rsidRPr="008400AD">
        <w:rPr>
          <w:color w:val="auto"/>
          <w:sz w:val="22"/>
        </w:rPr>
        <w:fldChar w:fldCharType="separate"/>
      </w:r>
      <w:r>
        <w:rPr>
          <w:noProof/>
          <w:color w:val="auto"/>
          <w:sz w:val="22"/>
        </w:rPr>
        <w:t>1</w:t>
      </w:r>
      <w:r w:rsidRPr="008400AD">
        <w:rPr>
          <w:color w:val="auto"/>
          <w:sz w:val="22"/>
        </w:rPr>
        <w:fldChar w:fldCharType="end"/>
      </w:r>
      <w:r w:rsidRPr="008400AD">
        <w:rPr>
          <w:color w:val="auto"/>
          <w:sz w:val="22"/>
        </w:rPr>
        <w:t>. Key examples of heterogeneity between studies (published in the past 5 years) using pQCT or HR-pQCT to compare</w:t>
      </w:r>
      <w:r>
        <w:rPr>
          <w:color w:val="auto"/>
          <w:sz w:val="22"/>
        </w:rPr>
        <w:t xml:space="preserve"> ethnic differences in bone</w:t>
      </w:r>
      <w:r w:rsidR="00E96301">
        <w:rPr>
          <w:rStyle w:val="FootnoteReference"/>
          <w:color w:val="auto"/>
          <w:sz w:val="22"/>
        </w:rPr>
        <w:footnoteReference w:id="3"/>
      </w:r>
      <w:r>
        <w:rPr>
          <w:rStyle w:val="FootnoteReference"/>
          <w:color w:val="auto"/>
          <w:sz w:val="22"/>
        </w:rPr>
        <w:footnoteReference w:id="4"/>
      </w:r>
    </w:p>
    <w:tbl>
      <w:tblPr>
        <w:tblStyle w:val="TableGrid"/>
        <w:tblpPr w:leftFromText="180" w:rightFromText="180" w:vertAnchor="text" w:horzAnchor="margin" w:tblpY="148"/>
        <w:tblW w:w="14077" w:type="dxa"/>
        <w:tblLook w:val="04A0" w:firstRow="1" w:lastRow="0" w:firstColumn="1" w:lastColumn="0" w:noHBand="0" w:noVBand="1"/>
      </w:tblPr>
      <w:tblGrid>
        <w:gridCol w:w="897"/>
        <w:gridCol w:w="5613"/>
        <w:gridCol w:w="3512"/>
        <w:gridCol w:w="3513"/>
        <w:gridCol w:w="542"/>
      </w:tblGrid>
      <w:tr w:rsidR="007E290E" w14:paraId="542718F6" w14:textId="77777777" w:rsidTr="00F6658F">
        <w:trPr>
          <w:trHeight w:val="277"/>
        </w:trPr>
        <w:tc>
          <w:tcPr>
            <w:tcW w:w="897" w:type="dxa"/>
          </w:tcPr>
          <w:p w14:paraId="58D4165E" w14:textId="77777777" w:rsidR="007E290E" w:rsidRPr="008B3522" w:rsidRDefault="007E290E" w:rsidP="00491A0F">
            <w:pPr>
              <w:tabs>
                <w:tab w:val="left" w:pos="5260"/>
              </w:tabs>
              <w:jc w:val="both"/>
              <w:rPr>
                <w:rFonts w:cstheme="minorHAnsi"/>
                <w:b/>
                <w:sz w:val="20"/>
                <w:szCs w:val="20"/>
              </w:rPr>
            </w:pPr>
            <w:r>
              <w:rPr>
                <w:rFonts w:cstheme="minorHAnsi"/>
                <w:b/>
                <w:sz w:val="20"/>
                <w:szCs w:val="20"/>
              </w:rPr>
              <w:t>Analysis</w:t>
            </w:r>
          </w:p>
        </w:tc>
        <w:tc>
          <w:tcPr>
            <w:tcW w:w="5613" w:type="dxa"/>
          </w:tcPr>
          <w:p w14:paraId="5B6AFF98" w14:textId="77777777" w:rsidR="007E290E" w:rsidRPr="008B3522" w:rsidRDefault="007E290E" w:rsidP="00491A0F">
            <w:pPr>
              <w:tabs>
                <w:tab w:val="left" w:pos="5260"/>
              </w:tabs>
              <w:jc w:val="both"/>
              <w:rPr>
                <w:rFonts w:cstheme="minorHAnsi"/>
                <w:b/>
                <w:sz w:val="20"/>
                <w:szCs w:val="20"/>
              </w:rPr>
            </w:pPr>
            <w:r w:rsidRPr="008B3522">
              <w:rPr>
                <w:rFonts w:cstheme="minorHAnsi"/>
                <w:b/>
                <w:sz w:val="20"/>
                <w:szCs w:val="20"/>
              </w:rPr>
              <w:t>Ethnic differences</w:t>
            </w:r>
            <w:r>
              <w:rPr>
                <w:rFonts w:cstheme="minorHAnsi"/>
                <w:b/>
                <w:sz w:val="20"/>
                <w:szCs w:val="20"/>
              </w:rPr>
              <w:t xml:space="preserve"> (direction of unadjusted differences, unless otherwise stated)</w:t>
            </w:r>
          </w:p>
        </w:tc>
        <w:tc>
          <w:tcPr>
            <w:tcW w:w="3512" w:type="dxa"/>
          </w:tcPr>
          <w:p w14:paraId="32DC5631" w14:textId="42E14008" w:rsidR="007E290E" w:rsidRPr="008B3522" w:rsidRDefault="007E290E" w:rsidP="00564A25">
            <w:pPr>
              <w:tabs>
                <w:tab w:val="left" w:pos="5260"/>
              </w:tabs>
              <w:jc w:val="both"/>
              <w:rPr>
                <w:rFonts w:cstheme="minorHAnsi"/>
                <w:b/>
                <w:sz w:val="20"/>
                <w:szCs w:val="20"/>
              </w:rPr>
            </w:pPr>
            <w:r w:rsidRPr="008B3522">
              <w:rPr>
                <w:rFonts w:cstheme="minorHAnsi"/>
                <w:b/>
                <w:sz w:val="20"/>
                <w:szCs w:val="20"/>
              </w:rPr>
              <w:t>Difference</w:t>
            </w:r>
            <w:r>
              <w:rPr>
                <w:rFonts w:cstheme="minorHAnsi"/>
                <w:b/>
                <w:sz w:val="20"/>
                <w:szCs w:val="20"/>
              </w:rPr>
              <w:t>s</w:t>
            </w:r>
            <w:r w:rsidRPr="008B3522">
              <w:rPr>
                <w:rFonts w:cstheme="minorHAnsi"/>
                <w:b/>
                <w:sz w:val="20"/>
                <w:szCs w:val="20"/>
              </w:rPr>
              <w:t xml:space="preserve"> at radius </w:t>
            </w:r>
          </w:p>
        </w:tc>
        <w:tc>
          <w:tcPr>
            <w:tcW w:w="3513" w:type="dxa"/>
          </w:tcPr>
          <w:p w14:paraId="49E365D3" w14:textId="5662586F" w:rsidR="007E290E" w:rsidRPr="008B3522" w:rsidRDefault="007E290E" w:rsidP="00564A25">
            <w:pPr>
              <w:tabs>
                <w:tab w:val="left" w:pos="5260"/>
              </w:tabs>
              <w:jc w:val="both"/>
              <w:rPr>
                <w:rFonts w:cstheme="minorHAnsi"/>
                <w:b/>
                <w:sz w:val="20"/>
                <w:szCs w:val="20"/>
              </w:rPr>
            </w:pPr>
            <w:r w:rsidRPr="008B3522">
              <w:rPr>
                <w:rFonts w:cstheme="minorHAnsi"/>
                <w:b/>
                <w:sz w:val="20"/>
                <w:szCs w:val="20"/>
              </w:rPr>
              <w:t>Difference</w:t>
            </w:r>
            <w:r>
              <w:rPr>
                <w:rFonts w:cstheme="minorHAnsi"/>
                <w:b/>
                <w:sz w:val="20"/>
                <w:szCs w:val="20"/>
              </w:rPr>
              <w:t>s</w:t>
            </w:r>
            <w:r w:rsidRPr="008B3522">
              <w:rPr>
                <w:rFonts w:cstheme="minorHAnsi"/>
                <w:b/>
                <w:sz w:val="20"/>
                <w:szCs w:val="20"/>
              </w:rPr>
              <w:t xml:space="preserve"> at tibia</w:t>
            </w:r>
          </w:p>
        </w:tc>
        <w:tc>
          <w:tcPr>
            <w:tcW w:w="542" w:type="dxa"/>
          </w:tcPr>
          <w:p w14:paraId="33C62931" w14:textId="77777777" w:rsidR="007E290E" w:rsidRPr="008B3522" w:rsidRDefault="007E290E" w:rsidP="00491A0F">
            <w:pPr>
              <w:tabs>
                <w:tab w:val="left" w:pos="5260"/>
              </w:tabs>
              <w:jc w:val="both"/>
              <w:rPr>
                <w:rFonts w:cstheme="minorHAnsi"/>
                <w:b/>
                <w:sz w:val="20"/>
                <w:szCs w:val="20"/>
              </w:rPr>
            </w:pPr>
          </w:p>
        </w:tc>
      </w:tr>
      <w:tr w:rsidR="007E290E" w14:paraId="6FD2D0B9" w14:textId="77777777" w:rsidTr="00F6658F">
        <w:trPr>
          <w:trHeight w:val="103"/>
        </w:trPr>
        <w:tc>
          <w:tcPr>
            <w:tcW w:w="897" w:type="dxa"/>
            <w:vMerge w:val="restart"/>
          </w:tcPr>
          <w:p w14:paraId="52837EBA" w14:textId="66612BC4" w:rsidR="007E290E" w:rsidRPr="008B3522" w:rsidRDefault="007E290E" w:rsidP="00491A0F">
            <w:pPr>
              <w:tabs>
                <w:tab w:val="left" w:pos="5260"/>
              </w:tabs>
              <w:jc w:val="both"/>
              <w:rPr>
                <w:rFonts w:cstheme="minorHAnsi"/>
                <w:sz w:val="20"/>
                <w:szCs w:val="20"/>
              </w:rPr>
            </w:pPr>
            <w:r>
              <w:rPr>
                <w:rFonts w:cstheme="minorHAnsi"/>
                <w:sz w:val="20"/>
                <w:szCs w:val="20"/>
              </w:rPr>
              <w:t>HR-pQCT in women</w:t>
            </w:r>
          </w:p>
        </w:tc>
        <w:tc>
          <w:tcPr>
            <w:tcW w:w="5613" w:type="dxa"/>
          </w:tcPr>
          <w:p w14:paraId="19A19943" w14:textId="56DE705B" w:rsidR="007E290E" w:rsidRPr="00EE5542" w:rsidRDefault="007E290E" w:rsidP="00491A0F">
            <w:pPr>
              <w:jc w:val="both"/>
              <w:rPr>
                <w:rFonts w:cstheme="minorHAnsi"/>
                <w:sz w:val="20"/>
                <w:szCs w:val="20"/>
              </w:rPr>
            </w:pPr>
            <w:r w:rsidRPr="00EE5542">
              <w:rPr>
                <w:rFonts w:cstheme="minorHAnsi"/>
                <w:sz w:val="20"/>
                <w:szCs w:val="20"/>
              </w:rPr>
              <w:t>White American&gt;Chinese-American &amp; White American&gt;Hong Kong Chinese (pre</w:t>
            </w:r>
            <w:r>
              <w:rPr>
                <w:rFonts w:cstheme="minorHAnsi"/>
                <w:sz w:val="20"/>
                <w:szCs w:val="20"/>
              </w:rPr>
              <w:t>menopausal</w:t>
            </w:r>
            <w:r w:rsidRPr="00EE5542">
              <w:rPr>
                <w:rFonts w:cstheme="minorHAnsi"/>
                <w:sz w:val="20"/>
                <w:szCs w:val="20"/>
              </w:rPr>
              <w:t xml:space="preserve">) </w:t>
            </w:r>
          </w:p>
        </w:tc>
        <w:tc>
          <w:tcPr>
            <w:tcW w:w="3512" w:type="dxa"/>
          </w:tcPr>
          <w:p w14:paraId="67816432" w14:textId="4CF10F22" w:rsidR="007E290E" w:rsidRPr="00EE5542" w:rsidRDefault="007E290E" w:rsidP="00491A0F">
            <w:pPr>
              <w:tabs>
                <w:tab w:val="left" w:pos="5260"/>
              </w:tabs>
              <w:jc w:val="both"/>
              <w:rPr>
                <w:rFonts w:cstheme="minorHAnsi"/>
                <w:sz w:val="20"/>
                <w:szCs w:val="20"/>
              </w:rPr>
            </w:pPr>
            <w:r w:rsidRPr="00EE5542">
              <w:rPr>
                <w:rFonts w:cstheme="minorHAnsi"/>
                <w:sz w:val="20"/>
                <w:szCs w:val="20"/>
              </w:rPr>
              <w:t>Total area*</w:t>
            </w:r>
          </w:p>
        </w:tc>
        <w:tc>
          <w:tcPr>
            <w:tcW w:w="3513" w:type="dxa"/>
          </w:tcPr>
          <w:p w14:paraId="69EDCF97" w14:textId="77777777" w:rsidR="007E290E" w:rsidRPr="00CA1161" w:rsidRDefault="007E290E" w:rsidP="00491A0F">
            <w:pPr>
              <w:jc w:val="both"/>
              <w:rPr>
                <w:rFonts w:cstheme="minorHAnsi"/>
                <w:color w:val="FF0000"/>
                <w:sz w:val="20"/>
                <w:szCs w:val="20"/>
              </w:rPr>
            </w:pPr>
          </w:p>
        </w:tc>
        <w:tc>
          <w:tcPr>
            <w:tcW w:w="542" w:type="dxa"/>
            <w:vMerge w:val="restart"/>
          </w:tcPr>
          <w:p w14:paraId="6341D69A" w14:textId="5998909F" w:rsidR="007E290E" w:rsidRPr="008B3522" w:rsidRDefault="007E290E" w:rsidP="00784F44">
            <w:pPr>
              <w:jc w:val="both"/>
              <w:rPr>
                <w:rFonts w:cstheme="minorHAnsi"/>
                <w:sz w:val="20"/>
                <w:szCs w:val="20"/>
              </w:rPr>
            </w:pPr>
            <w:r>
              <w:rPr>
                <w:rFonts w:cstheme="minorHAnsi"/>
                <w:noProof/>
                <w:sz w:val="20"/>
                <w:szCs w:val="20"/>
              </w:rPr>
              <w:t>[32]</w:t>
            </w:r>
          </w:p>
        </w:tc>
      </w:tr>
      <w:tr w:rsidR="007E290E" w14:paraId="3BFFE243" w14:textId="77777777" w:rsidTr="00F6658F">
        <w:trPr>
          <w:trHeight w:val="225"/>
        </w:trPr>
        <w:tc>
          <w:tcPr>
            <w:tcW w:w="897" w:type="dxa"/>
            <w:vMerge/>
          </w:tcPr>
          <w:p w14:paraId="059E2FF0" w14:textId="77777777" w:rsidR="007E290E" w:rsidRPr="008B3522" w:rsidRDefault="007E290E" w:rsidP="00491A0F">
            <w:pPr>
              <w:tabs>
                <w:tab w:val="left" w:pos="5260"/>
              </w:tabs>
              <w:jc w:val="both"/>
              <w:rPr>
                <w:rFonts w:cstheme="minorHAnsi"/>
                <w:sz w:val="20"/>
                <w:szCs w:val="20"/>
              </w:rPr>
            </w:pPr>
          </w:p>
        </w:tc>
        <w:tc>
          <w:tcPr>
            <w:tcW w:w="5613" w:type="dxa"/>
          </w:tcPr>
          <w:p w14:paraId="20A1BEDD" w14:textId="77777777" w:rsidR="007E290E" w:rsidRPr="00CA1161" w:rsidRDefault="007E290E" w:rsidP="00491A0F">
            <w:pPr>
              <w:jc w:val="both"/>
              <w:rPr>
                <w:rFonts w:cstheme="minorHAnsi"/>
                <w:color w:val="FF0000"/>
                <w:sz w:val="20"/>
                <w:szCs w:val="20"/>
              </w:rPr>
            </w:pPr>
            <w:r w:rsidRPr="00EE5542">
              <w:rPr>
                <w:rFonts w:cstheme="minorHAnsi"/>
                <w:sz w:val="20"/>
                <w:szCs w:val="20"/>
              </w:rPr>
              <w:t>White American&lt;Chinese-American &amp; White American&lt;Hong Kong Chinese (premenopausal)</w:t>
            </w:r>
          </w:p>
        </w:tc>
        <w:tc>
          <w:tcPr>
            <w:tcW w:w="3512" w:type="dxa"/>
          </w:tcPr>
          <w:p w14:paraId="7823F25B" w14:textId="77777777" w:rsidR="007E290E" w:rsidRPr="00CA1161" w:rsidRDefault="007E290E" w:rsidP="00491A0F">
            <w:pPr>
              <w:jc w:val="both"/>
              <w:rPr>
                <w:rFonts w:cstheme="minorHAnsi"/>
                <w:color w:val="FF0000"/>
                <w:sz w:val="20"/>
                <w:szCs w:val="20"/>
              </w:rPr>
            </w:pPr>
            <w:r w:rsidRPr="00EE5542">
              <w:rPr>
                <w:rFonts w:cstheme="minorHAnsi"/>
                <w:sz w:val="20"/>
                <w:szCs w:val="20"/>
              </w:rPr>
              <w:t xml:space="preserve">Total bone density*, Ct. bone density*, Ct. thickness*, Tb. </w:t>
            </w:r>
            <w:r>
              <w:rPr>
                <w:rFonts w:cstheme="minorHAnsi"/>
                <w:sz w:val="20"/>
                <w:szCs w:val="20"/>
              </w:rPr>
              <w:t>thickness*</w:t>
            </w:r>
          </w:p>
        </w:tc>
        <w:tc>
          <w:tcPr>
            <w:tcW w:w="3513" w:type="dxa"/>
          </w:tcPr>
          <w:p w14:paraId="1615979B" w14:textId="38D8FCAF" w:rsidR="007E290E" w:rsidRPr="00335839" w:rsidRDefault="007E290E" w:rsidP="00491A0F">
            <w:pPr>
              <w:jc w:val="both"/>
              <w:rPr>
                <w:rFonts w:cstheme="minorHAnsi"/>
                <w:sz w:val="20"/>
                <w:szCs w:val="20"/>
              </w:rPr>
            </w:pPr>
            <w:r w:rsidRPr="00335839">
              <w:rPr>
                <w:rFonts w:cstheme="minorHAnsi"/>
                <w:sz w:val="20"/>
                <w:szCs w:val="20"/>
              </w:rPr>
              <w:t xml:space="preserve">Total bone density*, Ct. bone density*, Ct. thickness*, Tb. </w:t>
            </w:r>
            <w:r>
              <w:rPr>
                <w:rFonts w:cstheme="minorHAnsi"/>
                <w:sz w:val="20"/>
                <w:szCs w:val="20"/>
              </w:rPr>
              <w:t>thickness</w:t>
            </w:r>
            <w:r w:rsidRPr="00335839">
              <w:rPr>
                <w:rFonts w:cstheme="minorHAnsi"/>
                <w:sz w:val="20"/>
                <w:szCs w:val="20"/>
              </w:rPr>
              <w:t>*</w:t>
            </w:r>
          </w:p>
        </w:tc>
        <w:tc>
          <w:tcPr>
            <w:tcW w:w="542" w:type="dxa"/>
            <w:vMerge/>
          </w:tcPr>
          <w:p w14:paraId="5565C33D" w14:textId="77777777" w:rsidR="007E290E" w:rsidRPr="008B3522" w:rsidRDefault="007E290E" w:rsidP="00491A0F">
            <w:pPr>
              <w:jc w:val="both"/>
              <w:rPr>
                <w:rFonts w:cstheme="minorHAnsi"/>
                <w:sz w:val="20"/>
                <w:szCs w:val="20"/>
              </w:rPr>
            </w:pPr>
          </w:p>
        </w:tc>
      </w:tr>
      <w:tr w:rsidR="007E290E" w14:paraId="157E1A7A" w14:textId="77777777" w:rsidTr="00F6658F">
        <w:trPr>
          <w:trHeight w:val="199"/>
        </w:trPr>
        <w:tc>
          <w:tcPr>
            <w:tcW w:w="897" w:type="dxa"/>
            <w:vMerge/>
          </w:tcPr>
          <w:p w14:paraId="6297FBC8" w14:textId="77777777" w:rsidR="007E290E" w:rsidRPr="008B3522" w:rsidRDefault="007E290E" w:rsidP="00491A0F">
            <w:pPr>
              <w:tabs>
                <w:tab w:val="left" w:pos="5260"/>
              </w:tabs>
              <w:jc w:val="both"/>
              <w:rPr>
                <w:rFonts w:cstheme="minorHAnsi"/>
                <w:sz w:val="20"/>
                <w:szCs w:val="20"/>
              </w:rPr>
            </w:pPr>
          </w:p>
        </w:tc>
        <w:tc>
          <w:tcPr>
            <w:tcW w:w="5613" w:type="dxa"/>
          </w:tcPr>
          <w:p w14:paraId="7BA30085" w14:textId="77777777" w:rsidR="007E290E" w:rsidRPr="00CA1161" w:rsidRDefault="007E290E" w:rsidP="00491A0F">
            <w:pPr>
              <w:jc w:val="both"/>
              <w:rPr>
                <w:rFonts w:cstheme="minorHAnsi"/>
                <w:color w:val="FF0000"/>
                <w:sz w:val="20"/>
                <w:szCs w:val="20"/>
              </w:rPr>
            </w:pPr>
            <w:r w:rsidRPr="00335839">
              <w:rPr>
                <w:rFonts w:cstheme="minorHAnsi"/>
                <w:sz w:val="20"/>
                <w:szCs w:val="20"/>
              </w:rPr>
              <w:t>White American&gt;Chinese-American &amp; White American&gt;Hong Kong Chinese (post</w:t>
            </w:r>
            <w:r>
              <w:rPr>
                <w:rFonts w:cstheme="minorHAnsi"/>
                <w:sz w:val="20"/>
                <w:szCs w:val="20"/>
              </w:rPr>
              <w:t>menopausal)</w:t>
            </w:r>
          </w:p>
        </w:tc>
        <w:tc>
          <w:tcPr>
            <w:tcW w:w="3512" w:type="dxa"/>
          </w:tcPr>
          <w:p w14:paraId="3757D87E" w14:textId="77777777" w:rsidR="007E290E" w:rsidRPr="00CA1161" w:rsidRDefault="007E290E" w:rsidP="00491A0F">
            <w:pPr>
              <w:jc w:val="both"/>
              <w:rPr>
                <w:rFonts w:cstheme="minorHAnsi"/>
                <w:color w:val="FF0000"/>
                <w:sz w:val="20"/>
                <w:szCs w:val="20"/>
              </w:rPr>
            </w:pPr>
          </w:p>
        </w:tc>
        <w:tc>
          <w:tcPr>
            <w:tcW w:w="3513" w:type="dxa"/>
          </w:tcPr>
          <w:p w14:paraId="40191C16" w14:textId="251854F2" w:rsidR="007E290E" w:rsidRPr="00335839" w:rsidRDefault="007E290E" w:rsidP="00491A0F">
            <w:pPr>
              <w:jc w:val="both"/>
              <w:rPr>
                <w:rFonts w:cstheme="minorHAnsi"/>
                <w:sz w:val="20"/>
                <w:szCs w:val="20"/>
              </w:rPr>
            </w:pPr>
            <w:r w:rsidRPr="00335839">
              <w:rPr>
                <w:rFonts w:cstheme="minorHAnsi"/>
                <w:sz w:val="20"/>
                <w:szCs w:val="20"/>
              </w:rPr>
              <w:t xml:space="preserve">Total area*, Tb. </w:t>
            </w:r>
            <w:r>
              <w:rPr>
                <w:rFonts w:cstheme="minorHAnsi"/>
                <w:sz w:val="20"/>
                <w:szCs w:val="20"/>
              </w:rPr>
              <w:t>number</w:t>
            </w:r>
            <w:r w:rsidRPr="00335839">
              <w:rPr>
                <w:rFonts w:cstheme="minorHAnsi"/>
                <w:sz w:val="20"/>
                <w:szCs w:val="20"/>
              </w:rPr>
              <w:t>*</w:t>
            </w:r>
          </w:p>
        </w:tc>
        <w:tc>
          <w:tcPr>
            <w:tcW w:w="542" w:type="dxa"/>
            <w:vMerge/>
          </w:tcPr>
          <w:p w14:paraId="1E574851" w14:textId="77777777" w:rsidR="007E290E" w:rsidRPr="008B3522" w:rsidRDefault="007E290E" w:rsidP="00491A0F">
            <w:pPr>
              <w:jc w:val="both"/>
              <w:rPr>
                <w:rFonts w:cstheme="minorHAnsi"/>
                <w:sz w:val="20"/>
                <w:szCs w:val="20"/>
              </w:rPr>
            </w:pPr>
          </w:p>
        </w:tc>
      </w:tr>
      <w:tr w:rsidR="007E290E" w14:paraId="1413D5A6" w14:textId="77777777" w:rsidTr="00F6658F">
        <w:trPr>
          <w:trHeight w:val="179"/>
        </w:trPr>
        <w:tc>
          <w:tcPr>
            <w:tcW w:w="897" w:type="dxa"/>
            <w:vMerge/>
          </w:tcPr>
          <w:p w14:paraId="21CA8600" w14:textId="77777777" w:rsidR="007E290E" w:rsidRPr="008B3522" w:rsidRDefault="007E290E" w:rsidP="00491A0F">
            <w:pPr>
              <w:tabs>
                <w:tab w:val="left" w:pos="5260"/>
              </w:tabs>
              <w:jc w:val="both"/>
              <w:rPr>
                <w:rFonts w:cstheme="minorHAnsi"/>
                <w:sz w:val="20"/>
                <w:szCs w:val="20"/>
              </w:rPr>
            </w:pPr>
          </w:p>
        </w:tc>
        <w:tc>
          <w:tcPr>
            <w:tcW w:w="5613" w:type="dxa"/>
          </w:tcPr>
          <w:p w14:paraId="71837302" w14:textId="77777777" w:rsidR="007E290E" w:rsidRPr="00CA1161" w:rsidRDefault="007E290E" w:rsidP="00491A0F">
            <w:pPr>
              <w:jc w:val="both"/>
              <w:rPr>
                <w:rFonts w:cstheme="minorHAnsi"/>
                <w:color w:val="FF0000"/>
                <w:sz w:val="20"/>
                <w:szCs w:val="20"/>
              </w:rPr>
            </w:pPr>
            <w:r w:rsidRPr="00335839">
              <w:rPr>
                <w:rFonts w:cstheme="minorHAnsi"/>
                <w:sz w:val="20"/>
                <w:szCs w:val="20"/>
              </w:rPr>
              <w:t>White American&lt;Chinese-American &amp; White American&lt;Hong Kong Chinese (post</w:t>
            </w:r>
            <w:r>
              <w:rPr>
                <w:rFonts w:cstheme="minorHAnsi"/>
                <w:sz w:val="20"/>
                <w:szCs w:val="20"/>
              </w:rPr>
              <w:t>menopausal</w:t>
            </w:r>
            <w:r w:rsidRPr="00335839">
              <w:rPr>
                <w:rFonts w:cstheme="minorHAnsi"/>
                <w:sz w:val="20"/>
                <w:szCs w:val="20"/>
              </w:rPr>
              <w:t xml:space="preserve">) </w:t>
            </w:r>
          </w:p>
        </w:tc>
        <w:tc>
          <w:tcPr>
            <w:tcW w:w="3512" w:type="dxa"/>
          </w:tcPr>
          <w:p w14:paraId="5ADFF8BB" w14:textId="77777777" w:rsidR="007E290E" w:rsidRPr="00CA1161" w:rsidRDefault="007E290E" w:rsidP="00491A0F">
            <w:pPr>
              <w:jc w:val="both"/>
              <w:rPr>
                <w:rFonts w:cstheme="minorHAnsi"/>
                <w:color w:val="FF0000"/>
                <w:sz w:val="20"/>
                <w:szCs w:val="20"/>
              </w:rPr>
            </w:pPr>
          </w:p>
        </w:tc>
        <w:tc>
          <w:tcPr>
            <w:tcW w:w="3513" w:type="dxa"/>
          </w:tcPr>
          <w:p w14:paraId="5D55F214" w14:textId="6A804DC0" w:rsidR="007E290E" w:rsidRPr="00CA1161" w:rsidRDefault="007E290E" w:rsidP="00491A0F">
            <w:pPr>
              <w:jc w:val="both"/>
              <w:rPr>
                <w:rFonts w:cstheme="minorHAnsi"/>
                <w:color w:val="FF0000"/>
                <w:sz w:val="20"/>
                <w:szCs w:val="20"/>
              </w:rPr>
            </w:pPr>
            <w:r w:rsidRPr="00335839">
              <w:rPr>
                <w:rFonts w:cstheme="minorHAnsi"/>
                <w:sz w:val="20"/>
                <w:szCs w:val="20"/>
              </w:rPr>
              <w:t xml:space="preserve">Tb. </w:t>
            </w:r>
            <w:r>
              <w:rPr>
                <w:rFonts w:cstheme="minorHAnsi"/>
                <w:sz w:val="20"/>
                <w:szCs w:val="20"/>
              </w:rPr>
              <w:t>separation</w:t>
            </w:r>
            <w:r w:rsidRPr="00335839">
              <w:rPr>
                <w:rFonts w:cstheme="minorHAnsi"/>
                <w:sz w:val="20"/>
                <w:szCs w:val="20"/>
              </w:rPr>
              <w:t>*</w:t>
            </w:r>
          </w:p>
        </w:tc>
        <w:tc>
          <w:tcPr>
            <w:tcW w:w="542" w:type="dxa"/>
            <w:vMerge/>
          </w:tcPr>
          <w:p w14:paraId="4534C26E" w14:textId="77777777" w:rsidR="007E290E" w:rsidRPr="008B3522" w:rsidRDefault="007E290E" w:rsidP="00491A0F">
            <w:pPr>
              <w:jc w:val="both"/>
              <w:rPr>
                <w:rFonts w:cstheme="minorHAnsi"/>
                <w:sz w:val="20"/>
                <w:szCs w:val="20"/>
              </w:rPr>
            </w:pPr>
          </w:p>
        </w:tc>
      </w:tr>
      <w:tr w:rsidR="007E290E" w14:paraId="0C6C6F51" w14:textId="77777777" w:rsidTr="00F6658F">
        <w:trPr>
          <w:trHeight w:val="305"/>
        </w:trPr>
        <w:tc>
          <w:tcPr>
            <w:tcW w:w="897" w:type="dxa"/>
            <w:vMerge/>
          </w:tcPr>
          <w:p w14:paraId="57F7F30E" w14:textId="77777777" w:rsidR="007E290E" w:rsidRPr="008B3522" w:rsidRDefault="007E290E" w:rsidP="00491A0F">
            <w:pPr>
              <w:tabs>
                <w:tab w:val="left" w:pos="5260"/>
              </w:tabs>
              <w:jc w:val="both"/>
              <w:rPr>
                <w:rFonts w:cstheme="minorHAnsi"/>
                <w:sz w:val="20"/>
                <w:szCs w:val="20"/>
              </w:rPr>
            </w:pPr>
          </w:p>
        </w:tc>
        <w:tc>
          <w:tcPr>
            <w:tcW w:w="5613" w:type="dxa"/>
          </w:tcPr>
          <w:p w14:paraId="5E34514D" w14:textId="77777777" w:rsidR="007E290E" w:rsidRPr="00FE410C" w:rsidRDefault="007E290E" w:rsidP="00491A0F">
            <w:pPr>
              <w:jc w:val="both"/>
              <w:rPr>
                <w:rFonts w:cstheme="minorHAnsi"/>
                <w:sz w:val="20"/>
                <w:szCs w:val="20"/>
              </w:rPr>
            </w:pPr>
            <w:r w:rsidRPr="00FE410C">
              <w:rPr>
                <w:rFonts w:cstheme="minorHAnsi"/>
                <w:sz w:val="20"/>
                <w:szCs w:val="20"/>
              </w:rPr>
              <w:t xml:space="preserve">Chinese&gt;Caucasian (premenopausal) </w:t>
            </w:r>
          </w:p>
        </w:tc>
        <w:tc>
          <w:tcPr>
            <w:tcW w:w="3512" w:type="dxa"/>
          </w:tcPr>
          <w:p w14:paraId="181FE26C" w14:textId="77777777" w:rsidR="007E290E" w:rsidRPr="00FE410C" w:rsidRDefault="007E290E" w:rsidP="00491A0F">
            <w:pPr>
              <w:jc w:val="both"/>
              <w:rPr>
                <w:rFonts w:cstheme="minorHAnsi"/>
                <w:sz w:val="20"/>
                <w:szCs w:val="20"/>
              </w:rPr>
            </w:pPr>
            <w:r w:rsidRPr="00FE410C">
              <w:rPr>
                <w:rFonts w:cstheme="minorHAnsi"/>
                <w:sz w:val="20"/>
                <w:szCs w:val="20"/>
              </w:rPr>
              <w:t>Ct. / total cross-sectional area, matrix mineral density*</w:t>
            </w:r>
          </w:p>
        </w:tc>
        <w:tc>
          <w:tcPr>
            <w:tcW w:w="3513" w:type="dxa"/>
          </w:tcPr>
          <w:p w14:paraId="1A3E0ED8" w14:textId="77777777" w:rsidR="007E290E" w:rsidRPr="00BA31CF" w:rsidRDefault="007E290E" w:rsidP="00491A0F">
            <w:pPr>
              <w:jc w:val="both"/>
              <w:rPr>
                <w:rFonts w:cstheme="minorHAnsi"/>
                <w:sz w:val="20"/>
                <w:szCs w:val="20"/>
              </w:rPr>
            </w:pPr>
            <w:r w:rsidRPr="00BA31CF">
              <w:rPr>
                <w:rFonts w:cstheme="minorHAnsi"/>
                <w:sz w:val="20"/>
                <w:szCs w:val="20"/>
              </w:rPr>
              <w:t>Matrix mineral density*</w:t>
            </w:r>
          </w:p>
        </w:tc>
        <w:tc>
          <w:tcPr>
            <w:tcW w:w="542" w:type="dxa"/>
            <w:vMerge w:val="restart"/>
          </w:tcPr>
          <w:p w14:paraId="59CC447E" w14:textId="2CF3B270" w:rsidR="007E290E" w:rsidRPr="008B3522" w:rsidRDefault="007E290E" w:rsidP="00784F44">
            <w:pPr>
              <w:jc w:val="both"/>
              <w:rPr>
                <w:rFonts w:cstheme="minorHAnsi"/>
                <w:sz w:val="20"/>
                <w:szCs w:val="20"/>
              </w:rPr>
            </w:pPr>
            <w:r>
              <w:rPr>
                <w:rFonts w:cstheme="minorHAnsi"/>
                <w:noProof/>
                <w:sz w:val="20"/>
                <w:szCs w:val="20"/>
              </w:rPr>
              <w:t>[31]</w:t>
            </w:r>
          </w:p>
        </w:tc>
      </w:tr>
      <w:tr w:rsidR="007E290E" w14:paraId="29577DF6" w14:textId="77777777" w:rsidTr="00F6658F">
        <w:trPr>
          <w:trHeight w:val="305"/>
        </w:trPr>
        <w:tc>
          <w:tcPr>
            <w:tcW w:w="897" w:type="dxa"/>
            <w:vMerge/>
          </w:tcPr>
          <w:p w14:paraId="36F72C3A" w14:textId="77777777" w:rsidR="007E290E" w:rsidRPr="008B3522" w:rsidRDefault="007E290E" w:rsidP="00491A0F">
            <w:pPr>
              <w:tabs>
                <w:tab w:val="left" w:pos="5260"/>
              </w:tabs>
              <w:jc w:val="both"/>
              <w:rPr>
                <w:rFonts w:cstheme="minorHAnsi"/>
                <w:sz w:val="20"/>
                <w:szCs w:val="20"/>
              </w:rPr>
            </w:pPr>
          </w:p>
        </w:tc>
        <w:tc>
          <w:tcPr>
            <w:tcW w:w="5613" w:type="dxa"/>
          </w:tcPr>
          <w:p w14:paraId="43687095" w14:textId="77777777" w:rsidR="007E290E" w:rsidRPr="00FE410C" w:rsidRDefault="007E290E" w:rsidP="00491A0F">
            <w:pPr>
              <w:jc w:val="both"/>
              <w:rPr>
                <w:rFonts w:cstheme="minorHAnsi"/>
                <w:sz w:val="20"/>
                <w:szCs w:val="20"/>
              </w:rPr>
            </w:pPr>
            <w:r w:rsidRPr="00FE410C">
              <w:rPr>
                <w:rFonts w:cstheme="minorHAnsi"/>
                <w:sz w:val="20"/>
                <w:szCs w:val="20"/>
              </w:rPr>
              <w:t>Caucasian&gt;Chinese (premenopausal)</w:t>
            </w:r>
          </w:p>
        </w:tc>
        <w:tc>
          <w:tcPr>
            <w:tcW w:w="3512" w:type="dxa"/>
          </w:tcPr>
          <w:p w14:paraId="18B3D0DC" w14:textId="77777777" w:rsidR="007E290E" w:rsidRPr="00FE410C" w:rsidRDefault="007E290E" w:rsidP="00491A0F">
            <w:pPr>
              <w:jc w:val="both"/>
              <w:rPr>
                <w:rFonts w:cstheme="minorHAnsi"/>
                <w:sz w:val="20"/>
                <w:szCs w:val="20"/>
              </w:rPr>
            </w:pPr>
            <w:r w:rsidRPr="00FE410C">
              <w:rPr>
                <w:rFonts w:cstheme="minorHAnsi"/>
                <w:sz w:val="20"/>
                <w:szCs w:val="20"/>
              </w:rPr>
              <w:t>Total cross-sectional area, Ct. area, medullary cross-sectional area, Ct. porosity (total*, compact-appearing*, outer transitional zone)</w:t>
            </w:r>
          </w:p>
        </w:tc>
        <w:tc>
          <w:tcPr>
            <w:tcW w:w="3513" w:type="dxa"/>
          </w:tcPr>
          <w:p w14:paraId="45603B66" w14:textId="77777777" w:rsidR="007E290E" w:rsidRPr="00BA31CF" w:rsidRDefault="007E290E" w:rsidP="00491A0F">
            <w:pPr>
              <w:jc w:val="both"/>
              <w:rPr>
                <w:rFonts w:cstheme="minorHAnsi"/>
                <w:sz w:val="20"/>
                <w:szCs w:val="20"/>
              </w:rPr>
            </w:pPr>
            <w:r w:rsidRPr="00BA31CF">
              <w:rPr>
                <w:rFonts w:cstheme="minorHAnsi"/>
                <w:sz w:val="20"/>
                <w:szCs w:val="20"/>
              </w:rPr>
              <w:t>Total cross-sectional area, Ct. area*, Medullary cross-sectional area*, Ct. porosity (total*, compact-appearing*, outer transitional zone*)</w:t>
            </w:r>
          </w:p>
        </w:tc>
        <w:tc>
          <w:tcPr>
            <w:tcW w:w="542" w:type="dxa"/>
            <w:vMerge/>
          </w:tcPr>
          <w:p w14:paraId="17D389BB" w14:textId="77777777" w:rsidR="007E290E" w:rsidRDefault="007E290E" w:rsidP="00491A0F">
            <w:pPr>
              <w:jc w:val="both"/>
              <w:rPr>
                <w:rFonts w:cstheme="minorHAnsi"/>
                <w:sz w:val="20"/>
                <w:szCs w:val="20"/>
              </w:rPr>
            </w:pPr>
          </w:p>
        </w:tc>
      </w:tr>
      <w:tr w:rsidR="007E290E" w14:paraId="42242F93" w14:textId="77777777" w:rsidTr="00F6658F">
        <w:trPr>
          <w:trHeight w:val="305"/>
        </w:trPr>
        <w:tc>
          <w:tcPr>
            <w:tcW w:w="897" w:type="dxa"/>
            <w:vMerge/>
          </w:tcPr>
          <w:p w14:paraId="1C881498" w14:textId="77777777" w:rsidR="007E290E" w:rsidRPr="008B3522" w:rsidRDefault="007E290E" w:rsidP="00491A0F">
            <w:pPr>
              <w:tabs>
                <w:tab w:val="left" w:pos="5260"/>
              </w:tabs>
              <w:jc w:val="both"/>
              <w:rPr>
                <w:rFonts w:cstheme="minorHAnsi"/>
                <w:sz w:val="20"/>
                <w:szCs w:val="20"/>
              </w:rPr>
            </w:pPr>
          </w:p>
        </w:tc>
        <w:tc>
          <w:tcPr>
            <w:tcW w:w="5613" w:type="dxa"/>
          </w:tcPr>
          <w:p w14:paraId="2B8AD6F9" w14:textId="77777777" w:rsidR="007E290E" w:rsidRPr="00FE410C" w:rsidRDefault="007E290E" w:rsidP="00491A0F">
            <w:pPr>
              <w:jc w:val="both"/>
              <w:rPr>
                <w:rFonts w:cstheme="minorHAnsi"/>
                <w:sz w:val="20"/>
                <w:szCs w:val="20"/>
              </w:rPr>
            </w:pPr>
            <w:r w:rsidRPr="00FE410C">
              <w:rPr>
                <w:rFonts w:cstheme="minorHAnsi"/>
                <w:sz w:val="20"/>
                <w:szCs w:val="20"/>
              </w:rPr>
              <w:t>Chinese&gt;Caucasian (postmenopausal)</w:t>
            </w:r>
          </w:p>
        </w:tc>
        <w:tc>
          <w:tcPr>
            <w:tcW w:w="3512" w:type="dxa"/>
          </w:tcPr>
          <w:p w14:paraId="0865DA70" w14:textId="77777777" w:rsidR="007E290E" w:rsidRPr="00FE410C" w:rsidRDefault="007E290E" w:rsidP="00491A0F">
            <w:pPr>
              <w:jc w:val="both"/>
              <w:rPr>
                <w:rFonts w:cstheme="minorHAnsi"/>
                <w:sz w:val="20"/>
                <w:szCs w:val="20"/>
              </w:rPr>
            </w:pPr>
            <w:r w:rsidRPr="00FE410C">
              <w:rPr>
                <w:rFonts w:cstheme="minorHAnsi"/>
                <w:sz w:val="20"/>
                <w:szCs w:val="20"/>
              </w:rPr>
              <w:t>Ct. porosity (inner transitional zone*)</w:t>
            </w:r>
          </w:p>
        </w:tc>
        <w:tc>
          <w:tcPr>
            <w:tcW w:w="3513" w:type="dxa"/>
          </w:tcPr>
          <w:p w14:paraId="4679B535" w14:textId="77777777" w:rsidR="007E290E" w:rsidRPr="00CA1161" w:rsidRDefault="007E290E" w:rsidP="00491A0F">
            <w:pPr>
              <w:jc w:val="both"/>
              <w:rPr>
                <w:rFonts w:cstheme="minorHAnsi"/>
                <w:color w:val="FF0000"/>
                <w:sz w:val="20"/>
                <w:szCs w:val="20"/>
              </w:rPr>
            </w:pPr>
            <w:r w:rsidRPr="00BA31CF">
              <w:rPr>
                <w:rFonts w:cstheme="minorHAnsi"/>
                <w:sz w:val="20"/>
                <w:szCs w:val="20"/>
              </w:rPr>
              <w:t>Ct. porosity (inner transitional zone*)</w:t>
            </w:r>
          </w:p>
        </w:tc>
        <w:tc>
          <w:tcPr>
            <w:tcW w:w="542" w:type="dxa"/>
            <w:vMerge/>
          </w:tcPr>
          <w:p w14:paraId="462986C6" w14:textId="77777777" w:rsidR="007E290E" w:rsidRDefault="007E290E" w:rsidP="00491A0F">
            <w:pPr>
              <w:jc w:val="both"/>
              <w:rPr>
                <w:rFonts w:cstheme="minorHAnsi"/>
                <w:sz w:val="20"/>
                <w:szCs w:val="20"/>
              </w:rPr>
            </w:pPr>
          </w:p>
        </w:tc>
      </w:tr>
      <w:tr w:rsidR="007E290E" w14:paraId="6850671B" w14:textId="77777777" w:rsidTr="00F6658F">
        <w:trPr>
          <w:trHeight w:val="305"/>
        </w:trPr>
        <w:tc>
          <w:tcPr>
            <w:tcW w:w="897" w:type="dxa"/>
            <w:vMerge/>
          </w:tcPr>
          <w:p w14:paraId="0141E57C" w14:textId="77777777" w:rsidR="007E290E" w:rsidRPr="008B3522" w:rsidRDefault="007E290E" w:rsidP="00491A0F">
            <w:pPr>
              <w:tabs>
                <w:tab w:val="left" w:pos="5260"/>
              </w:tabs>
              <w:jc w:val="both"/>
              <w:rPr>
                <w:rFonts w:cstheme="minorHAnsi"/>
                <w:sz w:val="20"/>
                <w:szCs w:val="20"/>
              </w:rPr>
            </w:pPr>
          </w:p>
        </w:tc>
        <w:tc>
          <w:tcPr>
            <w:tcW w:w="5613" w:type="dxa"/>
          </w:tcPr>
          <w:p w14:paraId="580D79AC" w14:textId="77777777" w:rsidR="007E290E" w:rsidRPr="00FE410C" w:rsidRDefault="007E290E" w:rsidP="00491A0F">
            <w:pPr>
              <w:jc w:val="both"/>
              <w:rPr>
                <w:rFonts w:cstheme="minorHAnsi"/>
                <w:sz w:val="20"/>
                <w:szCs w:val="20"/>
              </w:rPr>
            </w:pPr>
            <w:r w:rsidRPr="00FE410C">
              <w:rPr>
                <w:rFonts w:cstheme="minorHAnsi"/>
                <w:sz w:val="20"/>
                <w:szCs w:val="20"/>
              </w:rPr>
              <w:t>Caucasian&gt;Chinese (postmenopausal)</w:t>
            </w:r>
          </w:p>
        </w:tc>
        <w:tc>
          <w:tcPr>
            <w:tcW w:w="3512" w:type="dxa"/>
          </w:tcPr>
          <w:p w14:paraId="18019B19" w14:textId="77777777" w:rsidR="007E290E" w:rsidRPr="00FE410C" w:rsidRDefault="007E290E" w:rsidP="00491A0F">
            <w:pPr>
              <w:jc w:val="both"/>
              <w:rPr>
                <w:rFonts w:cstheme="minorHAnsi"/>
                <w:sz w:val="20"/>
                <w:szCs w:val="20"/>
              </w:rPr>
            </w:pPr>
            <w:r w:rsidRPr="00FE410C">
              <w:rPr>
                <w:rFonts w:cstheme="minorHAnsi"/>
                <w:sz w:val="20"/>
                <w:szCs w:val="20"/>
              </w:rPr>
              <w:t>Total cross-sectional area, Ct. area*, me</w:t>
            </w:r>
            <w:r>
              <w:rPr>
                <w:rFonts w:cstheme="minorHAnsi"/>
                <w:sz w:val="20"/>
                <w:szCs w:val="20"/>
              </w:rPr>
              <w:t>dullary cross-sectional area*, Ct. thickness*, Whole bone stiffness*, F</w:t>
            </w:r>
            <w:r w:rsidRPr="00FE410C">
              <w:rPr>
                <w:rFonts w:cstheme="minorHAnsi"/>
                <w:sz w:val="20"/>
                <w:szCs w:val="20"/>
              </w:rPr>
              <w:t>ailure load*</w:t>
            </w:r>
          </w:p>
        </w:tc>
        <w:tc>
          <w:tcPr>
            <w:tcW w:w="3513" w:type="dxa"/>
          </w:tcPr>
          <w:p w14:paraId="10A7C455" w14:textId="77777777" w:rsidR="007E290E" w:rsidRPr="00CA1161" w:rsidRDefault="007E290E" w:rsidP="00491A0F">
            <w:pPr>
              <w:jc w:val="both"/>
              <w:rPr>
                <w:rFonts w:cstheme="minorHAnsi"/>
                <w:color w:val="FF0000"/>
                <w:sz w:val="20"/>
                <w:szCs w:val="20"/>
              </w:rPr>
            </w:pPr>
            <w:r w:rsidRPr="00BA31CF">
              <w:rPr>
                <w:rFonts w:cstheme="minorHAnsi"/>
                <w:sz w:val="20"/>
                <w:szCs w:val="20"/>
              </w:rPr>
              <w:t xml:space="preserve">Total cross-sectional area, Whole </w:t>
            </w:r>
            <w:r>
              <w:rPr>
                <w:rFonts w:cstheme="minorHAnsi"/>
                <w:sz w:val="20"/>
                <w:szCs w:val="20"/>
              </w:rPr>
              <w:t xml:space="preserve">bone </w:t>
            </w:r>
            <w:r w:rsidRPr="00BA31CF">
              <w:rPr>
                <w:rFonts w:cstheme="minorHAnsi"/>
                <w:sz w:val="20"/>
                <w:szCs w:val="20"/>
              </w:rPr>
              <w:t>stiffness, Failure load</w:t>
            </w:r>
          </w:p>
        </w:tc>
        <w:tc>
          <w:tcPr>
            <w:tcW w:w="542" w:type="dxa"/>
            <w:vMerge/>
          </w:tcPr>
          <w:p w14:paraId="0F23B7D7" w14:textId="77777777" w:rsidR="007E290E" w:rsidRDefault="007E290E" w:rsidP="00491A0F">
            <w:pPr>
              <w:jc w:val="both"/>
              <w:rPr>
                <w:rFonts w:cstheme="minorHAnsi"/>
                <w:sz w:val="20"/>
                <w:szCs w:val="20"/>
              </w:rPr>
            </w:pPr>
          </w:p>
        </w:tc>
      </w:tr>
      <w:tr w:rsidR="00F6658F" w14:paraId="0F6A4146" w14:textId="77777777" w:rsidTr="00F6658F">
        <w:trPr>
          <w:trHeight w:val="305"/>
        </w:trPr>
        <w:tc>
          <w:tcPr>
            <w:tcW w:w="897" w:type="dxa"/>
          </w:tcPr>
          <w:p w14:paraId="2EE34F96" w14:textId="17F57086" w:rsidR="00F6658F" w:rsidRPr="008B3522" w:rsidRDefault="00F6658F" w:rsidP="00F6658F">
            <w:pPr>
              <w:tabs>
                <w:tab w:val="left" w:pos="5260"/>
              </w:tabs>
              <w:jc w:val="both"/>
              <w:rPr>
                <w:rFonts w:cstheme="minorHAnsi"/>
                <w:sz w:val="20"/>
                <w:szCs w:val="20"/>
              </w:rPr>
            </w:pPr>
            <w:r w:rsidRPr="008B3522">
              <w:rPr>
                <w:rFonts w:cstheme="minorHAnsi"/>
                <w:sz w:val="20"/>
                <w:szCs w:val="20"/>
              </w:rPr>
              <w:t>pQCT in men</w:t>
            </w:r>
          </w:p>
        </w:tc>
        <w:tc>
          <w:tcPr>
            <w:tcW w:w="5613" w:type="dxa"/>
          </w:tcPr>
          <w:p w14:paraId="1BD0E2E0" w14:textId="77777777" w:rsidR="00F6658F" w:rsidRDefault="00F6658F" w:rsidP="00564A25">
            <w:pPr>
              <w:jc w:val="both"/>
              <w:rPr>
                <w:rFonts w:cstheme="minorHAnsi"/>
                <w:sz w:val="20"/>
                <w:szCs w:val="20"/>
              </w:rPr>
            </w:pPr>
            <w:r w:rsidRPr="00284790">
              <w:rPr>
                <w:rFonts w:cstheme="minorHAnsi"/>
                <w:sz w:val="20"/>
                <w:szCs w:val="20"/>
              </w:rPr>
              <w:t>Black Afro-Caribbean&gt;White Europ</w:t>
            </w:r>
            <w:r>
              <w:rPr>
                <w:rFonts w:cstheme="minorHAnsi"/>
                <w:sz w:val="20"/>
                <w:szCs w:val="20"/>
              </w:rPr>
              <w:t xml:space="preserve">ean and South Asian, </w:t>
            </w:r>
          </w:p>
          <w:p w14:paraId="617109CD" w14:textId="379C7687" w:rsidR="00F6658F" w:rsidRPr="00FE410C" w:rsidRDefault="00F6658F" w:rsidP="00564A25">
            <w:pPr>
              <w:jc w:val="both"/>
              <w:rPr>
                <w:rFonts w:cstheme="minorHAnsi"/>
                <w:sz w:val="20"/>
                <w:szCs w:val="20"/>
              </w:rPr>
            </w:pPr>
            <w:r>
              <w:rPr>
                <w:rFonts w:cstheme="minorHAnsi"/>
                <w:sz w:val="20"/>
                <w:szCs w:val="20"/>
              </w:rPr>
              <w:t xml:space="preserve">White European&gt;South Asian </w:t>
            </w:r>
          </w:p>
        </w:tc>
        <w:tc>
          <w:tcPr>
            <w:tcW w:w="3512" w:type="dxa"/>
          </w:tcPr>
          <w:p w14:paraId="4891F548" w14:textId="0E3665EF" w:rsidR="00F6658F" w:rsidRPr="00FE410C" w:rsidRDefault="00F6658F" w:rsidP="00564A25">
            <w:pPr>
              <w:jc w:val="both"/>
              <w:rPr>
                <w:rFonts w:cstheme="minorHAnsi"/>
                <w:sz w:val="20"/>
                <w:szCs w:val="20"/>
              </w:rPr>
            </w:pPr>
            <w:r w:rsidRPr="00284790">
              <w:rPr>
                <w:rFonts w:cstheme="minorHAnsi"/>
                <w:sz w:val="20"/>
                <w:szCs w:val="20"/>
              </w:rPr>
              <w:t>Ct.</w:t>
            </w:r>
            <w:r>
              <w:rPr>
                <w:rFonts w:cstheme="minorHAnsi"/>
                <w:sz w:val="20"/>
                <w:szCs w:val="20"/>
              </w:rPr>
              <w:t xml:space="preserve"> thickness</w:t>
            </w:r>
            <w:r w:rsidRPr="00284790">
              <w:rPr>
                <w:rFonts w:cstheme="minorHAnsi"/>
                <w:sz w:val="20"/>
                <w:szCs w:val="20"/>
              </w:rPr>
              <w:t>*, Ct.</w:t>
            </w:r>
            <w:r>
              <w:rPr>
                <w:rFonts w:cstheme="minorHAnsi"/>
                <w:sz w:val="20"/>
                <w:szCs w:val="20"/>
              </w:rPr>
              <w:t xml:space="preserve"> area</w:t>
            </w:r>
            <w:r w:rsidRPr="00284790">
              <w:rPr>
                <w:rFonts w:cstheme="minorHAnsi"/>
                <w:sz w:val="20"/>
                <w:szCs w:val="20"/>
              </w:rPr>
              <w:t>*</w:t>
            </w:r>
            <w:r>
              <w:rPr>
                <w:rFonts w:cstheme="minorHAnsi"/>
                <w:sz w:val="20"/>
                <w:szCs w:val="20"/>
              </w:rPr>
              <w:t xml:space="preserve"> (diaphysis)</w:t>
            </w:r>
          </w:p>
        </w:tc>
        <w:tc>
          <w:tcPr>
            <w:tcW w:w="3513" w:type="dxa"/>
          </w:tcPr>
          <w:p w14:paraId="227BB602" w14:textId="2962AEFE" w:rsidR="00F6658F" w:rsidRPr="00BA31CF" w:rsidRDefault="00F6658F" w:rsidP="00564A25">
            <w:pPr>
              <w:jc w:val="both"/>
              <w:rPr>
                <w:rFonts w:cstheme="minorHAnsi"/>
                <w:sz w:val="20"/>
                <w:szCs w:val="20"/>
              </w:rPr>
            </w:pPr>
            <w:r w:rsidRPr="00284790">
              <w:rPr>
                <w:rFonts w:cstheme="minorHAnsi"/>
                <w:sz w:val="20"/>
                <w:szCs w:val="20"/>
              </w:rPr>
              <w:t>Ct.</w:t>
            </w:r>
            <w:r>
              <w:rPr>
                <w:rFonts w:cstheme="minorHAnsi"/>
                <w:sz w:val="20"/>
                <w:szCs w:val="20"/>
              </w:rPr>
              <w:t xml:space="preserve"> area</w:t>
            </w:r>
            <w:r w:rsidRPr="00284790">
              <w:rPr>
                <w:rFonts w:cstheme="minorHAnsi"/>
                <w:sz w:val="20"/>
                <w:szCs w:val="20"/>
              </w:rPr>
              <w:t xml:space="preserve">*, Ct. </w:t>
            </w:r>
            <w:r>
              <w:rPr>
                <w:rFonts w:cstheme="minorHAnsi"/>
                <w:sz w:val="20"/>
                <w:szCs w:val="20"/>
              </w:rPr>
              <w:t>thickness, Cross-sectional area</w:t>
            </w:r>
            <w:r w:rsidRPr="00284790">
              <w:rPr>
                <w:rFonts w:cstheme="minorHAnsi"/>
                <w:sz w:val="20"/>
                <w:szCs w:val="20"/>
              </w:rPr>
              <w:t>, CSMI (</w:t>
            </w:r>
            <w:r>
              <w:rPr>
                <w:rFonts w:cstheme="minorHAnsi"/>
                <w:sz w:val="20"/>
                <w:szCs w:val="20"/>
              </w:rPr>
              <w:t>diaphysis</w:t>
            </w:r>
            <w:r w:rsidRPr="00284790">
              <w:rPr>
                <w:rFonts w:cstheme="minorHAnsi"/>
                <w:sz w:val="20"/>
                <w:szCs w:val="20"/>
              </w:rPr>
              <w:t>)</w:t>
            </w:r>
          </w:p>
        </w:tc>
        <w:tc>
          <w:tcPr>
            <w:tcW w:w="542" w:type="dxa"/>
          </w:tcPr>
          <w:p w14:paraId="7F021EF3" w14:textId="7A63F63C" w:rsidR="00F6658F" w:rsidRDefault="00F6658F" w:rsidP="00F6658F">
            <w:pPr>
              <w:jc w:val="both"/>
              <w:rPr>
                <w:rFonts w:cstheme="minorHAnsi"/>
                <w:sz w:val="20"/>
                <w:szCs w:val="20"/>
              </w:rPr>
            </w:pPr>
            <w:r>
              <w:rPr>
                <w:rFonts w:cstheme="minorHAnsi"/>
                <w:noProof/>
                <w:sz w:val="20"/>
                <w:szCs w:val="20"/>
              </w:rPr>
              <w:t>[36]</w:t>
            </w:r>
          </w:p>
        </w:tc>
      </w:tr>
      <w:tr w:rsidR="00F6658F" w14:paraId="797C1CE7" w14:textId="77777777" w:rsidTr="00F6658F">
        <w:trPr>
          <w:trHeight w:val="305"/>
        </w:trPr>
        <w:tc>
          <w:tcPr>
            <w:tcW w:w="897" w:type="dxa"/>
          </w:tcPr>
          <w:p w14:paraId="51282550" w14:textId="77777777" w:rsidR="00F6658F" w:rsidRPr="008B3522" w:rsidRDefault="00F6658F" w:rsidP="00F6658F">
            <w:pPr>
              <w:tabs>
                <w:tab w:val="left" w:pos="5260"/>
              </w:tabs>
              <w:jc w:val="both"/>
              <w:rPr>
                <w:rFonts w:cstheme="minorHAnsi"/>
                <w:sz w:val="20"/>
                <w:szCs w:val="20"/>
              </w:rPr>
            </w:pPr>
          </w:p>
        </w:tc>
        <w:tc>
          <w:tcPr>
            <w:tcW w:w="5613" w:type="dxa"/>
          </w:tcPr>
          <w:p w14:paraId="0C2C5AB6" w14:textId="296DC387" w:rsidR="00F6658F" w:rsidRPr="00284790" w:rsidRDefault="00F6658F" w:rsidP="00F6658F">
            <w:pPr>
              <w:jc w:val="both"/>
              <w:rPr>
                <w:rFonts w:cstheme="minorHAnsi"/>
                <w:sz w:val="20"/>
                <w:szCs w:val="20"/>
              </w:rPr>
            </w:pPr>
            <w:r>
              <w:rPr>
                <w:rFonts w:cstheme="minorHAnsi"/>
                <w:sz w:val="20"/>
                <w:szCs w:val="20"/>
              </w:rPr>
              <w:t>Rural South Indian&lt;US Caucasian &amp;</w:t>
            </w:r>
            <w:r w:rsidRPr="00284790">
              <w:rPr>
                <w:rFonts w:cstheme="minorHAnsi"/>
                <w:sz w:val="20"/>
                <w:szCs w:val="20"/>
              </w:rPr>
              <w:t xml:space="preserve"> Afro-Caribbean&gt;US Caucasian</w:t>
            </w:r>
          </w:p>
        </w:tc>
        <w:tc>
          <w:tcPr>
            <w:tcW w:w="3512" w:type="dxa"/>
          </w:tcPr>
          <w:p w14:paraId="1CA0BA22" w14:textId="24A0FE31" w:rsidR="00F6658F" w:rsidRPr="00284790" w:rsidRDefault="00F6658F" w:rsidP="00564A25">
            <w:pPr>
              <w:jc w:val="both"/>
              <w:rPr>
                <w:rFonts w:cstheme="minorHAnsi"/>
                <w:sz w:val="20"/>
                <w:szCs w:val="20"/>
              </w:rPr>
            </w:pPr>
            <w:r w:rsidRPr="00284790">
              <w:rPr>
                <w:rFonts w:cstheme="minorHAnsi"/>
                <w:sz w:val="20"/>
                <w:szCs w:val="20"/>
              </w:rPr>
              <w:t>Ct. thickness (</w:t>
            </w:r>
            <w:r>
              <w:rPr>
                <w:rFonts w:cstheme="minorHAnsi"/>
                <w:sz w:val="20"/>
                <w:szCs w:val="20"/>
              </w:rPr>
              <w:t>diaphysis</w:t>
            </w:r>
            <w:r w:rsidRPr="00284790">
              <w:rPr>
                <w:rFonts w:cstheme="minorHAnsi"/>
                <w:sz w:val="20"/>
                <w:szCs w:val="20"/>
              </w:rPr>
              <w:t>)**</w:t>
            </w:r>
          </w:p>
        </w:tc>
        <w:tc>
          <w:tcPr>
            <w:tcW w:w="3513" w:type="dxa"/>
          </w:tcPr>
          <w:p w14:paraId="5D115ECD" w14:textId="1259AB68" w:rsidR="00F6658F" w:rsidRPr="00284790" w:rsidRDefault="00F6658F" w:rsidP="00564A25">
            <w:pPr>
              <w:jc w:val="both"/>
              <w:rPr>
                <w:rFonts w:cstheme="minorHAnsi"/>
                <w:sz w:val="20"/>
                <w:szCs w:val="20"/>
              </w:rPr>
            </w:pPr>
            <w:r w:rsidRPr="00284790">
              <w:rPr>
                <w:rFonts w:cstheme="minorHAnsi"/>
                <w:sz w:val="20"/>
                <w:szCs w:val="20"/>
              </w:rPr>
              <w:t>SSI (</w:t>
            </w:r>
            <w:r>
              <w:rPr>
                <w:rFonts w:cstheme="minorHAnsi"/>
                <w:sz w:val="20"/>
                <w:szCs w:val="20"/>
              </w:rPr>
              <w:t>metaphysis</w:t>
            </w:r>
            <w:r w:rsidRPr="00284790">
              <w:rPr>
                <w:rFonts w:cstheme="minorHAnsi"/>
                <w:sz w:val="20"/>
                <w:szCs w:val="20"/>
              </w:rPr>
              <w:t>)</w:t>
            </w:r>
            <w:r>
              <w:rPr>
                <w:rFonts w:cstheme="minorHAnsi"/>
                <w:sz w:val="20"/>
                <w:szCs w:val="20"/>
              </w:rPr>
              <w:t>**</w:t>
            </w:r>
          </w:p>
        </w:tc>
        <w:tc>
          <w:tcPr>
            <w:tcW w:w="542" w:type="dxa"/>
          </w:tcPr>
          <w:p w14:paraId="7E6EBE01" w14:textId="67EA46A4" w:rsidR="00F6658F" w:rsidRDefault="00F6658F" w:rsidP="00F6658F">
            <w:pPr>
              <w:jc w:val="both"/>
              <w:rPr>
                <w:rFonts w:cstheme="minorHAnsi"/>
                <w:sz w:val="20"/>
                <w:szCs w:val="20"/>
              </w:rPr>
            </w:pPr>
            <w:r>
              <w:rPr>
                <w:rFonts w:cstheme="minorHAnsi"/>
                <w:noProof/>
                <w:sz w:val="20"/>
                <w:szCs w:val="20"/>
              </w:rPr>
              <w:t>[37]</w:t>
            </w:r>
          </w:p>
        </w:tc>
      </w:tr>
      <w:tr w:rsidR="00F6658F" w14:paraId="729FDCD1" w14:textId="77777777" w:rsidTr="00F6658F">
        <w:trPr>
          <w:trHeight w:val="305"/>
        </w:trPr>
        <w:tc>
          <w:tcPr>
            <w:tcW w:w="897" w:type="dxa"/>
          </w:tcPr>
          <w:p w14:paraId="26F615D1" w14:textId="77777777" w:rsidR="00F6658F" w:rsidRPr="008B3522" w:rsidRDefault="00F6658F" w:rsidP="00F6658F">
            <w:pPr>
              <w:tabs>
                <w:tab w:val="left" w:pos="5260"/>
              </w:tabs>
              <w:jc w:val="both"/>
              <w:rPr>
                <w:rFonts w:cstheme="minorHAnsi"/>
                <w:sz w:val="20"/>
                <w:szCs w:val="20"/>
              </w:rPr>
            </w:pPr>
          </w:p>
        </w:tc>
        <w:tc>
          <w:tcPr>
            <w:tcW w:w="5613" w:type="dxa"/>
          </w:tcPr>
          <w:p w14:paraId="49AFCCFD" w14:textId="79E73F2D" w:rsidR="00F6658F" w:rsidRDefault="00F6658F" w:rsidP="00F6658F">
            <w:pPr>
              <w:jc w:val="both"/>
              <w:rPr>
                <w:rFonts w:cstheme="minorHAnsi"/>
                <w:sz w:val="20"/>
                <w:szCs w:val="20"/>
              </w:rPr>
            </w:pPr>
            <w:r w:rsidRPr="00284790">
              <w:rPr>
                <w:rFonts w:cstheme="minorHAnsi"/>
                <w:sz w:val="20"/>
                <w:szCs w:val="20"/>
              </w:rPr>
              <w:t>R</w:t>
            </w:r>
            <w:r>
              <w:rPr>
                <w:rFonts w:cstheme="minorHAnsi"/>
                <w:sz w:val="20"/>
                <w:szCs w:val="20"/>
              </w:rPr>
              <w:t xml:space="preserve">ural South Indian&lt;US Caucasian &amp; </w:t>
            </w:r>
            <w:r w:rsidRPr="00284790">
              <w:rPr>
                <w:rFonts w:cstheme="minorHAnsi"/>
                <w:sz w:val="20"/>
                <w:szCs w:val="20"/>
              </w:rPr>
              <w:t>Afro-Caribbean&lt;US Caucasian</w:t>
            </w:r>
          </w:p>
        </w:tc>
        <w:tc>
          <w:tcPr>
            <w:tcW w:w="3512" w:type="dxa"/>
          </w:tcPr>
          <w:p w14:paraId="7857EC7C" w14:textId="77777777" w:rsidR="00F6658F" w:rsidRPr="00284790" w:rsidRDefault="00F6658F" w:rsidP="00F6658F">
            <w:pPr>
              <w:jc w:val="both"/>
              <w:rPr>
                <w:rFonts w:cstheme="minorHAnsi"/>
                <w:sz w:val="20"/>
                <w:szCs w:val="20"/>
              </w:rPr>
            </w:pPr>
          </w:p>
        </w:tc>
        <w:tc>
          <w:tcPr>
            <w:tcW w:w="3513" w:type="dxa"/>
          </w:tcPr>
          <w:p w14:paraId="6018446F" w14:textId="0247537E" w:rsidR="00F6658F" w:rsidRPr="00284790" w:rsidRDefault="00F6658F" w:rsidP="00564A25">
            <w:pPr>
              <w:jc w:val="both"/>
              <w:rPr>
                <w:rFonts w:cstheme="minorHAnsi"/>
                <w:sz w:val="20"/>
                <w:szCs w:val="20"/>
              </w:rPr>
            </w:pPr>
            <w:r w:rsidRPr="00284790">
              <w:rPr>
                <w:rFonts w:cstheme="minorHAnsi"/>
                <w:sz w:val="20"/>
                <w:szCs w:val="20"/>
              </w:rPr>
              <w:t>Ct. thickness (</w:t>
            </w:r>
            <w:r>
              <w:rPr>
                <w:rFonts w:cstheme="minorHAnsi"/>
                <w:sz w:val="20"/>
                <w:szCs w:val="20"/>
              </w:rPr>
              <w:t>diaphysis</w:t>
            </w:r>
            <w:r w:rsidRPr="00284790">
              <w:rPr>
                <w:rFonts w:cstheme="minorHAnsi"/>
                <w:sz w:val="20"/>
                <w:szCs w:val="20"/>
              </w:rPr>
              <w:t>)**</w:t>
            </w:r>
          </w:p>
        </w:tc>
        <w:tc>
          <w:tcPr>
            <w:tcW w:w="542" w:type="dxa"/>
          </w:tcPr>
          <w:p w14:paraId="1E064C0A" w14:textId="77777777" w:rsidR="00F6658F" w:rsidRDefault="00F6658F" w:rsidP="00F6658F">
            <w:pPr>
              <w:jc w:val="both"/>
              <w:rPr>
                <w:rFonts w:cstheme="minorHAnsi"/>
                <w:sz w:val="20"/>
                <w:szCs w:val="20"/>
              </w:rPr>
            </w:pPr>
          </w:p>
        </w:tc>
      </w:tr>
      <w:tr w:rsidR="00F6658F" w14:paraId="6434DABD" w14:textId="77777777" w:rsidTr="00F6658F">
        <w:trPr>
          <w:trHeight w:val="305"/>
        </w:trPr>
        <w:tc>
          <w:tcPr>
            <w:tcW w:w="897" w:type="dxa"/>
          </w:tcPr>
          <w:p w14:paraId="6DF0ACD6" w14:textId="77777777" w:rsidR="00F6658F" w:rsidRPr="008B3522" w:rsidRDefault="00F6658F" w:rsidP="00F6658F">
            <w:pPr>
              <w:tabs>
                <w:tab w:val="left" w:pos="5260"/>
              </w:tabs>
              <w:jc w:val="both"/>
              <w:rPr>
                <w:rFonts w:cstheme="minorHAnsi"/>
                <w:sz w:val="20"/>
                <w:szCs w:val="20"/>
              </w:rPr>
            </w:pPr>
          </w:p>
        </w:tc>
        <w:tc>
          <w:tcPr>
            <w:tcW w:w="5613" w:type="dxa"/>
          </w:tcPr>
          <w:p w14:paraId="45238135" w14:textId="5AB87F51" w:rsidR="00F6658F" w:rsidRPr="00284790" w:rsidRDefault="00F6658F" w:rsidP="00F6658F">
            <w:pPr>
              <w:jc w:val="both"/>
              <w:rPr>
                <w:rFonts w:cstheme="minorHAnsi"/>
                <w:sz w:val="20"/>
                <w:szCs w:val="20"/>
              </w:rPr>
            </w:pPr>
            <w:r w:rsidRPr="00284790">
              <w:rPr>
                <w:rFonts w:cstheme="minorHAnsi"/>
                <w:sz w:val="20"/>
                <w:szCs w:val="20"/>
              </w:rPr>
              <w:t>Rural South Indian&gt;US</w:t>
            </w:r>
            <w:r>
              <w:rPr>
                <w:rFonts w:cstheme="minorHAnsi"/>
                <w:sz w:val="20"/>
                <w:szCs w:val="20"/>
              </w:rPr>
              <w:t xml:space="preserve"> Caucasian &amp;</w:t>
            </w:r>
            <w:r w:rsidRPr="00284790">
              <w:rPr>
                <w:rFonts w:cstheme="minorHAnsi"/>
                <w:sz w:val="20"/>
                <w:szCs w:val="20"/>
              </w:rPr>
              <w:t xml:space="preserve"> Afro-Caribbean&gt;US Caucasian</w:t>
            </w:r>
          </w:p>
        </w:tc>
        <w:tc>
          <w:tcPr>
            <w:tcW w:w="3512" w:type="dxa"/>
          </w:tcPr>
          <w:p w14:paraId="7E20A4A5" w14:textId="77777777" w:rsidR="00F6658F" w:rsidRPr="00284790" w:rsidRDefault="00F6658F" w:rsidP="00F6658F">
            <w:pPr>
              <w:jc w:val="both"/>
              <w:rPr>
                <w:rFonts w:cstheme="minorHAnsi"/>
                <w:sz w:val="20"/>
                <w:szCs w:val="20"/>
              </w:rPr>
            </w:pPr>
          </w:p>
        </w:tc>
        <w:tc>
          <w:tcPr>
            <w:tcW w:w="3513" w:type="dxa"/>
          </w:tcPr>
          <w:p w14:paraId="45593857" w14:textId="568630F9" w:rsidR="00F6658F" w:rsidRPr="00284790" w:rsidRDefault="00F6658F" w:rsidP="00564A25">
            <w:pPr>
              <w:jc w:val="both"/>
              <w:rPr>
                <w:rFonts w:cstheme="minorHAnsi"/>
                <w:sz w:val="20"/>
                <w:szCs w:val="20"/>
              </w:rPr>
            </w:pPr>
            <w:r w:rsidRPr="00284790">
              <w:rPr>
                <w:rFonts w:cstheme="minorHAnsi"/>
                <w:sz w:val="20"/>
                <w:szCs w:val="20"/>
              </w:rPr>
              <w:t>Endosteal circumference (</w:t>
            </w:r>
            <w:r>
              <w:rPr>
                <w:rFonts w:cstheme="minorHAnsi"/>
                <w:sz w:val="20"/>
                <w:szCs w:val="20"/>
              </w:rPr>
              <w:t>diaphysis</w:t>
            </w:r>
            <w:r w:rsidRPr="00284790">
              <w:rPr>
                <w:rFonts w:cstheme="minorHAnsi"/>
                <w:sz w:val="20"/>
                <w:szCs w:val="20"/>
              </w:rPr>
              <w:t>)**</w:t>
            </w:r>
          </w:p>
        </w:tc>
        <w:tc>
          <w:tcPr>
            <w:tcW w:w="542" w:type="dxa"/>
          </w:tcPr>
          <w:p w14:paraId="0AD338C0" w14:textId="77777777" w:rsidR="00F6658F" w:rsidRDefault="00F6658F" w:rsidP="00F6658F">
            <w:pPr>
              <w:jc w:val="both"/>
              <w:rPr>
                <w:rFonts w:cstheme="minorHAnsi"/>
                <w:sz w:val="20"/>
                <w:szCs w:val="20"/>
              </w:rPr>
            </w:pPr>
          </w:p>
        </w:tc>
      </w:tr>
      <w:tr w:rsidR="00F6658F" w14:paraId="69328ECF" w14:textId="77777777" w:rsidTr="00F6658F">
        <w:trPr>
          <w:trHeight w:val="305"/>
        </w:trPr>
        <w:tc>
          <w:tcPr>
            <w:tcW w:w="897" w:type="dxa"/>
          </w:tcPr>
          <w:p w14:paraId="63AC2198" w14:textId="539D8A04" w:rsidR="00F6658F" w:rsidRPr="008B3522" w:rsidRDefault="00F6658F" w:rsidP="00F6658F">
            <w:pPr>
              <w:tabs>
                <w:tab w:val="left" w:pos="5260"/>
              </w:tabs>
              <w:jc w:val="both"/>
              <w:rPr>
                <w:rFonts w:cstheme="minorHAnsi"/>
                <w:sz w:val="20"/>
                <w:szCs w:val="20"/>
              </w:rPr>
            </w:pPr>
            <w:r>
              <w:rPr>
                <w:rFonts w:cstheme="minorHAnsi"/>
                <w:sz w:val="20"/>
                <w:szCs w:val="20"/>
              </w:rPr>
              <w:t xml:space="preserve">HR-pQCT in </w:t>
            </w:r>
            <w:r>
              <w:rPr>
                <w:rFonts w:cstheme="minorHAnsi"/>
                <w:sz w:val="20"/>
                <w:szCs w:val="20"/>
              </w:rPr>
              <w:lastRenderedPageBreak/>
              <w:t>young adults</w:t>
            </w:r>
          </w:p>
        </w:tc>
        <w:tc>
          <w:tcPr>
            <w:tcW w:w="5613" w:type="dxa"/>
          </w:tcPr>
          <w:p w14:paraId="5D91A147" w14:textId="7C44ACAF" w:rsidR="00F6658F" w:rsidRPr="00284790" w:rsidRDefault="00F6658F" w:rsidP="00F6658F">
            <w:pPr>
              <w:jc w:val="both"/>
              <w:rPr>
                <w:rFonts w:cstheme="minorHAnsi"/>
                <w:sz w:val="20"/>
                <w:szCs w:val="20"/>
              </w:rPr>
            </w:pPr>
            <w:r w:rsidRPr="007F2F74">
              <w:rPr>
                <w:rFonts w:cstheme="minorHAnsi"/>
                <w:sz w:val="20"/>
                <w:szCs w:val="20"/>
              </w:rPr>
              <w:lastRenderedPageBreak/>
              <w:t>Caucasian&gt;Asian</w:t>
            </w:r>
            <w:r w:rsidR="00942B72">
              <w:rPr>
                <w:rFonts w:cstheme="minorHAnsi"/>
                <w:sz w:val="20"/>
                <w:szCs w:val="20"/>
              </w:rPr>
              <w:t xml:space="preserve"> men</w:t>
            </w:r>
          </w:p>
        </w:tc>
        <w:tc>
          <w:tcPr>
            <w:tcW w:w="3512" w:type="dxa"/>
          </w:tcPr>
          <w:p w14:paraId="36E51190" w14:textId="5D57A51C" w:rsidR="00F6658F" w:rsidRPr="00284790" w:rsidRDefault="00F6658F" w:rsidP="00F6658F">
            <w:pPr>
              <w:jc w:val="both"/>
              <w:rPr>
                <w:rFonts w:cstheme="minorHAnsi"/>
                <w:sz w:val="20"/>
                <w:szCs w:val="20"/>
              </w:rPr>
            </w:pPr>
            <w:r w:rsidRPr="007F2F74">
              <w:rPr>
                <w:rFonts w:cstheme="minorHAnsi"/>
                <w:sz w:val="20"/>
                <w:szCs w:val="20"/>
              </w:rPr>
              <w:t>Total bone area*, Tb. area*, Tb. number, Ct</w:t>
            </w:r>
            <w:r w:rsidRPr="00C355AB">
              <w:rPr>
                <w:rFonts w:cstheme="minorHAnsi"/>
                <w:sz w:val="20"/>
                <w:szCs w:val="20"/>
              </w:rPr>
              <w:t>. porosity, Tb. stiffness, Whole bone stiffness, Whole bone failure load</w:t>
            </w:r>
          </w:p>
        </w:tc>
        <w:tc>
          <w:tcPr>
            <w:tcW w:w="3513" w:type="dxa"/>
          </w:tcPr>
          <w:p w14:paraId="0CDF82F4" w14:textId="06660D93" w:rsidR="00F6658F" w:rsidRPr="00284790" w:rsidRDefault="00F6658F" w:rsidP="00F6658F">
            <w:pPr>
              <w:jc w:val="both"/>
              <w:rPr>
                <w:rFonts w:cstheme="minorHAnsi"/>
                <w:sz w:val="20"/>
                <w:szCs w:val="20"/>
              </w:rPr>
            </w:pPr>
            <w:r w:rsidRPr="007F2F74">
              <w:rPr>
                <w:rFonts w:cstheme="minorHAnsi"/>
                <w:sz w:val="20"/>
                <w:szCs w:val="20"/>
              </w:rPr>
              <w:t xml:space="preserve">Total bone area, Tb. area, Tb. </w:t>
            </w:r>
            <w:r>
              <w:rPr>
                <w:rFonts w:cstheme="minorHAnsi"/>
                <w:sz w:val="20"/>
                <w:szCs w:val="20"/>
              </w:rPr>
              <w:t xml:space="preserve">number, </w:t>
            </w:r>
            <w:r w:rsidRPr="00C355AB">
              <w:rPr>
                <w:rFonts w:cstheme="minorHAnsi"/>
                <w:sz w:val="20"/>
                <w:szCs w:val="20"/>
              </w:rPr>
              <w:t>Tb. stiffness, Whole bone stiffness, Whole bone failure load</w:t>
            </w:r>
          </w:p>
        </w:tc>
        <w:tc>
          <w:tcPr>
            <w:tcW w:w="542" w:type="dxa"/>
          </w:tcPr>
          <w:p w14:paraId="75AF829C" w14:textId="21A502AF" w:rsidR="00F6658F" w:rsidRDefault="00F6658F" w:rsidP="00F6658F">
            <w:pPr>
              <w:jc w:val="both"/>
              <w:rPr>
                <w:rFonts w:cstheme="minorHAnsi"/>
                <w:sz w:val="20"/>
                <w:szCs w:val="20"/>
              </w:rPr>
            </w:pPr>
            <w:r>
              <w:rPr>
                <w:rFonts w:cstheme="minorHAnsi"/>
                <w:noProof/>
                <w:sz w:val="20"/>
                <w:szCs w:val="20"/>
              </w:rPr>
              <w:t>[40]</w:t>
            </w:r>
          </w:p>
        </w:tc>
      </w:tr>
      <w:tr w:rsidR="00F6658F" w14:paraId="74CD8FA3" w14:textId="77777777" w:rsidTr="00F6658F">
        <w:trPr>
          <w:trHeight w:val="305"/>
        </w:trPr>
        <w:tc>
          <w:tcPr>
            <w:tcW w:w="897" w:type="dxa"/>
          </w:tcPr>
          <w:p w14:paraId="40D40FAD" w14:textId="77777777" w:rsidR="00F6658F" w:rsidRDefault="00F6658F" w:rsidP="00F6658F">
            <w:pPr>
              <w:tabs>
                <w:tab w:val="left" w:pos="5260"/>
              </w:tabs>
              <w:jc w:val="both"/>
              <w:rPr>
                <w:rFonts w:cstheme="minorHAnsi"/>
                <w:sz w:val="20"/>
                <w:szCs w:val="20"/>
              </w:rPr>
            </w:pPr>
          </w:p>
        </w:tc>
        <w:tc>
          <w:tcPr>
            <w:tcW w:w="5613" w:type="dxa"/>
          </w:tcPr>
          <w:p w14:paraId="226A23CF" w14:textId="4D4E3DFA" w:rsidR="00F6658F" w:rsidRPr="007F2F74" w:rsidRDefault="00F6658F" w:rsidP="00F6658F">
            <w:pPr>
              <w:jc w:val="both"/>
              <w:rPr>
                <w:rFonts w:cstheme="minorHAnsi"/>
                <w:sz w:val="20"/>
                <w:szCs w:val="20"/>
              </w:rPr>
            </w:pPr>
            <w:r w:rsidRPr="007F2F74">
              <w:rPr>
                <w:rFonts w:cstheme="minorHAnsi"/>
                <w:sz w:val="20"/>
                <w:szCs w:val="20"/>
              </w:rPr>
              <w:t>Asian&gt;Caucasian</w:t>
            </w:r>
            <w:r w:rsidR="00B11D33">
              <w:rPr>
                <w:rFonts w:cstheme="minorHAnsi"/>
                <w:sz w:val="20"/>
                <w:szCs w:val="20"/>
              </w:rPr>
              <w:t xml:space="preserve"> men</w:t>
            </w:r>
          </w:p>
        </w:tc>
        <w:tc>
          <w:tcPr>
            <w:tcW w:w="3512" w:type="dxa"/>
          </w:tcPr>
          <w:p w14:paraId="5CEC8C5F" w14:textId="2BD67D7C" w:rsidR="00F6658F" w:rsidRPr="007F2F74" w:rsidRDefault="00F6658F" w:rsidP="00F6658F">
            <w:pPr>
              <w:jc w:val="both"/>
              <w:rPr>
                <w:rFonts w:cstheme="minorHAnsi"/>
                <w:sz w:val="20"/>
                <w:szCs w:val="20"/>
              </w:rPr>
            </w:pPr>
            <w:r w:rsidRPr="007F2F74">
              <w:rPr>
                <w:rFonts w:cstheme="minorHAnsi"/>
                <w:sz w:val="20"/>
                <w:szCs w:val="20"/>
              </w:rPr>
              <w:t>Ct. density*, Ct. thickness*,</w:t>
            </w:r>
            <w:r w:rsidRPr="007F2F74">
              <w:rPr>
                <w:rFonts w:cstheme="minorHAnsi"/>
                <w:color w:val="FF0000"/>
                <w:sz w:val="20"/>
                <w:szCs w:val="20"/>
              </w:rPr>
              <w:t xml:space="preserve"> </w:t>
            </w:r>
            <w:r w:rsidRPr="007F2F74">
              <w:rPr>
                <w:rFonts w:cstheme="minorHAnsi"/>
                <w:sz w:val="20"/>
                <w:szCs w:val="20"/>
              </w:rPr>
              <w:t xml:space="preserve">Tb. </w:t>
            </w:r>
            <w:r w:rsidRPr="00236C87">
              <w:rPr>
                <w:rFonts w:cstheme="minorHAnsi"/>
                <w:sz w:val="20"/>
                <w:szCs w:val="20"/>
              </w:rPr>
              <w:t>heterogeneity*, Total density, Load-to-strength ratio</w:t>
            </w:r>
            <w:r w:rsidRPr="007F2F74">
              <w:rPr>
                <w:rFonts w:cstheme="minorHAnsi"/>
                <w:sz w:val="20"/>
                <w:szCs w:val="20"/>
              </w:rPr>
              <w:t xml:space="preserve"> </w:t>
            </w:r>
          </w:p>
        </w:tc>
        <w:tc>
          <w:tcPr>
            <w:tcW w:w="3513" w:type="dxa"/>
          </w:tcPr>
          <w:p w14:paraId="79D1FFFC" w14:textId="5E98BB09" w:rsidR="00F6658F" w:rsidRPr="007F2F74" w:rsidRDefault="00F6658F" w:rsidP="00F6658F">
            <w:pPr>
              <w:jc w:val="both"/>
              <w:rPr>
                <w:rFonts w:cstheme="minorHAnsi"/>
                <w:sz w:val="20"/>
                <w:szCs w:val="20"/>
              </w:rPr>
            </w:pPr>
            <w:r w:rsidRPr="007F2F74">
              <w:rPr>
                <w:rFonts w:cstheme="minorHAnsi"/>
                <w:sz w:val="20"/>
                <w:szCs w:val="20"/>
              </w:rPr>
              <w:t>Ct. thickness</w:t>
            </w:r>
          </w:p>
        </w:tc>
        <w:tc>
          <w:tcPr>
            <w:tcW w:w="542" w:type="dxa"/>
          </w:tcPr>
          <w:p w14:paraId="085660D5" w14:textId="77777777" w:rsidR="00F6658F" w:rsidRDefault="00F6658F" w:rsidP="00F6658F">
            <w:pPr>
              <w:jc w:val="both"/>
              <w:rPr>
                <w:rFonts w:cstheme="minorHAnsi"/>
                <w:sz w:val="20"/>
                <w:szCs w:val="20"/>
              </w:rPr>
            </w:pPr>
          </w:p>
        </w:tc>
      </w:tr>
      <w:tr w:rsidR="00F6658F" w14:paraId="5AB82502" w14:textId="77777777" w:rsidTr="00F6658F">
        <w:trPr>
          <w:trHeight w:val="305"/>
        </w:trPr>
        <w:tc>
          <w:tcPr>
            <w:tcW w:w="897" w:type="dxa"/>
          </w:tcPr>
          <w:p w14:paraId="0AE291F3" w14:textId="77777777" w:rsidR="00F6658F" w:rsidRDefault="00F6658F" w:rsidP="00F6658F">
            <w:pPr>
              <w:tabs>
                <w:tab w:val="left" w:pos="5260"/>
              </w:tabs>
              <w:jc w:val="both"/>
              <w:rPr>
                <w:rFonts w:cstheme="minorHAnsi"/>
                <w:sz w:val="20"/>
                <w:szCs w:val="20"/>
              </w:rPr>
            </w:pPr>
          </w:p>
        </w:tc>
        <w:tc>
          <w:tcPr>
            <w:tcW w:w="5613" w:type="dxa"/>
          </w:tcPr>
          <w:p w14:paraId="3105E0A2" w14:textId="4CB8D277" w:rsidR="00F6658F" w:rsidRPr="007F2F74" w:rsidRDefault="00F6658F" w:rsidP="00F6658F">
            <w:pPr>
              <w:jc w:val="both"/>
              <w:rPr>
                <w:rFonts w:cstheme="minorHAnsi"/>
                <w:sz w:val="20"/>
                <w:szCs w:val="20"/>
              </w:rPr>
            </w:pPr>
            <w:r w:rsidRPr="00FA2724">
              <w:rPr>
                <w:rFonts w:cstheme="minorHAnsi"/>
                <w:sz w:val="20"/>
                <w:szCs w:val="20"/>
              </w:rPr>
              <w:t>Caribbean Hispanic&gt;non-Hispanic Caucasian</w:t>
            </w:r>
            <w:r w:rsidR="00942B72">
              <w:rPr>
                <w:rFonts w:cstheme="minorHAnsi"/>
                <w:sz w:val="20"/>
                <w:szCs w:val="20"/>
              </w:rPr>
              <w:t xml:space="preserve"> men</w:t>
            </w:r>
          </w:p>
        </w:tc>
        <w:tc>
          <w:tcPr>
            <w:tcW w:w="3512" w:type="dxa"/>
          </w:tcPr>
          <w:p w14:paraId="49877A06" w14:textId="3010D232" w:rsidR="00F6658F" w:rsidRPr="007F2F74" w:rsidRDefault="00F6658F" w:rsidP="00F6658F">
            <w:pPr>
              <w:jc w:val="both"/>
              <w:rPr>
                <w:rFonts w:cstheme="minorHAnsi"/>
                <w:sz w:val="20"/>
                <w:szCs w:val="20"/>
              </w:rPr>
            </w:pPr>
            <w:r w:rsidRPr="00FA2724">
              <w:rPr>
                <w:rFonts w:cstheme="minorHAnsi"/>
                <w:sz w:val="20"/>
                <w:szCs w:val="20"/>
              </w:rPr>
              <w:t>Total density*, Ct. thickness*, Ct. area, Ct. density</w:t>
            </w:r>
          </w:p>
        </w:tc>
        <w:tc>
          <w:tcPr>
            <w:tcW w:w="3513" w:type="dxa"/>
          </w:tcPr>
          <w:p w14:paraId="6D61037B" w14:textId="105C9BCA" w:rsidR="00F6658F" w:rsidRPr="007F2F74" w:rsidRDefault="00F6658F" w:rsidP="00F6658F">
            <w:pPr>
              <w:jc w:val="both"/>
              <w:rPr>
                <w:rFonts w:cstheme="minorHAnsi"/>
                <w:sz w:val="20"/>
                <w:szCs w:val="20"/>
              </w:rPr>
            </w:pPr>
            <w:r w:rsidRPr="00FA2724">
              <w:rPr>
                <w:rFonts w:cstheme="minorHAnsi"/>
                <w:sz w:val="20"/>
                <w:szCs w:val="20"/>
              </w:rPr>
              <w:t>Ct. density*, Ct. thickness*, Ct. area, Total density</w:t>
            </w:r>
          </w:p>
        </w:tc>
        <w:tc>
          <w:tcPr>
            <w:tcW w:w="542" w:type="dxa"/>
          </w:tcPr>
          <w:p w14:paraId="3DCF7494" w14:textId="5264A5C6" w:rsidR="00F6658F" w:rsidRDefault="00F6658F" w:rsidP="00F6658F">
            <w:pPr>
              <w:jc w:val="both"/>
              <w:rPr>
                <w:rFonts w:cstheme="minorHAnsi"/>
                <w:sz w:val="20"/>
                <w:szCs w:val="20"/>
              </w:rPr>
            </w:pPr>
            <w:r>
              <w:rPr>
                <w:rFonts w:cstheme="minorHAnsi"/>
                <w:noProof/>
                <w:sz w:val="20"/>
                <w:szCs w:val="20"/>
              </w:rPr>
              <w:t>[41]</w:t>
            </w:r>
          </w:p>
        </w:tc>
      </w:tr>
      <w:tr w:rsidR="00F6658F" w14:paraId="30A73D70" w14:textId="77777777" w:rsidTr="00F6658F">
        <w:trPr>
          <w:trHeight w:val="305"/>
        </w:trPr>
        <w:tc>
          <w:tcPr>
            <w:tcW w:w="897" w:type="dxa"/>
          </w:tcPr>
          <w:p w14:paraId="174A5D9A" w14:textId="77777777" w:rsidR="00F6658F" w:rsidRDefault="00F6658F" w:rsidP="00F6658F">
            <w:pPr>
              <w:tabs>
                <w:tab w:val="left" w:pos="5260"/>
              </w:tabs>
              <w:jc w:val="both"/>
              <w:rPr>
                <w:rFonts w:cstheme="minorHAnsi"/>
                <w:sz w:val="20"/>
                <w:szCs w:val="20"/>
              </w:rPr>
            </w:pPr>
          </w:p>
        </w:tc>
        <w:tc>
          <w:tcPr>
            <w:tcW w:w="5613" w:type="dxa"/>
          </w:tcPr>
          <w:p w14:paraId="1AF595D2" w14:textId="696F0E59" w:rsidR="00F6658F" w:rsidRPr="00FA2724" w:rsidRDefault="00F6658F" w:rsidP="00F6658F">
            <w:pPr>
              <w:jc w:val="both"/>
              <w:rPr>
                <w:rFonts w:cstheme="minorHAnsi"/>
                <w:sz w:val="20"/>
                <w:szCs w:val="20"/>
              </w:rPr>
            </w:pPr>
            <w:r w:rsidRPr="00FA2724">
              <w:rPr>
                <w:rFonts w:cstheme="minorHAnsi"/>
                <w:sz w:val="20"/>
                <w:szCs w:val="20"/>
              </w:rPr>
              <w:t>Non-Hispanic Caucasian&gt;Caribbean Hispanic</w:t>
            </w:r>
            <w:r w:rsidR="00942B72">
              <w:rPr>
                <w:rFonts w:cstheme="minorHAnsi"/>
                <w:sz w:val="20"/>
                <w:szCs w:val="20"/>
              </w:rPr>
              <w:t xml:space="preserve"> men</w:t>
            </w:r>
          </w:p>
        </w:tc>
        <w:tc>
          <w:tcPr>
            <w:tcW w:w="3512" w:type="dxa"/>
          </w:tcPr>
          <w:p w14:paraId="5A814798" w14:textId="0917EDEB" w:rsidR="00F6658F" w:rsidRPr="00FA2724" w:rsidRDefault="00F6658F" w:rsidP="00F6658F">
            <w:pPr>
              <w:jc w:val="both"/>
              <w:rPr>
                <w:rFonts w:cstheme="minorHAnsi"/>
                <w:sz w:val="20"/>
                <w:szCs w:val="20"/>
              </w:rPr>
            </w:pPr>
            <w:r w:rsidRPr="00FA2724">
              <w:rPr>
                <w:rFonts w:cstheme="minorHAnsi"/>
                <w:sz w:val="20"/>
                <w:szCs w:val="20"/>
              </w:rPr>
              <w:t>Total area*, Trabecular area*</w:t>
            </w:r>
          </w:p>
        </w:tc>
        <w:tc>
          <w:tcPr>
            <w:tcW w:w="3513" w:type="dxa"/>
          </w:tcPr>
          <w:p w14:paraId="2CA475CD" w14:textId="760EFCBA" w:rsidR="00F6658F" w:rsidRPr="00FA2724" w:rsidRDefault="00F6658F" w:rsidP="00F6658F">
            <w:pPr>
              <w:jc w:val="both"/>
              <w:rPr>
                <w:rFonts w:cstheme="minorHAnsi"/>
                <w:sz w:val="20"/>
                <w:szCs w:val="20"/>
              </w:rPr>
            </w:pPr>
            <w:r w:rsidRPr="00FA2724">
              <w:rPr>
                <w:rFonts w:cstheme="minorHAnsi"/>
                <w:sz w:val="20"/>
                <w:szCs w:val="20"/>
              </w:rPr>
              <w:t xml:space="preserve">Tb. area*, Ct. </w:t>
            </w:r>
            <w:r>
              <w:rPr>
                <w:rFonts w:cstheme="minorHAnsi"/>
                <w:sz w:val="20"/>
                <w:szCs w:val="20"/>
              </w:rPr>
              <w:t>porosity*,</w:t>
            </w:r>
            <w:r w:rsidRPr="00CA1161">
              <w:rPr>
                <w:rFonts w:cstheme="minorHAnsi"/>
                <w:color w:val="FF0000"/>
                <w:sz w:val="20"/>
                <w:szCs w:val="20"/>
              </w:rPr>
              <w:t xml:space="preserve"> </w:t>
            </w:r>
            <w:r w:rsidRPr="00FA2724">
              <w:rPr>
                <w:rFonts w:cstheme="minorHAnsi"/>
                <w:sz w:val="20"/>
                <w:szCs w:val="20"/>
              </w:rPr>
              <w:t>Total area</w:t>
            </w:r>
          </w:p>
        </w:tc>
        <w:tc>
          <w:tcPr>
            <w:tcW w:w="542" w:type="dxa"/>
          </w:tcPr>
          <w:p w14:paraId="3C47FC4F" w14:textId="77777777" w:rsidR="00F6658F" w:rsidRDefault="00F6658F" w:rsidP="00F6658F">
            <w:pPr>
              <w:jc w:val="both"/>
              <w:rPr>
                <w:rFonts w:cstheme="minorHAnsi"/>
                <w:sz w:val="20"/>
                <w:szCs w:val="20"/>
              </w:rPr>
            </w:pPr>
          </w:p>
        </w:tc>
      </w:tr>
      <w:tr w:rsidR="00F6658F" w14:paraId="084B8C35" w14:textId="77777777" w:rsidTr="00F6658F">
        <w:trPr>
          <w:trHeight w:val="305"/>
        </w:trPr>
        <w:tc>
          <w:tcPr>
            <w:tcW w:w="897" w:type="dxa"/>
          </w:tcPr>
          <w:p w14:paraId="2C182101" w14:textId="77777777" w:rsidR="00F6658F" w:rsidRDefault="00F6658F" w:rsidP="00F6658F">
            <w:pPr>
              <w:tabs>
                <w:tab w:val="left" w:pos="5260"/>
              </w:tabs>
              <w:jc w:val="both"/>
              <w:rPr>
                <w:rFonts w:cstheme="minorHAnsi"/>
                <w:sz w:val="20"/>
                <w:szCs w:val="20"/>
              </w:rPr>
            </w:pPr>
          </w:p>
        </w:tc>
        <w:tc>
          <w:tcPr>
            <w:tcW w:w="5613" w:type="dxa"/>
          </w:tcPr>
          <w:p w14:paraId="34B6F64F" w14:textId="5F39EFFE" w:rsidR="00F6658F" w:rsidRPr="00FA2724" w:rsidRDefault="00F6658F" w:rsidP="00F6658F">
            <w:pPr>
              <w:jc w:val="both"/>
              <w:rPr>
                <w:rFonts w:cstheme="minorHAnsi"/>
                <w:sz w:val="20"/>
                <w:szCs w:val="20"/>
              </w:rPr>
            </w:pPr>
            <w:r w:rsidRPr="00C355AB">
              <w:rPr>
                <w:rFonts w:cstheme="minorHAnsi"/>
                <w:sz w:val="20"/>
                <w:szCs w:val="20"/>
              </w:rPr>
              <w:t>White/Caucasian&gt;Black/African-American</w:t>
            </w:r>
            <w:r w:rsidR="00942B72">
              <w:rPr>
                <w:rFonts w:cstheme="minorHAnsi"/>
                <w:sz w:val="20"/>
                <w:szCs w:val="20"/>
              </w:rPr>
              <w:t xml:space="preserve">  men and women</w:t>
            </w:r>
          </w:p>
        </w:tc>
        <w:tc>
          <w:tcPr>
            <w:tcW w:w="3512" w:type="dxa"/>
          </w:tcPr>
          <w:p w14:paraId="6A141175" w14:textId="77777777" w:rsidR="00F6658F" w:rsidRPr="00FA2724" w:rsidRDefault="00F6658F" w:rsidP="00F6658F">
            <w:pPr>
              <w:jc w:val="both"/>
              <w:rPr>
                <w:rFonts w:cstheme="minorHAnsi"/>
                <w:sz w:val="20"/>
                <w:szCs w:val="20"/>
              </w:rPr>
            </w:pPr>
          </w:p>
        </w:tc>
        <w:tc>
          <w:tcPr>
            <w:tcW w:w="3513" w:type="dxa"/>
          </w:tcPr>
          <w:p w14:paraId="1EEEB0C3" w14:textId="626D2289" w:rsidR="00F6658F" w:rsidRPr="00FA2724" w:rsidRDefault="00F6658F" w:rsidP="00564A25">
            <w:pPr>
              <w:jc w:val="both"/>
              <w:rPr>
                <w:rFonts w:cstheme="minorHAnsi"/>
                <w:sz w:val="20"/>
                <w:szCs w:val="20"/>
              </w:rPr>
            </w:pPr>
            <w:r w:rsidRPr="00C355AB">
              <w:rPr>
                <w:rFonts w:cstheme="minorHAnsi"/>
                <w:sz w:val="20"/>
                <w:szCs w:val="20"/>
              </w:rPr>
              <w:t xml:space="preserve">Ct. </w:t>
            </w:r>
            <w:r>
              <w:rPr>
                <w:rFonts w:cstheme="minorHAnsi"/>
                <w:sz w:val="20"/>
                <w:szCs w:val="20"/>
              </w:rPr>
              <w:t>porosity</w:t>
            </w:r>
            <w:r w:rsidRPr="00C355AB">
              <w:rPr>
                <w:rFonts w:cstheme="minorHAnsi"/>
                <w:sz w:val="20"/>
                <w:szCs w:val="20"/>
              </w:rPr>
              <w:t>*, Tb.</w:t>
            </w:r>
            <w:r>
              <w:rPr>
                <w:rFonts w:cstheme="minorHAnsi"/>
                <w:sz w:val="20"/>
                <w:szCs w:val="20"/>
              </w:rPr>
              <w:t xml:space="preserve"> number</w:t>
            </w:r>
            <w:r w:rsidRPr="00C355AB">
              <w:rPr>
                <w:rFonts w:cstheme="minorHAnsi"/>
                <w:sz w:val="20"/>
                <w:szCs w:val="20"/>
              </w:rPr>
              <w:t>*</w:t>
            </w:r>
            <w:r>
              <w:rPr>
                <w:rFonts w:cstheme="minorHAnsi"/>
                <w:sz w:val="20"/>
                <w:szCs w:val="20"/>
              </w:rPr>
              <w:t xml:space="preserve"> (</w:t>
            </w:r>
            <w:r w:rsidR="00942B72">
              <w:rPr>
                <w:rFonts w:cstheme="minorHAnsi"/>
                <w:sz w:val="20"/>
                <w:szCs w:val="20"/>
              </w:rPr>
              <w:t>metaphysis</w:t>
            </w:r>
            <w:r>
              <w:rPr>
                <w:rFonts w:cstheme="minorHAnsi"/>
                <w:sz w:val="20"/>
                <w:szCs w:val="20"/>
              </w:rPr>
              <w:t>)</w:t>
            </w:r>
          </w:p>
        </w:tc>
        <w:tc>
          <w:tcPr>
            <w:tcW w:w="542" w:type="dxa"/>
          </w:tcPr>
          <w:p w14:paraId="45FFFAF6" w14:textId="7A389197" w:rsidR="00F6658F" w:rsidRDefault="00F6658F" w:rsidP="00F6658F">
            <w:pPr>
              <w:jc w:val="both"/>
              <w:rPr>
                <w:rFonts w:cstheme="minorHAnsi"/>
                <w:sz w:val="20"/>
                <w:szCs w:val="20"/>
              </w:rPr>
            </w:pPr>
            <w:r>
              <w:rPr>
                <w:rFonts w:cstheme="minorHAnsi"/>
                <w:noProof/>
                <w:sz w:val="20"/>
                <w:szCs w:val="20"/>
              </w:rPr>
              <w:t>[38]</w:t>
            </w:r>
          </w:p>
        </w:tc>
      </w:tr>
      <w:tr w:rsidR="00F6658F" w14:paraId="0EA9FD7E" w14:textId="77777777" w:rsidTr="00F6658F">
        <w:trPr>
          <w:trHeight w:val="305"/>
        </w:trPr>
        <w:tc>
          <w:tcPr>
            <w:tcW w:w="897" w:type="dxa"/>
          </w:tcPr>
          <w:p w14:paraId="4E41AEAB" w14:textId="77777777" w:rsidR="00F6658F" w:rsidRDefault="00F6658F" w:rsidP="00F6658F">
            <w:pPr>
              <w:tabs>
                <w:tab w:val="left" w:pos="5260"/>
              </w:tabs>
              <w:jc w:val="both"/>
              <w:rPr>
                <w:rFonts w:cstheme="minorHAnsi"/>
                <w:sz w:val="20"/>
                <w:szCs w:val="20"/>
              </w:rPr>
            </w:pPr>
          </w:p>
        </w:tc>
        <w:tc>
          <w:tcPr>
            <w:tcW w:w="5613" w:type="dxa"/>
          </w:tcPr>
          <w:p w14:paraId="48D6BE92" w14:textId="6719AE20" w:rsidR="00F6658F" w:rsidRPr="00C355AB" w:rsidRDefault="00F6658F" w:rsidP="00F6658F">
            <w:pPr>
              <w:jc w:val="both"/>
              <w:rPr>
                <w:rFonts w:cstheme="minorHAnsi"/>
                <w:sz w:val="20"/>
                <w:szCs w:val="20"/>
              </w:rPr>
            </w:pPr>
            <w:r w:rsidRPr="00C355AB">
              <w:rPr>
                <w:rFonts w:cstheme="minorHAnsi"/>
                <w:sz w:val="20"/>
                <w:szCs w:val="20"/>
              </w:rPr>
              <w:t>Black/African-American&gt;White/Caucasian</w:t>
            </w:r>
            <w:r w:rsidR="00942B72">
              <w:rPr>
                <w:rFonts w:cstheme="minorHAnsi"/>
                <w:sz w:val="20"/>
                <w:szCs w:val="20"/>
              </w:rPr>
              <w:t xml:space="preserve"> men and women</w:t>
            </w:r>
          </w:p>
        </w:tc>
        <w:tc>
          <w:tcPr>
            <w:tcW w:w="3512" w:type="dxa"/>
          </w:tcPr>
          <w:p w14:paraId="7159C8D1" w14:textId="77777777" w:rsidR="00F6658F" w:rsidRPr="00FA2724" w:rsidRDefault="00F6658F" w:rsidP="00F6658F">
            <w:pPr>
              <w:jc w:val="both"/>
              <w:rPr>
                <w:rFonts w:cstheme="minorHAnsi"/>
                <w:sz w:val="20"/>
                <w:szCs w:val="20"/>
              </w:rPr>
            </w:pPr>
          </w:p>
        </w:tc>
        <w:tc>
          <w:tcPr>
            <w:tcW w:w="3513" w:type="dxa"/>
          </w:tcPr>
          <w:p w14:paraId="1C79FBB4" w14:textId="63DB110A" w:rsidR="00F6658F" w:rsidRPr="00C355AB" w:rsidRDefault="00F6658F" w:rsidP="00564A25">
            <w:pPr>
              <w:jc w:val="both"/>
              <w:rPr>
                <w:rFonts w:cstheme="minorHAnsi"/>
                <w:sz w:val="20"/>
                <w:szCs w:val="20"/>
              </w:rPr>
            </w:pPr>
            <w:r w:rsidRPr="00C355AB">
              <w:rPr>
                <w:rFonts w:cstheme="minorHAnsi"/>
                <w:sz w:val="20"/>
                <w:szCs w:val="20"/>
              </w:rPr>
              <w:t>Ct.</w:t>
            </w:r>
            <w:r>
              <w:rPr>
                <w:rFonts w:cstheme="minorHAnsi"/>
                <w:sz w:val="20"/>
                <w:szCs w:val="20"/>
              </w:rPr>
              <w:t xml:space="preserve"> area*, Total vBMD</w:t>
            </w:r>
            <w:r w:rsidRPr="00C355AB">
              <w:rPr>
                <w:rFonts w:cstheme="minorHAnsi"/>
                <w:sz w:val="20"/>
                <w:szCs w:val="20"/>
              </w:rPr>
              <w:t>*, Ct.</w:t>
            </w:r>
            <w:r>
              <w:rPr>
                <w:rFonts w:cstheme="minorHAnsi"/>
                <w:sz w:val="20"/>
                <w:szCs w:val="20"/>
              </w:rPr>
              <w:t xml:space="preserve"> vBMD</w:t>
            </w:r>
            <w:r w:rsidRPr="00C355AB">
              <w:rPr>
                <w:rFonts w:cstheme="minorHAnsi"/>
                <w:sz w:val="20"/>
                <w:szCs w:val="20"/>
              </w:rPr>
              <w:t>*, Ct.</w:t>
            </w:r>
            <w:r>
              <w:rPr>
                <w:rFonts w:cstheme="minorHAnsi"/>
                <w:sz w:val="20"/>
                <w:szCs w:val="20"/>
              </w:rPr>
              <w:t xml:space="preserve"> tissue mineral density</w:t>
            </w:r>
            <w:r w:rsidRPr="00C355AB">
              <w:rPr>
                <w:rFonts w:cstheme="minorHAnsi"/>
                <w:sz w:val="20"/>
                <w:szCs w:val="20"/>
              </w:rPr>
              <w:t>*, Ct.</w:t>
            </w:r>
            <w:r>
              <w:rPr>
                <w:rFonts w:cstheme="minorHAnsi"/>
                <w:sz w:val="20"/>
                <w:szCs w:val="20"/>
              </w:rPr>
              <w:t xml:space="preserve"> thickness</w:t>
            </w:r>
            <w:r w:rsidRPr="00C355AB">
              <w:rPr>
                <w:rFonts w:cstheme="minorHAnsi"/>
                <w:sz w:val="20"/>
                <w:szCs w:val="20"/>
              </w:rPr>
              <w:t xml:space="preserve">*, Tb. </w:t>
            </w:r>
            <w:r>
              <w:rPr>
                <w:rFonts w:cstheme="minorHAnsi"/>
                <w:sz w:val="20"/>
                <w:szCs w:val="20"/>
              </w:rPr>
              <w:t>thickness</w:t>
            </w:r>
            <w:r w:rsidRPr="00C355AB">
              <w:rPr>
                <w:rFonts w:cstheme="minorHAnsi"/>
                <w:sz w:val="20"/>
                <w:szCs w:val="20"/>
              </w:rPr>
              <w:t>*, Ct. area fraction*</w:t>
            </w:r>
            <w:r>
              <w:rPr>
                <w:rFonts w:cstheme="minorHAnsi"/>
                <w:sz w:val="20"/>
                <w:szCs w:val="20"/>
              </w:rPr>
              <w:t>, Stiffness*, Failure load</w:t>
            </w:r>
            <w:r w:rsidRPr="00C355AB">
              <w:rPr>
                <w:rFonts w:cstheme="minorHAnsi"/>
                <w:sz w:val="20"/>
                <w:szCs w:val="20"/>
              </w:rPr>
              <w:t>*</w:t>
            </w:r>
            <w:r>
              <w:rPr>
                <w:rFonts w:cstheme="minorHAnsi"/>
                <w:sz w:val="20"/>
                <w:szCs w:val="20"/>
              </w:rPr>
              <w:t xml:space="preserve"> (metaphysis)</w:t>
            </w:r>
          </w:p>
        </w:tc>
        <w:tc>
          <w:tcPr>
            <w:tcW w:w="542" w:type="dxa"/>
          </w:tcPr>
          <w:p w14:paraId="0EB9F2F3" w14:textId="2B4D8754" w:rsidR="00F6658F" w:rsidRDefault="00942B72" w:rsidP="00F6658F">
            <w:pPr>
              <w:jc w:val="both"/>
              <w:rPr>
                <w:rFonts w:cstheme="minorHAnsi"/>
                <w:sz w:val="20"/>
                <w:szCs w:val="20"/>
              </w:rPr>
            </w:pPr>
            <w:r>
              <w:rPr>
                <w:rFonts w:cstheme="minorHAnsi"/>
                <w:sz w:val="20"/>
                <w:szCs w:val="20"/>
              </w:rPr>
              <w:t>[38]</w:t>
            </w:r>
          </w:p>
        </w:tc>
      </w:tr>
      <w:tr w:rsidR="00B11D33" w14:paraId="7AE9007C" w14:textId="77777777" w:rsidTr="00F6658F">
        <w:trPr>
          <w:trHeight w:val="305"/>
        </w:trPr>
        <w:tc>
          <w:tcPr>
            <w:tcW w:w="897" w:type="dxa"/>
          </w:tcPr>
          <w:p w14:paraId="38090A2E" w14:textId="77777777" w:rsidR="00B11D33" w:rsidRDefault="00B11D33" w:rsidP="00F6658F">
            <w:pPr>
              <w:tabs>
                <w:tab w:val="left" w:pos="5260"/>
              </w:tabs>
              <w:jc w:val="both"/>
              <w:rPr>
                <w:rFonts w:cstheme="minorHAnsi"/>
                <w:sz w:val="20"/>
                <w:szCs w:val="20"/>
              </w:rPr>
            </w:pPr>
          </w:p>
        </w:tc>
        <w:tc>
          <w:tcPr>
            <w:tcW w:w="5613" w:type="dxa"/>
          </w:tcPr>
          <w:p w14:paraId="4DD85CBA" w14:textId="5BCC339B" w:rsidR="00B11D33" w:rsidRPr="00C355AB" w:rsidRDefault="00B11D33" w:rsidP="00564A25">
            <w:pPr>
              <w:jc w:val="both"/>
              <w:rPr>
                <w:rFonts w:cstheme="minorHAnsi"/>
                <w:sz w:val="20"/>
                <w:szCs w:val="20"/>
              </w:rPr>
            </w:pPr>
            <w:r>
              <w:rPr>
                <w:rFonts w:cstheme="minorHAnsi"/>
                <w:sz w:val="20"/>
                <w:szCs w:val="20"/>
              </w:rPr>
              <w:t>Black African &gt; White African adolescent boys</w:t>
            </w:r>
            <w:r w:rsidR="00E96301">
              <w:rPr>
                <w:rFonts w:cstheme="minorHAnsi"/>
                <w:sz w:val="20"/>
                <w:szCs w:val="20"/>
              </w:rPr>
              <w:t xml:space="preserve"> and girls</w:t>
            </w:r>
          </w:p>
        </w:tc>
        <w:tc>
          <w:tcPr>
            <w:tcW w:w="3512" w:type="dxa"/>
          </w:tcPr>
          <w:p w14:paraId="006A397F" w14:textId="3CE271E3" w:rsidR="00B11D33" w:rsidRPr="00FA2724" w:rsidRDefault="00E96301" w:rsidP="00F6658F">
            <w:pPr>
              <w:jc w:val="both"/>
              <w:rPr>
                <w:rFonts w:cstheme="minorHAnsi"/>
                <w:sz w:val="20"/>
                <w:szCs w:val="20"/>
              </w:rPr>
            </w:pPr>
            <w:r>
              <w:rPr>
                <w:rFonts w:cstheme="minorHAnsi"/>
                <w:sz w:val="20"/>
                <w:szCs w:val="20"/>
              </w:rPr>
              <w:t>Trabecular vBMD</w:t>
            </w:r>
          </w:p>
        </w:tc>
        <w:tc>
          <w:tcPr>
            <w:tcW w:w="3513" w:type="dxa"/>
          </w:tcPr>
          <w:p w14:paraId="062C5C29" w14:textId="37B5C939" w:rsidR="00B11D33" w:rsidRPr="00C355AB" w:rsidRDefault="00E96301" w:rsidP="00F6658F">
            <w:pPr>
              <w:jc w:val="both"/>
              <w:rPr>
                <w:rFonts w:cstheme="minorHAnsi"/>
                <w:sz w:val="20"/>
                <w:szCs w:val="20"/>
              </w:rPr>
            </w:pPr>
            <w:r>
              <w:rPr>
                <w:rFonts w:cstheme="minorHAnsi"/>
                <w:sz w:val="20"/>
                <w:szCs w:val="20"/>
              </w:rPr>
              <w:t>Total area, Ct.vBMD, SSI diaphysis</w:t>
            </w:r>
          </w:p>
        </w:tc>
        <w:tc>
          <w:tcPr>
            <w:tcW w:w="542" w:type="dxa"/>
          </w:tcPr>
          <w:p w14:paraId="6ED84C03" w14:textId="1F800D0B" w:rsidR="00B11D33" w:rsidRDefault="00B11D33" w:rsidP="00F6658F">
            <w:pPr>
              <w:jc w:val="both"/>
              <w:rPr>
                <w:rFonts w:cstheme="minorHAnsi"/>
                <w:sz w:val="20"/>
                <w:szCs w:val="20"/>
              </w:rPr>
            </w:pPr>
            <w:r>
              <w:rPr>
                <w:rFonts w:cstheme="minorHAnsi"/>
                <w:sz w:val="20"/>
                <w:szCs w:val="20"/>
              </w:rPr>
              <w:t>[42]</w:t>
            </w:r>
          </w:p>
        </w:tc>
      </w:tr>
      <w:tr w:rsidR="00B11D33" w14:paraId="47B84FB0" w14:textId="77777777" w:rsidTr="00F6658F">
        <w:trPr>
          <w:trHeight w:val="305"/>
        </w:trPr>
        <w:tc>
          <w:tcPr>
            <w:tcW w:w="897" w:type="dxa"/>
          </w:tcPr>
          <w:p w14:paraId="2CE02F23" w14:textId="77777777" w:rsidR="00B11D33" w:rsidRDefault="00B11D33" w:rsidP="00F6658F">
            <w:pPr>
              <w:tabs>
                <w:tab w:val="left" w:pos="5260"/>
              </w:tabs>
              <w:jc w:val="both"/>
              <w:rPr>
                <w:rFonts w:cstheme="minorHAnsi"/>
                <w:sz w:val="20"/>
                <w:szCs w:val="20"/>
              </w:rPr>
            </w:pPr>
          </w:p>
        </w:tc>
        <w:tc>
          <w:tcPr>
            <w:tcW w:w="5613" w:type="dxa"/>
          </w:tcPr>
          <w:p w14:paraId="2F7D0D22" w14:textId="43E4B30D" w:rsidR="00B11D33" w:rsidRDefault="00B11D33" w:rsidP="00564A25">
            <w:pPr>
              <w:jc w:val="both"/>
              <w:rPr>
                <w:rFonts w:cstheme="minorHAnsi"/>
                <w:sz w:val="20"/>
                <w:szCs w:val="20"/>
              </w:rPr>
            </w:pPr>
            <w:r>
              <w:rPr>
                <w:rFonts w:cstheme="minorHAnsi"/>
                <w:sz w:val="20"/>
                <w:szCs w:val="20"/>
              </w:rPr>
              <w:t>White African &gt; Black African adolescent boys</w:t>
            </w:r>
            <w:r w:rsidR="00E96301">
              <w:rPr>
                <w:rFonts w:cstheme="minorHAnsi"/>
                <w:sz w:val="20"/>
                <w:szCs w:val="20"/>
              </w:rPr>
              <w:t xml:space="preserve"> and girls</w:t>
            </w:r>
          </w:p>
        </w:tc>
        <w:tc>
          <w:tcPr>
            <w:tcW w:w="3512" w:type="dxa"/>
          </w:tcPr>
          <w:p w14:paraId="6B6DACC3" w14:textId="69B0C0D4" w:rsidR="00B11D33" w:rsidRPr="00FA2724" w:rsidRDefault="00E96301" w:rsidP="00F6658F">
            <w:pPr>
              <w:jc w:val="both"/>
              <w:rPr>
                <w:rFonts w:cstheme="minorHAnsi"/>
                <w:sz w:val="20"/>
                <w:szCs w:val="20"/>
              </w:rPr>
            </w:pPr>
            <w:r>
              <w:rPr>
                <w:rFonts w:cstheme="minorHAnsi"/>
                <w:sz w:val="20"/>
                <w:szCs w:val="20"/>
              </w:rPr>
              <w:t>Total area, cortical CSA, SSI (diaphysis)</w:t>
            </w:r>
          </w:p>
        </w:tc>
        <w:tc>
          <w:tcPr>
            <w:tcW w:w="3513" w:type="dxa"/>
          </w:tcPr>
          <w:p w14:paraId="6989A5C1" w14:textId="0743E407" w:rsidR="00B11D33" w:rsidRPr="00C355AB" w:rsidRDefault="00E96301" w:rsidP="00F6658F">
            <w:pPr>
              <w:jc w:val="both"/>
              <w:rPr>
                <w:rFonts w:cstheme="minorHAnsi"/>
                <w:sz w:val="20"/>
                <w:szCs w:val="20"/>
              </w:rPr>
            </w:pPr>
            <w:r>
              <w:rPr>
                <w:rFonts w:cstheme="minorHAnsi"/>
                <w:sz w:val="20"/>
                <w:szCs w:val="20"/>
              </w:rPr>
              <w:t>Total area distal</w:t>
            </w:r>
          </w:p>
        </w:tc>
        <w:tc>
          <w:tcPr>
            <w:tcW w:w="542" w:type="dxa"/>
          </w:tcPr>
          <w:p w14:paraId="60A8D320" w14:textId="0E811E2A" w:rsidR="00B11D33" w:rsidRDefault="00B11D33" w:rsidP="00F6658F">
            <w:pPr>
              <w:jc w:val="both"/>
              <w:rPr>
                <w:rFonts w:cstheme="minorHAnsi"/>
                <w:sz w:val="20"/>
                <w:szCs w:val="20"/>
              </w:rPr>
            </w:pPr>
            <w:r>
              <w:rPr>
                <w:rFonts w:cstheme="minorHAnsi"/>
                <w:sz w:val="20"/>
                <w:szCs w:val="20"/>
              </w:rPr>
              <w:t>[42]</w:t>
            </w:r>
          </w:p>
        </w:tc>
      </w:tr>
    </w:tbl>
    <w:p w14:paraId="6F9052E5" w14:textId="77777777" w:rsidR="007E290E" w:rsidRDefault="007E290E" w:rsidP="00491A0F">
      <w:pPr>
        <w:spacing w:line="240" w:lineRule="auto"/>
        <w:jc w:val="both"/>
        <w:rPr>
          <w:sz w:val="24"/>
        </w:rPr>
      </w:pPr>
    </w:p>
    <w:p w14:paraId="0EC8FE1A" w14:textId="77777777" w:rsidR="007E290E" w:rsidRPr="008400AD" w:rsidRDefault="007E290E" w:rsidP="00491A0F">
      <w:pPr>
        <w:tabs>
          <w:tab w:val="left" w:pos="5260"/>
        </w:tabs>
        <w:jc w:val="both"/>
        <w:sectPr w:rsidR="007E290E" w:rsidRPr="008400AD" w:rsidSect="0020389E">
          <w:pgSz w:w="16838" w:h="11906" w:orient="landscape"/>
          <w:pgMar w:top="1440" w:right="1440" w:bottom="1440" w:left="1440" w:header="708" w:footer="708" w:gutter="0"/>
          <w:cols w:space="708"/>
          <w:docGrid w:linePitch="360"/>
        </w:sectPr>
      </w:pPr>
      <w:r>
        <w:t xml:space="preserve">Ct=cortical, Tb=trabecular, CSMI=cross-sectional moment of inertia, SSI=stress strain index. All studies considered </w:t>
      </w:r>
      <w:r w:rsidRPr="00740AE7">
        <w:t>r</w:t>
      </w:r>
      <w:r>
        <w:t>esults at p&lt;0.05 statistically significant unless otherwise stated. *A significant difference also exists between the ethnic groups after various study-specific adjustments, **Adjusted results only presented, with results at p&lt;0.001 considered statistically significant.</w:t>
      </w:r>
    </w:p>
    <w:p w14:paraId="4FC8D5EE" w14:textId="77777777" w:rsidR="007E290E" w:rsidRPr="008400AD" w:rsidRDefault="007E290E" w:rsidP="00491A0F">
      <w:pPr>
        <w:jc w:val="both"/>
        <w:rPr>
          <w:sz w:val="24"/>
        </w:rPr>
      </w:pPr>
      <w:r w:rsidRPr="0080738C">
        <w:rPr>
          <w:b/>
          <w:sz w:val="24"/>
        </w:rPr>
        <w:lastRenderedPageBreak/>
        <w:t>References</w:t>
      </w:r>
    </w:p>
    <w:p w14:paraId="66C3E4EC" w14:textId="77777777" w:rsidR="007E290E" w:rsidRPr="00784F44" w:rsidRDefault="007E290E" w:rsidP="00784F44">
      <w:pPr>
        <w:pStyle w:val="EndNoteBibliography"/>
        <w:spacing w:after="0"/>
      </w:pPr>
      <w:r w:rsidRPr="00784F44">
        <w:t>1. Organization WH. World Report on Ageing and Health2015.</w:t>
      </w:r>
    </w:p>
    <w:p w14:paraId="04322D4C" w14:textId="77777777" w:rsidR="007E290E" w:rsidRPr="00784F44" w:rsidRDefault="007E290E" w:rsidP="00784F44">
      <w:pPr>
        <w:pStyle w:val="EndNoteBibliography"/>
        <w:spacing w:after="0"/>
      </w:pPr>
      <w:r w:rsidRPr="00784F44">
        <w:t>2. Kanis JA, Oden A, McCloskey EV, Johansson H, Wahl DA, Cooper C et al. A systematic review of hip fracture incidence and probability of fracture worldwide. Osteoporos Int. 2012;23(9):2239-56. doi:10.1007/s00198-012-1964-3.</w:t>
      </w:r>
    </w:p>
    <w:p w14:paraId="14005DE1" w14:textId="77777777" w:rsidR="007E290E" w:rsidRPr="00784F44" w:rsidRDefault="007E290E" w:rsidP="00784F44">
      <w:pPr>
        <w:pStyle w:val="EndNoteBibliography"/>
        <w:spacing w:after="0"/>
      </w:pPr>
      <w:r w:rsidRPr="00784F44">
        <w:t xml:space="preserve">3. </w:t>
      </w:r>
      <w:r>
        <w:sym w:font="Wingdings" w:char="F09F"/>
      </w:r>
      <w:r>
        <w:sym w:font="Wingdings" w:char="F09F"/>
      </w:r>
      <w:r w:rsidRPr="00784F44">
        <w:t>Dela SS, Paruk F, Brown SL, Lukhele M, Kalla AA, Jordaan JD et al. Ethnic and gender-specific incidence rates for hip fractures in South Africa: A multi-centre study. Bone. 2020;133:115253. doi:10.1016/j.bone.2020.115253.</w:t>
      </w:r>
      <w:r>
        <w:t xml:space="preserve"> </w:t>
      </w:r>
      <w:r>
        <w:rPr>
          <w:b/>
        </w:rPr>
        <w:t>A multi-centre, multi-ethnic comparison of hip fracture incidence rates in South Africa.</w:t>
      </w:r>
    </w:p>
    <w:p w14:paraId="6D1E4D16" w14:textId="77777777" w:rsidR="007E290E" w:rsidRPr="00784F44" w:rsidRDefault="007E290E" w:rsidP="00784F44">
      <w:pPr>
        <w:pStyle w:val="EndNoteBibliography"/>
        <w:spacing w:after="0"/>
      </w:pPr>
      <w:r w:rsidRPr="00784F44">
        <w:t>4. Gregson CL, Cassim B, Micklesfield LK, Lukhele M, Ferrand RA, Ward KA et al. Fragility fractures in sub-Saharan Africa: time to break the myth. Lancet Glob Health. 2019;7(1):e26-e7. doi:10.1016/S2214-109X(18)30412-1.</w:t>
      </w:r>
    </w:p>
    <w:p w14:paraId="3E8048B7" w14:textId="77777777" w:rsidR="007E290E" w:rsidRPr="00784F44" w:rsidRDefault="007E290E" w:rsidP="00784F44">
      <w:pPr>
        <w:pStyle w:val="EndNoteBibliography"/>
        <w:spacing w:after="0"/>
      </w:pPr>
      <w:r w:rsidRPr="00784F44">
        <w:t>5. Saad RK, Harb H, Bou-Orm IR, Ammar W, El-Hajj Fuleihan G. Secular Trends of Hip Fractures in Lebanon, 2006 to 2017: Implications for Clinical Practice and Public Health Policy in the Middle East Region. J Bone Miner Res. 2020;35(1):71-80. doi:10.1002/jbmr.3870.</w:t>
      </w:r>
    </w:p>
    <w:p w14:paraId="5A727AE8" w14:textId="77777777" w:rsidR="007E290E" w:rsidRPr="00784F44" w:rsidRDefault="007E290E" w:rsidP="00784F44">
      <w:pPr>
        <w:pStyle w:val="EndNoteBibliography"/>
        <w:spacing w:after="0"/>
      </w:pPr>
      <w:r w:rsidRPr="00784F44">
        <w:t>6. Curtis EM, van der Velde R, Moon RJ, van den Bergh JP, Geusens P, de Vries F et al. Epidemiology of fractures in the United Kingdom 1988-2012: Variation with age, sex, geography, ethnicity and socioeconomic status. Bone. 2016;87:19-26. doi:10.1016/j.bone.2016.03.006.</w:t>
      </w:r>
    </w:p>
    <w:p w14:paraId="74E1FBBB" w14:textId="77777777" w:rsidR="007E290E" w:rsidRPr="00784F44" w:rsidRDefault="007E290E" w:rsidP="00784F44">
      <w:pPr>
        <w:pStyle w:val="EndNoteBibliography"/>
        <w:spacing w:after="0"/>
      </w:pPr>
      <w:r w:rsidRPr="00784F44">
        <w:t>7. Yong EL, Ganesan G, Kramer MS, Logan S, Lau TC, Cauley JA et al. Hip fractures in Singapore: ethnic differences and temporal trends in the new millennium. Osteoporos Int. 2019;30(4):879-86. doi:10.1007/s00198-019-04839-5.</w:t>
      </w:r>
    </w:p>
    <w:p w14:paraId="1C8332E4" w14:textId="77777777" w:rsidR="007E290E" w:rsidRPr="00784F44" w:rsidRDefault="007E290E" w:rsidP="00784F44">
      <w:pPr>
        <w:pStyle w:val="EndNoteBibliography"/>
        <w:spacing w:after="0"/>
      </w:pPr>
      <w:r w:rsidRPr="00784F44">
        <w:t xml:space="preserve">8. Klop C, van Staa TP, Cooper C, Harvey NC, de Vries F. The epidemiology of mortality after fracture in England: variation by age, sex, time, geographic location, and ethnicity. Osteoporosis International. 2017;28(1):161-8. </w:t>
      </w:r>
    </w:p>
    <w:p w14:paraId="70441557" w14:textId="77777777" w:rsidR="007E290E" w:rsidRPr="00784F44" w:rsidRDefault="007E290E" w:rsidP="00784F44">
      <w:pPr>
        <w:pStyle w:val="EndNoteBibliography"/>
        <w:spacing w:after="0"/>
      </w:pPr>
      <w:r w:rsidRPr="00784F44">
        <w:t>9. Okike K, Chan PH, Prentice HA, Paxton EW, Navarro RA. Association Between Race and Ethnicity and Hip Fracture Outcomes in a Universally Insured Population. J Bone Joint Surg Am. 2018;100(13):1126-31. doi:10.2106/JBJS.17.01178.</w:t>
      </w:r>
    </w:p>
    <w:p w14:paraId="7EF39380" w14:textId="77777777" w:rsidR="007E290E" w:rsidRPr="00784F44" w:rsidRDefault="007E290E" w:rsidP="00784F44">
      <w:pPr>
        <w:pStyle w:val="EndNoteBibliography"/>
        <w:spacing w:after="0"/>
      </w:pPr>
      <w:r w:rsidRPr="00784F44">
        <w:t>10. Dy CJ, Lane JM, Pan TJ, Parks ML, Lyman S. Racial and Socioeconomic Disparities in Hip Fracture Care. J Bone Joint Surg Am. 2016;98(10):858-65. doi:10.2106/JBJS.15.00676.</w:t>
      </w:r>
    </w:p>
    <w:p w14:paraId="616EA117" w14:textId="77777777" w:rsidR="007E290E" w:rsidRPr="00784F44" w:rsidRDefault="007E290E" w:rsidP="00784F44">
      <w:pPr>
        <w:pStyle w:val="EndNoteBibliography"/>
        <w:spacing w:after="0"/>
      </w:pPr>
      <w:r w:rsidRPr="00784F44">
        <w:t>11. Aboderin IAG, Beard JR. Older people's health in sub-Saharan Africa. Lancet (London, England). 2015;385(9968):e9-e11. doi:10.1016/S0140-6736(14)61602-0.</w:t>
      </w:r>
    </w:p>
    <w:p w14:paraId="6C26D87A" w14:textId="77777777" w:rsidR="007E290E" w:rsidRPr="00784F44" w:rsidRDefault="007E290E" w:rsidP="00784F44">
      <w:pPr>
        <w:pStyle w:val="EndNoteBibliography"/>
        <w:spacing w:after="0"/>
      </w:pPr>
      <w:r w:rsidRPr="00784F44">
        <w:t>12. Oden A, McCloskey EV, Kanis JA, Harvey NC, Johansson H. Burden of high fracture probability worldwide: secular increases 2010-2040. Osteoporos Int. 2015;26(9):2243-8. doi:10.1007/s00198-015-3154-6.</w:t>
      </w:r>
    </w:p>
    <w:p w14:paraId="294BBA75" w14:textId="77777777" w:rsidR="007E290E" w:rsidRPr="00784F44" w:rsidRDefault="007E290E" w:rsidP="00784F44">
      <w:pPr>
        <w:pStyle w:val="EndNoteBibliography"/>
        <w:spacing w:after="0"/>
      </w:pPr>
      <w:r w:rsidRPr="00784F44">
        <w:t>13. Paruk F, Matthews G, Gregson CL, Cassim B. Hip fractures in South Africa: mortality outcomes over 12 months post-fracture. Arch Osteoporos. 2020;15(1):76. doi:10.1007/s11657-020-00741-4.</w:t>
      </w:r>
    </w:p>
    <w:p w14:paraId="593CD0FA" w14:textId="77777777" w:rsidR="007E290E" w:rsidRPr="00784F44" w:rsidRDefault="007E290E" w:rsidP="00784F44">
      <w:pPr>
        <w:pStyle w:val="EndNoteBibliography"/>
        <w:spacing w:after="0"/>
      </w:pPr>
      <w:r w:rsidRPr="00784F44">
        <w:t>14. Conradie M, Conradie MM, Scher AT, Kidd M, Hough S. Vertebral fracture prevalence in black and white South African women. Arch Osteoporos. 2015;10:203. doi:10.1007/s11657-015-0203-x.</w:t>
      </w:r>
    </w:p>
    <w:p w14:paraId="0D29E2B0" w14:textId="77777777" w:rsidR="007E290E" w:rsidRPr="00784F44" w:rsidRDefault="007E290E" w:rsidP="00784F44">
      <w:pPr>
        <w:pStyle w:val="EndNoteBibliography"/>
        <w:spacing w:after="0"/>
      </w:pPr>
      <w:r w:rsidRPr="00784F44">
        <w:t>15. Zengin A, Fulford AJ, Sawo Y, Jarjou LM, Schoenmakers I, Goldberg G et al. The Gambian Bone and Muscle Ageing Study: Baseline Data from a Prospective Observational African Sub-Saharan Study. Front Endocrinol (Lausanne). 2017;8:219. doi:10.3389/fendo.2017.00219.</w:t>
      </w:r>
    </w:p>
    <w:p w14:paraId="1AEA2194" w14:textId="77777777" w:rsidR="007E290E" w:rsidRPr="00784F44" w:rsidRDefault="007E290E" w:rsidP="00784F44">
      <w:pPr>
        <w:pStyle w:val="EndNoteBibliography"/>
        <w:spacing w:after="0"/>
      </w:pPr>
      <w:r w:rsidRPr="00784F44">
        <w:t xml:space="preserve">16. Prentice A, Shaw J, Laskey MA, Cole TJ, Fraser DR. Bone mineral content of British and rural Gambian women aged 18-80+ years. Bone and mineral. 1991;12(3):201-14. </w:t>
      </w:r>
    </w:p>
    <w:p w14:paraId="2316E19D" w14:textId="77777777" w:rsidR="007E290E" w:rsidRPr="00784F44" w:rsidRDefault="007E290E" w:rsidP="00784F44">
      <w:pPr>
        <w:pStyle w:val="EndNoteBibliography"/>
        <w:spacing w:after="0"/>
      </w:pPr>
      <w:r w:rsidRPr="00784F44">
        <w:t xml:space="preserve">17. Roy D, Swarbrick C, King Y, Pye S, Adams J, Berry J et al. Differences in peak bone mass in women of European and South Asian origin can be explained by differences in body size. Osteoporos Int. 2005;Online first. </w:t>
      </w:r>
    </w:p>
    <w:p w14:paraId="3FDA1C60" w14:textId="77777777" w:rsidR="007E290E" w:rsidRPr="00784F44" w:rsidRDefault="007E290E" w:rsidP="00784F44">
      <w:pPr>
        <w:pStyle w:val="EndNoteBibliography"/>
        <w:spacing w:after="0"/>
      </w:pPr>
      <w:r w:rsidRPr="00784F44">
        <w:t>18. Liu XS, Walker MD, McMahon DJ, Udesky J, Liu G, Bilezikian JP et al. Better skeletal microstructure confers greater mechanical advantages in Chinese-American women versus white women. J Bone Miner Res. 2011;26(8):1783-92. doi:10.1002/jbmr.378.</w:t>
      </w:r>
    </w:p>
    <w:p w14:paraId="2D7F6EA3" w14:textId="77777777" w:rsidR="007E290E" w:rsidRPr="00784F44" w:rsidRDefault="007E290E" w:rsidP="00784F44">
      <w:pPr>
        <w:pStyle w:val="EndNoteBibliography"/>
        <w:spacing w:after="0"/>
      </w:pPr>
      <w:r w:rsidRPr="00784F44">
        <w:t>19. Fuggle NR, Curtis EM, Ward KA, Harvey NC, Dennison EM, Cooper C. Fracture prediction, imaging and screening in osteoporosis. Nat Rev Endocrinol. 2019. doi:10.1038/s41574-019-0220-8.</w:t>
      </w:r>
    </w:p>
    <w:p w14:paraId="0CC41BF0" w14:textId="77777777" w:rsidR="007E290E" w:rsidRPr="00784F44" w:rsidRDefault="007E290E" w:rsidP="00784F44">
      <w:pPr>
        <w:pStyle w:val="EndNoteBibliography"/>
        <w:spacing w:after="0"/>
      </w:pPr>
      <w:r w:rsidRPr="00784F44">
        <w:lastRenderedPageBreak/>
        <w:t>20. Zengin A, Prentice A, Ward KA. Ethnic differences in bone health. Front Endocrinol (Lausanne). 2015;6:24. doi:10.3389/fendo.2015.00024.</w:t>
      </w:r>
    </w:p>
    <w:p w14:paraId="5A708CEB" w14:textId="77777777" w:rsidR="007E290E" w:rsidRPr="00784F44" w:rsidRDefault="007E290E" w:rsidP="00784F44">
      <w:pPr>
        <w:pStyle w:val="EndNoteBibliography"/>
        <w:spacing w:after="0"/>
      </w:pPr>
      <w:r w:rsidRPr="00784F44">
        <w:t>21. Ward K. Musculoskeletal phenotype through the life course: the role of nutrition. The Proceedings of the Nutrition Society. 2012;71(1):27-37. doi:10.1017/s0029665111003375.</w:t>
      </w:r>
    </w:p>
    <w:p w14:paraId="2ADAFF32" w14:textId="77777777" w:rsidR="007E290E" w:rsidRPr="00784F44" w:rsidRDefault="007E290E" w:rsidP="00784F44">
      <w:pPr>
        <w:pStyle w:val="EndNoteBibliography"/>
        <w:spacing w:after="0"/>
      </w:pPr>
      <w:r w:rsidRPr="00784F44">
        <w:t>22. Samelson EJ, Broe KE, Xu H, Yang L, Boyd S, Biver E et al. Cortical and trabecular bone microarchitecture as an independent predictor of incident fracture risk in older women and men in the Bone Microarchitecture International Consortium (BoMIC): a prospective study. The lancet Diabetes &amp; endocrinology. 2019;7(1):34-43. doi:10.1016/S2213-8587(18)30308-5.</w:t>
      </w:r>
    </w:p>
    <w:p w14:paraId="2E7CE341" w14:textId="77777777" w:rsidR="007E290E" w:rsidRPr="00784F44" w:rsidRDefault="007E290E" w:rsidP="00784F44">
      <w:pPr>
        <w:pStyle w:val="EndNoteBibliography"/>
        <w:spacing w:after="0"/>
      </w:pPr>
      <w:r w:rsidRPr="00784F44">
        <w:t>23. Edwards MH, Robinson DE, Ward KA, Javaid MK, Walker-Bone K, Cooper C et al. Cluster analysis of bone microarchitecture from high resolution peripheral quantitative computed tomography demonstrates two separate phenotypes associated with high fracture risk in men and women. Bone. 2016;88:131-7. doi:10.1016/j.bone.2016.04.025.</w:t>
      </w:r>
    </w:p>
    <w:p w14:paraId="0826F009" w14:textId="77777777" w:rsidR="007E290E" w:rsidRPr="00784F44" w:rsidRDefault="007E290E" w:rsidP="00784F44">
      <w:pPr>
        <w:pStyle w:val="EndNoteBibliography"/>
        <w:spacing w:after="0"/>
      </w:pPr>
      <w:r w:rsidRPr="00784F44">
        <w:t>24. Litwic AE, Westbury LD, Robinson DE, Ward KA, Cooper C, Dennison EM. Bone Phenotype Assessed by HRpQCT and Associations with Fracture Risk in the GLOW Study. Calcif Tissue Int. 2017. doi:10.1007/s00223-017-0325-9.</w:t>
      </w:r>
    </w:p>
    <w:p w14:paraId="58D33E51" w14:textId="77777777" w:rsidR="007E290E" w:rsidRPr="00784F44" w:rsidRDefault="007E290E" w:rsidP="00784F44">
      <w:pPr>
        <w:pStyle w:val="EndNoteBibliography"/>
        <w:spacing w:after="0"/>
      </w:pPr>
      <w:r w:rsidRPr="00784F44">
        <w:t>25. Westbury LD, Shere C, Edwards MH, Cooper C, Dennison EM, Ward KA. Cluster Analysis of Finite Element Analysis and Bone Microarchitectural Parameters Identifies Phenotypes with High Fracture Risk. Calcif Tissue Int. 2019. doi:10.1007/s00223-019-00564-7.</w:t>
      </w:r>
    </w:p>
    <w:p w14:paraId="3B0A9A58" w14:textId="77777777" w:rsidR="007E290E" w:rsidRPr="00784F44" w:rsidRDefault="007E290E" w:rsidP="00784F44">
      <w:pPr>
        <w:pStyle w:val="EndNoteBibliography"/>
        <w:spacing w:after="0"/>
      </w:pPr>
      <w:r w:rsidRPr="00784F44">
        <w:t>26. Walker MD, Babbar R, Opotowsky AR, Rohira A, Nabizadeh F, Badia MD et al. A referent bone mineral density database for Chinese American women. Osteoporos Int. 2006;17(6):878-87. doi:10.1007/s00198-005-0059-9.</w:t>
      </w:r>
    </w:p>
    <w:p w14:paraId="20CFF18B" w14:textId="77777777" w:rsidR="007E290E" w:rsidRPr="00784F44" w:rsidRDefault="007E290E" w:rsidP="00784F44">
      <w:pPr>
        <w:pStyle w:val="EndNoteBibliography"/>
        <w:spacing w:after="0"/>
      </w:pPr>
      <w:r w:rsidRPr="00784F44">
        <w:t>27. Barrett-Connor E, Siris ES, Wehren LE, Miller PD, Abbott TA, Berger ML et al. Osteoporosis and fracture risk in women of different ethnic groups. J Bone Miner Res. 2005;20(2):185-94. doi:10.1359/JBMR.041007.</w:t>
      </w:r>
    </w:p>
    <w:p w14:paraId="64723796" w14:textId="77777777" w:rsidR="007E290E" w:rsidRPr="00784F44" w:rsidRDefault="007E290E" w:rsidP="00784F44">
      <w:pPr>
        <w:pStyle w:val="EndNoteBibliography"/>
        <w:spacing w:after="0"/>
      </w:pPr>
      <w:r w:rsidRPr="00784F44">
        <w:t>28. Walker MD, McMahon DJ, Udesky J, Liu G, Bilezikian JP. Application of high-resolution skeletal imaging to measurements of volumetric BMD and skeletal microarchitecture in Chinese-American and white women: explanation of a paradox. J Bone Miner Res. 2009;24(12):1953-9. doi:10.1359/jbmr.090528.</w:t>
      </w:r>
    </w:p>
    <w:p w14:paraId="0CCB6A62" w14:textId="77777777" w:rsidR="007E290E" w:rsidRPr="00784F44" w:rsidRDefault="007E290E" w:rsidP="00784F44">
      <w:pPr>
        <w:pStyle w:val="EndNoteBibliography"/>
        <w:spacing w:after="0"/>
      </w:pPr>
      <w:r w:rsidRPr="00784F44">
        <w:t>29. Walker MD, Liu XS, Stein E, Zhou B, Bezati E, McMahon DJ et al. Differences in bone microarchitecture between postmenopausal Chinese-American and white women. J Bone Miner Res. 2011;26(7):1392-8. doi:10.1002/jbmr.352.</w:t>
      </w:r>
    </w:p>
    <w:p w14:paraId="72BCF2DD" w14:textId="77777777" w:rsidR="007E290E" w:rsidRPr="00784F44" w:rsidRDefault="007E290E" w:rsidP="00784F44">
      <w:pPr>
        <w:pStyle w:val="EndNoteBibliography"/>
        <w:spacing w:after="0"/>
      </w:pPr>
      <w:r w:rsidRPr="00784F44">
        <w:t>30. Walker MD, Liu XS, Zhou B, Agarwal S, Liu G, McMahon DJ et al. Premenopausal and postmenopausal differences in bone microstructure and mechanical competence in Chinese-American and white women. J Bone Miner Res. 2013;28(6):1308-18. doi:10.1002/jbmr.1860.</w:t>
      </w:r>
    </w:p>
    <w:p w14:paraId="55BDEA24" w14:textId="77777777" w:rsidR="007E290E" w:rsidRPr="00784F44" w:rsidRDefault="007E290E" w:rsidP="00784F44">
      <w:pPr>
        <w:pStyle w:val="EndNoteBibliography"/>
        <w:spacing w:after="0"/>
      </w:pPr>
      <w:r w:rsidRPr="00784F44">
        <w:t>31. Wang XF, Ghasem-Zadeh A, Zhou B, Guo XE, Zhang Z, Seeman E. Dimorphism in axial and appendicular dimensions, cortical and trabecular microstructure and matrix mineral density in Chinese and Caucasian women. Bone. 2019;128:115039. doi:10.1016/j.bone.2019.115039.</w:t>
      </w:r>
    </w:p>
    <w:p w14:paraId="71CC499B" w14:textId="77777777" w:rsidR="007E290E" w:rsidRPr="00784F44" w:rsidRDefault="007E290E" w:rsidP="00784F44">
      <w:pPr>
        <w:pStyle w:val="EndNoteBibliography"/>
        <w:spacing w:after="0"/>
      </w:pPr>
      <w:r w:rsidRPr="00784F44">
        <w:t xml:space="preserve">32. </w:t>
      </w:r>
      <w:r>
        <w:sym w:font="Wingdings" w:char="F09F"/>
      </w:r>
      <w:r w:rsidRPr="00784F44">
        <w:t>Sum M, Zhu TY, Zhou B, Zhang Z, Bilezikian JP, Guo XE et al. Chinese Women in Both the United States and Hong Kong Have Cortical Microstructural Advantages and More Trabecular Plates Compared With White Women. JBMR Plus. 2019;3(4):e10083. doi:10.1002/jbm4.10083.</w:t>
      </w:r>
      <w:r>
        <w:t xml:space="preserve"> </w:t>
      </w:r>
      <w:r>
        <w:rPr>
          <w:b/>
        </w:rPr>
        <w:t>This study is important because of its comparison of ethn</w:t>
      </w:r>
      <w:r w:rsidR="00582219">
        <w:rPr>
          <w:b/>
        </w:rPr>
        <w:t>ic differences in pre- and post</w:t>
      </w:r>
      <w:r>
        <w:rPr>
          <w:b/>
        </w:rPr>
        <w:t>menopausal HR-pQCT outcomes across geographical locations.</w:t>
      </w:r>
    </w:p>
    <w:p w14:paraId="4530BA0B" w14:textId="77777777" w:rsidR="007E290E" w:rsidRPr="00784F44" w:rsidRDefault="007E290E" w:rsidP="00784F44">
      <w:pPr>
        <w:pStyle w:val="EndNoteBibliography"/>
        <w:spacing w:after="0"/>
      </w:pPr>
      <w:r w:rsidRPr="00784F44">
        <w:t>33. Wang L, Khoo BCC, Cheng XG, Brown K, Lewis JR, Su YB et al. Differences in femoral neck structure between elderly Caucasian and Chinese populations: a cross-sectional study of Perth-Beijing cohorts. Arch Osteoporos. 2017;12(1):72. doi:10.1007/s11657-017-0366-8.</w:t>
      </w:r>
    </w:p>
    <w:p w14:paraId="795DFFD9" w14:textId="77777777" w:rsidR="007E290E" w:rsidRPr="00784F44" w:rsidRDefault="007E290E" w:rsidP="00784F44">
      <w:pPr>
        <w:pStyle w:val="EndNoteBibliography"/>
        <w:spacing w:after="0"/>
      </w:pPr>
      <w:r w:rsidRPr="00784F44">
        <w:t>34. Putman MS, Yu EW, Lee H, Neer RM, Schindler E, Taylor AP et al. Differences in skeletal microarchitecture and strength in African-American and white women. J Bone Miner Res. 2013;28(10):2177-85. doi:10.1002/jbmr.1953.</w:t>
      </w:r>
    </w:p>
    <w:p w14:paraId="262D2F74" w14:textId="77777777" w:rsidR="007E290E" w:rsidRPr="00784F44" w:rsidRDefault="007E290E" w:rsidP="00784F44">
      <w:pPr>
        <w:pStyle w:val="EndNoteBibliography"/>
        <w:spacing w:after="0"/>
      </w:pPr>
      <w:r w:rsidRPr="00784F44">
        <w:t xml:space="preserve">35. </w:t>
      </w:r>
      <w:r>
        <w:sym w:font="Wingdings" w:char="F09F"/>
      </w:r>
      <w:r w:rsidRPr="00784F44">
        <w:t xml:space="preserve">Putman MS, Yu EW, Lin D, Darakananda K, Finkelstein JS, Bouxsein ML. Differences in Trabecular Microstructure Between Black and White Women Assessed by Individual Trabecular Segmentation Analysis of HR-pQCT Images. J Bone Miner Res. 2017;32(5):1100-8. </w:t>
      </w:r>
      <w:r w:rsidRPr="00784F44">
        <w:lastRenderedPageBreak/>
        <w:t>doi:10.1002/jbmr.3060.</w:t>
      </w:r>
      <w:r>
        <w:t xml:space="preserve"> </w:t>
      </w:r>
      <w:r>
        <w:rPr>
          <w:b/>
        </w:rPr>
        <w:t>This study compared ethnic differences in ITS parameters and also investigated the ability of HR-pQCT and ITS parameters to predict failure load.</w:t>
      </w:r>
    </w:p>
    <w:p w14:paraId="2E82464A" w14:textId="77777777" w:rsidR="007E290E" w:rsidRPr="00784F44" w:rsidRDefault="007E290E" w:rsidP="00784F44">
      <w:pPr>
        <w:pStyle w:val="EndNoteBibliography"/>
        <w:spacing w:after="0"/>
      </w:pPr>
      <w:r w:rsidRPr="00784F44">
        <w:t>36. Zengin A, Pye SR, Cook MJ, Adams JE, Wu FC, O'Neill TW et al. Ethnic differences in bone geometry between White, Black and South Asian men in the UK. Bone. 2016;91:180-5. doi:10.1016/j.bone.2016.07.018.</w:t>
      </w:r>
    </w:p>
    <w:p w14:paraId="56CF53DB" w14:textId="77777777" w:rsidR="007E290E" w:rsidRPr="00784F44" w:rsidRDefault="007E290E" w:rsidP="00784F44">
      <w:pPr>
        <w:pStyle w:val="EndNoteBibliography"/>
        <w:spacing w:after="0"/>
      </w:pPr>
      <w:r w:rsidRPr="00784F44">
        <w:t xml:space="preserve">37. </w:t>
      </w:r>
      <w:r>
        <w:sym w:font="Wingdings" w:char="F09F"/>
      </w:r>
      <w:r w:rsidRPr="00784F44">
        <w:t>Jammy GR, Boudreau RM, Singh T, Sharma PK, Ensrud K, Zmuda JM et al. Volumetric bone mineral density (vBMD), bone structure, and structural geometry among rural South Indian, US Caucasian, and Afro-Caribbean older men. Arch Osteoporos. 2018;13(1):60. doi:10.1007/s11657-018-0473-1.</w:t>
      </w:r>
      <w:r>
        <w:t xml:space="preserve"> </w:t>
      </w:r>
      <w:r>
        <w:rPr>
          <w:b/>
        </w:rPr>
        <w:t>This study compared ethnic and geographic differences in pQCT outcomes in men from three different cohort studies.</w:t>
      </w:r>
    </w:p>
    <w:p w14:paraId="6AD0E3A1" w14:textId="77777777" w:rsidR="007E290E" w:rsidRPr="00784F44" w:rsidRDefault="007E290E" w:rsidP="00784F44">
      <w:pPr>
        <w:pStyle w:val="EndNoteBibliography"/>
        <w:spacing w:after="0"/>
      </w:pPr>
      <w:r w:rsidRPr="00784F44">
        <w:t>38. Popp KL, Hughes JM, Martinez-Betancourt A, Scott M, Turkington V, Caksa S et al. Bone mass, microarchitecture and strength are influenced by race/ethnicity in young adult men and women. Bone. 2017;103:200-8. doi:10.1016/j.bone.2017.07.014.</w:t>
      </w:r>
    </w:p>
    <w:p w14:paraId="6AB986FB" w14:textId="77777777" w:rsidR="007E290E" w:rsidRPr="00784F44" w:rsidRDefault="007E290E" w:rsidP="00784F44">
      <w:pPr>
        <w:pStyle w:val="EndNoteBibliography"/>
        <w:spacing w:after="0"/>
      </w:pPr>
      <w:r w:rsidRPr="00784F44">
        <w:t>39. Popp KL, Xu C, Yuan A, Hughes JM, Unnikrishnan G, Reifman J et al. Trabecular microstructure is influenced by race and sex in Black and White young adults. Osteoporos Int. 2019;30(1):201-9. doi:10.1007/s00198-018-4729-9.</w:t>
      </w:r>
    </w:p>
    <w:p w14:paraId="6A7C2FCF" w14:textId="77777777" w:rsidR="007E290E" w:rsidRPr="00784F44" w:rsidRDefault="007E290E" w:rsidP="00784F44">
      <w:pPr>
        <w:pStyle w:val="EndNoteBibliography"/>
        <w:spacing w:after="0"/>
      </w:pPr>
      <w:r w:rsidRPr="00784F44">
        <w:t>40. Kepley AL, Nishiyama KK, Zhou B, Wang J, Zhang C, McMahon DJ et al. Differences in bone quality and strength between Asian and Caucasian young men. Osteoporos Int. 2017;28(2):549-58. doi:10.1007/s00198-016-3762-9.</w:t>
      </w:r>
    </w:p>
    <w:p w14:paraId="3943163B" w14:textId="77777777" w:rsidR="007E290E" w:rsidRPr="00784F44" w:rsidRDefault="007E290E" w:rsidP="00784F44">
      <w:pPr>
        <w:pStyle w:val="EndNoteBibliography"/>
        <w:spacing w:after="0"/>
      </w:pPr>
      <w:r w:rsidRPr="00784F44">
        <w:t>41. Walker MD, Kepley A, Nishiyama K, Zhou B, Guo E, Nickolas TL. Cortical microstructure compensates for smaller bone size in young Caribbean Hispanic versus non-Hispanic white men. Osteoporos Int. 2017;28(7):2147-54. doi:10.1007/s00198-017-4013-4.</w:t>
      </w:r>
    </w:p>
    <w:p w14:paraId="5DB89CD7" w14:textId="77777777" w:rsidR="007E290E" w:rsidRPr="00784F44" w:rsidRDefault="007E290E" w:rsidP="00784F44">
      <w:pPr>
        <w:pStyle w:val="EndNoteBibliography"/>
      </w:pPr>
      <w:r w:rsidRPr="00784F44">
        <w:t>42. Schoenbuchner SM, Pettifor JM, Norris SA, Micklesfield LK, Prentice A, Ward KA. Ethnic Differences in Peripheral Skeletal Development Among Urban South African Adolescents: A Ten-Year Longitudinal pQCT Study. Journal of Bone and Mineral Research. 2017;32(12):2355-66. doi:10.1002/jbmr.3279.</w:t>
      </w:r>
    </w:p>
    <w:p w14:paraId="0E65C1EB" w14:textId="77777777" w:rsidR="007E290E" w:rsidRPr="00852E50" w:rsidRDefault="007E290E" w:rsidP="00491A0F">
      <w:pPr>
        <w:jc w:val="both"/>
        <w:rPr>
          <w:sz w:val="24"/>
        </w:rPr>
      </w:pPr>
    </w:p>
    <w:p w14:paraId="70CD17BB" w14:textId="77777777" w:rsidR="00C77F97" w:rsidRDefault="00C77F97"/>
    <w:sectPr w:rsidR="00C77F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FFA59" w14:textId="77777777" w:rsidR="00247FEB" w:rsidRDefault="00247FEB" w:rsidP="007E290E">
      <w:pPr>
        <w:spacing w:after="0" w:line="240" w:lineRule="auto"/>
      </w:pPr>
      <w:r>
        <w:separator/>
      </w:r>
    </w:p>
  </w:endnote>
  <w:endnote w:type="continuationSeparator" w:id="0">
    <w:p w14:paraId="6A2B229F" w14:textId="77777777" w:rsidR="00247FEB" w:rsidRDefault="00247FEB" w:rsidP="007E2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726922"/>
      <w:docPartObj>
        <w:docPartGallery w:val="Page Numbers (Bottom of Page)"/>
        <w:docPartUnique/>
      </w:docPartObj>
    </w:sdtPr>
    <w:sdtEndPr>
      <w:rPr>
        <w:noProof/>
      </w:rPr>
    </w:sdtEndPr>
    <w:sdtContent>
      <w:p w14:paraId="399CB4BF" w14:textId="600A7121" w:rsidR="007E290E" w:rsidRDefault="007E290E">
        <w:pPr>
          <w:pStyle w:val="Footer"/>
          <w:jc w:val="right"/>
        </w:pPr>
        <w:r>
          <w:fldChar w:fldCharType="begin"/>
        </w:r>
        <w:r>
          <w:instrText xml:space="preserve"> PAGE   \* MERGEFORMAT </w:instrText>
        </w:r>
        <w:r>
          <w:fldChar w:fldCharType="separate"/>
        </w:r>
        <w:r w:rsidR="008F5BA1">
          <w:rPr>
            <w:noProof/>
          </w:rPr>
          <w:t>2</w:t>
        </w:r>
        <w:r>
          <w:rPr>
            <w:noProof/>
          </w:rPr>
          <w:fldChar w:fldCharType="end"/>
        </w:r>
      </w:p>
    </w:sdtContent>
  </w:sdt>
  <w:p w14:paraId="4BCEE2EB" w14:textId="77777777" w:rsidR="007E290E" w:rsidRDefault="007E2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F20E1" w14:textId="77777777" w:rsidR="00247FEB" w:rsidRDefault="00247FEB" w:rsidP="007E290E">
      <w:pPr>
        <w:spacing w:after="0" w:line="240" w:lineRule="auto"/>
      </w:pPr>
      <w:r>
        <w:separator/>
      </w:r>
    </w:p>
  </w:footnote>
  <w:footnote w:type="continuationSeparator" w:id="0">
    <w:p w14:paraId="64EF5C79" w14:textId="77777777" w:rsidR="00247FEB" w:rsidRDefault="00247FEB" w:rsidP="007E290E">
      <w:pPr>
        <w:spacing w:after="0" w:line="240" w:lineRule="auto"/>
      </w:pPr>
      <w:r>
        <w:continuationSeparator/>
      </w:r>
    </w:p>
  </w:footnote>
  <w:footnote w:id="1">
    <w:p w14:paraId="7782AD24" w14:textId="77777777" w:rsidR="007E290E" w:rsidRDefault="007E290E">
      <w:pPr>
        <w:pStyle w:val="FootnoteText"/>
      </w:pPr>
      <w:r>
        <w:rPr>
          <w:rStyle w:val="FootnoteReference"/>
        </w:rPr>
        <w:footnoteRef/>
      </w:r>
      <w:r>
        <w:t xml:space="preserve"> In this review, we used ethnic group definitions given by the author.</w:t>
      </w:r>
    </w:p>
  </w:footnote>
  <w:footnote w:id="2">
    <w:p w14:paraId="0C1D4F99" w14:textId="77777777" w:rsidR="0032721F" w:rsidRDefault="0032721F" w:rsidP="0032721F">
      <w:pPr>
        <w:pStyle w:val="FootnoteText"/>
      </w:pPr>
      <w:r>
        <w:rPr>
          <w:rStyle w:val="FootnoteReference"/>
        </w:rPr>
        <w:footnoteRef/>
      </w:r>
      <w:r>
        <w:t xml:space="preserve"> Low and middle income countries are defined by the </w:t>
      </w:r>
      <w:hyperlink r:id="rId1" w:history="1">
        <w:r w:rsidRPr="00DB218E">
          <w:rPr>
            <w:rStyle w:val="Hyperlink"/>
          </w:rPr>
          <w:t>World Bank by their Gross National Income (GNI)</w:t>
        </w:r>
      </w:hyperlink>
      <w:r>
        <w:t xml:space="preserve"> per Capita. Low income is GNI &lt; $1026; Low-middle $1026-3995; Upper-middle $3996-12375; High income &gt;$12375</w:t>
      </w:r>
    </w:p>
  </w:footnote>
  <w:footnote w:id="3">
    <w:p w14:paraId="70EDA257" w14:textId="2638BD0E" w:rsidR="00E96301" w:rsidRDefault="00E96301">
      <w:pPr>
        <w:pStyle w:val="FootnoteText"/>
      </w:pPr>
      <w:r>
        <w:rPr>
          <w:rStyle w:val="FootnoteReference"/>
        </w:rPr>
        <w:footnoteRef/>
      </w:r>
      <w:r>
        <w:t xml:space="preserve"> The ethnic group definitions used in this table were those given by the author</w:t>
      </w:r>
    </w:p>
  </w:footnote>
  <w:footnote w:id="4">
    <w:p w14:paraId="56486B9F" w14:textId="2F910606" w:rsidR="007E290E" w:rsidRDefault="007E290E">
      <w:pPr>
        <w:pStyle w:val="FootnoteText"/>
      </w:pPr>
      <w:r>
        <w:rPr>
          <w:rStyle w:val="FootnoteReference"/>
        </w:rPr>
        <w:footnoteRef/>
      </w:r>
      <w:r>
        <w:t xml:space="preserve"> </w:t>
      </w:r>
      <w:r w:rsidR="00E96301">
        <w:t>Where sexes are presented together either no sex-ethnicity interaction was found, or generalised results are presented for brevity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E6D19"/>
    <w:multiLevelType w:val="hybridMultilevel"/>
    <w:tmpl w:val="5E78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E290E"/>
    <w:rsid w:val="00122115"/>
    <w:rsid w:val="0018119E"/>
    <w:rsid w:val="0019134F"/>
    <w:rsid w:val="001F0BB4"/>
    <w:rsid w:val="00247FEB"/>
    <w:rsid w:val="0032721F"/>
    <w:rsid w:val="00373442"/>
    <w:rsid w:val="003B11FC"/>
    <w:rsid w:val="00472858"/>
    <w:rsid w:val="004842C7"/>
    <w:rsid w:val="004A3DFE"/>
    <w:rsid w:val="00505489"/>
    <w:rsid w:val="00531B71"/>
    <w:rsid w:val="00564A25"/>
    <w:rsid w:val="00582219"/>
    <w:rsid w:val="006C0915"/>
    <w:rsid w:val="006C1D43"/>
    <w:rsid w:val="006F4ADB"/>
    <w:rsid w:val="00704DB2"/>
    <w:rsid w:val="007746CD"/>
    <w:rsid w:val="00784523"/>
    <w:rsid w:val="007E290E"/>
    <w:rsid w:val="00807905"/>
    <w:rsid w:val="00812646"/>
    <w:rsid w:val="0081658D"/>
    <w:rsid w:val="00852EC1"/>
    <w:rsid w:val="00870AC9"/>
    <w:rsid w:val="008B6122"/>
    <w:rsid w:val="008F5BA1"/>
    <w:rsid w:val="00926DEF"/>
    <w:rsid w:val="00942B72"/>
    <w:rsid w:val="00961648"/>
    <w:rsid w:val="00985D65"/>
    <w:rsid w:val="00985D7D"/>
    <w:rsid w:val="009B3257"/>
    <w:rsid w:val="009C6B50"/>
    <w:rsid w:val="00AB5294"/>
    <w:rsid w:val="00B11D33"/>
    <w:rsid w:val="00B811A3"/>
    <w:rsid w:val="00BD0E50"/>
    <w:rsid w:val="00C77F97"/>
    <w:rsid w:val="00CE67E5"/>
    <w:rsid w:val="00DB218E"/>
    <w:rsid w:val="00DC471C"/>
    <w:rsid w:val="00DD7931"/>
    <w:rsid w:val="00E10FCA"/>
    <w:rsid w:val="00E24745"/>
    <w:rsid w:val="00E9488B"/>
    <w:rsid w:val="00E96301"/>
    <w:rsid w:val="00EC654B"/>
    <w:rsid w:val="00ED11A3"/>
    <w:rsid w:val="00F41881"/>
    <w:rsid w:val="00F6658F"/>
    <w:rsid w:val="00FA2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94E8"/>
  <w15:chartTrackingRefBased/>
  <w15:docId w15:val="{FE79CBA6-7464-4A40-8D35-C02ABD62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E290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E290E"/>
    <w:rPr>
      <w:rFonts w:ascii="Calibri" w:hAnsi="Calibri" w:cs="Calibri"/>
      <w:noProof/>
      <w:lang w:val="en-US"/>
    </w:rPr>
  </w:style>
  <w:style w:type="paragraph" w:customStyle="1" w:styleId="EndNoteBibliography">
    <w:name w:val="EndNote Bibliography"/>
    <w:basedOn w:val="Normal"/>
    <w:link w:val="EndNoteBibliographyChar"/>
    <w:rsid w:val="007E290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E290E"/>
    <w:rPr>
      <w:rFonts w:ascii="Calibri" w:hAnsi="Calibri" w:cs="Calibri"/>
      <w:noProof/>
      <w:lang w:val="en-US"/>
    </w:rPr>
  </w:style>
  <w:style w:type="paragraph" w:styleId="BalloonText">
    <w:name w:val="Balloon Text"/>
    <w:basedOn w:val="Normal"/>
    <w:link w:val="BalloonTextChar"/>
    <w:uiPriority w:val="99"/>
    <w:semiHidden/>
    <w:unhideWhenUsed/>
    <w:rsid w:val="007E2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90E"/>
    <w:rPr>
      <w:rFonts w:ascii="Segoe UI" w:hAnsi="Segoe UI" w:cs="Segoe UI"/>
      <w:sz w:val="18"/>
      <w:szCs w:val="18"/>
    </w:rPr>
  </w:style>
  <w:style w:type="character" w:styleId="CommentReference">
    <w:name w:val="annotation reference"/>
    <w:basedOn w:val="DefaultParagraphFont"/>
    <w:uiPriority w:val="99"/>
    <w:semiHidden/>
    <w:unhideWhenUsed/>
    <w:rsid w:val="007E290E"/>
    <w:rPr>
      <w:sz w:val="16"/>
      <w:szCs w:val="16"/>
    </w:rPr>
  </w:style>
  <w:style w:type="paragraph" w:styleId="CommentText">
    <w:name w:val="annotation text"/>
    <w:basedOn w:val="Normal"/>
    <w:link w:val="CommentTextChar"/>
    <w:uiPriority w:val="99"/>
    <w:semiHidden/>
    <w:unhideWhenUsed/>
    <w:rsid w:val="007E290E"/>
    <w:pPr>
      <w:spacing w:line="240" w:lineRule="auto"/>
    </w:pPr>
    <w:rPr>
      <w:sz w:val="20"/>
      <w:szCs w:val="20"/>
    </w:rPr>
  </w:style>
  <w:style w:type="character" w:customStyle="1" w:styleId="CommentTextChar">
    <w:name w:val="Comment Text Char"/>
    <w:basedOn w:val="DefaultParagraphFont"/>
    <w:link w:val="CommentText"/>
    <w:uiPriority w:val="99"/>
    <w:semiHidden/>
    <w:rsid w:val="007E290E"/>
    <w:rPr>
      <w:sz w:val="20"/>
      <w:szCs w:val="20"/>
    </w:rPr>
  </w:style>
  <w:style w:type="paragraph" w:styleId="CommentSubject">
    <w:name w:val="annotation subject"/>
    <w:basedOn w:val="CommentText"/>
    <w:next w:val="CommentText"/>
    <w:link w:val="CommentSubjectChar"/>
    <w:uiPriority w:val="99"/>
    <w:semiHidden/>
    <w:unhideWhenUsed/>
    <w:rsid w:val="007E290E"/>
    <w:rPr>
      <w:b/>
      <w:bCs/>
    </w:rPr>
  </w:style>
  <w:style w:type="character" w:customStyle="1" w:styleId="CommentSubjectChar">
    <w:name w:val="Comment Subject Char"/>
    <w:basedOn w:val="CommentTextChar"/>
    <w:link w:val="CommentSubject"/>
    <w:uiPriority w:val="99"/>
    <w:semiHidden/>
    <w:rsid w:val="007E290E"/>
    <w:rPr>
      <w:b/>
      <w:bCs/>
      <w:sz w:val="20"/>
      <w:szCs w:val="20"/>
    </w:rPr>
  </w:style>
  <w:style w:type="paragraph" w:styleId="Header">
    <w:name w:val="header"/>
    <w:basedOn w:val="Normal"/>
    <w:link w:val="HeaderChar"/>
    <w:uiPriority w:val="99"/>
    <w:unhideWhenUsed/>
    <w:rsid w:val="007E29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90E"/>
  </w:style>
  <w:style w:type="paragraph" w:styleId="Footer">
    <w:name w:val="footer"/>
    <w:basedOn w:val="Normal"/>
    <w:link w:val="FooterChar"/>
    <w:uiPriority w:val="99"/>
    <w:unhideWhenUsed/>
    <w:rsid w:val="007E2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90E"/>
  </w:style>
  <w:style w:type="paragraph" w:styleId="NormalWeb">
    <w:name w:val="Normal (Web)"/>
    <w:basedOn w:val="Normal"/>
    <w:uiPriority w:val="99"/>
    <w:semiHidden/>
    <w:unhideWhenUsed/>
    <w:rsid w:val="007E290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7E290E"/>
    <w:pPr>
      <w:ind w:left="720"/>
      <w:contextualSpacing/>
    </w:pPr>
  </w:style>
  <w:style w:type="character" w:customStyle="1" w:styleId="country">
    <w:name w:val="country"/>
    <w:basedOn w:val="DefaultParagraphFont"/>
    <w:rsid w:val="007E290E"/>
  </w:style>
  <w:style w:type="character" w:styleId="Hyperlink">
    <w:name w:val="Hyperlink"/>
    <w:basedOn w:val="DefaultParagraphFont"/>
    <w:uiPriority w:val="99"/>
    <w:unhideWhenUsed/>
    <w:rsid w:val="007E290E"/>
    <w:rPr>
      <w:color w:val="0563C1" w:themeColor="hyperlink"/>
      <w:u w:val="single"/>
    </w:rPr>
  </w:style>
  <w:style w:type="table" w:styleId="TableGrid">
    <w:name w:val="Table Grid"/>
    <w:basedOn w:val="TableNormal"/>
    <w:uiPriority w:val="39"/>
    <w:rsid w:val="007E2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E290E"/>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7E29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90E"/>
    <w:rPr>
      <w:sz w:val="20"/>
      <w:szCs w:val="20"/>
    </w:rPr>
  </w:style>
  <w:style w:type="character" w:styleId="FootnoteReference">
    <w:name w:val="footnote reference"/>
    <w:basedOn w:val="DefaultParagraphFont"/>
    <w:uiPriority w:val="99"/>
    <w:semiHidden/>
    <w:unhideWhenUsed/>
    <w:rsid w:val="007E29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logs.worldbank.org/opendata/new-country-classifications-income-level-2019-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CC3D8D1-C42C-4538-81F1-63424DA4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5068</Words>
  <Characters>28891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Durdin</dc:creator>
  <cp:keywords/>
  <dc:description/>
  <cp:lastModifiedBy>Karen Drake</cp:lastModifiedBy>
  <cp:revision>2</cp:revision>
  <dcterms:created xsi:type="dcterms:W3CDTF">2020-11-30T10:25:00Z</dcterms:created>
  <dcterms:modified xsi:type="dcterms:W3CDTF">2020-11-30T10:25:00Z</dcterms:modified>
</cp:coreProperties>
</file>