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30A4E" w14:textId="55335243" w:rsidR="00593D38" w:rsidRPr="00C209C0" w:rsidRDefault="00DC66D7" w:rsidP="00294F65">
      <w:pPr>
        <w:pStyle w:val="MDPI12title"/>
        <w:rPr>
          <w:lang w:val="en-GB"/>
        </w:rPr>
      </w:pPr>
      <w:r w:rsidRPr="00C209C0">
        <w:rPr>
          <w:lang w:val="en-GB"/>
        </w:rPr>
        <w:t>Multi-</w:t>
      </w:r>
      <w:r w:rsidR="00C209C0">
        <w:rPr>
          <w:lang w:val="en-GB"/>
        </w:rPr>
        <w:t>M</w:t>
      </w:r>
      <w:r w:rsidRPr="00C209C0">
        <w:rPr>
          <w:lang w:val="en-GB"/>
        </w:rPr>
        <w:t xml:space="preserve">orbidity and </w:t>
      </w:r>
      <w:r w:rsidR="00294F65" w:rsidRPr="00C209C0">
        <w:rPr>
          <w:lang w:val="en-GB"/>
        </w:rPr>
        <w:t>P</w:t>
      </w:r>
      <w:r w:rsidRPr="00C209C0">
        <w:rPr>
          <w:lang w:val="en-GB"/>
        </w:rPr>
        <w:t xml:space="preserve">olypharmacy in </w:t>
      </w:r>
      <w:r w:rsidR="00294F65" w:rsidRPr="00C209C0">
        <w:rPr>
          <w:lang w:val="en-GB"/>
        </w:rPr>
        <w:t>O</w:t>
      </w:r>
      <w:r w:rsidRPr="00C209C0">
        <w:rPr>
          <w:lang w:val="en-GB"/>
        </w:rPr>
        <w:t xml:space="preserve">lder </w:t>
      </w:r>
      <w:r w:rsidR="00294F65" w:rsidRPr="00C209C0">
        <w:rPr>
          <w:lang w:val="en-GB"/>
        </w:rPr>
        <w:t>P</w:t>
      </w:r>
      <w:r w:rsidRPr="00C209C0">
        <w:rPr>
          <w:lang w:val="en-GB"/>
        </w:rPr>
        <w:t xml:space="preserve">eople: </w:t>
      </w:r>
      <w:r w:rsidR="00294F65" w:rsidRPr="00C209C0">
        <w:rPr>
          <w:lang w:val="en-GB"/>
        </w:rPr>
        <w:t>C</w:t>
      </w:r>
      <w:r w:rsidRPr="00C209C0">
        <w:rPr>
          <w:lang w:val="en-GB"/>
        </w:rPr>
        <w:t xml:space="preserve">hallenges and </w:t>
      </w:r>
      <w:r w:rsidR="00294F65" w:rsidRPr="00C209C0">
        <w:rPr>
          <w:lang w:val="en-GB"/>
        </w:rPr>
        <w:t>O</w:t>
      </w:r>
      <w:r w:rsidRPr="00C209C0">
        <w:rPr>
          <w:lang w:val="en-GB"/>
        </w:rPr>
        <w:t xml:space="preserve">pportunities for </w:t>
      </w:r>
      <w:r w:rsidR="00294F65" w:rsidRPr="00C209C0">
        <w:rPr>
          <w:lang w:val="en-GB"/>
        </w:rPr>
        <w:t>C</w:t>
      </w:r>
      <w:r w:rsidRPr="00C209C0">
        <w:rPr>
          <w:lang w:val="en-GB"/>
        </w:rPr>
        <w:t xml:space="preserve">linical </w:t>
      </w:r>
      <w:r w:rsidR="00294F65" w:rsidRPr="00C209C0">
        <w:rPr>
          <w:lang w:val="en-GB"/>
        </w:rPr>
        <w:t>P</w:t>
      </w:r>
      <w:r w:rsidRPr="00C209C0">
        <w:rPr>
          <w:lang w:val="en-GB"/>
        </w:rPr>
        <w:t>ractice</w:t>
      </w:r>
    </w:p>
    <w:p w14:paraId="78DF2188" w14:textId="0C7E0971" w:rsidR="007D4A75" w:rsidRPr="00C209C0" w:rsidRDefault="0002196E" w:rsidP="00294F65">
      <w:pPr>
        <w:pStyle w:val="MDPI13authornames"/>
        <w:rPr>
          <w:lang w:val="en-GB"/>
        </w:rPr>
      </w:pPr>
      <w:proofErr w:type="spellStart"/>
      <w:r w:rsidRPr="0002196E">
        <w:rPr>
          <w:rFonts w:cs="Calibri"/>
          <w:szCs w:val="20"/>
          <w:lang w:val="en-GB"/>
        </w:rPr>
        <w:t>Pritti</w:t>
      </w:r>
      <w:proofErr w:type="spellEnd"/>
      <w:r w:rsidRPr="0002196E">
        <w:rPr>
          <w:rFonts w:cs="Calibri"/>
          <w:szCs w:val="20"/>
          <w:lang w:val="en-GB"/>
        </w:rPr>
        <w:t xml:space="preserve"> </w:t>
      </w:r>
      <w:r w:rsidRPr="0002196E">
        <w:rPr>
          <w:szCs w:val="20"/>
          <w:lang w:val="en-GB"/>
        </w:rPr>
        <w:t xml:space="preserve">Aggarwal </w:t>
      </w:r>
      <w:r w:rsidRPr="0002196E">
        <w:rPr>
          <w:szCs w:val="20"/>
          <w:vertAlign w:val="superscript"/>
          <w:lang w:val="en-GB"/>
        </w:rPr>
        <w:t>1,2,3</w:t>
      </w:r>
      <w:r w:rsidR="007D4A75" w:rsidRPr="00C209C0">
        <w:rPr>
          <w:lang w:val="en-GB"/>
        </w:rPr>
        <w:t xml:space="preserve">, </w:t>
      </w:r>
      <w:r w:rsidR="00DC66D7" w:rsidRPr="00C209C0">
        <w:rPr>
          <w:lang w:val="en-GB"/>
        </w:rPr>
        <w:t xml:space="preserve">Stephen </w:t>
      </w:r>
      <w:r w:rsidR="00BC6392">
        <w:rPr>
          <w:lang w:val="en-GB"/>
        </w:rPr>
        <w:t xml:space="preserve">J </w:t>
      </w:r>
      <w:r w:rsidR="00DC66D7" w:rsidRPr="00C209C0">
        <w:rPr>
          <w:lang w:val="en-GB"/>
        </w:rPr>
        <w:t>Woolford</w:t>
      </w:r>
      <w:r w:rsidR="007D4A75" w:rsidRPr="00C209C0">
        <w:rPr>
          <w:lang w:val="en-GB"/>
        </w:rPr>
        <w:t xml:space="preserve"> </w:t>
      </w:r>
      <w:r w:rsidR="00DC66D7" w:rsidRPr="00C209C0">
        <w:rPr>
          <w:rFonts w:cs="Calibri"/>
          <w:vertAlign w:val="superscript"/>
          <w:lang w:val="en-GB"/>
        </w:rPr>
        <w:t>4</w:t>
      </w:r>
      <w:r w:rsidR="007D4A75" w:rsidRPr="00C209C0">
        <w:rPr>
          <w:lang w:val="en-GB"/>
        </w:rPr>
        <w:t xml:space="preserve"> and </w:t>
      </w:r>
      <w:r w:rsidR="00DC66D7" w:rsidRPr="00C209C0">
        <w:rPr>
          <w:lang w:val="en-GB"/>
        </w:rPr>
        <w:t xml:space="preserve">Harnish </w:t>
      </w:r>
      <w:r w:rsidR="00B71D56" w:rsidRPr="00C209C0">
        <w:rPr>
          <w:lang w:val="en-GB"/>
        </w:rPr>
        <w:t xml:space="preserve">P </w:t>
      </w:r>
      <w:r w:rsidR="00DC66D7" w:rsidRPr="00C209C0">
        <w:rPr>
          <w:lang w:val="en-GB"/>
        </w:rPr>
        <w:t>Patel</w:t>
      </w:r>
      <w:r w:rsidR="007D4A75" w:rsidRPr="00C209C0">
        <w:rPr>
          <w:lang w:val="en-GB"/>
        </w:rPr>
        <w:t xml:space="preserve"> </w:t>
      </w:r>
      <w:r w:rsidR="005E3813" w:rsidRPr="00C209C0">
        <w:rPr>
          <w:vertAlign w:val="superscript"/>
          <w:lang w:val="en-GB"/>
        </w:rPr>
        <w:t>4,5,</w:t>
      </w:r>
      <w:proofErr w:type="gramStart"/>
      <w:r w:rsidR="005E3813" w:rsidRPr="00C209C0">
        <w:rPr>
          <w:vertAlign w:val="superscript"/>
          <w:lang w:val="en-GB"/>
        </w:rPr>
        <w:t>6</w:t>
      </w:r>
      <w:r w:rsidR="00294F65" w:rsidRPr="00C209C0">
        <w:rPr>
          <w:vertAlign w:val="superscript"/>
          <w:lang w:val="en-GB"/>
        </w:rPr>
        <w:t>,</w:t>
      </w:r>
      <w:r w:rsidR="007D4A75" w:rsidRPr="00C209C0">
        <w:rPr>
          <w:lang w:val="en-GB"/>
        </w:rPr>
        <w:t>*</w:t>
      </w:r>
      <w:proofErr w:type="gramEnd"/>
    </w:p>
    <w:p w14:paraId="23165E63" w14:textId="30C5E7EE" w:rsidR="00DC66D7" w:rsidRPr="0002196E" w:rsidRDefault="00DC66D7" w:rsidP="00294F65">
      <w:pPr>
        <w:pStyle w:val="MDPI16affiliation"/>
        <w:rPr>
          <w:lang w:val="en-GB"/>
        </w:rPr>
      </w:pPr>
      <w:r w:rsidRPr="00C209C0">
        <w:rPr>
          <w:vertAlign w:val="superscript"/>
          <w:lang w:val="en-GB"/>
        </w:rPr>
        <w:t>1</w:t>
      </w:r>
      <w:r w:rsidR="00294F65" w:rsidRPr="00C209C0">
        <w:rPr>
          <w:lang w:val="en-GB"/>
        </w:rPr>
        <w:tab/>
      </w:r>
      <w:r w:rsidRPr="00C209C0">
        <w:rPr>
          <w:lang w:val="en-GB"/>
        </w:rPr>
        <w:t>Southampton City Clinical Commissioning Group</w:t>
      </w:r>
      <w:r w:rsidR="00BC6392">
        <w:rPr>
          <w:lang w:val="en-GB"/>
        </w:rPr>
        <w:t>, Southampton</w:t>
      </w:r>
      <w:r w:rsidR="007002D7">
        <w:rPr>
          <w:lang w:val="en-GB"/>
        </w:rPr>
        <w:t>,</w:t>
      </w:r>
      <w:r w:rsidR="00BC6392">
        <w:rPr>
          <w:lang w:val="en-GB"/>
        </w:rPr>
        <w:t xml:space="preserve"> UK. </w:t>
      </w:r>
      <w:r w:rsidRPr="00C209C0">
        <w:rPr>
          <w:vertAlign w:val="superscript"/>
          <w:lang w:val="en-GB"/>
        </w:rPr>
        <w:t xml:space="preserve"> </w:t>
      </w:r>
      <w:r w:rsidR="00BC6392">
        <w:rPr>
          <w:lang w:val="en-GB"/>
        </w:rPr>
        <w:t>SO16 4GX</w:t>
      </w:r>
    </w:p>
    <w:p w14:paraId="2C2FB8BC" w14:textId="111C31A1" w:rsidR="007D4A75" w:rsidRPr="00C209C0" w:rsidRDefault="00DC66D7" w:rsidP="00294F65">
      <w:pPr>
        <w:pStyle w:val="MDPI16affiliation"/>
        <w:rPr>
          <w:lang w:val="en-GB"/>
        </w:rPr>
      </w:pPr>
      <w:r w:rsidRPr="00C209C0">
        <w:rPr>
          <w:vertAlign w:val="superscript"/>
          <w:lang w:val="en-GB"/>
        </w:rPr>
        <w:t>2</w:t>
      </w:r>
      <w:r w:rsidR="00294F65" w:rsidRPr="00C209C0">
        <w:rPr>
          <w:lang w:val="en-GB"/>
        </w:rPr>
        <w:tab/>
      </w:r>
      <w:r w:rsidRPr="00C209C0">
        <w:rPr>
          <w:lang w:val="en-GB"/>
        </w:rPr>
        <w:t xml:space="preserve">Living Well Partnership, </w:t>
      </w:r>
      <w:r w:rsidRPr="0002196E">
        <w:rPr>
          <w:lang w:val="en-GB"/>
        </w:rPr>
        <w:t>Southampton</w:t>
      </w:r>
      <w:r w:rsidRPr="00C209C0">
        <w:rPr>
          <w:lang w:val="en-GB"/>
        </w:rPr>
        <w:t>, UK</w:t>
      </w:r>
      <w:r w:rsidR="00BC6392">
        <w:rPr>
          <w:lang w:val="en-GB"/>
        </w:rPr>
        <w:t>. SO19 9GH.</w:t>
      </w:r>
    </w:p>
    <w:p w14:paraId="3DCEC3B0" w14:textId="3C5532CA" w:rsidR="00DC66D7" w:rsidRPr="00C209C0" w:rsidRDefault="00DC66D7" w:rsidP="00294F65">
      <w:pPr>
        <w:pStyle w:val="MDPI16affiliation"/>
        <w:rPr>
          <w:lang w:val="en-GB"/>
        </w:rPr>
      </w:pPr>
      <w:r w:rsidRPr="00C209C0">
        <w:rPr>
          <w:vertAlign w:val="superscript"/>
          <w:lang w:val="en-GB"/>
        </w:rPr>
        <w:t>3</w:t>
      </w:r>
      <w:r w:rsidR="00294F65" w:rsidRPr="00C209C0">
        <w:rPr>
          <w:lang w:val="en-GB"/>
        </w:rPr>
        <w:tab/>
      </w:r>
      <w:r w:rsidRPr="00C209C0">
        <w:rPr>
          <w:lang w:val="en-GB"/>
        </w:rPr>
        <w:t>School of Primary Care, Population Sciences and Medical Education, University of Southampton</w:t>
      </w:r>
      <w:r w:rsidR="005E3813" w:rsidRPr="00C209C0">
        <w:rPr>
          <w:lang w:val="en-GB"/>
        </w:rPr>
        <w:t xml:space="preserve">, </w:t>
      </w:r>
      <w:r w:rsidR="005E3813" w:rsidRPr="0002196E">
        <w:rPr>
          <w:lang w:val="en-GB"/>
        </w:rPr>
        <w:t>Southampton</w:t>
      </w:r>
      <w:bookmarkStart w:id="0" w:name="OLE_LINK1"/>
      <w:bookmarkStart w:id="1" w:name="OLE_LINK2"/>
      <w:r w:rsidR="005E3813" w:rsidRPr="0002196E">
        <w:rPr>
          <w:lang w:val="en-GB"/>
        </w:rPr>
        <w:t>,</w:t>
      </w:r>
      <w:bookmarkEnd w:id="0"/>
      <w:bookmarkEnd w:id="1"/>
      <w:r w:rsidR="005E3813" w:rsidRPr="00C209C0">
        <w:rPr>
          <w:lang w:val="en-GB"/>
        </w:rPr>
        <w:t xml:space="preserve"> UK</w:t>
      </w:r>
      <w:r w:rsidR="00BC6392">
        <w:rPr>
          <w:lang w:val="en-GB"/>
        </w:rPr>
        <w:t xml:space="preserve">. SO17 1BJ. </w:t>
      </w:r>
    </w:p>
    <w:p w14:paraId="4036040A" w14:textId="66908FEB" w:rsidR="00DC66D7" w:rsidRPr="00C209C0" w:rsidRDefault="00DC66D7" w:rsidP="00294F65">
      <w:pPr>
        <w:pStyle w:val="MDPI16affiliation"/>
        <w:rPr>
          <w:lang w:val="en-GB"/>
        </w:rPr>
      </w:pPr>
      <w:r w:rsidRPr="00C209C0">
        <w:rPr>
          <w:vertAlign w:val="superscript"/>
          <w:lang w:val="en-GB"/>
        </w:rPr>
        <w:t>4</w:t>
      </w:r>
      <w:r w:rsidR="00294F65" w:rsidRPr="00C209C0">
        <w:rPr>
          <w:lang w:val="en-GB"/>
        </w:rPr>
        <w:tab/>
      </w:r>
      <w:bookmarkStart w:id="2" w:name="_GoBack"/>
      <w:r w:rsidRPr="00C209C0">
        <w:rPr>
          <w:lang w:val="en-GB"/>
        </w:rPr>
        <w:t>Medicine for Older People, University Hospital Southampton NHS FT</w:t>
      </w:r>
      <w:r w:rsidR="005E3813" w:rsidRPr="00C209C0">
        <w:rPr>
          <w:lang w:val="en-GB"/>
        </w:rPr>
        <w:t xml:space="preserve">, </w:t>
      </w:r>
      <w:r w:rsidR="005E3813" w:rsidRPr="0002196E">
        <w:rPr>
          <w:lang w:val="en-GB"/>
        </w:rPr>
        <w:t>Southampton</w:t>
      </w:r>
      <w:r w:rsidR="00294F65" w:rsidRPr="00C209C0">
        <w:rPr>
          <w:lang w:val="en-GB"/>
        </w:rPr>
        <w:t>,</w:t>
      </w:r>
      <w:r w:rsidR="005E3813" w:rsidRPr="00C209C0">
        <w:rPr>
          <w:lang w:val="en-GB"/>
        </w:rPr>
        <w:t xml:space="preserve"> UK</w:t>
      </w:r>
      <w:r w:rsidR="00BC6392">
        <w:rPr>
          <w:lang w:val="en-GB"/>
        </w:rPr>
        <w:t>. SO16 6YD</w:t>
      </w:r>
      <w:bookmarkEnd w:id="2"/>
      <w:r w:rsidR="00BC6392">
        <w:rPr>
          <w:lang w:val="en-GB"/>
        </w:rPr>
        <w:t>:</w:t>
      </w:r>
      <w:r w:rsidR="00294F65" w:rsidRPr="00C209C0">
        <w:rPr>
          <w:lang w:val="en-GB"/>
        </w:rPr>
        <w:t xml:space="preserve"> stephen.woolford@uhs.nhs.uk (S.</w:t>
      </w:r>
      <w:r w:rsidR="00BC6392">
        <w:rPr>
          <w:lang w:val="en-GB"/>
        </w:rPr>
        <w:t>J.</w:t>
      </w:r>
      <w:r w:rsidR="00294F65" w:rsidRPr="00C209C0">
        <w:rPr>
          <w:lang w:val="en-GB"/>
        </w:rPr>
        <w:t>W.); Harnish.Patel@uhs.nhs.uk (H.P.P.)</w:t>
      </w:r>
    </w:p>
    <w:p w14:paraId="7345C9F3" w14:textId="19B6D3C6" w:rsidR="00DC66D7" w:rsidRPr="00C209C0" w:rsidRDefault="00DC66D7" w:rsidP="00294F65">
      <w:pPr>
        <w:pStyle w:val="MDPI16affiliation"/>
        <w:rPr>
          <w:lang w:val="en-GB"/>
        </w:rPr>
      </w:pPr>
      <w:r w:rsidRPr="00C209C0">
        <w:rPr>
          <w:vertAlign w:val="superscript"/>
          <w:lang w:val="en-GB"/>
        </w:rPr>
        <w:t>5</w:t>
      </w:r>
      <w:r w:rsidR="00294F65" w:rsidRPr="00C209C0">
        <w:rPr>
          <w:lang w:val="en-GB"/>
        </w:rPr>
        <w:tab/>
      </w:r>
      <w:r w:rsidRPr="00C209C0">
        <w:rPr>
          <w:lang w:val="en-GB"/>
        </w:rPr>
        <w:t xml:space="preserve">Academic Geriatric Medicine, University of Southampton, </w:t>
      </w:r>
      <w:r w:rsidR="005E3813" w:rsidRPr="0002196E">
        <w:rPr>
          <w:lang w:val="en-GB"/>
        </w:rPr>
        <w:t>Southampton,</w:t>
      </w:r>
      <w:r w:rsidR="005E3813" w:rsidRPr="00C209C0">
        <w:rPr>
          <w:lang w:val="en-GB"/>
        </w:rPr>
        <w:t xml:space="preserve"> </w:t>
      </w:r>
      <w:r w:rsidRPr="00C209C0">
        <w:rPr>
          <w:lang w:val="en-GB"/>
        </w:rPr>
        <w:t>UK</w:t>
      </w:r>
      <w:r w:rsidR="00BC6392">
        <w:rPr>
          <w:lang w:val="en-GB"/>
        </w:rPr>
        <w:t>, SO16 6YD.</w:t>
      </w:r>
    </w:p>
    <w:p w14:paraId="576152B5" w14:textId="72392A5C" w:rsidR="00DC66D7" w:rsidRPr="00C209C0" w:rsidRDefault="005E3813" w:rsidP="00294F65">
      <w:pPr>
        <w:pStyle w:val="MDPI16affiliation"/>
        <w:rPr>
          <w:lang w:val="en-GB"/>
        </w:rPr>
      </w:pPr>
      <w:r w:rsidRPr="00C209C0">
        <w:rPr>
          <w:vertAlign w:val="superscript"/>
          <w:lang w:val="en-GB"/>
        </w:rPr>
        <w:t>6</w:t>
      </w:r>
      <w:r w:rsidR="00294F65" w:rsidRPr="00C209C0">
        <w:rPr>
          <w:lang w:val="en-GB"/>
        </w:rPr>
        <w:tab/>
      </w:r>
      <w:r w:rsidR="00DC66D7" w:rsidRPr="00C209C0">
        <w:rPr>
          <w:lang w:val="en-GB"/>
        </w:rPr>
        <w:t xml:space="preserve">NIHR Biomedical Research Centre, University </w:t>
      </w:r>
      <w:r w:rsidRPr="00C209C0">
        <w:rPr>
          <w:lang w:val="en-GB"/>
        </w:rPr>
        <w:t xml:space="preserve">of </w:t>
      </w:r>
      <w:r w:rsidR="00DC66D7" w:rsidRPr="00C209C0">
        <w:rPr>
          <w:lang w:val="en-GB"/>
        </w:rPr>
        <w:t>Southampton</w:t>
      </w:r>
      <w:r w:rsidRPr="00C209C0">
        <w:rPr>
          <w:lang w:val="en-GB"/>
        </w:rPr>
        <w:t xml:space="preserve"> and University Hospital Southampton NHS FT, </w:t>
      </w:r>
      <w:r w:rsidRPr="0002196E">
        <w:rPr>
          <w:lang w:val="en-GB"/>
        </w:rPr>
        <w:t>Southampton</w:t>
      </w:r>
      <w:r w:rsidR="00294F65" w:rsidRPr="0002196E">
        <w:rPr>
          <w:lang w:val="en-GB"/>
        </w:rPr>
        <w:t>,</w:t>
      </w:r>
      <w:r w:rsidRPr="00C209C0">
        <w:rPr>
          <w:lang w:val="en-GB"/>
        </w:rPr>
        <w:t xml:space="preserve"> UK</w:t>
      </w:r>
      <w:r w:rsidR="00BC6392">
        <w:rPr>
          <w:lang w:val="en-GB"/>
        </w:rPr>
        <w:t>. SO16 6YD.</w:t>
      </w:r>
    </w:p>
    <w:p w14:paraId="0ACBED4F" w14:textId="7FE9A445" w:rsidR="00593D38" w:rsidRPr="00C209C0" w:rsidRDefault="007D4A75" w:rsidP="003A004F">
      <w:pPr>
        <w:pStyle w:val="MDPI16affiliation"/>
        <w:rPr>
          <w:lang w:val="en-GB"/>
        </w:rPr>
      </w:pPr>
      <w:r w:rsidRPr="00C209C0">
        <w:rPr>
          <w:b/>
          <w:lang w:val="en-GB"/>
        </w:rPr>
        <w:t>*</w:t>
      </w:r>
      <w:r w:rsidRPr="00C209C0">
        <w:rPr>
          <w:lang w:val="en-GB"/>
        </w:rPr>
        <w:tab/>
        <w:t xml:space="preserve">Correspondence: </w:t>
      </w:r>
      <w:r w:rsidR="00EB4DCE" w:rsidRPr="00C209C0">
        <w:rPr>
          <w:lang w:val="en-GB"/>
        </w:rPr>
        <w:t>harnish.patel@uhs.nhs.uk</w:t>
      </w:r>
      <w:r w:rsidR="003A004F" w:rsidRPr="00C209C0">
        <w:rPr>
          <w:lang w:val="en-GB"/>
        </w:rPr>
        <w:t>; Tel.:</w:t>
      </w:r>
      <w:r w:rsidR="00BC6392">
        <w:rPr>
          <w:lang w:val="en-GB"/>
        </w:rPr>
        <w:t xml:space="preserve"> +44 (0) 23 8120 3658</w:t>
      </w:r>
      <w:r w:rsidR="00875479">
        <w:rPr>
          <w:lang w:val="en-GB"/>
        </w:rPr>
        <w:t>.</w:t>
      </w:r>
    </w:p>
    <w:p w14:paraId="71A4119F" w14:textId="09153DE3" w:rsidR="007D4A75" w:rsidRPr="00C209C0" w:rsidRDefault="007D4A75" w:rsidP="00564062">
      <w:pPr>
        <w:pStyle w:val="MDPI17abstract"/>
        <w:rPr>
          <w:lang w:val="en-GB"/>
        </w:rPr>
      </w:pPr>
      <w:r w:rsidRPr="00C209C0">
        <w:rPr>
          <w:b/>
          <w:bCs/>
          <w:color w:val="auto"/>
          <w:lang w:val="en-GB"/>
        </w:rPr>
        <w:t>Abstract:</w:t>
      </w:r>
      <w:r w:rsidRPr="00C209C0">
        <w:rPr>
          <w:b/>
          <w:color w:val="auto"/>
          <w:lang w:val="en-GB"/>
        </w:rPr>
        <w:t xml:space="preserve"> </w:t>
      </w:r>
      <w:r w:rsidR="00593D38" w:rsidRPr="00C209C0">
        <w:rPr>
          <w:lang w:val="en-GB"/>
        </w:rPr>
        <w:t xml:space="preserve">Multi-morbidity and polypharmacy are common in older people and pose a challenge for health and </w:t>
      </w:r>
      <w:r w:rsidR="00593D38" w:rsidRPr="00C209C0">
        <w:rPr>
          <w:color w:val="auto"/>
          <w:lang w:val="en-GB"/>
        </w:rPr>
        <w:t>social</w:t>
      </w:r>
      <w:r w:rsidR="00593D38" w:rsidRPr="00C209C0">
        <w:rPr>
          <w:lang w:val="en-GB"/>
        </w:rPr>
        <w:t xml:space="preserve"> care systems</w:t>
      </w:r>
      <w:r w:rsidR="003C3CDB">
        <w:rPr>
          <w:lang w:val="en-GB"/>
        </w:rPr>
        <w:t>,</w:t>
      </w:r>
      <w:r w:rsidR="00593D38" w:rsidRPr="00C209C0">
        <w:rPr>
          <w:lang w:val="en-GB"/>
        </w:rPr>
        <w:t xml:space="preserve"> especially in </w:t>
      </w:r>
      <w:r w:rsidR="00C209C0">
        <w:rPr>
          <w:lang w:val="en-GB"/>
        </w:rPr>
        <w:t xml:space="preserve">the </w:t>
      </w:r>
      <w:r w:rsidR="00593D38" w:rsidRPr="00C209C0">
        <w:rPr>
          <w:lang w:val="en-GB"/>
        </w:rPr>
        <w:t>context of global population ageing. They are complex and interrelated concepts in the care of older people that require early detection and patient</w:t>
      </w:r>
      <w:r w:rsidR="00C209C0">
        <w:rPr>
          <w:lang w:val="en-GB"/>
        </w:rPr>
        <w:t>-</w:t>
      </w:r>
      <w:r w:rsidR="00593D38" w:rsidRPr="00C209C0">
        <w:rPr>
          <w:lang w:val="en-GB"/>
        </w:rPr>
        <w:t xml:space="preserve">centred </w:t>
      </w:r>
      <w:r w:rsidR="00B671FB" w:rsidRPr="00C209C0">
        <w:rPr>
          <w:lang w:val="en-GB"/>
        </w:rPr>
        <w:t xml:space="preserve">shared </w:t>
      </w:r>
      <w:r w:rsidR="00593D38" w:rsidRPr="00C209C0">
        <w:rPr>
          <w:lang w:val="en-GB"/>
        </w:rPr>
        <w:t xml:space="preserve">decision making underpinned </w:t>
      </w:r>
      <w:r w:rsidR="00C209C0">
        <w:rPr>
          <w:lang w:val="en-GB"/>
        </w:rPr>
        <w:t xml:space="preserve">by </w:t>
      </w:r>
      <w:r w:rsidR="00593D38" w:rsidRPr="00C209C0">
        <w:rPr>
          <w:lang w:val="en-GB"/>
        </w:rPr>
        <w:t>multi</w:t>
      </w:r>
      <w:r w:rsidR="00BD4DEA" w:rsidRPr="00C209C0">
        <w:rPr>
          <w:lang w:val="en-GB"/>
        </w:rPr>
        <w:t>-</w:t>
      </w:r>
      <w:r w:rsidR="00593D38" w:rsidRPr="00C209C0">
        <w:rPr>
          <w:lang w:val="en-GB"/>
        </w:rPr>
        <w:t>disciplinary</w:t>
      </w:r>
      <w:r w:rsidR="00BD4DEA" w:rsidRPr="00C209C0">
        <w:rPr>
          <w:lang w:val="en-GB"/>
        </w:rPr>
        <w:t xml:space="preserve"> team</w:t>
      </w:r>
      <w:r w:rsidR="00C209C0">
        <w:rPr>
          <w:lang w:val="en-GB"/>
        </w:rPr>
        <w:t>-</w:t>
      </w:r>
      <w:r w:rsidR="00593D38" w:rsidRPr="00C209C0">
        <w:rPr>
          <w:lang w:val="en-GB"/>
        </w:rPr>
        <w:t>led comprehensive geriatric assessment (CGA)</w:t>
      </w:r>
      <w:r w:rsidR="00B671FB" w:rsidRPr="00C209C0">
        <w:rPr>
          <w:lang w:val="en-GB"/>
        </w:rPr>
        <w:t xml:space="preserve"> across all hea</w:t>
      </w:r>
      <w:r w:rsidR="000145C0" w:rsidRPr="00C209C0">
        <w:rPr>
          <w:lang w:val="en-GB"/>
        </w:rPr>
        <w:t>l</w:t>
      </w:r>
      <w:r w:rsidR="00B671FB" w:rsidRPr="00C209C0">
        <w:rPr>
          <w:lang w:val="en-GB"/>
        </w:rPr>
        <w:t xml:space="preserve">th and social care settings. </w:t>
      </w:r>
      <w:r w:rsidR="00593D38" w:rsidRPr="00C209C0">
        <w:rPr>
          <w:lang w:val="en-GB"/>
        </w:rPr>
        <w:t>Personalised care plans need to remain responsive and adaptable to the needs</w:t>
      </w:r>
      <w:r w:rsidR="00B671FB" w:rsidRPr="00C209C0">
        <w:rPr>
          <w:lang w:val="en-GB"/>
        </w:rPr>
        <w:t xml:space="preserve"> and wishes</w:t>
      </w:r>
      <w:r w:rsidR="00593D38" w:rsidRPr="00C209C0">
        <w:rPr>
          <w:lang w:val="en-GB"/>
        </w:rPr>
        <w:t xml:space="preserve"> of </w:t>
      </w:r>
      <w:r w:rsidR="00B671FB" w:rsidRPr="00C209C0">
        <w:rPr>
          <w:lang w:val="en-GB"/>
        </w:rPr>
        <w:t>the</w:t>
      </w:r>
      <w:r w:rsidR="00593D38" w:rsidRPr="00C209C0">
        <w:rPr>
          <w:lang w:val="en-GB"/>
        </w:rPr>
        <w:t xml:space="preserve"> patient, enabling </w:t>
      </w:r>
      <w:r w:rsidR="00B671FB" w:rsidRPr="00C209C0">
        <w:rPr>
          <w:lang w:val="en-GB"/>
        </w:rPr>
        <w:t>the</w:t>
      </w:r>
      <w:r w:rsidR="00593D38" w:rsidRPr="00C209C0">
        <w:rPr>
          <w:lang w:val="en-GB"/>
        </w:rPr>
        <w:t xml:space="preserve"> individual to maintain their independence.</w:t>
      </w:r>
      <w:r w:rsidR="00B671FB" w:rsidRPr="00C209C0">
        <w:rPr>
          <w:lang w:val="en-GB"/>
        </w:rPr>
        <w:t xml:space="preserve"> In this review</w:t>
      </w:r>
      <w:r w:rsidR="00C209C0">
        <w:rPr>
          <w:lang w:val="en-GB"/>
        </w:rPr>
        <w:t>,</w:t>
      </w:r>
      <w:r w:rsidR="00B671FB" w:rsidRPr="00C209C0">
        <w:rPr>
          <w:lang w:val="en-GB"/>
        </w:rPr>
        <w:t xml:space="preserve"> we </w:t>
      </w:r>
      <w:r w:rsidR="00FA5A45" w:rsidRPr="006403E7">
        <w:rPr>
          <w:lang w:val="en-GB"/>
        </w:rPr>
        <w:t>aim to</w:t>
      </w:r>
      <w:r w:rsidR="00FA5A45" w:rsidRPr="00C209C0">
        <w:rPr>
          <w:lang w:val="en-GB"/>
        </w:rPr>
        <w:t xml:space="preserve"> </w:t>
      </w:r>
      <w:r w:rsidR="00B671FB" w:rsidRPr="00C209C0">
        <w:rPr>
          <w:lang w:val="en-GB"/>
        </w:rPr>
        <w:t>give an up</w:t>
      </w:r>
      <w:r w:rsidR="00C209C0">
        <w:rPr>
          <w:lang w:val="en-GB"/>
        </w:rPr>
        <w:t>-</w:t>
      </w:r>
      <w:r w:rsidR="00B671FB" w:rsidRPr="00C209C0">
        <w:rPr>
          <w:lang w:val="en-GB"/>
        </w:rPr>
        <w:t>to</w:t>
      </w:r>
      <w:r w:rsidR="00C209C0">
        <w:rPr>
          <w:lang w:val="en-GB"/>
        </w:rPr>
        <w:t>-</w:t>
      </w:r>
      <w:r w:rsidR="00B671FB" w:rsidRPr="00C209C0">
        <w:rPr>
          <w:lang w:val="en-GB"/>
        </w:rPr>
        <w:t>date account of the recognition and management of multi-morbidity and polypharmacy in the older person.</w:t>
      </w:r>
    </w:p>
    <w:p w14:paraId="3E44F92C" w14:textId="46C346A5" w:rsidR="00593D38" w:rsidRPr="00C209C0" w:rsidRDefault="00564062" w:rsidP="00564062">
      <w:pPr>
        <w:pStyle w:val="MDPI18keywords"/>
        <w:rPr>
          <w:lang w:val="en-GB"/>
        </w:rPr>
      </w:pPr>
      <w:r w:rsidRPr="00C209C0">
        <w:rPr>
          <w:b/>
          <w:lang w:val="en-GB"/>
        </w:rPr>
        <w:t>Keywords:</w:t>
      </w:r>
      <w:r w:rsidR="007D4A75" w:rsidRPr="00C209C0">
        <w:rPr>
          <w:b/>
          <w:lang w:val="en-GB"/>
        </w:rPr>
        <w:t xml:space="preserve"> </w:t>
      </w:r>
      <w:r w:rsidR="00C209C0">
        <w:rPr>
          <w:lang w:val="en-GB"/>
        </w:rPr>
        <w:t>m</w:t>
      </w:r>
      <w:r w:rsidR="00593D38" w:rsidRPr="00C209C0">
        <w:rPr>
          <w:lang w:val="en-GB"/>
        </w:rPr>
        <w:t>ulti-morbidity</w:t>
      </w:r>
      <w:r w:rsidR="00EB4DCE" w:rsidRPr="00C209C0">
        <w:rPr>
          <w:lang w:val="en-GB"/>
        </w:rPr>
        <w:t xml:space="preserve">; </w:t>
      </w:r>
      <w:r w:rsidR="00C209C0">
        <w:rPr>
          <w:lang w:val="en-GB"/>
        </w:rPr>
        <w:t>p</w:t>
      </w:r>
      <w:r w:rsidR="00B671FB" w:rsidRPr="00C209C0">
        <w:rPr>
          <w:lang w:val="en-GB"/>
        </w:rPr>
        <w:t>olypharmacy</w:t>
      </w:r>
      <w:r w:rsidR="00EB4DCE" w:rsidRPr="00C209C0">
        <w:rPr>
          <w:lang w:val="en-GB"/>
        </w:rPr>
        <w:t xml:space="preserve">; </w:t>
      </w:r>
      <w:r w:rsidR="00C209C0">
        <w:rPr>
          <w:lang w:val="en-GB"/>
        </w:rPr>
        <w:t>c</w:t>
      </w:r>
      <w:r w:rsidR="0080340D" w:rsidRPr="00C209C0">
        <w:rPr>
          <w:lang w:val="en-GB"/>
        </w:rPr>
        <w:t xml:space="preserve">omprehensive </w:t>
      </w:r>
      <w:r w:rsidR="00C209C0">
        <w:rPr>
          <w:lang w:val="en-GB"/>
        </w:rPr>
        <w:t>g</w:t>
      </w:r>
      <w:r w:rsidR="0080340D" w:rsidRPr="00C209C0">
        <w:rPr>
          <w:lang w:val="en-GB"/>
        </w:rPr>
        <w:t xml:space="preserve">eriatric </w:t>
      </w:r>
      <w:r w:rsidR="00C209C0">
        <w:rPr>
          <w:lang w:val="en-GB"/>
        </w:rPr>
        <w:t>a</w:t>
      </w:r>
      <w:r w:rsidR="0080340D" w:rsidRPr="00C209C0">
        <w:rPr>
          <w:lang w:val="en-GB"/>
        </w:rPr>
        <w:t>ssessment</w:t>
      </w:r>
      <w:r w:rsidR="00EB4DCE" w:rsidRPr="00C209C0">
        <w:rPr>
          <w:lang w:val="en-GB"/>
        </w:rPr>
        <w:t xml:space="preserve">; </w:t>
      </w:r>
      <w:r w:rsidR="00B04C7B">
        <w:rPr>
          <w:lang w:val="en-GB"/>
        </w:rPr>
        <w:t>age-frien</w:t>
      </w:r>
      <w:r w:rsidR="00130B48" w:rsidRPr="00C209C0">
        <w:rPr>
          <w:lang w:val="en-GB"/>
        </w:rPr>
        <w:t xml:space="preserve">dly </w:t>
      </w:r>
      <w:r w:rsidR="00C209C0">
        <w:rPr>
          <w:lang w:val="en-GB"/>
        </w:rPr>
        <w:t>c</w:t>
      </w:r>
      <w:r w:rsidR="00130B48" w:rsidRPr="00C209C0">
        <w:rPr>
          <w:lang w:val="en-GB"/>
        </w:rPr>
        <w:t>are</w:t>
      </w:r>
      <w:r w:rsidR="00EB4DCE" w:rsidRPr="00C209C0">
        <w:rPr>
          <w:lang w:val="en-GB"/>
        </w:rPr>
        <w:t xml:space="preserve">; </w:t>
      </w:r>
      <w:r w:rsidR="00C209C0">
        <w:rPr>
          <w:lang w:val="en-GB"/>
        </w:rPr>
        <w:t>p</w:t>
      </w:r>
      <w:r w:rsidR="00130B48" w:rsidRPr="00C209C0">
        <w:rPr>
          <w:lang w:val="en-GB"/>
        </w:rPr>
        <w:t xml:space="preserve">atient </w:t>
      </w:r>
      <w:r w:rsidR="00C209C0">
        <w:rPr>
          <w:lang w:val="en-GB"/>
        </w:rPr>
        <w:t>p</w:t>
      </w:r>
      <w:r w:rsidR="00130B48" w:rsidRPr="00C209C0">
        <w:rPr>
          <w:lang w:val="en-GB"/>
        </w:rPr>
        <w:t xml:space="preserve">riority </w:t>
      </w:r>
      <w:r w:rsidR="00C209C0">
        <w:rPr>
          <w:lang w:val="en-GB"/>
        </w:rPr>
        <w:t>c</w:t>
      </w:r>
      <w:r w:rsidR="00130B48" w:rsidRPr="00C209C0">
        <w:rPr>
          <w:lang w:val="en-GB"/>
        </w:rPr>
        <w:t>are</w:t>
      </w:r>
      <w:r w:rsidR="00EB4DCE" w:rsidRPr="00C209C0">
        <w:rPr>
          <w:lang w:val="en-GB"/>
        </w:rPr>
        <w:t xml:space="preserve">; </w:t>
      </w:r>
      <w:r w:rsidR="00C209C0">
        <w:rPr>
          <w:lang w:val="en-GB"/>
        </w:rPr>
        <w:t>f</w:t>
      </w:r>
      <w:r w:rsidR="00593D38" w:rsidRPr="00C209C0">
        <w:rPr>
          <w:lang w:val="en-GB"/>
        </w:rPr>
        <w:t>railty</w:t>
      </w:r>
      <w:r w:rsidR="00EB4DCE" w:rsidRPr="00C209C0">
        <w:rPr>
          <w:lang w:val="en-GB"/>
        </w:rPr>
        <w:t xml:space="preserve">; </w:t>
      </w:r>
      <w:r w:rsidR="00C209C0">
        <w:rPr>
          <w:lang w:val="en-GB"/>
        </w:rPr>
        <w:t>d</w:t>
      </w:r>
      <w:r w:rsidR="00593D38" w:rsidRPr="00C209C0">
        <w:rPr>
          <w:lang w:val="en-GB"/>
        </w:rPr>
        <w:t>eprescribing</w:t>
      </w:r>
    </w:p>
    <w:p w14:paraId="7717E2ED" w14:textId="77777777" w:rsidR="007D4A75" w:rsidRPr="00C209C0" w:rsidRDefault="007D4A75" w:rsidP="00564062">
      <w:pPr>
        <w:pStyle w:val="MDPI18keywords"/>
        <w:pBdr>
          <w:bottom w:val="single" w:sz="4" w:space="1" w:color="000000"/>
        </w:pBdr>
        <w:spacing w:before="0" w:after="480"/>
        <w:rPr>
          <w:sz w:val="22"/>
          <w:lang w:val="en-GB"/>
        </w:rPr>
      </w:pPr>
    </w:p>
    <w:p w14:paraId="6A69850C" w14:textId="72F3A9FD" w:rsidR="009128EA" w:rsidRPr="00C209C0" w:rsidRDefault="00564062" w:rsidP="00564062">
      <w:pPr>
        <w:pStyle w:val="MDPI21heading1"/>
        <w:rPr>
          <w:lang w:val="en-GB"/>
        </w:rPr>
      </w:pPr>
      <w:r w:rsidRPr="00C209C0">
        <w:rPr>
          <w:lang w:val="en-GB"/>
        </w:rPr>
        <w:t xml:space="preserve">1. </w:t>
      </w:r>
      <w:r w:rsidR="00593D38" w:rsidRPr="00C209C0">
        <w:rPr>
          <w:lang w:val="en-GB"/>
        </w:rPr>
        <w:t>Introduction</w:t>
      </w:r>
    </w:p>
    <w:p w14:paraId="6D220D60" w14:textId="52EE29D3" w:rsidR="009128EA" w:rsidRPr="00C209C0" w:rsidRDefault="005E3813" w:rsidP="00EB4DCE">
      <w:pPr>
        <w:pStyle w:val="MDPI31text"/>
        <w:rPr>
          <w:lang w:val="en-GB" w:eastAsia="en-GB"/>
        </w:rPr>
      </w:pPr>
      <w:r w:rsidRPr="00C209C0">
        <w:rPr>
          <w:lang w:val="en-GB" w:eastAsia="en-GB"/>
        </w:rPr>
        <w:t>Globally, t</w:t>
      </w:r>
      <w:r w:rsidR="00593D38" w:rsidRPr="00C209C0">
        <w:rPr>
          <w:lang w:val="en-GB" w:eastAsia="en-GB"/>
        </w:rPr>
        <w:t>he number of people aged 60 or over</w:t>
      </w:r>
      <w:r w:rsidR="002A06FE" w:rsidRPr="00C209C0">
        <w:rPr>
          <w:lang w:val="en-GB" w:eastAsia="en-GB"/>
        </w:rPr>
        <w:t xml:space="preserve"> is</w:t>
      </w:r>
      <w:r w:rsidR="00593D38" w:rsidRPr="00C209C0">
        <w:rPr>
          <w:lang w:val="en-GB" w:eastAsia="en-GB"/>
        </w:rPr>
        <w:t xml:space="preserve"> set to rise from 841 million to more than 2 billion between 2013 and 2050; this equates to 21.1% of the world’s population </w:t>
      </w:r>
      <w:r w:rsidR="00564062" w:rsidRPr="00C209C0">
        <w:rPr>
          <w:noProof/>
          <w:lang w:val="en-GB" w:eastAsia="en-GB"/>
        </w:rPr>
        <w:t>[1]</w:t>
      </w:r>
      <w:r w:rsidR="00593D38" w:rsidRPr="00C209C0">
        <w:rPr>
          <w:lang w:val="en-GB" w:eastAsia="en-GB"/>
        </w:rPr>
        <w:t xml:space="preserve">. </w:t>
      </w:r>
      <w:r w:rsidR="00593D38" w:rsidRPr="00C209C0">
        <w:rPr>
          <w:lang w:val="en-GB"/>
        </w:rPr>
        <w:t>The proportion of people aged 80 years or over is growing even faster</w:t>
      </w:r>
      <w:r w:rsidR="00E46E7B" w:rsidRPr="00C209C0">
        <w:rPr>
          <w:lang w:val="en-GB"/>
        </w:rPr>
        <w:t>;</w:t>
      </w:r>
      <w:r w:rsidR="00593D38" w:rsidRPr="00C209C0">
        <w:rPr>
          <w:lang w:val="en-GB"/>
        </w:rPr>
        <w:t xml:space="preserve"> </w:t>
      </w:r>
      <w:r w:rsidR="00E46E7B" w:rsidRPr="00C209C0">
        <w:rPr>
          <w:lang w:val="en-GB"/>
        </w:rPr>
        <w:t>e</w:t>
      </w:r>
      <w:r w:rsidR="00593D38" w:rsidRPr="00C209C0">
        <w:rPr>
          <w:lang w:val="en-GB"/>
        </w:rPr>
        <w:t>stimated to be 125 million in 2015 contrasted to 71 million worldwide at the turn of the millennium. This number is projected to increase by 61 per cent over the next 15 years, reaching nearly 202 million in 2030</w:t>
      </w:r>
      <w:r w:rsidR="000145C0" w:rsidRPr="00C209C0">
        <w:rPr>
          <w:lang w:val="en-GB"/>
        </w:rPr>
        <w:t xml:space="preserve"> </w:t>
      </w:r>
      <w:r w:rsidR="00564062" w:rsidRPr="00C209C0">
        <w:rPr>
          <w:noProof/>
          <w:lang w:val="en-GB"/>
        </w:rPr>
        <w:t>[</w:t>
      </w:r>
      <w:r w:rsidR="000145C0" w:rsidRPr="00C209C0">
        <w:rPr>
          <w:noProof/>
          <w:lang w:val="en-GB"/>
        </w:rPr>
        <w:t>2</w:t>
      </w:r>
      <w:r w:rsidR="00564062" w:rsidRPr="00C209C0">
        <w:rPr>
          <w:noProof/>
          <w:lang w:val="en-GB"/>
        </w:rPr>
        <w:t>]</w:t>
      </w:r>
      <w:r w:rsidR="00593D38" w:rsidRPr="00C209C0">
        <w:rPr>
          <w:lang w:val="en-GB"/>
        </w:rPr>
        <w:t>.</w:t>
      </w:r>
      <w:r w:rsidR="00593D38" w:rsidRPr="00C209C0">
        <w:rPr>
          <w:lang w:val="en-GB" w:eastAsia="en-GB"/>
        </w:rPr>
        <w:t xml:space="preserve"> In the U</w:t>
      </w:r>
      <w:r w:rsidR="007002D7">
        <w:rPr>
          <w:lang w:val="en-GB" w:eastAsia="en-GB"/>
        </w:rPr>
        <w:t>nited Kingdom (UK)</w:t>
      </w:r>
      <w:r w:rsidR="00593D38" w:rsidRPr="00C209C0">
        <w:rPr>
          <w:lang w:val="en-GB" w:eastAsia="en-GB"/>
        </w:rPr>
        <w:t xml:space="preserve">, </w:t>
      </w:r>
      <w:r w:rsidR="00593D38" w:rsidRPr="00C209C0">
        <w:rPr>
          <w:lang w:val="en-GB"/>
        </w:rPr>
        <w:t xml:space="preserve">a male aged 85 could expect to live to age 90.8 years and a female to 91.8 years (Office of National Statistics 2016, </w:t>
      </w:r>
      <w:r w:rsidR="00593D38" w:rsidRPr="006E10E4">
        <w:rPr>
          <w:iCs/>
          <w:lang w:val="en-GB"/>
        </w:rPr>
        <w:t>ONS.gov.uk</w:t>
      </w:r>
      <w:r w:rsidR="00593D38" w:rsidRPr="006E10E4">
        <w:rPr>
          <w:lang w:val="en-GB"/>
        </w:rPr>
        <w:t>).</w:t>
      </w:r>
      <w:r w:rsidR="00593D38" w:rsidRPr="00C209C0">
        <w:rPr>
          <w:lang w:val="en-GB"/>
        </w:rPr>
        <w:t xml:space="preserve"> </w:t>
      </w:r>
      <w:r w:rsidR="00593D38" w:rsidRPr="00C209C0">
        <w:rPr>
          <w:lang w:val="en-GB" w:eastAsia="en-GB"/>
        </w:rPr>
        <w:t xml:space="preserve">These demographic changes are largely due to the </w:t>
      </w:r>
      <w:r w:rsidR="00E46E7B" w:rsidRPr="00C209C0">
        <w:rPr>
          <w:lang w:val="en-GB" w:eastAsia="en-GB"/>
        </w:rPr>
        <w:t>successful advances</w:t>
      </w:r>
      <w:r w:rsidR="00593D38" w:rsidRPr="00C209C0">
        <w:rPr>
          <w:lang w:val="en-GB" w:eastAsia="en-GB"/>
        </w:rPr>
        <w:t xml:space="preserve"> in public health and modern medicine that have allowed people to live with one or more long</w:t>
      </w:r>
      <w:r w:rsidR="00B04C7B">
        <w:rPr>
          <w:lang w:val="en-GB" w:eastAsia="en-GB"/>
        </w:rPr>
        <w:t>-</w:t>
      </w:r>
      <w:r w:rsidR="00593D38" w:rsidRPr="00C209C0">
        <w:rPr>
          <w:lang w:val="en-GB" w:eastAsia="en-GB"/>
        </w:rPr>
        <w:t xml:space="preserve">term conditions. </w:t>
      </w:r>
      <w:r w:rsidR="00E46E7B" w:rsidRPr="00C209C0">
        <w:rPr>
          <w:lang w:val="en-GB" w:eastAsia="en-GB"/>
        </w:rPr>
        <w:t>This is undoubtedly</w:t>
      </w:r>
      <w:r w:rsidR="00593D38" w:rsidRPr="00C209C0">
        <w:rPr>
          <w:lang w:val="en-GB" w:eastAsia="en-GB"/>
        </w:rPr>
        <w:t xml:space="preserve"> a cause for celebration</w:t>
      </w:r>
      <w:r w:rsidR="00B04C7B">
        <w:rPr>
          <w:lang w:val="en-GB" w:eastAsia="en-GB"/>
        </w:rPr>
        <w:t>,</w:t>
      </w:r>
      <w:r w:rsidR="00E46E7B" w:rsidRPr="00C209C0">
        <w:rPr>
          <w:lang w:val="en-GB" w:eastAsia="en-GB"/>
        </w:rPr>
        <w:t xml:space="preserve"> but</w:t>
      </w:r>
      <w:r w:rsidR="00593D38" w:rsidRPr="00C209C0">
        <w:rPr>
          <w:lang w:val="en-GB" w:eastAsia="en-GB"/>
        </w:rPr>
        <w:t xml:space="preserve"> </w:t>
      </w:r>
      <w:r w:rsidR="009128EA" w:rsidRPr="00C209C0">
        <w:rPr>
          <w:lang w:val="en-GB" w:eastAsia="en-GB"/>
        </w:rPr>
        <w:t>the challenge posed by cumulative demographic changes of such magnitude require immediate action from multi-disciplinary teams to provide patient</w:t>
      </w:r>
      <w:r w:rsidR="00B04C7B">
        <w:rPr>
          <w:lang w:val="en-GB" w:eastAsia="en-GB"/>
        </w:rPr>
        <w:t>-</w:t>
      </w:r>
      <w:r w:rsidR="009128EA" w:rsidRPr="00C209C0">
        <w:rPr>
          <w:lang w:val="en-GB" w:eastAsia="en-GB"/>
        </w:rPr>
        <w:t>centred and age</w:t>
      </w:r>
      <w:r w:rsidR="00B04C7B">
        <w:rPr>
          <w:lang w:val="en-GB" w:eastAsia="en-GB"/>
        </w:rPr>
        <w:t>-</w:t>
      </w:r>
      <w:r w:rsidR="009128EA" w:rsidRPr="00C209C0">
        <w:rPr>
          <w:lang w:val="en-GB" w:eastAsia="en-GB"/>
        </w:rPr>
        <w:t xml:space="preserve">friendly health and social care </w:t>
      </w:r>
      <w:r w:rsidR="00564062" w:rsidRPr="00C209C0">
        <w:rPr>
          <w:noProof/>
          <w:lang w:val="en-GB" w:eastAsia="en-GB"/>
        </w:rPr>
        <w:t>[3,</w:t>
      </w:r>
      <w:r w:rsidR="000145C0" w:rsidRPr="00C209C0">
        <w:rPr>
          <w:noProof/>
          <w:lang w:val="en-GB" w:eastAsia="en-GB"/>
        </w:rPr>
        <w:t>4</w:t>
      </w:r>
      <w:r w:rsidR="00564062" w:rsidRPr="00C209C0">
        <w:rPr>
          <w:noProof/>
          <w:lang w:val="en-GB" w:eastAsia="en-GB"/>
        </w:rPr>
        <w:t>]</w:t>
      </w:r>
      <w:r w:rsidR="00593D38" w:rsidRPr="00C209C0">
        <w:rPr>
          <w:lang w:val="en-GB" w:eastAsia="en-GB"/>
        </w:rPr>
        <w:t>.</w:t>
      </w:r>
    </w:p>
    <w:p w14:paraId="4E680AEB" w14:textId="17BD7DFB" w:rsidR="00564062" w:rsidRPr="00C209C0" w:rsidRDefault="009128EA" w:rsidP="00545BD2">
      <w:pPr>
        <w:pStyle w:val="MDPI31text"/>
        <w:rPr>
          <w:rFonts w:cstheme="minorHAnsi"/>
          <w:sz w:val="22"/>
          <w:lang w:val="en-GB"/>
        </w:rPr>
      </w:pPr>
      <w:r w:rsidRPr="00C209C0">
        <w:rPr>
          <w:lang w:val="en-GB"/>
        </w:rPr>
        <w:t xml:space="preserve">In this narrative </w:t>
      </w:r>
      <w:r w:rsidR="00211961" w:rsidRPr="00C209C0">
        <w:rPr>
          <w:lang w:val="en-GB"/>
        </w:rPr>
        <w:t>review</w:t>
      </w:r>
      <w:r w:rsidR="00130B48" w:rsidRPr="00C209C0">
        <w:rPr>
          <w:lang w:val="en-GB"/>
        </w:rPr>
        <w:t xml:space="preserve"> of the literature, </w:t>
      </w:r>
      <w:r w:rsidR="00130B48" w:rsidRPr="00C209C0">
        <w:rPr>
          <w:bCs/>
          <w:lang w:val="en-GB"/>
        </w:rPr>
        <w:t xml:space="preserve">we </w:t>
      </w:r>
      <w:r w:rsidR="00EE32DE" w:rsidRPr="00C209C0">
        <w:rPr>
          <w:bCs/>
          <w:lang w:val="en-GB"/>
        </w:rPr>
        <w:t>aim to</w:t>
      </w:r>
      <w:r w:rsidR="00EE32DE" w:rsidRPr="00C209C0">
        <w:rPr>
          <w:lang w:val="en-GB"/>
        </w:rPr>
        <w:t xml:space="preserve"> </w:t>
      </w:r>
      <w:r w:rsidR="00C9721D" w:rsidRPr="00C209C0">
        <w:rPr>
          <w:lang w:val="en-GB"/>
        </w:rPr>
        <w:t>give an up</w:t>
      </w:r>
      <w:r w:rsidR="00B04C7B">
        <w:rPr>
          <w:lang w:val="en-GB"/>
        </w:rPr>
        <w:t>-</w:t>
      </w:r>
      <w:r w:rsidR="00C9721D" w:rsidRPr="00C209C0">
        <w:rPr>
          <w:lang w:val="en-GB"/>
        </w:rPr>
        <w:t>to</w:t>
      </w:r>
      <w:r w:rsidR="00B04C7B">
        <w:rPr>
          <w:lang w:val="en-GB"/>
        </w:rPr>
        <w:t>-</w:t>
      </w:r>
      <w:r w:rsidR="00C9721D" w:rsidRPr="00C209C0">
        <w:rPr>
          <w:lang w:val="en-GB"/>
        </w:rPr>
        <w:t>date account on the</w:t>
      </w:r>
      <w:r w:rsidR="00130B48" w:rsidRPr="00C209C0">
        <w:rPr>
          <w:lang w:val="en-GB"/>
        </w:rPr>
        <w:t xml:space="preserve"> definitions and recognition of multi-morbidity and polypharmacy as well as offer insights into models of care that have been shown to be effective and </w:t>
      </w:r>
      <w:r w:rsidR="00B04C7B">
        <w:rPr>
          <w:lang w:val="en-GB"/>
        </w:rPr>
        <w:t>that</w:t>
      </w:r>
      <w:r w:rsidR="00B04C7B" w:rsidRPr="00C209C0">
        <w:rPr>
          <w:lang w:val="en-GB"/>
        </w:rPr>
        <w:t xml:space="preserve"> </w:t>
      </w:r>
      <w:r w:rsidR="00130B48" w:rsidRPr="00C209C0">
        <w:rPr>
          <w:lang w:val="en-GB"/>
        </w:rPr>
        <w:t>health care professionals involved in the care of older people across primary and secondary care can readily implement in clinical practice.</w:t>
      </w:r>
      <w:r w:rsidR="00130B48" w:rsidRPr="00C209C0">
        <w:rPr>
          <w:rFonts w:cstheme="minorHAnsi"/>
          <w:sz w:val="22"/>
          <w:lang w:val="en-GB"/>
        </w:rPr>
        <w:t xml:space="preserve"> </w:t>
      </w:r>
    </w:p>
    <w:p w14:paraId="6EA129E4" w14:textId="77777777" w:rsidR="00564062" w:rsidRPr="00C209C0" w:rsidRDefault="00564062">
      <w:pPr>
        <w:spacing w:line="240" w:lineRule="auto"/>
        <w:jc w:val="left"/>
        <w:rPr>
          <w:rFonts w:ascii="Palatino Linotype" w:hAnsi="Palatino Linotype" w:cstheme="minorHAnsi"/>
          <w:snapToGrid w:val="0"/>
          <w:sz w:val="22"/>
          <w:szCs w:val="22"/>
          <w:lang w:val="en-GB" w:bidi="en-US"/>
        </w:rPr>
      </w:pPr>
      <w:r w:rsidRPr="00C209C0">
        <w:rPr>
          <w:rFonts w:cstheme="minorHAnsi"/>
          <w:sz w:val="22"/>
          <w:lang w:val="en-GB"/>
        </w:rPr>
        <w:br w:type="page"/>
      </w:r>
    </w:p>
    <w:p w14:paraId="0877BAB5" w14:textId="77777777" w:rsidR="00601A67" w:rsidRPr="00C209C0" w:rsidRDefault="00545BD2" w:rsidP="00545BD2">
      <w:pPr>
        <w:pStyle w:val="MDPI21heading1"/>
        <w:rPr>
          <w:lang w:val="en-GB"/>
        </w:rPr>
      </w:pPr>
      <w:r w:rsidRPr="00C209C0">
        <w:rPr>
          <w:lang w:val="en-GB"/>
        </w:rPr>
        <w:lastRenderedPageBreak/>
        <w:t xml:space="preserve">2. </w:t>
      </w:r>
      <w:r w:rsidR="009128EA" w:rsidRPr="00C209C0">
        <w:rPr>
          <w:lang w:val="en-GB"/>
        </w:rPr>
        <w:t>Methods</w:t>
      </w:r>
    </w:p>
    <w:p w14:paraId="7442635B" w14:textId="6044C671" w:rsidR="009128EA" w:rsidRPr="00C209C0" w:rsidRDefault="009128EA" w:rsidP="00545BD2">
      <w:pPr>
        <w:pStyle w:val="MDPI31text"/>
        <w:rPr>
          <w:b/>
          <w:bCs/>
          <w:lang w:val="en-GB"/>
        </w:rPr>
      </w:pPr>
      <w:r w:rsidRPr="00C209C0">
        <w:rPr>
          <w:lang w:val="en-GB"/>
        </w:rPr>
        <w:t xml:space="preserve">A literature review was carried out utilising medical journal databases, including PubMed and the Cochrane Library. Search terms pertinent to this topic used </w:t>
      </w:r>
      <w:r w:rsidR="00286482" w:rsidRPr="00C209C0">
        <w:rPr>
          <w:lang w:val="en-GB"/>
        </w:rPr>
        <w:t>were</w:t>
      </w:r>
      <w:r w:rsidRPr="00C209C0">
        <w:rPr>
          <w:lang w:val="en-GB"/>
        </w:rPr>
        <w:t xml:space="preserve"> “</w:t>
      </w:r>
      <w:r w:rsidR="00130B48" w:rsidRPr="00C209C0">
        <w:rPr>
          <w:lang w:val="en-GB"/>
        </w:rPr>
        <w:t>multi-morbidity</w:t>
      </w:r>
      <w:r w:rsidRPr="00C209C0">
        <w:rPr>
          <w:lang w:val="en-GB"/>
        </w:rPr>
        <w:t>”,</w:t>
      </w:r>
      <w:r w:rsidR="00130B48" w:rsidRPr="00C209C0">
        <w:rPr>
          <w:lang w:val="en-GB"/>
        </w:rPr>
        <w:t xml:space="preserve"> “polypharmacy”, “deprescribing”</w:t>
      </w:r>
      <w:r w:rsidRPr="00C209C0">
        <w:rPr>
          <w:lang w:val="en-GB"/>
        </w:rPr>
        <w:t>, “</w:t>
      </w:r>
      <w:r w:rsidR="00130B48" w:rsidRPr="00C209C0">
        <w:rPr>
          <w:lang w:val="en-GB"/>
        </w:rPr>
        <w:t>comprehensive geriatric assessment</w:t>
      </w:r>
      <w:r w:rsidRPr="00C209C0">
        <w:rPr>
          <w:lang w:val="en-GB"/>
        </w:rPr>
        <w:t>”, “</w:t>
      </w:r>
      <w:r w:rsidR="00130B48" w:rsidRPr="00C209C0">
        <w:rPr>
          <w:lang w:val="en-GB"/>
        </w:rPr>
        <w:t>age friendly care</w:t>
      </w:r>
      <w:r w:rsidRPr="00C209C0">
        <w:rPr>
          <w:lang w:val="en-GB"/>
        </w:rPr>
        <w:t>”</w:t>
      </w:r>
      <w:r w:rsidR="00B04C7B">
        <w:rPr>
          <w:lang w:val="en-GB"/>
        </w:rPr>
        <w:t>,</w:t>
      </w:r>
      <w:r w:rsidR="00130B48" w:rsidRPr="00C209C0">
        <w:rPr>
          <w:lang w:val="en-GB"/>
        </w:rPr>
        <w:t xml:space="preserve"> and</w:t>
      </w:r>
      <w:r w:rsidRPr="00C209C0">
        <w:rPr>
          <w:lang w:val="en-GB"/>
        </w:rPr>
        <w:t xml:space="preserve"> “</w:t>
      </w:r>
      <w:r w:rsidR="00130B48" w:rsidRPr="00C209C0">
        <w:rPr>
          <w:lang w:val="en-GB"/>
        </w:rPr>
        <w:t>patient priority care</w:t>
      </w:r>
      <w:r w:rsidRPr="00C209C0">
        <w:rPr>
          <w:lang w:val="en-GB"/>
        </w:rPr>
        <w:t>”</w:t>
      </w:r>
      <w:r w:rsidR="00FD3E3A" w:rsidRPr="00C209C0">
        <w:rPr>
          <w:lang w:val="en-GB"/>
        </w:rPr>
        <w:t>. A</w:t>
      </w:r>
      <w:r w:rsidRPr="00C209C0">
        <w:rPr>
          <w:lang w:val="en-GB"/>
        </w:rPr>
        <w:t xml:space="preserve">rticle titles and abstracts were then assessed for relevance and full-text screening performed if the title or abstract contained one or more search terms and the article itself was deemed relevant to this topic. Articles were also selected for further review from the wider literature based on the authors own </w:t>
      </w:r>
      <w:r w:rsidR="0081083C" w:rsidRPr="00C209C0">
        <w:rPr>
          <w:lang w:val="en-GB"/>
        </w:rPr>
        <w:t xml:space="preserve">clinical </w:t>
      </w:r>
      <w:r w:rsidRPr="00C209C0">
        <w:rPr>
          <w:lang w:val="en-GB"/>
        </w:rPr>
        <w:t>expertise and knowledge of pre-existing work in this field.</w:t>
      </w:r>
      <w:r w:rsidRPr="00C209C0">
        <w:rPr>
          <w:b/>
          <w:bCs/>
          <w:lang w:val="en-GB"/>
        </w:rPr>
        <w:t xml:space="preserve"> </w:t>
      </w:r>
      <w:r w:rsidRPr="0002196E">
        <w:rPr>
          <w:bCs/>
          <w:lang w:val="en-GB"/>
        </w:rPr>
        <w:t>Only English languag</w:t>
      </w:r>
      <w:r w:rsidR="000C270F" w:rsidRPr="0002196E">
        <w:rPr>
          <w:bCs/>
          <w:lang w:val="en-GB"/>
        </w:rPr>
        <w:t>e</w:t>
      </w:r>
      <w:r w:rsidRPr="0002196E">
        <w:rPr>
          <w:bCs/>
          <w:lang w:val="en-GB"/>
        </w:rPr>
        <w:t xml:space="preserve"> </w:t>
      </w:r>
      <w:r w:rsidR="00B04C7B" w:rsidRPr="0002196E">
        <w:rPr>
          <w:bCs/>
          <w:lang w:val="en-GB"/>
        </w:rPr>
        <w:t xml:space="preserve">articles </w:t>
      </w:r>
      <w:r w:rsidR="000C270F" w:rsidRPr="0002196E">
        <w:rPr>
          <w:bCs/>
          <w:lang w:val="en-GB"/>
        </w:rPr>
        <w:t>published between 200</w:t>
      </w:r>
      <w:r w:rsidR="0080340D" w:rsidRPr="0002196E">
        <w:rPr>
          <w:bCs/>
          <w:lang w:val="en-GB"/>
        </w:rPr>
        <w:t>3</w:t>
      </w:r>
      <w:r w:rsidR="000C270F" w:rsidRPr="0002196E">
        <w:rPr>
          <w:bCs/>
          <w:lang w:val="en-GB"/>
        </w:rPr>
        <w:t xml:space="preserve"> and 2020 </w:t>
      </w:r>
      <w:r w:rsidRPr="0002196E">
        <w:rPr>
          <w:bCs/>
          <w:lang w:val="en-GB"/>
        </w:rPr>
        <w:t>were included</w:t>
      </w:r>
      <w:r w:rsidR="00683670" w:rsidRPr="0002196E">
        <w:rPr>
          <w:bCs/>
          <w:lang w:val="en-GB"/>
        </w:rPr>
        <w:t xml:space="preserve"> (</w:t>
      </w:r>
      <w:r w:rsidR="00B04C7B" w:rsidRPr="0002196E">
        <w:rPr>
          <w:bCs/>
          <w:lang w:val="en-GB"/>
        </w:rPr>
        <w:t>A</w:t>
      </w:r>
      <w:r w:rsidR="00683670" w:rsidRPr="0002196E">
        <w:rPr>
          <w:bCs/>
          <w:lang w:val="en-GB"/>
        </w:rPr>
        <w:t>ppendix 1.1)</w:t>
      </w:r>
      <w:r w:rsidR="000C270F" w:rsidRPr="0002196E">
        <w:rPr>
          <w:bCs/>
          <w:lang w:val="en-GB"/>
        </w:rPr>
        <w:t xml:space="preserve">. </w:t>
      </w:r>
      <w:r w:rsidR="006C33C7" w:rsidRPr="0002196E">
        <w:rPr>
          <w:bCs/>
          <w:lang w:val="en-GB"/>
        </w:rPr>
        <w:t xml:space="preserve">We applied </w:t>
      </w:r>
      <w:r w:rsidR="00FD3E3A" w:rsidRPr="0002196E">
        <w:rPr>
          <w:bCs/>
          <w:lang w:val="en-GB"/>
        </w:rPr>
        <w:t xml:space="preserve">the </w:t>
      </w:r>
      <w:r w:rsidR="006C33C7" w:rsidRPr="0002196E">
        <w:rPr>
          <w:bCs/>
          <w:lang w:val="en-GB"/>
        </w:rPr>
        <w:t xml:space="preserve">principles </w:t>
      </w:r>
      <w:r w:rsidR="00B671FB" w:rsidRPr="0002196E">
        <w:rPr>
          <w:bCs/>
          <w:lang w:val="en-GB"/>
        </w:rPr>
        <w:t>from</w:t>
      </w:r>
      <w:r w:rsidR="006C33C7" w:rsidRPr="0002196E">
        <w:rPr>
          <w:bCs/>
          <w:lang w:val="en-GB"/>
        </w:rPr>
        <w:t xml:space="preserve"> the </w:t>
      </w:r>
      <w:r w:rsidR="00AE0D1F" w:rsidRPr="0002196E">
        <w:rPr>
          <w:bCs/>
          <w:lang w:val="en-GB"/>
        </w:rPr>
        <w:t>S</w:t>
      </w:r>
      <w:r w:rsidR="006C33C7" w:rsidRPr="0002196E">
        <w:rPr>
          <w:bCs/>
          <w:lang w:val="en-GB"/>
        </w:rPr>
        <w:t xml:space="preserve">cale for </w:t>
      </w:r>
      <w:r w:rsidR="00AE0D1F" w:rsidRPr="0002196E">
        <w:rPr>
          <w:bCs/>
          <w:lang w:val="en-GB"/>
        </w:rPr>
        <w:t>the</w:t>
      </w:r>
      <w:r w:rsidR="006C33C7" w:rsidRPr="0002196E">
        <w:rPr>
          <w:bCs/>
          <w:lang w:val="en-GB"/>
        </w:rPr>
        <w:t xml:space="preserve"> </w:t>
      </w:r>
      <w:r w:rsidR="00AE0D1F" w:rsidRPr="0002196E">
        <w:rPr>
          <w:bCs/>
          <w:lang w:val="en-GB"/>
        </w:rPr>
        <w:t>A</w:t>
      </w:r>
      <w:r w:rsidR="006C33C7" w:rsidRPr="0002196E">
        <w:rPr>
          <w:bCs/>
          <w:lang w:val="en-GB"/>
        </w:rPr>
        <w:t xml:space="preserve">ssessment of </w:t>
      </w:r>
      <w:r w:rsidR="00AE0D1F" w:rsidRPr="0002196E">
        <w:rPr>
          <w:bCs/>
          <w:lang w:val="en-GB"/>
        </w:rPr>
        <w:t>N</w:t>
      </w:r>
      <w:r w:rsidR="006C33C7" w:rsidRPr="0002196E">
        <w:rPr>
          <w:bCs/>
          <w:lang w:val="en-GB"/>
        </w:rPr>
        <w:t xml:space="preserve">arrative </w:t>
      </w:r>
      <w:r w:rsidR="00AE0D1F" w:rsidRPr="0002196E">
        <w:rPr>
          <w:bCs/>
          <w:lang w:val="en-GB"/>
        </w:rPr>
        <w:t>R</w:t>
      </w:r>
      <w:r w:rsidR="006C33C7" w:rsidRPr="0002196E">
        <w:rPr>
          <w:bCs/>
          <w:lang w:val="en-GB"/>
        </w:rPr>
        <w:t xml:space="preserve">eview </w:t>
      </w:r>
      <w:r w:rsidR="00AE0D1F" w:rsidRPr="0002196E">
        <w:rPr>
          <w:bCs/>
          <w:lang w:val="en-GB"/>
        </w:rPr>
        <w:t>A</w:t>
      </w:r>
      <w:r w:rsidR="006C33C7" w:rsidRPr="0002196E">
        <w:rPr>
          <w:bCs/>
          <w:lang w:val="en-GB"/>
        </w:rPr>
        <w:t>rticles (SANRA)</w:t>
      </w:r>
      <w:r w:rsidR="00286482" w:rsidRPr="0002196E">
        <w:rPr>
          <w:bCs/>
          <w:lang w:val="en-GB"/>
        </w:rPr>
        <w:t xml:space="preserve"> </w:t>
      </w:r>
      <w:r w:rsidR="00AE0D1F" w:rsidRPr="0002196E">
        <w:rPr>
          <w:bCs/>
          <w:lang w:val="en-GB"/>
        </w:rPr>
        <w:t>to</w:t>
      </w:r>
      <w:r w:rsidR="00286482" w:rsidRPr="0002196E">
        <w:rPr>
          <w:bCs/>
          <w:lang w:val="en-GB"/>
        </w:rPr>
        <w:t xml:space="preserve"> this manuscript</w:t>
      </w:r>
      <w:r w:rsidR="00FA2D60" w:rsidRPr="0002196E">
        <w:rPr>
          <w:bCs/>
          <w:lang w:val="en-GB"/>
        </w:rPr>
        <w:t xml:space="preserve"> </w:t>
      </w:r>
      <w:r w:rsidR="00564062" w:rsidRPr="0002196E">
        <w:rPr>
          <w:bCs/>
          <w:noProof/>
          <w:lang w:val="en-GB"/>
        </w:rPr>
        <w:t>[</w:t>
      </w:r>
      <w:r w:rsidR="000145C0" w:rsidRPr="0002196E">
        <w:rPr>
          <w:bCs/>
          <w:noProof/>
          <w:lang w:val="en-GB"/>
        </w:rPr>
        <w:t>5</w:t>
      </w:r>
      <w:r w:rsidR="00564062" w:rsidRPr="0002196E">
        <w:rPr>
          <w:bCs/>
          <w:noProof/>
          <w:lang w:val="en-GB"/>
        </w:rPr>
        <w:t>]</w:t>
      </w:r>
      <w:r w:rsidR="0080340D" w:rsidRPr="0002196E">
        <w:rPr>
          <w:bCs/>
          <w:lang w:val="en-GB"/>
        </w:rPr>
        <w:t xml:space="preserve"> (</w:t>
      </w:r>
      <w:r w:rsidR="00683670" w:rsidRPr="0002196E">
        <w:rPr>
          <w:bCs/>
          <w:lang w:val="en-GB"/>
        </w:rPr>
        <w:t xml:space="preserve">see </w:t>
      </w:r>
      <w:r w:rsidR="000E2824">
        <w:rPr>
          <w:bCs/>
          <w:lang w:val="en-GB"/>
        </w:rPr>
        <w:t>a</w:t>
      </w:r>
      <w:r w:rsidR="0080340D" w:rsidRPr="0002196E">
        <w:rPr>
          <w:bCs/>
          <w:lang w:val="en-GB"/>
        </w:rPr>
        <w:t>ppendix 1</w:t>
      </w:r>
      <w:r w:rsidR="00683670" w:rsidRPr="0002196E">
        <w:rPr>
          <w:bCs/>
          <w:lang w:val="en-GB"/>
        </w:rPr>
        <w:t>.2</w:t>
      </w:r>
      <w:r w:rsidR="0080340D" w:rsidRPr="0002196E">
        <w:rPr>
          <w:bCs/>
          <w:lang w:val="en-GB"/>
        </w:rPr>
        <w:t>).</w:t>
      </w:r>
      <w:r w:rsidR="006C33C7" w:rsidRPr="00C209C0">
        <w:rPr>
          <w:b/>
          <w:bCs/>
          <w:lang w:val="en-GB"/>
        </w:rPr>
        <w:t xml:space="preserve"> </w:t>
      </w:r>
    </w:p>
    <w:p w14:paraId="31EA7D57" w14:textId="0E0816FC" w:rsidR="00FD3E3A" w:rsidRPr="00C209C0" w:rsidRDefault="00545BD2" w:rsidP="00545BD2">
      <w:pPr>
        <w:pStyle w:val="MDPI22heading2"/>
        <w:rPr>
          <w:lang w:val="en-GB" w:eastAsia="en-GB"/>
        </w:rPr>
      </w:pPr>
      <w:r w:rsidRPr="00C209C0">
        <w:rPr>
          <w:lang w:val="en-GB" w:eastAsia="en-GB"/>
        </w:rPr>
        <w:t xml:space="preserve">2.1. </w:t>
      </w:r>
      <w:r w:rsidR="00FD3E3A" w:rsidRPr="00C209C0">
        <w:rPr>
          <w:lang w:val="en-GB" w:eastAsia="en-GB"/>
        </w:rPr>
        <w:t>Multi-</w:t>
      </w:r>
      <w:r w:rsidR="00B04C7B">
        <w:rPr>
          <w:lang w:val="en-GB" w:eastAsia="en-GB"/>
        </w:rPr>
        <w:t>M</w:t>
      </w:r>
      <w:r w:rsidR="00FD3E3A" w:rsidRPr="00C209C0">
        <w:rPr>
          <w:lang w:val="en-GB" w:eastAsia="en-GB"/>
        </w:rPr>
        <w:t>orbidity</w:t>
      </w:r>
    </w:p>
    <w:p w14:paraId="0BD74003" w14:textId="5F372946" w:rsidR="00D92DE7" w:rsidRPr="00C209C0" w:rsidRDefault="00593D38" w:rsidP="00545BD2">
      <w:pPr>
        <w:pStyle w:val="MDPI31text"/>
        <w:rPr>
          <w:lang w:val="en-GB"/>
        </w:rPr>
      </w:pPr>
      <w:r w:rsidRPr="00C209C0">
        <w:rPr>
          <w:lang w:val="en-GB"/>
        </w:rPr>
        <w:t xml:space="preserve">Multi-morbidity refers to the presence of two or more simultaneous long-term health conditions </w:t>
      </w:r>
      <w:r w:rsidR="00FD3E3A" w:rsidRPr="00C209C0">
        <w:rPr>
          <w:lang w:val="en-GB"/>
        </w:rPr>
        <w:t>in</w:t>
      </w:r>
      <w:r w:rsidRPr="00C209C0">
        <w:rPr>
          <w:lang w:val="en-GB"/>
        </w:rPr>
        <w:t xml:space="preserve"> the </w:t>
      </w:r>
      <w:r w:rsidR="00FD3E3A" w:rsidRPr="00C209C0">
        <w:rPr>
          <w:lang w:val="en-GB"/>
        </w:rPr>
        <w:t xml:space="preserve">older </w:t>
      </w:r>
      <w:r w:rsidRPr="00C209C0">
        <w:rPr>
          <w:lang w:val="en-GB"/>
        </w:rPr>
        <w:t xml:space="preserve">individual concerned </w:t>
      </w:r>
      <w:r w:rsidR="000B729C" w:rsidRPr="00C209C0">
        <w:rPr>
          <w:noProof/>
          <w:lang w:val="en-GB"/>
        </w:rPr>
        <w:t>[</w:t>
      </w:r>
      <w:r w:rsidR="000145C0" w:rsidRPr="00C209C0">
        <w:rPr>
          <w:noProof/>
          <w:lang w:val="en-GB"/>
        </w:rPr>
        <w:t>4</w:t>
      </w:r>
      <w:r w:rsidR="000B729C" w:rsidRPr="00C209C0">
        <w:rPr>
          <w:noProof/>
          <w:lang w:val="en-GB"/>
        </w:rPr>
        <w:t>]</w:t>
      </w:r>
      <w:r w:rsidRPr="00C209C0">
        <w:rPr>
          <w:lang w:val="en-GB"/>
        </w:rPr>
        <w:t xml:space="preserve">. These can span physical </w:t>
      </w:r>
      <w:r w:rsidR="00FD3E3A" w:rsidRPr="00C209C0">
        <w:rPr>
          <w:lang w:val="en-GB"/>
        </w:rPr>
        <w:t>as well as</w:t>
      </w:r>
      <w:r w:rsidRPr="00C209C0">
        <w:rPr>
          <w:lang w:val="en-GB"/>
        </w:rPr>
        <w:t xml:space="preserve"> psychosocial domains and include conditions such as cardiovascular, metabolic</w:t>
      </w:r>
      <w:r w:rsidR="00FD3E3A" w:rsidRPr="00C209C0">
        <w:rPr>
          <w:lang w:val="en-GB"/>
        </w:rPr>
        <w:t>, musculoskeletal disease</w:t>
      </w:r>
      <w:r w:rsidRPr="00C209C0">
        <w:rPr>
          <w:lang w:val="en-GB"/>
        </w:rPr>
        <w:t>, mental health illness, chronic pain, sensory deprivation</w:t>
      </w:r>
      <w:r w:rsidR="00B04C7B">
        <w:rPr>
          <w:lang w:val="en-GB"/>
        </w:rPr>
        <w:t>,</w:t>
      </w:r>
      <w:r w:rsidR="00FD3E3A" w:rsidRPr="00C209C0">
        <w:rPr>
          <w:lang w:val="en-GB"/>
        </w:rPr>
        <w:t xml:space="preserve"> and </w:t>
      </w:r>
      <w:r w:rsidRPr="00C209C0">
        <w:rPr>
          <w:lang w:val="en-GB"/>
        </w:rPr>
        <w:t xml:space="preserve">substance misuse </w:t>
      </w:r>
      <w:r w:rsidR="000B729C" w:rsidRPr="00C209C0">
        <w:rPr>
          <w:noProof/>
          <w:lang w:val="en-GB"/>
        </w:rPr>
        <w:t>[6,</w:t>
      </w:r>
      <w:r w:rsidR="000145C0" w:rsidRPr="00C209C0">
        <w:rPr>
          <w:noProof/>
          <w:lang w:val="en-GB"/>
        </w:rPr>
        <w:t>7</w:t>
      </w:r>
      <w:r w:rsidR="000B729C" w:rsidRPr="00C209C0">
        <w:rPr>
          <w:noProof/>
          <w:lang w:val="en-GB"/>
        </w:rPr>
        <w:t>]</w:t>
      </w:r>
      <w:r w:rsidR="00F863BF" w:rsidRPr="00C209C0">
        <w:rPr>
          <w:lang w:val="en-GB"/>
        </w:rPr>
        <w:t xml:space="preserve">. </w:t>
      </w:r>
      <w:r w:rsidRPr="00C209C0">
        <w:rPr>
          <w:lang w:val="en-GB"/>
        </w:rPr>
        <w:t>Multi-morbidity increases with age but is not only limited to older people. For example, in a cross sectional study of over 1 million patients in Scotland, the prevalence of multi-morbidity was 30.4% in those aged 45</w:t>
      </w:r>
      <w:r w:rsidR="00347A3A" w:rsidRPr="00C209C0">
        <w:rPr>
          <w:lang w:val="en-GB"/>
        </w:rPr>
        <w:t>–</w:t>
      </w:r>
      <w:r w:rsidRPr="00C209C0">
        <w:rPr>
          <w:lang w:val="en-GB"/>
        </w:rPr>
        <w:t xml:space="preserve">64 years increasing to 81.5% in those </w:t>
      </w:r>
      <w:r w:rsidR="00466FD6" w:rsidRPr="00C209C0">
        <w:rPr>
          <w:lang w:val="en-GB"/>
        </w:rPr>
        <w:t>&gt;</w:t>
      </w:r>
      <w:r w:rsidR="00347A3A" w:rsidRPr="00C209C0">
        <w:rPr>
          <w:lang w:val="en-GB"/>
        </w:rPr>
        <w:t xml:space="preserve"> </w:t>
      </w:r>
      <w:r w:rsidRPr="00C209C0">
        <w:rPr>
          <w:lang w:val="en-GB"/>
        </w:rPr>
        <w:t xml:space="preserve">85 years </w:t>
      </w:r>
      <w:r w:rsidR="00F863BF" w:rsidRPr="00C209C0">
        <w:rPr>
          <w:noProof/>
          <w:lang w:val="en-GB"/>
        </w:rPr>
        <w:t>[</w:t>
      </w:r>
      <w:r w:rsidR="00687494" w:rsidRPr="00C209C0">
        <w:rPr>
          <w:noProof/>
          <w:lang w:val="en-GB"/>
        </w:rPr>
        <w:t>6</w:t>
      </w:r>
      <w:r w:rsidR="00F863BF" w:rsidRPr="00C209C0">
        <w:rPr>
          <w:noProof/>
          <w:lang w:val="en-GB"/>
        </w:rPr>
        <w:t>]</w:t>
      </w:r>
      <w:r w:rsidRPr="00C209C0">
        <w:rPr>
          <w:lang w:val="en-GB"/>
        </w:rPr>
        <w:t xml:space="preserve">. </w:t>
      </w:r>
      <w:r w:rsidR="00B04C7B">
        <w:rPr>
          <w:lang w:val="en-GB"/>
        </w:rPr>
        <w:t>A h</w:t>
      </w:r>
      <w:r w:rsidRPr="00C209C0">
        <w:rPr>
          <w:lang w:val="en-GB"/>
        </w:rPr>
        <w:t xml:space="preserve">igher prevalence of multi-morbidity </w:t>
      </w:r>
      <w:r w:rsidR="00D92DE7" w:rsidRPr="00C209C0">
        <w:rPr>
          <w:lang w:val="en-GB"/>
        </w:rPr>
        <w:t>is</w:t>
      </w:r>
      <w:r w:rsidRPr="00C209C0">
        <w:rPr>
          <w:lang w:val="en-GB"/>
        </w:rPr>
        <w:t xml:space="preserve"> present in women</w:t>
      </w:r>
      <w:r w:rsidR="00B04C7B">
        <w:rPr>
          <w:lang w:val="en-GB"/>
        </w:rPr>
        <w:t xml:space="preserve"> and</w:t>
      </w:r>
      <w:r w:rsidRPr="00C209C0">
        <w:rPr>
          <w:lang w:val="en-GB"/>
        </w:rPr>
        <w:t xml:space="preserve"> those who have a lower socio-economic status and educational attainment. In addition, there are racial and ethnic differences that affect prevalence rates </w:t>
      </w:r>
      <w:r w:rsidR="00347A3A" w:rsidRPr="00C209C0">
        <w:rPr>
          <w:noProof/>
          <w:lang w:val="en-GB"/>
        </w:rPr>
        <w:t>[4,8]</w:t>
      </w:r>
      <w:r w:rsidRPr="00C209C0">
        <w:rPr>
          <w:lang w:val="en-GB"/>
        </w:rPr>
        <w:t xml:space="preserve">. </w:t>
      </w:r>
    </w:p>
    <w:p w14:paraId="5BBF588D" w14:textId="1AF1D398" w:rsidR="00D92DE7" w:rsidRPr="00C209C0" w:rsidRDefault="00593D38" w:rsidP="00545BD2">
      <w:pPr>
        <w:pStyle w:val="MDPI31text"/>
        <w:rPr>
          <w:lang w:val="en-GB"/>
        </w:rPr>
      </w:pPr>
      <w:r w:rsidRPr="00C209C0">
        <w:rPr>
          <w:lang w:val="en-GB"/>
        </w:rPr>
        <w:t xml:space="preserve">Long-term health conditions account for approximately 50% of </w:t>
      </w:r>
      <w:r w:rsidR="003C74A6" w:rsidRPr="00C209C0">
        <w:rPr>
          <w:lang w:val="en-GB"/>
        </w:rPr>
        <w:t>general practitioner (</w:t>
      </w:r>
      <w:r w:rsidRPr="00C209C0">
        <w:rPr>
          <w:lang w:val="en-GB"/>
        </w:rPr>
        <w:t>GP</w:t>
      </w:r>
      <w:r w:rsidR="003C74A6" w:rsidRPr="00C209C0">
        <w:rPr>
          <w:lang w:val="en-GB"/>
        </w:rPr>
        <w:t>)</w:t>
      </w:r>
      <w:r w:rsidRPr="00C209C0">
        <w:rPr>
          <w:lang w:val="en-GB"/>
        </w:rPr>
        <w:t xml:space="preserve"> appointments, 64% of hospital outpatient appointments</w:t>
      </w:r>
      <w:r w:rsidR="00B04C7B">
        <w:rPr>
          <w:lang w:val="en-GB"/>
        </w:rPr>
        <w:t>,</w:t>
      </w:r>
      <w:r w:rsidRPr="00C209C0">
        <w:rPr>
          <w:lang w:val="en-GB"/>
        </w:rPr>
        <w:t xml:space="preserve"> and 70% of inpatient hospital admissions </w:t>
      </w:r>
      <w:r w:rsidR="00347A3A" w:rsidRPr="00C209C0">
        <w:rPr>
          <w:noProof/>
          <w:lang w:val="en-GB"/>
        </w:rPr>
        <w:t>[</w:t>
      </w:r>
      <w:r w:rsidR="00687494" w:rsidRPr="00C209C0">
        <w:rPr>
          <w:noProof/>
          <w:lang w:val="en-GB"/>
        </w:rPr>
        <w:t>8</w:t>
      </w:r>
      <w:r w:rsidR="00347A3A" w:rsidRPr="00C209C0">
        <w:rPr>
          <w:noProof/>
          <w:lang w:val="en-GB"/>
        </w:rPr>
        <w:t>]</w:t>
      </w:r>
      <w:r w:rsidRPr="00C209C0">
        <w:rPr>
          <w:lang w:val="en-GB"/>
        </w:rPr>
        <w:t xml:space="preserve"> and is therefore responsible for approximately 70% of the </w:t>
      </w:r>
      <w:r w:rsidR="003C74A6" w:rsidRPr="00C209C0">
        <w:rPr>
          <w:lang w:val="en-GB"/>
        </w:rPr>
        <w:t>United Kingdom, National Health Service (</w:t>
      </w:r>
      <w:r w:rsidRPr="00C209C0">
        <w:rPr>
          <w:lang w:val="en-GB"/>
        </w:rPr>
        <w:t>UK NHS</w:t>
      </w:r>
      <w:r w:rsidR="003C74A6" w:rsidRPr="00C209C0">
        <w:rPr>
          <w:lang w:val="en-GB"/>
        </w:rPr>
        <w:t>)</w:t>
      </w:r>
      <w:r w:rsidRPr="00C209C0">
        <w:rPr>
          <w:lang w:val="en-GB"/>
        </w:rPr>
        <w:t xml:space="preserve"> current healthcare expenditure. People living with multi-morbidity are at greater risk </w:t>
      </w:r>
      <w:r w:rsidR="00D92DE7" w:rsidRPr="00C209C0">
        <w:rPr>
          <w:lang w:val="en-GB"/>
        </w:rPr>
        <w:t xml:space="preserve">of incident as well as worsening of pre-existing mental health problems, </w:t>
      </w:r>
      <w:r w:rsidRPr="00C209C0">
        <w:rPr>
          <w:lang w:val="en-GB"/>
        </w:rPr>
        <w:t xml:space="preserve">unplanned hospital admission, experience higher rates of polypharmacy and adverse drug </w:t>
      </w:r>
      <w:r w:rsidR="00D92DE7" w:rsidRPr="00C209C0">
        <w:rPr>
          <w:lang w:val="en-GB"/>
        </w:rPr>
        <w:t>reactions (ADR</w:t>
      </w:r>
      <w:proofErr w:type="gramStart"/>
      <w:r w:rsidR="00D92DE7" w:rsidRPr="00C209C0">
        <w:rPr>
          <w:lang w:val="en-GB"/>
        </w:rPr>
        <w:t>)</w:t>
      </w:r>
      <w:r w:rsidR="007002D7">
        <w:rPr>
          <w:lang w:val="en-GB"/>
        </w:rPr>
        <w:t>,</w:t>
      </w:r>
      <w:r w:rsidR="00D92DE7" w:rsidRPr="00C209C0">
        <w:rPr>
          <w:lang w:val="en-GB"/>
        </w:rPr>
        <w:t xml:space="preserve"> and</w:t>
      </w:r>
      <w:proofErr w:type="gramEnd"/>
      <w:r w:rsidR="00D92DE7" w:rsidRPr="00C209C0">
        <w:rPr>
          <w:lang w:val="en-GB"/>
        </w:rPr>
        <w:t xml:space="preserve"> </w:t>
      </w:r>
      <w:r w:rsidRPr="00C209C0">
        <w:rPr>
          <w:lang w:val="en-GB"/>
        </w:rPr>
        <w:t>have a reduced quality of life</w:t>
      </w:r>
      <w:r w:rsidR="00D92DE7" w:rsidRPr="00C209C0">
        <w:rPr>
          <w:lang w:val="en-GB"/>
        </w:rPr>
        <w:t xml:space="preserve"> </w:t>
      </w:r>
      <w:r w:rsidR="003D6B51" w:rsidRPr="00C209C0">
        <w:rPr>
          <w:noProof/>
          <w:lang w:val="en-GB"/>
        </w:rPr>
        <w:t>[</w:t>
      </w:r>
      <w:r w:rsidR="00687494" w:rsidRPr="00C209C0">
        <w:rPr>
          <w:noProof/>
          <w:lang w:val="en-GB"/>
        </w:rPr>
        <w:t>9</w:t>
      </w:r>
      <w:r w:rsidR="00347A3A" w:rsidRPr="00C209C0">
        <w:rPr>
          <w:noProof/>
          <w:lang w:val="en-GB"/>
        </w:rPr>
        <w:t>–</w:t>
      </w:r>
      <w:r w:rsidR="00687494" w:rsidRPr="00C209C0">
        <w:rPr>
          <w:noProof/>
          <w:lang w:val="en-GB"/>
        </w:rPr>
        <w:t>12</w:t>
      </w:r>
      <w:r w:rsidR="003841D4">
        <w:rPr>
          <w:rFonts w:asciiTheme="minorEastAsia" w:eastAsiaTheme="minorEastAsia" w:hAnsiTheme="minorEastAsia" w:hint="eastAsia"/>
          <w:noProof/>
          <w:lang w:val="en-GB" w:eastAsia="zh-CN"/>
        </w:rPr>
        <w:t>]</w:t>
      </w:r>
      <w:r w:rsidRPr="00C209C0">
        <w:rPr>
          <w:lang w:val="en-GB"/>
        </w:rPr>
        <w:t>. Living with multi-morbidity is associated with increased rates of mortality. For example, adults aged &gt;60 years with ≥</w:t>
      </w:r>
      <w:r w:rsidR="00347A3A" w:rsidRPr="00C209C0">
        <w:rPr>
          <w:lang w:val="en-GB"/>
        </w:rPr>
        <w:t xml:space="preserve"> </w:t>
      </w:r>
      <w:r w:rsidRPr="00C209C0">
        <w:rPr>
          <w:lang w:val="en-GB"/>
        </w:rPr>
        <w:t>2 or ≥</w:t>
      </w:r>
      <w:r w:rsidR="00347A3A" w:rsidRPr="00C209C0">
        <w:rPr>
          <w:lang w:val="en-GB"/>
        </w:rPr>
        <w:t xml:space="preserve"> </w:t>
      </w:r>
      <w:r w:rsidRPr="00C209C0">
        <w:rPr>
          <w:lang w:val="en-GB"/>
        </w:rPr>
        <w:t>3 health conditions ha</w:t>
      </w:r>
      <w:r w:rsidR="0072300D">
        <w:rPr>
          <w:lang w:val="en-GB"/>
        </w:rPr>
        <w:t>d</w:t>
      </w:r>
      <w:r w:rsidRPr="00C209C0">
        <w:rPr>
          <w:lang w:val="en-GB"/>
        </w:rPr>
        <w:t xml:space="preserve"> a </w:t>
      </w:r>
      <w:r w:rsidR="0072300D">
        <w:rPr>
          <w:lang w:val="en-GB"/>
        </w:rPr>
        <w:t>1.73 (95% CI:1.41;</w:t>
      </w:r>
      <w:r w:rsidR="001A1164">
        <w:rPr>
          <w:lang w:val="en-GB"/>
        </w:rPr>
        <w:t xml:space="preserve"> </w:t>
      </w:r>
      <w:r w:rsidR="0072300D">
        <w:rPr>
          <w:lang w:val="en-GB"/>
        </w:rPr>
        <w:t>2.13)</w:t>
      </w:r>
      <w:r w:rsidRPr="00C209C0">
        <w:rPr>
          <w:lang w:val="en-GB"/>
        </w:rPr>
        <w:t xml:space="preserve"> and </w:t>
      </w:r>
      <w:r w:rsidR="001A1164">
        <w:rPr>
          <w:lang w:val="en-GB"/>
        </w:rPr>
        <w:t>2.72 (95%</w:t>
      </w:r>
      <w:r w:rsidR="000E2824">
        <w:rPr>
          <w:lang w:val="en-GB"/>
        </w:rPr>
        <w:t xml:space="preserve"> </w:t>
      </w:r>
      <w:r w:rsidR="001A1164">
        <w:rPr>
          <w:lang w:val="en-GB"/>
        </w:rPr>
        <w:t xml:space="preserve">CI:1.81; 4.08) </w:t>
      </w:r>
      <w:r w:rsidRPr="00C209C0">
        <w:rPr>
          <w:lang w:val="en-GB"/>
        </w:rPr>
        <w:t xml:space="preserve">increased risk of dying respectively, compared to those who </w:t>
      </w:r>
      <w:r w:rsidR="001A1164">
        <w:rPr>
          <w:lang w:val="en-GB"/>
        </w:rPr>
        <w:t>were</w:t>
      </w:r>
      <w:r w:rsidRPr="00C209C0">
        <w:rPr>
          <w:lang w:val="en-GB"/>
        </w:rPr>
        <w:t xml:space="preserve"> not multi-morbid </w:t>
      </w:r>
      <w:r w:rsidR="00347A3A" w:rsidRPr="00C209C0">
        <w:rPr>
          <w:noProof/>
          <w:lang w:val="en-GB"/>
        </w:rPr>
        <w:t>[</w:t>
      </w:r>
      <w:r w:rsidR="00687494" w:rsidRPr="00C209C0">
        <w:rPr>
          <w:noProof/>
          <w:lang w:val="en-GB"/>
        </w:rPr>
        <w:t>13</w:t>
      </w:r>
      <w:r w:rsidR="00347A3A" w:rsidRPr="00C209C0">
        <w:rPr>
          <w:noProof/>
          <w:lang w:val="en-GB"/>
        </w:rPr>
        <w:t>]</w:t>
      </w:r>
      <w:r w:rsidRPr="00C209C0">
        <w:rPr>
          <w:lang w:val="en-GB"/>
        </w:rPr>
        <w:t xml:space="preserve">. The proportion of patients living with multi-morbidity is likely to climb as life expectancy continues to rise </w:t>
      </w:r>
      <w:r w:rsidR="00347A3A" w:rsidRPr="00C209C0">
        <w:rPr>
          <w:noProof/>
          <w:lang w:val="en-GB"/>
        </w:rPr>
        <w:t>[</w:t>
      </w:r>
      <w:r w:rsidR="000145C0" w:rsidRPr="00C209C0">
        <w:rPr>
          <w:noProof/>
          <w:lang w:val="en-GB"/>
        </w:rPr>
        <w:t>6</w:t>
      </w:r>
      <w:r w:rsidR="00347A3A" w:rsidRPr="00C209C0">
        <w:rPr>
          <w:noProof/>
          <w:lang w:val="en-GB"/>
        </w:rPr>
        <w:t>]</w:t>
      </w:r>
      <w:r w:rsidRPr="00C209C0">
        <w:rPr>
          <w:lang w:val="en-GB"/>
        </w:rPr>
        <w:t xml:space="preserve"> and is fast becoming a global health problem </w:t>
      </w:r>
      <w:r w:rsidR="00347A3A" w:rsidRPr="00C209C0">
        <w:rPr>
          <w:noProof/>
          <w:lang w:val="en-GB"/>
        </w:rPr>
        <w:t>[</w:t>
      </w:r>
      <w:r w:rsidR="00687494" w:rsidRPr="00C209C0">
        <w:rPr>
          <w:noProof/>
          <w:lang w:val="en-GB"/>
        </w:rPr>
        <w:t>14</w:t>
      </w:r>
      <w:r w:rsidR="00347A3A" w:rsidRPr="00C209C0">
        <w:rPr>
          <w:noProof/>
          <w:lang w:val="en-GB"/>
        </w:rPr>
        <w:t>–</w:t>
      </w:r>
      <w:r w:rsidR="00687494" w:rsidRPr="00C209C0">
        <w:rPr>
          <w:noProof/>
          <w:lang w:val="en-GB"/>
        </w:rPr>
        <w:t>16</w:t>
      </w:r>
      <w:r w:rsidR="00347A3A" w:rsidRPr="00C209C0">
        <w:rPr>
          <w:noProof/>
          <w:lang w:val="en-GB"/>
        </w:rPr>
        <w:t>]</w:t>
      </w:r>
      <w:r w:rsidRPr="00C209C0">
        <w:rPr>
          <w:lang w:val="en-GB"/>
        </w:rPr>
        <w:t>.</w:t>
      </w:r>
    </w:p>
    <w:p w14:paraId="56B51288" w14:textId="7A7F8270" w:rsidR="00E46820" w:rsidRPr="00C209C0" w:rsidRDefault="00E46820" w:rsidP="00545BD2">
      <w:pPr>
        <w:pStyle w:val="MDPI31text"/>
        <w:rPr>
          <w:lang w:val="en-GB"/>
        </w:rPr>
      </w:pPr>
      <w:r w:rsidRPr="00C209C0">
        <w:rPr>
          <w:lang w:val="en-GB"/>
        </w:rPr>
        <w:t>The association</w:t>
      </w:r>
      <w:r w:rsidR="00FA2D60" w:rsidRPr="00C209C0">
        <w:rPr>
          <w:lang w:val="en-GB"/>
        </w:rPr>
        <w:t>s</w:t>
      </w:r>
      <w:r w:rsidRPr="00C209C0">
        <w:rPr>
          <w:lang w:val="en-GB"/>
        </w:rPr>
        <w:t xml:space="preserve"> between multi-morbidity and poor outcome are </w:t>
      </w:r>
      <w:r w:rsidR="00593D38" w:rsidRPr="00C209C0">
        <w:rPr>
          <w:lang w:val="en-GB"/>
        </w:rPr>
        <w:t xml:space="preserve">likely to be multifactorial. Health conditions have a tendency to cluster and interact with other related diseases and can worsen the severity of each disease or result in the development of a further potentially more serious condition </w:t>
      </w:r>
      <w:r w:rsidR="00691EB6" w:rsidRPr="00C209C0">
        <w:rPr>
          <w:noProof/>
          <w:lang w:val="en-GB"/>
        </w:rPr>
        <w:t>[</w:t>
      </w:r>
      <w:r w:rsidR="00687494" w:rsidRPr="00C209C0">
        <w:rPr>
          <w:noProof/>
          <w:lang w:val="en-GB"/>
        </w:rPr>
        <w:t>17</w:t>
      </w:r>
      <w:r w:rsidR="00691EB6" w:rsidRPr="00C209C0">
        <w:rPr>
          <w:noProof/>
          <w:lang w:val="en-GB"/>
        </w:rPr>
        <w:t>]</w:t>
      </w:r>
      <w:r w:rsidR="00593D38" w:rsidRPr="00C209C0">
        <w:rPr>
          <w:lang w:val="en-GB"/>
        </w:rPr>
        <w:t>. For example, the metabolic syndrome is characterised by central obesity alongside the presence of insulin resistance, hypertension</w:t>
      </w:r>
      <w:r w:rsidR="007A5E79">
        <w:rPr>
          <w:lang w:val="en-GB"/>
        </w:rPr>
        <w:t>,</w:t>
      </w:r>
      <w:r w:rsidR="00593D38" w:rsidRPr="00C209C0">
        <w:rPr>
          <w:lang w:val="en-GB"/>
        </w:rPr>
        <w:t xml:space="preserve"> and </w:t>
      </w:r>
      <w:r w:rsidR="00FA2D60" w:rsidRPr="00C209C0">
        <w:rPr>
          <w:lang w:val="en-GB"/>
        </w:rPr>
        <w:t>hyperlipidaemia</w:t>
      </w:r>
      <w:r w:rsidR="00593D38" w:rsidRPr="00C209C0">
        <w:rPr>
          <w:lang w:val="en-GB"/>
        </w:rPr>
        <w:t xml:space="preserve"> </w:t>
      </w:r>
      <w:r w:rsidR="00691EB6" w:rsidRPr="00C209C0">
        <w:rPr>
          <w:noProof/>
          <w:lang w:val="en-GB"/>
        </w:rPr>
        <w:t>[</w:t>
      </w:r>
      <w:r w:rsidR="00687494" w:rsidRPr="00C209C0">
        <w:rPr>
          <w:noProof/>
          <w:lang w:val="en-GB"/>
        </w:rPr>
        <w:t>18</w:t>
      </w:r>
      <w:r w:rsidR="00691EB6" w:rsidRPr="00C209C0">
        <w:rPr>
          <w:noProof/>
          <w:lang w:val="en-GB"/>
        </w:rPr>
        <w:t>]</w:t>
      </w:r>
      <w:r w:rsidR="00593D38" w:rsidRPr="00C209C0">
        <w:rPr>
          <w:lang w:val="en-GB"/>
        </w:rPr>
        <w:t xml:space="preserve">. </w:t>
      </w:r>
      <w:r w:rsidR="00E24DBB" w:rsidRPr="00C209C0">
        <w:rPr>
          <w:lang w:val="en-GB"/>
        </w:rPr>
        <w:t>I</w:t>
      </w:r>
      <w:r w:rsidR="00593D38" w:rsidRPr="00C209C0">
        <w:rPr>
          <w:lang w:val="en-GB"/>
        </w:rPr>
        <w:t xml:space="preserve">nteraction </w:t>
      </w:r>
      <w:r w:rsidR="00E24DBB" w:rsidRPr="00C209C0">
        <w:rPr>
          <w:lang w:val="en-GB"/>
        </w:rPr>
        <w:t xml:space="preserve">between </w:t>
      </w:r>
      <w:r w:rsidR="00593D38" w:rsidRPr="00C209C0">
        <w:rPr>
          <w:lang w:val="en-GB"/>
        </w:rPr>
        <w:t>these disease</w:t>
      </w:r>
      <w:r w:rsidR="00E24DBB" w:rsidRPr="00C209C0">
        <w:rPr>
          <w:lang w:val="en-GB"/>
        </w:rPr>
        <w:t>s</w:t>
      </w:r>
      <w:r w:rsidR="00593D38" w:rsidRPr="00C209C0">
        <w:rPr>
          <w:lang w:val="en-GB"/>
        </w:rPr>
        <w:t xml:space="preserve"> leads to a worsening of each individual condition, as well as an increased risk of cardiovascular events such as stroke or myocardial infarction </w:t>
      </w:r>
      <w:r w:rsidR="00691EB6" w:rsidRPr="00C209C0">
        <w:rPr>
          <w:noProof/>
          <w:lang w:val="en-GB"/>
        </w:rPr>
        <w:t>[19,</w:t>
      </w:r>
      <w:r w:rsidR="00687494" w:rsidRPr="00C209C0">
        <w:rPr>
          <w:noProof/>
          <w:lang w:val="en-GB"/>
        </w:rPr>
        <w:t>20</w:t>
      </w:r>
      <w:r w:rsidR="00691EB6" w:rsidRPr="00C209C0">
        <w:rPr>
          <w:noProof/>
          <w:lang w:val="en-GB"/>
        </w:rPr>
        <w:t>]</w:t>
      </w:r>
      <w:r w:rsidR="00593D38" w:rsidRPr="00C209C0">
        <w:rPr>
          <w:lang w:val="en-GB"/>
        </w:rPr>
        <w:t xml:space="preserve">. </w:t>
      </w:r>
      <w:r w:rsidR="00395906" w:rsidRPr="00C209C0">
        <w:rPr>
          <w:lang w:val="en-GB"/>
        </w:rPr>
        <w:t>Further</w:t>
      </w:r>
      <w:r w:rsidR="00593D38" w:rsidRPr="00C209C0">
        <w:rPr>
          <w:lang w:val="en-GB"/>
        </w:rPr>
        <w:t xml:space="preserve"> example</w:t>
      </w:r>
      <w:r w:rsidR="00395906" w:rsidRPr="00C209C0">
        <w:rPr>
          <w:lang w:val="en-GB"/>
        </w:rPr>
        <w:t>s</w:t>
      </w:r>
      <w:r w:rsidR="00593D38" w:rsidRPr="00C209C0">
        <w:rPr>
          <w:lang w:val="en-GB"/>
        </w:rPr>
        <w:t xml:space="preserve"> relevant for older people </w:t>
      </w:r>
      <w:r w:rsidR="00395906" w:rsidRPr="00C209C0">
        <w:rPr>
          <w:lang w:val="en-GB"/>
        </w:rPr>
        <w:t>are congestive cardiac failure and</w:t>
      </w:r>
      <w:r w:rsidR="00593D38" w:rsidRPr="00C209C0">
        <w:rPr>
          <w:lang w:val="en-GB"/>
        </w:rPr>
        <w:t xml:space="preserve"> dementia</w:t>
      </w:r>
      <w:r w:rsidR="007A5E79">
        <w:rPr>
          <w:lang w:val="en-GB"/>
        </w:rPr>
        <w:t>—</w:t>
      </w:r>
      <w:r w:rsidR="00593D38" w:rsidRPr="00C209C0">
        <w:rPr>
          <w:lang w:val="en-GB"/>
        </w:rPr>
        <w:t xml:space="preserve">where individuals </w:t>
      </w:r>
      <w:r w:rsidR="00E24DBB" w:rsidRPr="00C209C0">
        <w:rPr>
          <w:lang w:val="en-GB"/>
        </w:rPr>
        <w:t xml:space="preserve">often </w:t>
      </w:r>
      <w:r w:rsidR="00593D38" w:rsidRPr="00C209C0">
        <w:rPr>
          <w:lang w:val="en-GB"/>
        </w:rPr>
        <w:t>have several co-existent long</w:t>
      </w:r>
      <w:r w:rsidR="00B04C7B">
        <w:rPr>
          <w:lang w:val="en-GB"/>
        </w:rPr>
        <w:t>-</w:t>
      </w:r>
      <w:r w:rsidR="00593D38" w:rsidRPr="00C209C0">
        <w:rPr>
          <w:lang w:val="en-GB"/>
        </w:rPr>
        <w:t>term conditions</w:t>
      </w:r>
      <w:r w:rsidR="00E24DBB" w:rsidRPr="00C209C0">
        <w:rPr>
          <w:lang w:val="en-GB"/>
        </w:rPr>
        <w:t xml:space="preserve"> such as diabetes</w:t>
      </w:r>
      <w:r w:rsidRPr="00C209C0">
        <w:rPr>
          <w:lang w:val="en-GB"/>
        </w:rPr>
        <w:t xml:space="preserve"> and </w:t>
      </w:r>
      <w:r w:rsidR="00E24DBB" w:rsidRPr="00C209C0">
        <w:rPr>
          <w:lang w:val="en-GB"/>
        </w:rPr>
        <w:t>hypertension</w:t>
      </w:r>
      <w:r w:rsidR="00FA2D60" w:rsidRPr="00C209C0">
        <w:rPr>
          <w:lang w:val="en-GB"/>
        </w:rPr>
        <w:t xml:space="preserve"> and </w:t>
      </w:r>
      <w:r w:rsidR="00593D38" w:rsidRPr="00C209C0">
        <w:rPr>
          <w:lang w:val="en-GB"/>
        </w:rPr>
        <w:t xml:space="preserve">have impairments in </w:t>
      </w:r>
      <w:r w:rsidRPr="00C209C0">
        <w:rPr>
          <w:lang w:val="en-GB"/>
        </w:rPr>
        <w:t xml:space="preserve">activities of daily living (ADL) and physical </w:t>
      </w:r>
      <w:r w:rsidR="00593D38" w:rsidRPr="00C209C0">
        <w:rPr>
          <w:lang w:val="en-GB"/>
        </w:rPr>
        <w:t xml:space="preserve">function </w:t>
      </w:r>
      <w:r w:rsidR="00691EB6" w:rsidRPr="00C209C0">
        <w:rPr>
          <w:noProof/>
          <w:lang w:val="en-GB"/>
        </w:rPr>
        <w:t>[</w:t>
      </w:r>
      <w:r w:rsidR="00687494" w:rsidRPr="00C209C0">
        <w:rPr>
          <w:noProof/>
          <w:lang w:val="en-GB"/>
        </w:rPr>
        <w:t>21</w:t>
      </w:r>
      <w:r w:rsidR="00691EB6" w:rsidRPr="00C209C0">
        <w:rPr>
          <w:noProof/>
          <w:lang w:val="en-GB"/>
        </w:rPr>
        <w:t>]</w:t>
      </w:r>
      <w:r w:rsidR="00593D38" w:rsidRPr="00C209C0">
        <w:rPr>
          <w:lang w:val="en-GB"/>
        </w:rPr>
        <w:t xml:space="preserve">. </w:t>
      </w:r>
      <w:r w:rsidRPr="00C209C0">
        <w:rPr>
          <w:lang w:val="en-GB"/>
        </w:rPr>
        <w:t>Patients</w:t>
      </w:r>
      <w:r w:rsidR="00FA2D60" w:rsidRPr="00C209C0">
        <w:rPr>
          <w:lang w:val="en-GB"/>
        </w:rPr>
        <w:t xml:space="preserve"> such as th</w:t>
      </w:r>
      <w:r w:rsidR="00395906" w:rsidRPr="00C209C0">
        <w:rPr>
          <w:lang w:val="en-GB"/>
        </w:rPr>
        <w:t>ese</w:t>
      </w:r>
      <w:r w:rsidR="00FA2D60" w:rsidRPr="00C209C0">
        <w:rPr>
          <w:lang w:val="en-GB"/>
        </w:rPr>
        <w:t xml:space="preserve"> </w:t>
      </w:r>
      <w:r w:rsidRPr="00C209C0">
        <w:rPr>
          <w:lang w:val="en-GB"/>
        </w:rPr>
        <w:t xml:space="preserve">who are multi-morbid and have functional limitations </w:t>
      </w:r>
      <w:r w:rsidR="00FA2D60" w:rsidRPr="00C209C0">
        <w:rPr>
          <w:lang w:val="en-GB"/>
        </w:rPr>
        <w:t xml:space="preserve">can </w:t>
      </w:r>
      <w:r w:rsidRPr="00C209C0">
        <w:rPr>
          <w:lang w:val="en-GB"/>
        </w:rPr>
        <w:t>experience the poorest health outcome</w:t>
      </w:r>
      <w:r w:rsidR="00FA2D60" w:rsidRPr="00C209C0">
        <w:rPr>
          <w:lang w:val="en-GB"/>
        </w:rPr>
        <w:t xml:space="preserve"> from the inability to self</w:t>
      </w:r>
      <w:r w:rsidR="007A5E79">
        <w:rPr>
          <w:lang w:val="en-GB"/>
        </w:rPr>
        <w:t>-</w:t>
      </w:r>
      <w:r w:rsidR="00FA2D60" w:rsidRPr="00C209C0">
        <w:rPr>
          <w:lang w:val="en-GB"/>
        </w:rPr>
        <w:t>manage chronic long</w:t>
      </w:r>
      <w:r w:rsidR="00B04C7B">
        <w:rPr>
          <w:lang w:val="en-GB"/>
        </w:rPr>
        <w:t>-</w:t>
      </w:r>
      <w:r w:rsidR="00FA2D60" w:rsidRPr="00C209C0">
        <w:rPr>
          <w:lang w:val="en-GB"/>
        </w:rPr>
        <w:t>term conditions as well as the ensuing polypharmacy</w:t>
      </w:r>
      <w:r w:rsidRPr="00C209C0">
        <w:rPr>
          <w:lang w:val="en-GB"/>
        </w:rPr>
        <w:t xml:space="preserve"> </w:t>
      </w:r>
      <w:r w:rsidR="00691EB6" w:rsidRPr="00C209C0">
        <w:rPr>
          <w:noProof/>
          <w:lang w:val="en-GB"/>
        </w:rPr>
        <w:t>[</w:t>
      </w:r>
      <w:r w:rsidR="00687494" w:rsidRPr="00C209C0">
        <w:rPr>
          <w:noProof/>
          <w:lang w:val="en-GB"/>
        </w:rPr>
        <w:t>22</w:t>
      </w:r>
      <w:r w:rsidR="00691EB6" w:rsidRPr="00C209C0">
        <w:rPr>
          <w:noProof/>
          <w:lang w:val="en-GB"/>
        </w:rPr>
        <w:t>]</w:t>
      </w:r>
      <w:r w:rsidRPr="00C209C0">
        <w:rPr>
          <w:lang w:val="en-GB"/>
        </w:rPr>
        <w:t>.</w:t>
      </w:r>
    </w:p>
    <w:p w14:paraId="7B94C82A" w14:textId="50079147" w:rsidR="002B4A5C" w:rsidRPr="00C209C0" w:rsidRDefault="00FA2D60" w:rsidP="00545BD2">
      <w:pPr>
        <w:pStyle w:val="MDPI31text"/>
        <w:rPr>
          <w:lang w:val="en-GB"/>
        </w:rPr>
      </w:pPr>
      <w:r w:rsidRPr="00C209C0">
        <w:rPr>
          <w:lang w:val="en-GB"/>
        </w:rPr>
        <w:t>In clinical practice, h</w:t>
      </w:r>
      <w:r w:rsidR="00593D38" w:rsidRPr="00C209C0">
        <w:rPr>
          <w:lang w:val="en-GB"/>
        </w:rPr>
        <w:t>ealthcare infrastructure has not been optimised to manage multiple diseases simultaneously, which lead</w:t>
      </w:r>
      <w:r w:rsidRPr="00C209C0">
        <w:rPr>
          <w:lang w:val="en-GB"/>
        </w:rPr>
        <w:t>s</w:t>
      </w:r>
      <w:r w:rsidR="00593D38" w:rsidRPr="00C209C0">
        <w:rPr>
          <w:lang w:val="en-GB"/>
        </w:rPr>
        <w:t xml:space="preserve"> to </w:t>
      </w:r>
      <w:r w:rsidRPr="00C209C0">
        <w:rPr>
          <w:lang w:val="en-GB"/>
        </w:rPr>
        <w:t xml:space="preserve">disorganized </w:t>
      </w:r>
      <w:r w:rsidR="00593D38" w:rsidRPr="00C209C0">
        <w:rPr>
          <w:lang w:val="en-GB"/>
        </w:rPr>
        <w:t xml:space="preserve">care for those who are multi-morbid. The norm amongst most medical professionals out with geriatric medicine is to specialise and manage single organ systems, or even a single disease within a given specialty. Whilst this is sometimes necessary, treating diseases in isolation </w:t>
      </w:r>
      <w:r w:rsidR="00D14A8B" w:rsidRPr="00C209C0">
        <w:rPr>
          <w:lang w:val="en-GB"/>
        </w:rPr>
        <w:t>can l</w:t>
      </w:r>
      <w:r w:rsidR="00593D38" w:rsidRPr="00C209C0">
        <w:rPr>
          <w:lang w:val="en-GB"/>
        </w:rPr>
        <w:t>ead to the duplication of efforts</w:t>
      </w:r>
      <w:r w:rsidR="00D14A8B" w:rsidRPr="00C209C0">
        <w:rPr>
          <w:lang w:val="en-GB"/>
        </w:rPr>
        <w:t xml:space="preserve"> </w:t>
      </w:r>
      <w:r w:rsidR="00593D38" w:rsidRPr="00C209C0">
        <w:rPr>
          <w:lang w:val="en-GB"/>
        </w:rPr>
        <w:t xml:space="preserve">as well as fragmented, poorly </w:t>
      </w:r>
      <w:r w:rsidR="005E3C33" w:rsidRPr="00C209C0">
        <w:rPr>
          <w:lang w:val="en-GB"/>
        </w:rPr>
        <w:t>coordinated</w:t>
      </w:r>
      <w:r w:rsidR="00593D38" w:rsidRPr="00C209C0">
        <w:rPr>
          <w:lang w:val="en-GB"/>
        </w:rPr>
        <w:t xml:space="preserve"> healthcare assessments</w:t>
      </w:r>
      <w:r w:rsidR="00D14A8B" w:rsidRPr="00C209C0">
        <w:rPr>
          <w:lang w:val="en-GB"/>
        </w:rPr>
        <w:t xml:space="preserve"> without adequate responsibility, accountability</w:t>
      </w:r>
      <w:r w:rsidR="007A5E79">
        <w:rPr>
          <w:lang w:val="en-GB"/>
        </w:rPr>
        <w:t>,</w:t>
      </w:r>
      <w:r w:rsidR="00593D38" w:rsidRPr="00C209C0">
        <w:rPr>
          <w:lang w:val="en-GB"/>
        </w:rPr>
        <w:t xml:space="preserve"> and follow up </w:t>
      </w:r>
      <w:r w:rsidR="00E70224" w:rsidRPr="00C209C0">
        <w:rPr>
          <w:noProof/>
          <w:lang w:val="en-GB"/>
        </w:rPr>
        <w:t>[23,</w:t>
      </w:r>
      <w:r w:rsidR="00687494" w:rsidRPr="00C209C0">
        <w:rPr>
          <w:noProof/>
          <w:lang w:val="en-GB"/>
        </w:rPr>
        <w:t>24</w:t>
      </w:r>
      <w:r w:rsidR="00E70224" w:rsidRPr="00C209C0">
        <w:rPr>
          <w:noProof/>
          <w:lang w:val="en-GB"/>
        </w:rPr>
        <w:t>]</w:t>
      </w:r>
      <w:r w:rsidR="00593D38" w:rsidRPr="00C209C0">
        <w:rPr>
          <w:lang w:val="en-GB"/>
        </w:rPr>
        <w:t xml:space="preserve">. The emphasis on managing single diseases in isolation ignores the unique dynamics of disease clusters. </w:t>
      </w:r>
      <w:r w:rsidR="00BD4DEA" w:rsidRPr="00C209C0">
        <w:rPr>
          <w:lang w:val="en-GB"/>
        </w:rPr>
        <w:lastRenderedPageBreak/>
        <w:t>Furthermore, c</w:t>
      </w:r>
      <w:r w:rsidR="00593D38" w:rsidRPr="00C209C0">
        <w:rPr>
          <w:lang w:val="en-GB"/>
        </w:rPr>
        <w:t xml:space="preserve">linical trials of new medications often exclude participants who have an additional health problem to the one being investigated </w:t>
      </w:r>
      <w:r w:rsidR="00E70224" w:rsidRPr="00C209C0">
        <w:rPr>
          <w:noProof/>
          <w:lang w:val="en-GB"/>
        </w:rPr>
        <w:t>[</w:t>
      </w:r>
      <w:r w:rsidR="00687494" w:rsidRPr="00C209C0">
        <w:rPr>
          <w:noProof/>
          <w:lang w:val="en-GB"/>
        </w:rPr>
        <w:t>25</w:t>
      </w:r>
      <w:r w:rsidR="00E70224" w:rsidRPr="00C209C0">
        <w:rPr>
          <w:noProof/>
          <w:lang w:val="en-GB"/>
        </w:rPr>
        <w:t>–</w:t>
      </w:r>
      <w:r w:rsidR="00687494" w:rsidRPr="00C209C0">
        <w:rPr>
          <w:noProof/>
          <w:lang w:val="en-GB"/>
        </w:rPr>
        <w:t>27</w:t>
      </w:r>
      <w:r w:rsidR="00E70224" w:rsidRPr="00C209C0">
        <w:rPr>
          <w:noProof/>
          <w:lang w:val="en-GB"/>
        </w:rPr>
        <w:t>]</w:t>
      </w:r>
      <w:r w:rsidRPr="00C209C0">
        <w:rPr>
          <w:lang w:val="en-GB"/>
        </w:rPr>
        <w:t xml:space="preserve"> a</w:t>
      </w:r>
      <w:r w:rsidR="005E3C33" w:rsidRPr="00C209C0">
        <w:rPr>
          <w:lang w:val="en-GB"/>
        </w:rPr>
        <w:t>n</w:t>
      </w:r>
      <w:r w:rsidRPr="00C209C0">
        <w:rPr>
          <w:lang w:val="en-GB"/>
        </w:rPr>
        <w:t>d importantly</w:t>
      </w:r>
      <w:r w:rsidR="00A64335" w:rsidRPr="00C209C0">
        <w:rPr>
          <w:lang w:val="en-GB"/>
        </w:rPr>
        <w:t>,</w:t>
      </w:r>
      <w:r w:rsidRPr="00C209C0">
        <w:rPr>
          <w:lang w:val="en-GB"/>
        </w:rPr>
        <w:t xml:space="preserve"> often by design</w:t>
      </w:r>
      <w:r w:rsidR="005E3C33" w:rsidRPr="00C209C0">
        <w:rPr>
          <w:lang w:val="en-GB"/>
        </w:rPr>
        <w:t>,</w:t>
      </w:r>
      <w:r w:rsidRPr="00C209C0">
        <w:rPr>
          <w:lang w:val="en-GB"/>
        </w:rPr>
        <w:t xml:space="preserve"> exclude older people</w:t>
      </w:r>
      <w:r w:rsidR="00012448" w:rsidRPr="00C209C0">
        <w:rPr>
          <w:lang w:val="en-GB"/>
        </w:rPr>
        <w:t xml:space="preserve"> </w:t>
      </w:r>
      <w:r w:rsidR="00E70224" w:rsidRPr="00C209C0">
        <w:rPr>
          <w:noProof/>
          <w:lang w:val="en-GB"/>
        </w:rPr>
        <w:t>[</w:t>
      </w:r>
      <w:r w:rsidR="00687494" w:rsidRPr="00C209C0">
        <w:rPr>
          <w:noProof/>
          <w:lang w:val="en-GB"/>
        </w:rPr>
        <w:t>28</w:t>
      </w:r>
      <w:r w:rsidR="00E70224" w:rsidRPr="00C209C0">
        <w:rPr>
          <w:noProof/>
          <w:lang w:val="en-GB"/>
        </w:rPr>
        <w:t>–</w:t>
      </w:r>
      <w:r w:rsidR="00687494" w:rsidRPr="00C209C0">
        <w:rPr>
          <w:noProof/>
          <w:lang w:val="en-GB"/>
        </w:rPr>
        <w:t>30</w:t>
      </w:r>
      <w:r w:rsidR="00E70224" w:rsidRPr="00C209C0">
        <w:rPr>
          <w:noProof/>
          <w:lang w:val="en-GB"/>
        </w:rPr>
        <w:t>]</w:t>
      </w:r>
      <w:r w:rsidRPr="00C209C0">
        <w:rPr>
          <w:lang w:val="en-GB"/>
        </w:rPr>
        <w:t>.</w:t>
      </w:r>
      <w:r w:rsidR="00593D38" w:rsidRPr="00C209C0">
        <w:rPr>
          <w:lang w:val="en-GB"/>
        </w:rPr>
        <w:t xml:space="preserve"> This causes uncertainty regarding the potential risks and benefits of starting evidence</w:t>
      </w:r>
      <w:r w:rsidR="007A5E79">
        <w:rPr>
          <w:lang w:val="en-GB"/>
        </w:rPr>
        <w:t>-</w:t>
      </w:r>
      <w:r w:rsidR="00593D38" w:rsidRPr="00C209C0">
        <w:rPr>
          <w:lang w:val="en-GB"/>
        </w:rPr>
        <w:t>based medications for a</w:t>
      </w:r>
      <w:r w:rsidRPr="00C209C0">
        <w:rPr>
          <w:lang w:val="en-GB"/>
        </w:rPr>
        <w:t>n older</w:t>
      </w:r>
      <w:r w:rsidR="00593D38" w:rsidRPr="00C209C0">
        <w:rPr>
          <w:lang w:val="en-GB"/>
        </w:rPr>
        <w:t xml:space="preserve"> patient in the context of their multi-morbidity and invariably leads to additional treatment burden, lower adherence</w:t>
      </w:r>
      <w:r w:rsidR="007A5E79">
        <w:rPr>
          <w:lang w:val="en-GB"/>
        </w:rPr>
        <w:t>,</w:t>
      </w:r>
      <w:r w:rsidR="00593D38" w:rsidRPr="00C209C0">
        <w:rPr>
          <w:lang w:val="en-GB"/>
        </w:rPr>
        <w:t xml:space="preserve"> and increased risk of ADR </w:t>
      </w:r>
      <w:r w:rsidR="00E70224" w:rsidRPr="00C209C0">
        <w:rPr>
          <w:noProof/>
          <w:lang w:val="en-GB"/>
        </w:rPr>
        <w:t>[</w:t>
      </w:r>
      <w:r w:rsidR="00687494" w:rsidRPr="00C209C0">
        <w:rPr>
          <w:noProof/>
          <w:lang w:val="en-GB"/>
        </w:rPr>
        <w:t>31</w:t>
      </w:r>
      <w:r w:rsidR="00E70224" w:rsidRPr="00C209C0">
        <w:rPr>
          <w:noProof/>
          <w:lang w:val="en-GB"/>
        </w:rPr>
        <w:t>]</w:t>
      </w:r>
      <w:r w:rsidR="00593D38" w:rsidRPr="00C209C0">
        <w:rPr>
          <w:lang w:val="en-GB"/>
        </w:rPr>
        <w:t>.</w:t>
      </w:r>
    </w:p>
    <w:p w14:paraId="15CFEE85" w14:textId="3B3D2C9E" w:rsidR="005E3C33" w:rsidRPr="00C209C0" w:rsidRDefault="00545BD2" w:rsidP="00545BD2">
      <w:pPr>
        <w:pStyle w:val="MDPI22heading2"/>
        <w:rPr>
          <w:lang w:val="en-GB"/>
        </w:rPr>
      </w:pPr>
      <w:r w:rsidRPr="00C209C0">
        <w:rPr>
          <w:lang w:val="en-GB"/>
        </w:rPr>
        <w:t xml:space="preserve">2.2. </w:t>
      </w:r>
      <w:r w:rsidR="005E3C33" w:rsidRPr="00C209C0">
        <w:rPr>
          <w:lang w:val="en-GB"/>
        </w:rPr>
        <w:t>M</w:t>
      </w:r>
      <w:r w:rsidR="00593D38" w:rsidRPr="00C209C0">
        <w:rPr>
          <w:lang w:val="en-GB"/>
        </w:rPr>
        <w:t>ulti-</w:t>
      </w:r>
      <w:r w:rsidR="007A5E79">
        <w:rPr>
          <w:lang w:val="en-GB"/>
        </w:rPr>
        <w:t>M</w:t>
      </w:r>
      <w:r w:rsidR="00593D38" w:rsidRPr="00C209C0">
        <w:rPr>
          <w:lang w:val="en-GB"/>
        </w:rPr>
        <w:t xml:space="preserve">orbidity and </w:t>
      </w:r>
      <w:r w:rsidR="00C150F6" w:rsidRPr="00C209C0">
        <w:rPr>
          <w:lang w:val="en-GB"/>
        </w:rPr>
        <w:t>F</w:t>
      </w:r>
      <w:r w:rsidR="00593D38" w:rsidRPr="00C209C0">
        <w:rPr>
          <w:lang w:val="en-GB"/>
        </w:rPr>
        <w:t xml:space="preserve">railty </w:t>
      </w:r>
    </w:p>
    <w:p w14:paraId="64FE1026" w14:textId="5C99BD59" w:rsidR="00593D38" w:rsidRPr="00C209C0" w:rsidRDefault="00593D38" w:rsidP="00545BD2">
      <w:pPr>
        <w:pStyle w:val="MDPI31text"/>
        <w:rPr>
          <w:lang w:val="en-GB"/>
        </w:rPr>
      </w:pPr>
      <w:r w:rsidRPr="00C209C0">
        <w:rPr>
          <w:lang w:val="en-GB"/>
        </w:rPr>
        <w:t xml:space="preserve">Multi-morbidity and frailty are associated </w:t>
      </w:r>
      <w:r w:rsidR="005E3C33" w:rsidRPr="00C209C0">
        <w:rPr>
          <w:lang w:val="en-GB"/>
        </w:rPr>
        <w:t>conditions, but the terms should not be used interchangeably</w:t>
      </w:r>
      <w:r w:rsidR="00395906" w:rsidRPr="00C209C0">
        <w:rPr>
          <w:lang w:val="en-GB"/>
        </w:rPr>
        <w:t xml:space="preserve"> as often is the case </w:t>
      </w:r>
      <w:r w:rsidR="00627497" w:rsidRPr="00C209C0">
        <w:rPr>
          <w:lang w:val="en-GB"/>
        </w:rPr>
        <w:t xml:space="preserve">amongst specialties </w:t>
      </w:r>
      <w:r w:rsidR="00395906" w:rsidRPr="00C209C0">
        <w:rPr>
          <w:lang w:val="en-GB"/>
        </w:rPr>
        <w:t>in the author’s clinical experience.</w:t>
      </w:r>
      <w:r w:rsidR="005E3C33" w:rsidRPr="00C209C0">
        <w:rPr>
          <w:lang w:val="en-GB"/>
        </w:rPr>
        <w:t xml:space="preserve"> </w:t>
      </w:r>
      <w:r w:rsidR="00211961" w:rsidRPr="00C209C0">
        <w:rPr>
          <w:lang w:val="en-GB"/>
        </w:rPr>
        <w:t>A</w:t>
      </w:r>
      <w:r w:rsidRPr="00C209C0">
        <w:rPr>
          <w:lang w:val="en-GB"/>
        </w:rPr>
        <w:t xml:space="preserve"> recent meta-analysis of 78,122 participants </w:t>
      </w:r>
      <w:r w:rsidR="005E3C33" w:rsidRPr="00C209C0">
        <w:rPr>
          <w:lang w:val="en-GB"/>
        </w:rPr>
        <w:t>of</w:t>
      </w:r>
      <w:r w:rsidRPr="00C209C0">
        <w:rPr>
          <w:lang w:val="en-GB"/>
        </w:rPr>
        <w:t xml:space="preserve"> 48 studies found that, on average, seven out of ten adults</w:t>
      </w:r>
      <w:r w:rsidR="005E3C33" w:rsidRPr="00C209C0">
        <w:rPr>
          <w:lang w:val="en-GB"/>
        </w:rPr>
        <w:t xml:space="preserve"> living with frailty</w:t>
      </w:r>
      <w:r w:rsidRPr="00C209C0">
        <w:rPr>
          <w:lang w:val="en-GB"/>
        </w:rPr>
        <w:t xml:space="preserve"> were also multi-morbid </w:t>
      </w:r>
      <w:r w:rsidR="00C150F6" w:rsidRPr="00C209C0">
        <w:rPr>
          <w:noProof/>
          <w:lang w:val="en-GB"/>
        </w:rPr>
        <w:t>[</w:t>
      </w:r>
      <w:r w:rsidR="00687494" w:rsidRPr="00C209C0">
        <w:rPr>
          <w:noProof/>
          <w:lang w:val="en-GB"/>
        </w:rPr>
        <w:t>32</w:t>
      </w:r>
      <w:r w:rsidR="00C150F6" w:rsidRPr="00C209C0">
        <w:rPr>
          <w:noProof/>
          <w:lang w:val="en-GB"/>
        </w:rPr>
        <w:t>]</w:t>
      </w:r>
      <w:r w:rsidRPr="00C209C0">
        <w:rPr>
          <w:lang w:val="en-GB"/>
        </w:rPr>
        <w:t>. However, people living with multi-morbidity w</w:t>
      </w:r>
      <w:r w:rsidR="005E3C33" w:rsidRPr="00C209C0">
        <w:rPr>
          <w:lang w:val="en-GB"/>
        </w:rPr>
        <w:t>ere</w:t>
      </w:r>
      <w:r w:rsidRPr="00C209C0">
        <w:rPr>
          <w:lang w:val="en-GB"/>
        </w:rPr>
        <w:t xml:space="preserve"> not necessarily </w:t>
      </w:r>
      <w:r w:rsidR="005E3C33" w:rsidRPr="00C209C0">
        <w:rPr>
          <w:lang w:val="en-GB"/>
        </w:rPr>
        <w:t>found to be living with frailty</w:t>
      </w:r>
      <w:r w:rsidRPr="00C209C0">
        <w:rPr>
          <w:lang w:val="en-GB"/>
        </w:rPr>
        <w:t xml:space="preserve">, as many people with multiple health conditions </w:t>
      </w:r>
      <w:r w:rsidR="005E3C33" w:rsidRPr="00C209C0">
        <w:rPr>
          <w:lang w:val="en-GB"/>
        </w:rPr>
        <w:t xml:space="preserve">can </w:t>
      </w:r>
      <w:r w:rsidRPr="00C209C0">
        <w:rPr>
          <w:lang w:val="en-GB"/>
        </w:rPr>
        <w:t>have the sufficient physiological reserve to recover from insults</w:t>
      </w:r>
      <w:r w:rsidR="005E3C33" w:rsidRPr="00C209C0">
        <w:rPr>
          <w:lang w:val="en-GB"/>
        </w:rPr>
        <w:t>, restore homeostasis</w:t>
      </w:r>
      <w:r w:rsidR="007A5E79">
        <w:rPr>
          <w:lang w:val="en-GB"/>
        </w:rPr>
        <w:t>,</w:t>
      </w:r>
      <w:r w:rsidR="005E3C33" w:rsidRPr="00C209C0">
        <w:rPr>
          <w:lang w:val="en-GB"/>
        </w:rPr>
        <w:t xml:space="preserve"> </w:t>
      </w:r>
      <w:r w:rsidRPr="00C209C0">
        <w:rPr>
          <w:lang w:val="en-GB"/>
        </w:rPr>
        <w:t xml:space="preserve">and return to their previous baseline of health. </w:t>
      </w:r>
    </w:p>
    <w:p w14:paraId="01BE659D" w14:textId="77777777" w:rsidR="005E3C33" w:rsidRPr="00C209C0" w:rsidRDefault="00545BD2" w:rsidP="00545BD2">
      <w:pPr>
        <w:pStyle w:val="MDPI22heading2"/>
        <w:rPr>
          <w:lang w:val="en-GB"/>
        </w:rPr>
      </w:pPr>
      <w:r w:rsidRPr="00C209C0">
        <w:rPr>
          <w:lang w:val="en-GB"/>
        </w:rPr>
        <w:t xml:space="preserve">2.3. </w:t>
      </w:r>
      <w:r w:rsidR="00593D38" w:rsidRPr="00C209C0">
        <w:rPr>
          <w:lang w:val="en-GB"/>
        </w:rPr>
        <w:t>Polypharmacy</w:t>
      </w:r>
    </w:p>
    <w:p w14:paraId="004CE96B" w14:textId="606D74EC" w:rsidR="003815ED" w:rsidRPr="00C209C0" w:rsidRDefault="00593D38" w:rsidP="00545BD2">
      <w:pPr>
        <w:pStyle w:val="MDPI31text"/>
        <w:rPr>
          <w:lang w:val="en-GB"/>
        </w:rPr>
      </w:pPr>
      <w:r w:rsidRPr="00C209C0">
        <w:rPr>
          <w:lang w:val="en-GB"/>
        </w:rPr>
        <w:t>Polypharmacy, defined as the concurrent use of at least 4</w:t>
      </w:r>
      <w:r w:rsidR="007A5E79">
        <w:rPr>
          <w:lang w:val="en-GB"/>
        </w:rPr>
        <w:t>–</w:t>
      </w:r>
      <w:r w:rsidRPr="00C209C0">
        <w:rPr>
          <w:lang w:val="en-GB"/>
        </w:rPr>
        <w:t>5 medications rises considerably as the number of health problems and healthcare service use increases</w:t>
      </w:r>
      <w:r w:rsidRPr="00C209C0">
        <w:rPr>
          <w:bCs/>
          <w:lang w:val="en-GB"/>
        </w:rPr>
        <w:t xml:space="preserve"> </w:t>
      </w:r>
      <w:r w:rsidR="00C150F6" w:rsidRPr="00C209C0">
        <w:rPr>
          <w:bCs/>
          <w:noProof/>
          <w:lang w:val="en-GB"/>
        </w:rPr>
        <w:t>[33,</w:t>
      </w:r>
      <w:r w:rsidR="00687494" w:rsidRPr="00C209C0">
        <w:rPr>
          <w:bCs/>
          <w:noProof/>
          <w:lang w:val="en-GB"/>
        </w:rPr>
        <w:t>34</w:t>
      </w:r>
      <w:r w:rsidR="00C150F6" w:rsidRPr="00C209C0">
        <w:rPr>
          <w:bCs/>
          <w:noProof/>
          <w:lang w:val="en-GB"/>
        </w:rPr>
        <w:t>]</w:t>
      </w:r>
      <w:r w:rsidR="00C150F6" w:rsidRPr="00C209C0">
        <w:rPr>
          <w:bCs/>
          <w:lang w:val="en-GB"/>
        </w:rPr>
        <w:t xml:space="preserve">. </w:t>
      </w:r>
      <w:r w:rsidRPr="00C209C0">
        <w:rPr>
          <w:bCs/>
          <w:lang w:val="en-GB"/>
        </w:rPr>
        <w:t>In the health survey for England 2016, 56% of individual</w:t>
      </w:r>
      <w:r w:rsidR="003C74A6" w:rsidRPr="00C209C0">
        <w:rPr>
          <w:bCs/>
          <w:lang w:val="en-GB"/>
        </w:rPr>
        <w:t>s aged 85 and over were taking five</w:t>
      </w:r>
      <w:r w:rsidRPr="00C209C0">
        <w:rPr>
          <w:bCs/>
          <w:lang w:val="en-GB"/>
        </w:rPr>
        <w:t xml:space="preserve"> or more medicines compared to 9% of those aged 45</w:t>
      </w:r>
      <w:r w:rsidR="00C150F6" w:rsidRPr="00C209C0">
        <w:rPr>
          <w:bCs/>
          <w:lang w:val="en-GB"/>
        </w:rPr>
        <w:t>–</w:t>
      </w:r>
      <w:r w:rsidRPr="00C209C0">
        <w:rPr>
          <w:bCs/>
          <w:lang w:val="en-GB"/>
        </w:rPr>
        <w:t xml:space="preserve">54. </w:t>
      </w:r>
      <w:r w:rsidRPr="00C209C0">
        <w:rPr>
          <w:lang w:val="en-GB"/>
        </w:rPr>
        <w:t xml:space="preserve">A study of 180,815 primary care records found that amongst patients with two comorbidities, 20.8% received four to nine medications and 1.1% received ten or more medications </w:t>
      </w:r>
      <w:r w:rsidR="00C150F6" w:rsidRPr="00C209C0">
        <w:rPr>
          <w:noProof/>
          <w:lang w:val="en-GB"/>
        </w:rPr>
        <w:t>[</w:t>
      </w:r>
      <w:r w:rsidR="00687494" w:rsidRPr="00C209C0">
        <w:rPr>
          <w:noProof/>
          <w:lang w:val="en-GB"/>
        </w:rPr>
        <w:t>35</w:t>
      </w:r>
      <w:r w:rsidR="00C150F6" w:rsidRPr="00C209C0">
        <w:rPr>
          <w:noProof/>
          <w:lang w:val="en-GB"/>
        </w:rPr>
        <w:t>]</w:t>
      </w:r>
      <w:r w:rsidRPr="00C209C0">
        <w:rPr>
          <w:lang w:val="en-GB"/>
        </w:rPr>
        <w:t>. In contrast, amongst patients with six or more comorbidities, these values increased to 47.7</w:t>
      </w:r>
      <w:r w:rsidR="003C74A6" w:rsidRPr="00C209C0">
        <w:rPr>
          <w:lang w:val="en-GB"/>
        </w:rPr>
        <w:t>%</w:t>
      </w:r>
      <w:r w:rsidRPr="00C209C0">
        <w:rPr>
          <w:lang w:val="en-GB"/>
        </w:rPr>
        <w:t xml:space="preserve"> and 41.7%</w:t>
      </w:r>
      <w:r w:rsidR="007A5E79">
        <w:rPr>
          <w:lang w:val="en-GB"/>
        </w:rPr>
        <w:t>,</w:t>
      </w:r>
      <w:r w:rsidRPr="00C209C0">
        <w:rPr>
          <w:lang w:val="en-GB"/>
        </w:rPr>
        <w:t xml:space="preserve"> respectively. </w:t>
      </w:r>
      <w:r w:rsidRPr="00C209C0">
        <w:rPr>
          <w:bCs/>
          <w:lang w:val="en-GB"/>
        </w:rPr>
        <w:t>Several</w:t>
      </w:r>
      <w:r w:rsidRPr="00C209C0">
        <w:rPr>
          <w:lang w:val="en-GB"/>
        </w:rPr>
        <w:t xml:space="preserve"> studies have also found that </w:t>
      </w:r>
      <w:r w:rsidR="007A5E79">
        <w:rPr>
          <w:lang w:val="en-GB"/>
        </w:rPr>
        <w:t xml:space="preserve">the </w:t>
      </w:r>
      <w:r w:rsidRPr="00C209C0">
        <w:rPr>
          <w:lang w:val="en-GB"/>
        </w:rPr>
        <w:t xml:space="preserve">number of medications increased after hospital admission with </w:t>
      </w:r>
      <w:r w:rsidR="007A5E79">
        <w:rPr>
          <w:lang w:val="en-GB"/>
        </w:rPr>
        <w:t xml:space="preserve">the </w:t>
      </w:r>
      <w:r w:rsidRPr="00C209C0">
        <w:rPr>
          <w:lang w:val="en-GB"/>
        </w:rPr>
        <w:t>prescription of two additional drugs</w:t>
      </w:r>
      <w:r w:rsidR="007A5E79">
        <w:rPr>
          <w:lang w:val="en-GB"/>
        </w:rPr>
        <w:t xml:space="preserve"> </w:t>
      </w:r>
      <w:r w:rsidR="007A5E79" w:rsidRPr="00C209C0">
        <w:rPr>
          <w:lang w:val="en-GB"/>
        </w:rPr>
        <w:t>on average</w:t>
      </w:r>
      <w:r w:rsidRPr="00C209C0">
        <w:rPr>
          <w:lang w:val="en-GB"/>
        </w:rPr>
        <w:t xml:space="preserve"> </w:t>
      </w:r>
      <w:r w:rsidR="00C150F6" w:rsidRPr="00C209C0">
        <w:rPr>
          <w:noProof/>
          <w:lang w:val="en-GB"/>
        </w:rPr>
        <w:t>[36,</w:t>
      </w:r>
      <w:r w:rsidR="00687494" w:rsidRPr="00C209C0">
        <w:rPr>
          <w:noProof/>
          <w:lang w:val="en-GB"/>
        </w:rPr>
        <w:t>37</w:t>
      </w:r>
      <w:r w:rsidR="00C150F6" w:rsidRPr="00C209C0">
        <w:rPr>
          <w:noProof/>
          <w:lang w:val="en-GB"/>
        </w:rPr>
        <w:t>]</w:t>
      </w:r>
      <w:r w:rsidRPr="00C209C0">
        <w:rPr>
          <w:lang w:val="en-GB"/>
        </w:rPr>
        <w:t>.</w:t>
      </w:r>
    </w:p>
    <w:p w14:paraId="21A355E3" w14:textId="643FD706" w:rsidR="003815ED" w:rsidRPr="00C209C0" w:rsidRDefault="00593D38" w:rsidP="00545BD2">
      <w:pPr>
        <w:pStyle w:val="MDPI31text"/>
        <w:rPr>
          <w:b/>
          <w:lang w:val="en-GB"/>
        </w:rPr>
      </w:pPr>
      <w:r w:rsidRPr="00C209C0">
        <w:rPr>
          <w:lang w:val="en-GB"/>
        </w:rPr>
        <w:t>In the past decade</w:t>
      </w:r>
      <w:r w:rsidR="007A5E79">
        <w:rPr>
          <w:lang w:val="en-GB"/>
        </w:rPr>
        <w:t>,</w:t>
      </w:r>
      <w:r w:rsidRPr="00C209C0">
        <w:rPr>
          <w:lang w:val="en-GB"/>
        </w:rPr>
        <w:t xml:space="preserve"> the average number of items prescribed for each person per year in England has increased. For example, the proportion of patients receiving ≥10 medications was 1.9% in 1995, increasing to 5.8% in 2010 </w:t>
      </w:r>
      <w:r w:rsidR="00C150F6" w:rsidRPr="00C209C0">
        <w:rPr>
          <w:noProof/>
          <w:lang w:val="en-GB"/>
        </w:rPr>
        <w:t>[</w:t>
      </w:r>
      <w:r w:rsidR="00687494" w:rsidRPr="00C209C0">
        <w:rPr>
          <w:noProof/>
          <w:lang w:val="en-GB"/>
        </w:rPr>
        <w:t>33</w:t>
      </w:r>
      <w:r w:rsidR="00C150F6" w:rsidRPr="00C209C0">
        <w:rPr>
          <w:noProof/>
          <w:lang w:val="en-GB"/>
        </w:rPr>
        <w:t>]</w:t>
      </w:r>
      <w:r w:rsidRPr="00C209C0">
        <w:rPr>
          <w:lang w:val="en-GB"/>
        </w:rPr>
        <w:t xml:space="preserve">. One explanation for this rise is that asymptomatic people are increasingly treated with preventative interventions to reduce their future risk of mortality; this is seen particularly with cardiovascular disease. If each </w:t>
      </w:r>
      <w:r w:rsidR="00ED25B0" w:rsidRPr="00C209C0">
        <w:rPr>
          <w:lang w:val="en-GB"/>
        </w:rPr>
        <w:t>co-</w:t>
      </w:r>
      <w:r w:rsidRPr="00C209C0">
        <w:rPr>
          <w:lang w:val="en-GB"/>
        </w:rPr>
        <w:t xml:space="preserve">morbid </w:t>
      </w:r>
      <w:r w:rsidR="00ED25B0" w:rsidRPr="00C209C0">
        <w:rPr>
          <w:lang w:val="en-GB"/>
        </w:rPr>
        <w:t>condition</w:t>
      </w:r>
      <w:r w:rsidRPr="00C209C0">
        <w:rPr>
          <w:lang w:val="en-GB"/>
        </w:rPr>
        <w:t xml:space="preserve"> is treated in accordance to national guidelines</w:t>
      </w:r>
      <w:r w:rsidR="007A5E79">
        <w:rPr>
          <w:lang w:val="en-GB"/>
        </w:rPr>
        <w:t>,</w:t>
      </w:r>
      <w:r w:rsidRPr="00C209C0">
        <w:rPr>
          <w:lang w:val="en-GB"/>
        </w:rPr>
        <w:t xml:space="preserve"> patients would be on many more medications </w:t>
      </w:r>
      <w:r w:rsidR="00C150F6" w:rsidRPr="00C209C0">
        <w:rPr>
          <w:noProof/>
          <w:lang w:val="en-GB"/>
        </w:rPr>
        <w:t>[</w:t>
      </w:r>
      <w:r w:rsidR="00687494" w:rsidRPr="00C209C0">
        <w:rPr>
          <w:noProof/>
          <w:lang w:val="en-GB"/>
        </w:rPr>
        <w:t>38</w:t>
      </w:r>
      <w:r w:rsidR="00C150F6" w:rsidRPr="00C209C0">
        <w:rPr>
          <w:noProof/>
          <w:lang w:val="en-GB"/>
        </w:rPr>
        <w:t>]</w:t>
      </w:r>
      <w:r w:rsidRPr="00C209C0">
        <w:rPr>
          <w:lang w:val="en-GB"/>
        </w:rPr>
        <w:t xml:space="preserve">. </w:t>
      </w:r>
      <w:r w:rsidR="00ED25B0" w:rsidRPr="00C209C0">
        <w:rPr>
          <w:lang w:val="en-GB"/>
        </w:rPr>
        <w:t>The absolute benefit offered by each additional medicine is likely to reduce when a person is taking multiple preventative medicines. In addition, the risk of harm is likely to increase the more medicines a person takes.</w:t>
      </w:r>
      <w:r w:rsidR="00ED25B0" w:rsidRPr="00C209C0">
        <w:rPr>
          <w:b/>
          <w:lang w:val="en-GB"/>
        </w:rPr>
        <w:t xml:space="preserve">  </w:t>
      </w:r>
      <w:r w:rsidR="00EF2E93" w:rsidRPr="00C209C0">
        <w:rPr>
          <w:lang w:val="en-GB"/>
        </w:rPr>
        <w:t>However, not all p</w:t>
      </w:r>
      <w:r w:rsidRPr="00C209C0">
        <w:rPr>
          <w:lang w:val="en-GB"/>
        </w:rPr>
        <w:t>olypharmacy</w:t>
      </w:r>
      <w:r w:rsidR="00EF2E93" w:rsidRPr="00C209C0">
        <w:rPr>
          <w:lang w:val="en-GB"/>
        </w:rPr>
        <w:t xml:space="preserve"> is inappropriate. Prescriptions are</w:t>
      </w:r>
      <w:r w:rsidRPr="00C209C0">
        <w:rPr>
          <w:lang w:val="en-GB"/>
        </w:rPr>
        <w:t xml:space="preserve"> appropriate in instances where medicines have been optimised for complex conditions according to best evidence. Advanced age in itself should not be a reason for withholding effective therapies </w:t>
      </w:r>
      <w:r w:rsidR="00C150F6" w:rsidRPr="0002196E">
        <w:rPr>
          <w:noProof/>
          <w:lang w:val="en-GB"/>
        </w:rPr>
        <w:t>[</w:t>
      </w:r>
      <w:r w:rsidR="00687494" w:rsidRPr="0002196E">
        <w:rPr>
          <w:noProof/>
          <w:lang w:val="en-GB"/>
        </w:rPr>
        <w:t>39</w:t>
      </w:r>
      <w:r w:rsidR="00C150F6" w:rsidRPr="0002196E">
        <w:rPr>
          <w:noProof/>
          <w:lang w:val="en-GB"/>
        </w:rPr>
        <w:t>]</w:t>
      </w:r>
      <w:r w:rsidRPr="0002196E">
        <w:rPr>
          <w:lang w:val="en-GB"/>
        </w:rPr>
        <w:t xml:space="preserve">. </w:t>
      </w:r>
      <w:r w:rsidRPr="00C209C0">
        <w:rPr>
          <w:lang w:val="en-GB"/>
        </w:rPr>
        <w:t>Problematic polypharmacy occurs when there is the prescription of multiple medicines and the risk of harm outweighs benefits and the consequent pill burden leads to lower adherence</w:t>
      </w:r>
      <w:r w:rsidR="00ED4508">
        <w:rPr>
          <w:lang w:val="en-GB"/>
        </w:rPr>
        <w:t>, ADR</w:t>
      </w:r>
      <w:r w:rsidRPr="00C209C0">
        <w:rPr>
          <w:lang w:val="en-GB"/>
        </w:rPr>
        <w:t xml:space="preserve"> or risks of potentially harmful interactions</w:t>
      </w:r>
      <w:r w:rsidR="00ED4508">
        <w:rPr>
          <w:lang w:val="en-GB"/>
        </w:rPr>
        <w:t>.</w:t>
      </w:r>
      <w:r w:rsidRPr="00C209C0">
        <w:rPr>
          <w:lang w:val="en-GB"/>
        </w:rPr>
        <w:t xml:space="preserve"> ADR can lead to further morbidity. For example, within two hospitals in the UK, a study suggested that the prevalence of ADR</w:t>
      </w:r>
      <w:r w:rsidR="007A5E79">
        <w:rPr>
          <w:lang w:val="en-GB"/>
        </w:rPr>
        <w:t>-</w:t>
      </w:r>
      <w:r w:rsidRPr="00C209C0">
        <w:rPr>
          <w:lang w:val="en-GB"/>
        </w:rPr>
        <w:t xml:space="preserve">related admissions was 6.5%, with ADR directly leading to acute admission in 80% of cases </w:t>
      </w:r>
      <w:r w:rsidR="00C150F6" w:rsidRPr="0002196E">
        <w:rPr>
          <w:noProof/>
          <w:lang w:val="en-GB"/>
        </w:rPr>
        <w:t>[</w:t>
      </w:r>
      <w:r w:rsidR="00687494" w:rsidRPr="0002196E">
        <w:rPr>
          <w:noProof/>
          <w:lang w:val="en-GB"/>
        </w:rPr>
        <w:t>40</w:t>
      </w:r>
      <w:r w:rsidR="00C150F6" w:rsidRPr="0002196E">
        <w:rPr>
          <w:noProof/>
          <w:lang w:val="en-GB"/>
        </w:rPr>
        <w:t>]</w:t>
      </w:r>
      <w:r w:rsidRPr="0002196E">
        <w:rPr>
          <w:lang w:val="en-GB"/>
        </w:rPr>
        <w:t xml:space="preserve">. </w:t>
      </w:r>
      <w:r w:rsidRPr="00C209C0">
        <w:rPr>
          <w:lang w:val="en-GB"/>
        </w:rPr>
        <w:t>In a follow up study of hospital wards, it was estimated that one in seven patients experienced a</w:t>
      </w:r>
      <w:r w:rsidR="007A5E79">
        <w:rPr>
          <w:lang w:val="en-GB"/>
        </w:rPr>
        <w:t>n</w:t>
      </w:r>
      <w:r w:rsidRPr="00C209C0">
        <w:rPr>
          <w:lang w:val="en-GB"/>
        </w:rPr>
        <w:t xml:space="preserve"> ADR that contributed to health deterioration and increased </w:t>
      </w:r>
      <w:r w:rsidR="007A5E79">
        <w:rPr>
          <w:lang w:val="en-GB"/>
        </w:rPr>
        <w:t xml:space="preserve">the </w:t>
      </w:r>
      <w:r w:rsidRPr="00C209C0">
        <w:rPr>
          <w:lang w:val="en-GB"/>
        </w:rPr>
        <w:t xml:space="preserve">length of hospital stay </w:t>
      </w:r>
      <w:r w:rsidR="00C150F6" w:rsidRPr="00C209C0">
        <w:rPr>
          <w:noProof/>
          <w:lang w:val="en-GB"/>
        </w:rPr>
        <w:t>[</w:t>
      </w:r>
      <w:r w:rsidR="00687494" w:rsidRPr="00C209C0">
        <w:rPr>
          <w:noProof/>
          <w:lang w:val="en-GB"/>
        </w:rPr>
        <w:t>41</w:t>
      </w:r>
      <w:r w:rsidR="00C150F6" w:rsidRPr="00C209C0">
        <w:rPr>
          <w:noProof/>
          <w:lang w:val="en-GB"/>
        </w:rPr>
        <w:t>]</w:t>
      </w:r>
      <w:r w:rsidRPr="00C209C0">
        <w:rPr>
          <w:lang w:val="en-GB"/>
        </w:rPr>
        <w:t xml:space="preserve">. </w:t>
      </w:r>
    </w:p>
    <w:p w14:paraId="1222AFCB" w14:textId="360E54EF" w:rsidR="003815ED" w:rsidRPr="00C209C0" w:rsidRDefault="00545BD2" w:rsidP="00545BD2">
      <w:pPr>
        <w:pStyle w:val="MDPI22heading2"/>
        <w:rPr>
          <w:lang w:val="en-GB"/>
        </w:rPr>
      </w:pPr>
      <w:r w:rsidRPr="00C209C0">
        <w:rPr>
          <w:lang w:val="en-GB"/>
        </w:rPr>
        <w:t xml:space="preserve">2.4. </w:t>
      </w:r>
      <w:r w:rsidR="003815ED" w:rsidRPr="00C209C0">
        <w:rPr>
          <w:lang w:val="en-GB"/>
        </w:rPr>
        <w:t xml:space="preserve">Management of </w:t>
      </w:r>
      <w:r w:rsidR="00A439CF" w:rsidRPr="00C209C0">
        <w:rPr>
          <w:lang w:val="en-GB"/>
        </w:rPr>
        <w:t>M</w:t>
      </w:r>
      <w:r w:rsidR="003815ED" w:rsidRPr="00C209C0">
        <w:rPr>
          <w:lang w:val="en-GB"/>
        </w:rPr>
        <w:t>ulti-</w:t>
      </w:r>
      <w:r w:rsidR="007A5E79">
        <w:rPr>
          <w:lang w:val="en-GB"/>
        </w:rPr>
        <w:t>M</w:t>
      </w:r>
      <w:r w:rsidR="003815ED" w:rsidRPr="00C209C0">
        <w:rPr>
          <w:lang w:val="en-GB"/>
        </w:rPr>
        <w:t xml:space="preserve">orbidity and </w:t>
      </w:r>
      <w:r w:rsidR="00A439CF" w:rsidRPr="00C209C0">
        <w:rPr>
          <w:lang w:val="en-GB"/>
        </w:rPr>
        <w:t>P</w:t>
      </w:r>
      <w:r w:rsidR="003815ED" w:rsidRPr="00C209C0">
        <w:rPr>
          <w:lang w:val="en-GB"/>
        </w:rPr>
        <w:t>olypharmacy</w:t>
      </w:r>
    </w:p>
    <w:p w14:paraId="57BEA928" w14:textId="606F80EE" w:rsidR="003815ED" w:rsidRPr="00C209C0" w:rsidRDefault="003815ED" w:rsidP="00B46AB5">
      <w:pPr>
        <w:pStyle w:val="MDPI31text"/>
        <w:rPr>
          <w:lang w:val="en-GB"/>
        </w:rPr>
      </w:pPr>
      <w:r w:rsidRPr="00C209C0">
        <w:rPr>
          <w:lang w:val="en-GB"/>
        </w:rPr>
        <w:t>Key points to managing older individuals living with multi-morbidity and polypharm</w:t>
      </w:r>
      <w:r w:rsidR="004F4F69" w:rsidRPr="00C209C0">
        <w:rPr>
          <w:lang w:val="en-GB"/>
        </w:rPr>
        <w:t>a</w:t>
      </w:r>
      <w:r w:rsidRPr="00C209C0">
        <w:rPr>
          <w:lang w:val="en-GB"/>
        </w:rPr>
        <w:t>cy include early identification of those living with multiple health conditions, identification of frailty</w:t>
      </w:r>
      <w:r w:rsidR="006D283E">
        <w:rPr>
          <w:lang w:val="en-GB"/>
        </w:rPr>
        <w:t>,</w:t>
      </w:r>
      <w:r w:rsidRPr="00C209C0">
        <w:rPr>
          <w:lang w:val="en-GB"/>
        </w:rPr>
        <w:t xml:space="preserve"> and </w:t>
      </w:r>
      <w:r w:rsidR="00B04C7B">
        <w:rPr>
          <w:lang w:val="en-GB"/>
        </w:rPr>
        <w:t>patient-cen</w:t>
      </w:r>
      <w:r w:rsidRPr="00C209C0">
        <w:rPr>
          <w:lang w:val="en-GB"/>
        </w:rPr>
        <w:t xml:space="preserve">tred shared decision making </w:t>
      </w:r>
      <w:r w:rsidR="00A439CF" w:rsidRPr="00C209C0">
        <w:rPr>
          <w:noProof/>
          <w:lang w:val="en-GB"/>
        </w:rPr>
        <w:t>[</w:t>
      </w:r>
      <w:r w:rsidR="00687494" w:rsidRPr="00C209C0">
        <w:rPr>
          <w:noProof/>
          <w:lang w:val="en-GB"/>
        </w:rPr>
        <w:t>42</w:t>
      </w:r>
      <w:r w:rsidR="00A439CF" w:rsidRPr="00C209C0">
        <w:rPr>
          <w:noProof/>
          <w:lang w:val="en-GB"/>
        </w:rPr>
        <w:t>–</w:t>
      </w:r>
      <w:r w:rsidR="00687494" w:rsidRPr="00C209C0">
        <w:rPr>
          <w:noProof/>
          <w:lang w:val="en-GB"/>
        </w:rPr>
        <w:t>45</w:t>
      </w:r>
      <w:r w:rsidR="00A439CF" w:rsidRPr="00C209C0">
        <w:rPr>
          <w:noProof/>
          <w:lang w:val="en-GB"/>
        </w:rPr>
        <w:t>]</w:t>
      </w:r>
      <w:r w:rsidRPr="00C209C0">
        <w:rPr>
          <w:lang w:val="en-GB"/>
        </w:rPr>
        <w:t xml:space="preserve">. </w:t>
      </w:r>
      <w:r w:rsidR="00274C8E" w:rsidRPr="00C209C0">
        <w:rPr>
          <w:lang w:val="en-GB"/>
        </w:rPr>
        <w:t xml:space="preserve">Underpinning these points are the 5 tenets of </w:t>
      </w:r>
      <w:r w:rsidR="00B04C7B">
        <w:rPr>
          <w:lang w:val="en-GB"/>
        </w:rPr>
        <w:t>age-frien</w:t>
      </w:r>
      <w:r w:rsidR="00274C8E" w:rsidRPr="00C209C0">
        <w:rPr>
          <w:lang w:val="en-GB"/>
        </w:rPr>
        <w:t>dly care</w:t>
      </w:r>
      <w:r w:rsidR="00D76DBF" w:rsidRPr="00C209C0">
        <w:rPr>
          <w:lang w:val="en-GB"/>
        </w:rPr>
        <w:t>:</w:t>
      </w:r>
      <w:r w:rsidR="00274C8E" w:rsidRPr="00C209C0">
        <w:rPr>
          <w:lang w:val="en-GB"/>
        </w:rPr>
        <w:t xml:space="preserve"> what matters most to the patient</w:t>
      </w:r>
      <w:r w:rsidR="006D283E">
        <w:rPr>
          <w:lang w:val="en-GB"/>
        </w:rPr>
        <w:t>;</w:t>
      </w:r>
      <w:r w:rsidR="00274C8E" w:rsidRPr="00C209C0">
        <w:rPr>
          <w:lang w:val="en-GB"/>
        </w:rPr>
        <w:t xml:space="preserve"> multi-complexity management</w:t>
      </w:r>
      <w:r w:rsidR="006D283E">
        <w:rPr>
          <w:lang w:val="en-GB"/>
        </w:rPr>
        <w:t>,</w:t>
      </w:r>
      <w:r w:rsidR="00274C8E" w:rsidRPr="00C209C0">
        <w:rPr>
          <w:lang w:val="en-GB"/>
        </w:rPr>
        <w:t xml:space="preserve"> including psychosocial problems</w:t>
      </w:r>
      <w:r w:rsidR="006D283E">
        <w:rPr>
          <w:lang w:val="en-GB"/>
        </w:rPr>
        <w:t>;</w:t>
      </w:r>
      <w:r w:rsidR="00274C8E" w:rsidRPr="00C209C0">
        <w:rPr>
          <w:lang w:val="en-GB"/>
        </w:rPr>
        <w:t xml:space="preserve"> medication management</w:t>
      </w:r>
      <w:r w:rsidR="006D283E">
        <w:rPr>
          <w:lang w:val="en-GB"/>
        </w:rPr>
        <w:t>;</w:t>
      </w:r>
      <w:r w:rsidR="00274C8E" w:rsidRPr="00C209C0">
        <w:rPr>
          <w:lang w:val="en-GB"/>
        </w:rPr>
        <w:t xml:space="preserve"> mentation</w:t>
      </w:r>
      <w:r w:rsidR="006D283E">
        <w:rPr>
          <w:lang w:val="en-GB"/>
        </w:rPr>
        <w:t>—</w:t>
      </w:r>
      <w:r w:rsidR="00BD4DEA" w:rsidRPr="00C209C0">
        <w:rPr>
          <w:lang w:val="en-GB"/>
        </w:rPr>
        <w:t xml:space="preserve">to </w:t>
      </w:r>
      <w:r w:rsidR="00274C8E" w:rsidRPr="00C209C0">
        <w:rPr>
          <w:lang w:val="en-GB"/>
        </w:rPr>
        <w:t xml:space="preserve">account for cognitive </w:t>
      </w:r>
      <w:r w:rsidR="006E2EE8" w:rsidRPr="00C209C0">
        <w:rPr>
          <w:lang w:val="en-GB"/>
        </w:rPr>
        <w:t>awareness</w:t>
      </w:r>
      <w:r w:rsidR="00274C8E" w:rsidRPr="00C209C0">
        <w:rPr>
          <w:lang w:val="en-GB"/>
        </w:rPr>
        <w:t xml:space="preserve"> when making shared decisions</w:t>
      </w:r>
      <w:r w:rsidR="006D283E">
        <w:rPr>
          <w:lang w:val="en-GB"/>
        </w:rPr>
        <w:t>;</w:t>
      </w:r>
      <w:r w:rsidR="00274C8E" w:rsidRPr="00C209C0">
        <w:rPr>
          <w:lang w:val="en-GB"/>
        </w:rPr>
        <w:t xml:space="preserve"> and mobility</w:t>
      </w:r>
      <w:r w:rsidR="006D283E">
        <w:rPr>
          <w:lang w:val="en-GB"/>
        </w:rPr>
        <w:t>—</w:t>
      </w:r>
      <w:r w:rsidR="00BD4DEA" w:rsidRPr="00C209C0">
        <w:rPr>
          <w:lang w:val="en-GB"/>
        </w:rPr>
        <w:t xml:space="preserve">to </w:t>
      </w:r>
      <w:r w:rsidR="00274C8E" w:rsidRPr="00C209C0">
        <w:rPr>
          <w:lang w:val="en-GB"/>
        </w:rPr>
        <w:t xml:space="preserve">account for gait and balance </w:t>
      </w:r>
      <w:r w:rsidR="006E2EE8" w:rsidRPr="00C209C0">
        <w:rPr>
          <w:lang w:val="en-GB"/>
        </w:rPr>
        <w:t>problems</w:t>
      </w:r>
      <w:r w:rsidR="00274C8E" w:rsidRPr="00C209C0">
        <w:rPr>
          <w:lang w:val="en-GB"/>
        </w:rPr>
        <w:t xml:space="preserve"> when considering </w:t>
      </w:r>
      <w:r w:rsidR="006E2EE8" w:rsidRPr="00C209C0">
        <w:rPr>
          <w:lang w:val="en-GB"/>
        </w:rPr>
        <w:t>holistic</w:t>
      </w:r>
      <w:r w:rsidR="00274C8E" w:rsidRPr="00C209C0">
        <w:rPr>
          <w:lang w:val="en-GB"/>
        </w:rPr>
        <w:t xml:space="preserve"> management of the patient</w:t>
      </w:r>
      <w:r w:rsidR="006E2EE8" w:rsidRPr="00C209C0">
        <w:rPr>
          <w:lang w:val="en-GB"/>
        </w:rPr>
        <w:t xml:space="preserve"> </w:t>
      </w:r>
      <w:r w:rsidR="00A439CF" w:rsidRPr="00C209C0">
        <w:rPr>
          <w:noProof/>
          <w:lang w:val="en-GB"/>
        </w:rPr>
        <w:t>[24,46,</w:t>
      </w:r>
      <w:r w:rsidR="00687494" w:rsidRPr="00C209C0">
        <w:rPr>
          <w:noProof/>
          <w:lang w:val="en-GB"/>
        </w:rPr>
        <w:t>47</w:t>
      </w:r>
      <w:r w:rsidR="00A439CF" w:rsidRPr="00C209C0">
        <w:rPr>
          <w:noProof/>
          <w:lang w:val="en-GB"/>
        </w:rPr>
        <w:t>]</w:t>
      </w:r>
      <w:r w:rsidR="00274C8E" w:rsidRPr="00C209C0">
        <w:rPr>
          <w:lang w:val="en-GB"/>
        </w:rPr>
        <w:t xml:space="preserve">. </w:t>
      </w:r>
      <w:r w:rsidR="00D76DBF" w:rsidRPr="00C209C0">
        <w:rPr>
          <w:lang w:val="en-GB"/>
        </w:rPr>
        <w:t xml:space="preserve">This tool allows clinicians to capture and </w:t>
      </w:r>
      <w:r w:rsidR="00D76DBF" w:rsidRPr="00C209C0">
        <w:rPr>
          <w:lang w:val="en-GB"/>
        </w:rPr>
        <w:lastRenderedPageBreak/>
        <w:t xml:space="preserve">communicate complexities in understandable and easily remembered terms. </w:t>
      </w:r>
      <w:r w:rsidR="00B40F3A" w:rsidRPr="00C209C0">
        <w:rPr>
          <w:lang w:val="en-GB"/>
        </w:rPr>
        <w:t xml:space="preserve">Poor communication between clinicians as well as between clinicians and patients/caregivers is the </w:t>
      </w:r>
      <w:r w:rsidR="006D283E">
        <w:rPr>
          <w:lang w:val="en-GB"/>
        </w:rPr>
        <w:t xml:space="preserve">most </w:t>
      </w:r>
      <w:r w:rsidR="00B40F3A" w:rsidRPr="00C209C0">
        <w:rPr>
          <w:lang w:val="en-GB"/>
        </w:rPr>
        <w:t xml:space="preserve">common cause of adverse </w:t>
      </w:r>
      <w:r w:rsidR="00274C8E" w:rsidRPr="00C209C0">
        <w:rPr>
          <w:lang w:val="en-GB"/>
        </w:rPr>
        <w:t xml:space="preserve">clinical </w:t>
      </w:r>
      <w:r w:rsidR="00B40F3A" w:rsidRPr="00C209C0">
        <w:rPr>
          <w:lang w:val="en-GB"/>
        </w:rPr>
        <w:t xml:space="preserve">events and complaints about care. </w:t>
      </w:r>
      <w:r w:rsidR="00274C8E" w:rsidRPr="00C209C0">
        <w:rPr>
          <w:lang w:val="en-GB"/>
        </w:rPr>
        <w:t xml:space="preserve">In this regard, </w:t>
      </w:r>
      <w:r w:rsidR="00B04C7B">
        <w:rPr>
          <w:lang w:val="en-GB"/>
        </w:rPr>
        <w:t>patient-cen</w:t>
      </w:r>
      <w:r w:rsidR="00B40F3A" w:rsidRPr="00C209C0">
        <w:rPr>
          <w:lang w:val="en-GB"/>
        </w:rPr>
        <w:t xml:space="preserve">tred or patient priority care that </w:t>
      </w:r>
      <w:r w:rsidR="00D76DBF" w:rsidRPr="00C209C0">
        <w:rPr>
          <w:lang w:val="en-GB"/>
        </w:rPr>
        <w:t>accounts for</w:t>
      </w:r>
      <w:r w:rsidR="00B40F3A" w:rsidRPr="00C209C0">
        <w:rPr>
          <w:lang w:val="en-GB"/>
        </w:rPr>
        <w:t xml:space="preserve"> the patient</w:t>
      </w:r>
      <w:r w:rsidR="006D283E">
        <w:rPr>
          <w:lang w:val="en-GB"/>
        </w:rPr>
        <w:t>’</w:t>
      </w:r>
      <w:r w:rsidR="00B40F3A" w:rsidRPr="00C209C0">
        <w:rPr>
          <w:lang w:val="en-GB"/>
        </w:rPr>
        <w:t>s preferences, needs</w:t>
      </w:r>
      <w:r w:rsidR="006D283E">
        <w:rPr>
          <w:lang w:val="en-GB"/>
        </w:rPr>
        <w:t>,</w:t>
      </w:r>
      <w:r w:rsidR="00B40F3A" w:rsidRPr="00C209C0">
        <w:rPr>
          <w:lang w:val="en-GB"/>
        </w:rPr>
        <w:t xml:space="preserve"> and values</w:t>
      </w:r>
      <w:r w:rsidR="00274C8E" w:rsidRPr="00C209C0">
        <w:rPr>
          <w:lang w:val="en-GB"/>
        </w:rPr>
        <w:t xml:space="preserve"> </w:t>
      </w:r>
      <w:r w:rsidR="00B40F3A" w:rsidRPr="00C209C0">
        <w:rPr>
          <w:lang w:val="en-GB"/>
        </w:rPr>
        <w:t>ensures that patients</w:t>
      </w:r>
      <w:r w:rsidR="00274C8E" w:rsidRPr="00C209C0">
        <w:rPr>
          <w:lang w:val="en-GB"/>
        </w:rPr>
        <w:t xml:space="preserve"> or their appointed attorneys</w:t>
      </w:r>
      <w:r w:rsidR="00B40F3A" w:rsidRPr="00C209C0">
        <w:rPr>
          <w:lang w:val="en-GB"/>
        </w:rPr>
        <w:t xml:space="preserve"> guide clinical decision</w:t>
      </w:r>
      <w:r w:rsidR="00D76DBF" w:rsidRPr="00C209C0">
        <w:rPr>
          <w:lang w:val="en-GB"/>
        </w:rPr>
        <w:t xml:space="preserve"> making</w:t>
      </w:r>
      <w:r w:rsidR="00B40F3A" w:rsidRPr="00C209C0">
        <w:rPr>
          <w:lang w:val="en-GB"/>
        </w:rPr>
        <w:t xml:space="preserve"> </w:t>
      </w:r>
      <w:r w:rsidR="00A439CF" w:rsidRPr="00C209C0">
        <w:rPr>
          <w:noProof/>
          <w:lang w:val="en-GB"/>
        </w:rPr>
        <w:t>[</w:t>
      </w:r>
      <w:r w:rsidR="00687494" w:rsidRPr="00C209C0">
        <w:rPr>
          <w:noProof/>
          <w:lang w:val="en-GB"/>
        </w:rPr>
        <w:t>48</w:t>
      </w:r>
      <w:r w:rsidR="00A439CF" w:rsidRPr="00C209C0">
        <w:rPr>
          <w:noProof/>
          <w:lang w:val="en-GB"/>
        </w:rPr>
        <w:t>]</w:t>
      </w:r>
      <w:r w:rsidR="00B40F3A" w:rsidRPr="00C209C0">
        <w:rPr>
          <w:lang w:val="en-GB"/>
        </w:rPr>
        <w:t xml:space="preserve">. </w:t>
      </w:r>
    </w:p>
    <w:p w14:paraId="486C3607" w14:textId="46E55426" w:rsidR="000B5B65" w:rsidRPr="00C209C0" w:rsidRDefault="00593D38" w:rsidP="00B46AB5">
      <w:pPr>
        <w:pStyle w:val="MDPI31text"/>
        <w:rPr>
          <w:lang w:val="en-GB"/>
        </w:rPr>
      </w:pPr>
      <w:r w:rsidRPr="00C209C0">
        <w:rPr>
          <w:lang w:val="en-GB"/>
        </w:rPr>
        <w:t>Balancing the recommendations of multiple guidelines for those who are multi-morbid inevitably leads to polypharmacy and danger of the prescribing cascade where medications are prescribed to counter side-effects of another medication. Medicine optimisation is defined as a person-centred, evidence</w:t>
      </w:r>
      <w:r w:rsidR="003C767D">
        <w:rPr>
          <w:lang w:val="en-GB"/>
        </w:rPr>
        <w:t>-</w:t>
      </w:r>
      <w:r w:rsidRPr="00C209C0">
        <w:rPr>
          <w:lang w:val="en-GB"/>
        </w:rPr>
        <w:t>based approach to safe and effective medicine use to ensure people obtain the best possible outcomes from their medicines and that they continue to provide benefit for the individual. Medicines optimisation ensures that there is a specific and justifiable reason for every medication the patient is taking and that this is as optimum</w:t>
      </w:r>
      <w:r w:rsidR="003C767D">
        <w:rPr>
          <w:lang w:val="en-GB"/>
        </w:rPr>
        <w:t xml:space="preserve"> as</w:t>
      </w:r>
      <w:r w:rsidRPr="00C209C0">
        <w:rPr>
          <w:lang w:val="en-GB"/>
        </w:rPr>
        <w:t xml:space="preserve"> it can be based on evidence. This includes stopping medications that are having no benefit or causing side effects, interacting and</w:t>
      </w:r>
      <w:r w:rsidR="003C767D">
        <w:rPr>
          <w:lang w:val="en-GB"/>
        </w:rPr>
        <w:t>/</w:t>
      </w:r>
      <w:r w:rsidRPr="00C209C0">
        <w:rPr>
          <w:lang w:val="en-GB"/>
        </w:rPr>
        <w:t xml:space="preserve">or are contra-indicated </w:t>
      </w:r>
      <w:r w:rsidR="0037075C" w:rsidRPr="00C209C0">
        <w:rPr>
          <w:lang w:val="en-GB"/>
        </w:rPr>
        <w:t>but also upgrad</w:t>
      </w:r>
      <w:r w:rsidR="002A06FE" w:rsidRPr="00C209C0">
        <w:rPr>
          <w:lang w:val="en-GB"/>
        </w:rPr>
        <w:t>ing</w:t>
      </w:r>
      <w:r w:rsidR="0037075C" w:rsidRPr="00C209C0">
        <w:rPr>
          <w:lang w:val="en-GB"/>
        </w:rPr>
        <w:t xml:space="preserve"> </w:t>
      </w:r>
      <w:r w:rsidR="002A06FE" w:rsidRPr="00C209C0">
        <w:rPr>
          <w:lang w:val="en-GB"/>
        </w:rPr>
        <w:t xml:space="preserve">prescriptions to newer </w:t>
      </w:r>
      <w:r w:rsidR="0037075C" w:rsidRPr="00C209C0">
        <w:rPr>
          <w:lang w:val="en-GB"/>
        </w:rPr>
        <w:t>medications</w:t>
      </w:r>
      <w:r w:rsidR="002A06FE" w:rsidRPr="00C209C0">
        <w:rPr>
          <w:lang w:val="en-GB"/>
        </w:rPr>
        <w:t xml:space="preserve"> </w:t>
      </w:r>
      <w:r w:rsidR="0037075C" w:rsidRPr="00C209C0">
        <w:rPr>
          <w:lang w:val="en-GB"/>
        </w:rPr>
        <w:t xml:space="preserve">according to contemporaneous evidence and guidance. </w:t>
      </w:r>
      <w:r w:rsidRPr="00C209C0">
        <w:rPr>
          <w:lang w:val="en-GB"/>
        </w:rPr>
        <w:t>Several guides are available to help with medicines optimisation such as the Beers Criteria, Medications Appropriateness Index, STOPP-START, NO TEARS</w:t>
      </w:r>
      <w:r w:rsidR="003C767D">
        <w:rPr>
          <w:lang w:val="en-GB"/>
        </w:rPr>
        <w:t>,</w:t>
      </w:r>
      <w:r w:rsidRPr="00C209C0">
        <w:rPr>
          <w:lang w:val="en-GB"/>
        </w:rPr>
        <w:t xml:space="preserve"> and the PINCER tool </w:t>
      </w:r>
      <w:r w:rsidR="00A439CF" w:rsidRPr="00C209C0">
        <w:rPr>
          <w:noProof/>
          <w:lang w:val="en-GB"/>
        </w:rPr>
        <w:t>[</w:t>
      </w:r>
      <w:r w:rsidR="00687494" w:rsidRPr="00C209C0">
        <w:rPr>
          <w:noProof/>
          <w:lang w:val="en-GB"/>
        </w:rPr>
        <w:t>49</w:t>
      </w:r>
      <w:r w:rsidR="00A439CF" w:rsidRPr="00C209C0">
        <w:rPr>
          <w:noProof/>
          <w:lang w:val="en-GB"/>
        </w:rPr>
        <w:t>–</w:t>
      </w:r>
      <w:r w:rsidR="00687494" w:rsidRPr="00C209C0">
        <w:rPr>
          <w:noProof/>
          <w:lang w:val="en-GB"/>
        </w:rPr>
        <w:t>52</w:t>
      </w:r>
      <w:r w:rsidR="00A439CF" w:rsidRPr="00C209C0">
        <w:rPr>
          <w:noProof/>
          <w:lang w:val="en-GB"/>
        </w:rPr>
        <w:t>]</w:t>
      </w:r>
      <w:r w:rsidRPr="00C209C0">
        <w:rPr>
          <w:lang w:val="en-GB"/>
        </w:rPr>
        <w:t xml:space="preserve">. These guides rely on actions taken by all health and social care practitioners and requires patient engagement and professional collaboration across health and social care settings </w:t>
      </w:r>
      <w:r w:rsidR="00A439CF" w:rsidRPr="00C209C0">
        <w:rPr>
          <w:noProof/>
          <w:lang w:val="en-GB"/>
        </w:rPr>
        <w:t>[</w:t>
      </w:r>
      <w:r w:rsidR="00687494" w:rsidRPr="00C209C0">
        <w:rPr>
          <w:noProof/>
          <w:lang w:val="en-GB"/>
        </w:rPr>
        <w:t>53</w:t>
      </w:r>
      <w:r w:rsidR="00A439CF" w:rsidRPr="00C209C0">
        <w:rPr>
          <w:noProof/>
          <w:lang w:val="en-GB"/>
        </w:rPr>
        <w:t>–</w:t>
      </w:r>
      <w:r w:rsidR="00687494" w:rsidRPr="00C209C0">
        <w:rPr>
          <w:noProof/>
          <w:lang w:val="en-GB"/>
        </w:rPr>
        <w:t>55</w:t>
      </w:r>
      <w:r w:rsidR="00A439CF" w:rsidRPr="00C209C0">
        <w:rPr>
          <w:noProof/>
          <w:lang w:val="en-GB"/>
        </w:rPr>
        <w:t>]</w:t>
      </w:r>
      <w:r w:rsidRPr="00C209C0">
        <w:rPr>
          <w:lang w:val="en-GB"/>
        </w:rPr>
        <w:t xml:space="preserve">. </w:t>
      </w:r>
    </w:p>
    <w:p w14:paraId="7A6183DB" w14:textId="5696FE9D" w:rsidR="003815ED" w:rsidRPr="00C209C0" w:rsidRDefault="000B5B65" w:rsidP="00B46AB5">
      <w:pPr>
        <w:pStyle w:val="MDPI31text"/>
        <w:rPr>
          <w:lang w:val="en-GB"/>
        </w:rPr>
      </w:pPr>
      <w:r w:rsidRPr="00C209C0">
        <w:rPr>
          <w:lang w:val="en-GB"/>
        </w:rPr>
        <w:t>Medicine optimi</w:t>
      </w:r>
      <w:r w:rsidR="004F4F69" w:rsidRPr="00C209C0">
        <w:rPr>
          <w:lang w:val="en-GB"/>
        </w:rPr>
        <w:t>s</w:t>
      </w:r>
      <w:r w:rsidRPr="00C209C0">
        <w:rPr>
          <w:lang w:val="en-GB"/>
        </w:rPr>
        <w:t xml:space="preserve">ation </w:t>
      </w:r>
      <w:r w:rsidR="004F4F69" w:rsidRPr="00C209C0">
        <w:rPr>
          <w:lang w:val="en-GB"/>
        </w:rPr>
        <w:t>in</w:t>
      </w:r>
      <w:r w:rsidRPr="00C209C0">
        <w:rPr>
          <w:lang w:val="en-GB"/>
        </w:rPr>
        <w:t xml:space="preserve"> older people is especially important for drugs with a narrow therapeutic index (NTI) such as digoxin, warfarin, aminophylline, lithium</w:t>
      </w:r>
      <w:r w:rsidR="003C767D">
        <w:rPr>
          <w:lang w:val="en-GB"/>
        </w:rPr>
        <w:t>,</w:t>
      </w:r>
      <w:r w:rsidRPr="00C209C0">
        <w:rPr>
          <w:lang w:val="en-GB"/>
        </w:rPr>
        <w:t xml:space="preserve"> and some antidepressants. </w:t>
      </w:r>
      <w:r w:rsidR="00211961" w:rsidRPr="00C209C0">
        <w:rPr>
          <w:lang w:val="en-GB"/>
        </w:rPr>
        <w:t>O</w:t>
      </w:r>
      <w:r w:rsidRPr="00C209C0">
        <w:rPr>
          <w:lang w:val="en-GB"/>
        </w:rPr>
        <w:t xml:space="preserve">lder people are more susceptible to anticholinergic side effects from commonly prescribed drugs such as amitriptyline, oxybutynin, cetirizine, </w:t>
      </w:r>
      <w:r w:rsidR="003C767D">
        <w:rPr>
          <w:lang w:val="en-GB"/>
        </w:rPr>
        <w:t xml:space="preserve">and </w:t>
      </w:r>
      <w:r w:rsidRPr="00C209C0">
        <w:rPr>
          <w:lang w:val="en-GB"/>
        </w:rPr>
        <w:t>mirtazapine, which include delirium, reduced cognition, gait and balance problems, constipation, urinary retention</w:t>
      </w:r>
      <w:r w:rsidR="003C767D">
        <w:rPr>
          <w:lang w:val="en-GB"/>
        </w:rPr>
        <w:t>,</w:t>
      </w:r>
      <w:r w:rsidRPr="00C209C0">
        <w:rPr>
          <w:lang w:val="en-GB"/>
        </w:rPr>
        <w:t xml:space="preserve"> and dry mouth </w:t>
      </w:r>
      <w:r w:rsidR="00A439CF" w:rsidRPr="00C209C0">
        <w:rPr>
          <w:noProof/>
          <w:lang w:val="en-GB"/>
        </w:rPr>
        <w:t>[</w:t>
      </w:r>
      <w:r w:rsidR="00687494" w:rsidRPr="00C209C0">
        <w:rPr>
          <w:noProof/>
          <w:lang w:val="en-GB"/>
        </w:rPr>
        <w:t>56</w:t>
      </w:r>
      <w:r w:rsidR="00A439CF" w:rsidRPr="00C209C0">
        <w:rPr>
          <w:noProof/>
          <w:lang w:val="en-GB"/>
        </w:rPr>
        <w:t>]</w:t>
      </w:r>
      <w:r w:rsidRPr="00C209C0">
        <w:rPr>
          <w:lang w:val="en-GB"/>
        </w:rPr>
        <w:t xml:space="preserve">. These conditions may be misinterpreted as new conditions and can initiate a prescribing cascade. In addition, older individuals who have a shorter life expectancy may not benefit from prescribed medications that take time before therapeutic benefit is established. Examples include anti-hypertensives drugs used to treat hyperlipidaemia and osteoporosis treatments </w:t>
      </w:r>
      <w:r w:rsidR="00A439CF" w:rsidRPr="00C209C0">
        <w:rPr>
          <w:noProof/>
          <w:lang w:val="en-GB"/>
        </w:rPr>
        <w:t>[57,</w:t>
      </w:r>
      <w:r w:rsidR="00687494" w:rsidRPr="00C209C0">
        <w:rPr>
          <w:noProof/>
          <w:lang w:val="en-GB"/>
        </w:rPr>
        <w:t>58</w:t>
      </w:r>
      <w:r w:rsidR="00A439CF" w:rsidRPr="00C209C0">
        <w:rPr>
          <w:noProof/>
          <w:lang w:val="en-GB"/>
        </w:rPr>
        <w:t>]</w:t>
      </w:r>
      <w:r w:rsidRPr="00C209C0">
        <w:rPr>
          <w:lang w:val="en-GB"/>
        </w:rPr>
        <w:t xml:space="preserve">. </w:t>
      </w:r>
    </w:p>
    <w:p w14:paraId="0A0C562F" w14:textId="1DB835B3" w:rsidR="001C3122" w:rsidRPr="00C209C0" w:rsidRDefault="00593D38" w:rsidP="00B46AB5">
      <w:pPr>
        <w:pStyle w:val="MDPI31text"/>
        <w:rPr>
          <w:lang w:val="en-GB"/>
        </w:rPr>
      </w:pPr>
      <w:r w:rsidRPr="00C209C0">
        <w:rPr>
          <w:lang w:val="en-GB"/>
        </w:rPr>
        <w:t xml:space="preserve">Deprescribing requires knowledge of </w:t>
      </w:r>
      <w:r w:rsidR="003815ED" w:rsidRPr="00C209C0">
        <w:rPr>
          <w:lang w:val="en-GB"/>
        </w:rPr>
        <w:t>the</w:t>
      </w:r>
      <w:r w:rsidRPr="00C209C0">
        <w:rPr>
          <w:lang w:val="en-GB"/>
        </w:rPr>
        <w:t xml:space="preserve"> potential for ADR </w:t>
      </w:r>
      <w:r w:rsidR="003815ED" w:rsidRPr="00C209C0">
        <w:rPr>
          <w:lang w:val="en-GB"/>
        </w:rPr>
        <w:t>as well as</w:t>
      </w:r>
      <w:r w:rsidRPr="00C209C0">
        <w:rPr>
          <w:lang w:val="en-GB"/>
        </w:rPr>
        <w:t xml:space="preserve"> patient factors</w:t>
      </w:r>
      <w:r w:rsidR="003815ED" w:rsidRPr="00C209C0">
        <w:rPr>
          <w:lang w:val="en-GB"/>
        </w:rPr>
        <w:t xml:space="preserve"> </w:t>
      </w:r>
      <w:r w:rsidR="000B5B65" w:rsidRPr="00C209C0">
        <w:rPr>
          <w:lang w:val="en-GB"/>
        </w:rPr>
        <w:t>spanning physical, social</w:t>
      </w:r>
      <w:r w:rsidR="003C767D">
        <w:rPr>
          <w:lang w:val="en-GB"/>
        </w:rPr>
        <w:t>,</w:t>
      </w:r>
      <w:r w:rsidR="000B5B65" w:rsidRPr="00C209C0">
        <w:rPr>
          <w:lang w:val="en-GB"/>
        </w:rPr>
        <w:t xml:space="preserve"> and psychological domains</w:t>
      </w:r>
      <w:r w:rsidR="003C767D">
        <w:rPr>
          <w:lang w:val="en-GB"/>
        </w:rPr>
        <w:t>,</w:t>
      </w:r>
      <w:r w:rsidR="000B5B65" w:rsidRPr="00C209C0">
        <w:rPr>
          <w:lang w:val="en-GB"/>
        </w:rPr>
        <w:t xml:space="preserve"> e.g.</w:t>
      </w:r>
      <w:r w:rsidR="003C767D">
        <w:rPr>
          <w:lang w:val="en-GB"/>
        </w:rPr>
        <w:t>,</w:t>
      </w:r>
      <w:r w:rsidR="000B5B65" w:rsidRPr="00C209C0">
        <w:rPr>
          <w:lang w:val="en-GB"/>
        </w:rPr>
        <w:t xml:space="preserve"> cognition and physical capability.</w:t>
      </w:r>
      <w:r w:rsidRPr="00C209C0">
        <w:rPr>
          <w:lang w:val="en-GB"/>
        </w:rPr>
        <w:t xml:space="preserve"> When planne</w:t>
      </w:r>
      <w:r w:rsidR="000B5B65" w:rsidRPr="00C209C0">
        <w:rPr>
          <w:lang w:val="en-GB"/>
        </w:rPr>
        <w:t xml:space="preserve">d, </w:t>
      </w:r>
      <w:r w:rsidR="00B04C7B">
        <w:rPr>
          <w:lang w:val="en-GB"/>
        </w:rPr>
        <w:t>patient-cen</w:t>
      </w:r>
      <w:r w:rsidRPr="00C209C0">
        <w:rPr>
          <w:lang w:val="en-GB"/>
        </w:rPr>
        <w:t>tred</w:t>
      </w:r>
      <w:r w:rsidR="00143F5D" w:rsidRPr="00C209C0">
        <w:rPr>
          <w:lang w:val="en-GB"/>
        </w:rPr>
        <w:t>,</w:t>
      </w:r>
      <w:r w:rsidRPr="00C209C0">
        <w:rPr>
          <w:lang w:val="en-GB"/>
        </w:rPr>
        <w:t xml:space="preserve"> and backed up by education and training, deprescribing </w:t>
      </w:r>
      <w:r w:rsidR="00211961" w:rsidRPr="00C209C0">
        <w:rPr>
          <w:lang w:val="en-GB"/>
        </w:rPr>
        <w:t>has not been</w:t>
      </w:r>
      <w:r w:rsidRPr="00C209C0">
        <w:rPr>
          <w:lang w:val="en-GB"/>
        </w:rPr>
        <w:t xml:space="preserve"> associated with an</w:t>
      </w:r>
      <w:r w:rsidR="003C767D">
        <w:rPr>
          <w:lang w:val="en-GB"/>
        </w:rPr>
        <w:t>y</w:t>
      </w:r>
      <w:r w:rsidRPr="00C209C0">
        <w:rPr>
          <w:lang w:val="en-GB"/>
        </w:rPr>
        <w:t xml:space="preserve"> significant side effects or adverse outcomes </w:t>
      </w:r>
      <w:r w:rsidR="00A439CF" w:rsidRPr="00C209C0">
        <w:rPr>
          <w:noProof/>
          <w:lang w:val="en-GB"/>
        </w:rPr>
        <w:t>[</w:t>
      </w:r>
      <w:r w:rsidR="00687494" w:rsidRPr="00C209C0">
        <w:rPr>
          <w:noProof/>
          <w:lang w:val="en-GB"/>
        </w:rPr>
        <w:t>59</w:t>
      </w:r>
      <w:r w:rsidR="00A439CF" w:rsidRPr="00C209C0">
        <w:rPr>
          <w:noProof/>
          <w:lang w:val="en-GB"/>
        </w:rPr>
        <w:t>–</w:t>
      </w:r>
      <w:r w:rsidR="00687494" w:rsidRPr="00C209C0">
        <w:rPr>
          <w:noProof/>
          <w:lang w:val="en-GB"/>
        </w:rPr>
        <w:t>61</w:t>
      </w:r>
      <w:r w:rsidR="00A439CF" w:rsidRPr="00C209C0">
        <w:rPr>
          <w:noProof/>
          <w:lang w:val="en-GB"/>
        </w:rPr>
        <w:t>]</w:t>
      </w:r>
      <w:r w:rsidRPr="00C209C0">
        <w:rPr>
          <w:lang w:val="en-GB"/>
        </w:rPr>
        <w:t>.</w:t>
      </w:r>
      <w:r w:rsidR="003815ED" w:rsidRPr="00C209C0">
        <w:rPr>
          <w:lang w:val="en-GB"/>
        </w:rPr>
        <w:t xml:space="preserve"> </w:t>
      </w:r>
      <w:r w:rsidR="000B5B65" w:rsidRPr="00C209C0">
        <w:rPr>
          <w:lang w:val="en-GB"/>
        </w:rPr>
        <w:t>Older i</w:t>
      </w:r>
      <w:r w:rsidR="003815ED" w:rsidRPr="00C209C0">
        <w:rPr>
          <w:lang w:val="en-GB"/>
        </w:rPr>
        <w:t xml:space="preserve">ndividuals </w:t>
      </w:r>
      <w:r w:rsidR="000B5B65" w:rsidRPr="00C209C0">
        <w:rPr>
          <w:lang w:val="en-GB"/>
        </w:rPr>
        <w:t>frequently dislike</w:t>
      </w:r>
      <w:r w:rsidR="003815ED" w:rsidRPr="00C209C0">
        <w:rPr>
          <w:lang w:val="en-GB"/>
        </w:rPr>
        <w:t xml:space="preserve"> taking </w:t>
      </w:r>
      <w:r w:rsidR="000B5B65" w:rsidRPr="00C209C0">
        <w:rPr>
          <w:lang w:val="en-GB"/>
        </w:rPr>
        <w:t xml:space="preserve">multiple </w:t>
      </w:r>
      <w:r w:rsidR="003815ED" w:rsidRPr="00C209C0">
        <w:rPr>
          <w:lang w:val="en-GB"/>
        </w:rPr>
        <w:t>prescribed medications for several reasons such as complex dosing regimens, fear, scepticism</w:t>
      </w:r>
      <w:r w:rsidR="003C767D">
        <w:rPr>
          <w:lang w:val="en-GB"/>
        </w:rPr>
        <w:t>—</w:t>
      </w:r>
      <w:r w:rsidR="003815ED" w:rsidRPr="00C209C0">
        <w:rPr>
          <w:lang w:val="en-GB"/>
        </w:rPr>
        <w:t>especially when asymptomatic</w:t>
      </w:r>
      <w:r w:rsidR="003C767D">
        <w:rPr>
          <w:lang w:val="en-GB"/>
        </w:rPr>
        <w:t>—</w:t>
      </w:r>
      <w:r w:rsidR="003815ED" w:rsidRPr="00C209C0">
        <w:rPr>
          <w:lang w:val="en-GB"/>
        </w:rPr>
        <w:t>and media portrayal. These factors affect adherence</w:t>
      </w:r>
      <w:r w:rsidR="003C767D">
        <w:rPr>
          <w:lang w:val="en-GB"/>
        </w:rPr>
        <w:t>,</w:t>
      </w:r>
      <w:r w:rsidR="003815ED" w:rsidRPr="00C209C0">
        <w:rPr>
          <w:lang w:val="en-GB"/>
        </w:rPr>
        <w:t xml:space="preserve"> and studies suggest that up to 50% of prescribed medications may not be taken by older people </w:t>
      </w:r>
      <w:r w:rsidR="00A439CF" w:rsidRPr="00C209C0">
        <w:rPr>
          <w:noProof/>
          <w:lang w:val="en-GB"/>
        </w:rPr>
        <w:t>[</w:t>
      </w:r>
      <w:r w:rsidR="00687494" w:rsidRPr="00C209C0">
        <w:rPr>
          <w:noProof/>
          <w:lang w:val="en-GB"/>
        </w:rPr>
        <w:t>62</w:t>
      </w:r>
      <w:r w:rsidR="00A439CF" w:rsidRPr="00C209C0">
        <w:rPr>
          <w:noProof/>
          <w:lang w:val="en-GB"/>
        </w:rPr>
        <w:t>]</w:t>
      </w:r>
      <w:r w:rsidR="003815ED" w:rsidRPr="00C209C0">
        <w:rPr>
          <w:lang w:val="en-GB"/>
        </w:rPr>
        <w:t xml:space="preserve">. </w:t>
      </w:r>
      <w:r w:rsidR="004F4F69" w:rsidRPr="00C209C0">
        <w:rPr>
          <w:lang w:val="en-GB"/>
        </w:rPr>
        <w:t>Given the heterogeneity of disease trajectories in older people</w:t>
      </w:r>
      <w:r w:rsidR="003C767D">
        <w:rPr>
          <w:lang w:val="en-GB"/>
        </w:rPr>
        <w:t xml:space="preserve"> as well as</w:t>
      </w:r>
      <w:r w:rsidR="004F4F69" w:rsidRPr="00C209C0">
        <w:rPr>
          <w:lang w:val="en-GB"/>
        </w:rPr>
        <w:t xml:space="preserve"> symptoms and individual patient preferences, goals of care will vary between individuals. </w:t>
      </w:r>
      <w:r w:rsidR="003815ED" w:rsidRPr="00C209C0">
        <w:rPr>
          <w:lang w:val="en-GB"/>
        </w:rPr>
        <w:t>GPs are in a</w:t>
      </w:r>
      <w:r w:rsidR="00211961" w:rsidRPr="00C209C0">
        <w:rPr>
          <w:lang w:val="en-GB"/>
        </w:rPr>
        <w:t>n ideal</w:t>
      </w:r>
      <w:r w:rsidR="003815ED" w:rsidRPr="00C209C0">
        <w:rPr>
          <w:lang w:val="en-GB"/>
        </w:rPr>
        <w:t xml:space="preserve"> position to make shared decisions with patients and families to prescribe, deprescribe, rationalise</w:t>
      </w:r>
      <w:r w:rsidR="003C767D">
        <w:rPr>
          <w:lang w:val="en-GB"/>
        </w:rPr>
        <w:t>,</w:t>
      </w:r>
      <w:r w:rsidR="003815ED" w:rsidRPr="00C209C0">
        <w:rPr>
          <w:lang w:val="en-GB"/>
        </w:rPr>
        <w:t xml:space="preserve"> and optimise medications</w:t>
      </w:r>
      <w:r w:rsidR="00F376D4" w:rsidRPr="00C209C0">
        <w:rPr>
          <w:lang w:val="en-GB"/>
        </w:rPr>
        <w:t xml:space="preserve"> but need funded time and space to nurture long-lasting, trustful therapeutic partnerships</w:t>
      </w:r>
      <w:r w:rsidR="003815ED" w:rsidRPr="00C209C0">
        <w:rPr>
          <w:lang w:val="en-GB"/>
        </w:rPr>
        <w:t xml:space="preserve"> </w:t>
      </w:r>
      <w:r w:rsidR="00A439CF" w:rsidRPr="00C209C0">
        <w:rPr>
          <w:noProof/>
          <w:lang w:val="en-GB"/>
        </w:rPr>
        <w:t>[53,63,</w:t>
      </w:r>
      <w:r w:rsidR="00687494" w:rsidRPr="00C209C0">
        <w:rPr>
          <w:noProof/>
          <w:lang w:val="en-GB"/>
        </w:rPr>
        <w:t>64</w:t>
      </w:r>
      <w:r w:rsidR="00A439CF" w:rsidRPr="00C209C0">
        <w:rPr>
          <w:noProof/>
          <w:lang w:val="en-GB"/>
        </w:rPr>
        <w:t>]</w:t>
      </w:r>
      <w:r w:rsidR="003815ED" w:rsidRPr="00C209C0">
        <w:rPr>
          <w:lang w:val="en-GB"/>
        </w:rPr>
        <w:t>. It is also clear that the impact of multi-morbidity, frailty</w:t>
      </w:r>
      <w:r w:rsidR="003C767D">
        <w:rPr>
          <w:lang w:val="en-GB"/>
        </w:rPr>
        <w:t>,</w:t>
      </w:r>
      <w:r w:rsidR="003815ED" w:rsidRPr="00C209C0">
        <w:rPr>
          <w:lang w:val="en-GB"/>
        </w:rPr>
        <w:t xml:space="preserve"> and polypharmacy spans both primary and secondary care. Geriatricians and pharmacists are </w:t>
      </w:r>
      <w:r w:rsidR="000B5B65" w:rsidRPr="00C209C0">
        <w:rPr>
          <w:lang w:val="en-GB"/>
        </w:rPr>
        <w:t xml:space="preserve">ideally </w:t>
      </w:r>
      <w:r w:rsidR="003815ED" w:rsidRPr="00C209C0">
        <w:rPr>
          <w:lang w:val="en-GB"/>
        </w:rPr>
        <w:t>place</w:t>
      </w:r>
      <w:r w:rsidR="00211961" w:rsidRPr="00C209C0">
        <w:rPr>
          <w:lang w:val="en-GB"/>
        </w:rPr>
        <w:t>d</w:t>
      </w:r>
      <w:r w:rsidR="003815ED" w:rsidRPr="00C209C0">
        <w:rPr>
          <w:lang w:val="en-GB"/>
        </w:rPr>
        <w:t xml:space="preserve"> alongside GPs </w:t>
      </w:r>
      <w:r w:rsidR="004F4F69" w:rsidRPr="00C209C0">
        <w:rPr>
          <w:lang w:val="en-GB"/>
        </w:rPr>
        <w:t xml:space="preserve">to </w:t>
      </w:r>
      <w:r w:rsidR="00F376D4" w:rsidRPr="00C209C0">
        <w:rPr>
          <w:lang w:val="en-GB"/>
        </w:rPr>
        <w:t xml:space="preserve">aid goal setting, </w:t>
      </w:r>
      <w:r w:rsidR="003815ED" w:rsidRPr="00C209C0">
        <w:rPr>
          <w:lang w:val="en-GB"/>
        </w:rPr>
        <w:t xml:space="preserve">implement </w:t>
      </w:r>
      <w:r w:rsidR="000B5B65" w:rsidRPr="00C209C0">
        <w:rPr>
          <w:lang w:val="en-GB"/>
        </w:rPr>
        <w:t xml:space="preserve">the </w:t>
      </w:r>
      <w:r w:rsidR="003815ED" w:rsidRPr="00C209C0">
        <w:rPr>
          <w:lang w:val="en-GB"/>
        </w:rPr>
        <w:t xml:space="preserve">principles of </w:t>
      </w:r>
      <w:r w:rsidR="003C3CDB" w:rsidRPr="00ED4508">
        <w:rPr>
          <w:lang w:val="en-GB"/>
        </w:rPr>
        <w:t>c</w:t>
      </w:r>
      <w:r w:rsidR="00B71D56" w:rsidRPr="00ED4508">
        <w:rPr>
          <w:lang w:val="en-GB"/>
        </w:rPr>
        <w:t xml:space="preserve">omprehensive </w:t>
      </w:r>
      <w:r w:rsidR="003C3CDB" w:rsidRPr="00ED4508">
        <w:rPr>
          <w:lang w:val="en-GB"/>
        </w:rPr>
        <w:t>g</w:t>
      </w:r>
      <w:r w:rsidR="00B71D56" w:rsidRPr="00ED4508">
        <w:rPr>
          <w:lang w:val="en-GB"/>
        </w:rPr>
        <w:t xml:space="preserve">eriatric </w:t>
      </w:r>
      <w:r w:rsidR="003C3CDB" w:rsidRPr="00ED4508">
        <w:rPr>
          <w:lang w:val="en-GB"/>
        </w:rPr>
        <w:t>a</w:t>
      </w:r>
      <w:r w:rsidR="00B71D56" w:rsidRPr="00ED4508">
        <w:rPr>
          <w:lang w:val="en-GB"/>
        </w:rPr>
        <w:t>ssessment (</w:t>
      </w:r>
      <w:r w:rsidR="003815ED" w:rsidRPr="00ED4508">
        <w:rPr>
          <w:lang w:val="en-GB"/>
        </w:rPr>
        <w:t>CGA</w:t>
      </w:r>
      <w:r w:rsidR="00B71D56" w:rsidRPr="00ED4508">
        <w:rPr>
          <w:lang w:val="en-GB"/>
        </w:rPr>
        <w:t>)</w:t>
      </w:r>
      <w:r w:rsidR="003C767D" w:rsidRPr="00ED4508">
        <w:rPr>
          <w:lang w:val="en-GB"/>
        </w:rPr>
        <w:t>,</w:t>
      </w:r>
      <w:r w:rsidR="004F4F69" w:rsidRPr="00C209C0">
        <w:rPr>
          <w:lang w:val="en-GB"/>
        </w:rPr>
        <w:t xml:space="preserve"> and provide </w:t>
      </w:r>
      <w:r w:rsidR="00B04C7B">
        <w:rPr>
          <w:lang w:val="en-GB"/>
        </w:rPr>
        <w:t>patient-cen</w:t>
      </w:r>
      <w:r w:rsidR="004F4F69" w:rsidRPr="00C209C0">
        <w:rPr>
          <w:lang w:val="en-GB"/>
        </w:rPr>
        <w:t>tred care</w:t>
      </w:r>
      <w:r w:rsidR="003815ED" w:rsidRPr="00C209C0">
        <w:rPr>
          <w:lang w:val="en-GB"/>
        </w:rPr>
        <w:t xml:space="preserve"> </w:t>
      </w:r>
      <w:r w:rsidR="000B5B65" w:rsidRPr="00C209C0">
        <w:rPr>
          <w:lang w:val="en-GB"/>
        </w:rPr>
        <w:t>across</w:t>
      </w:r>
      <w:r w:rsidR="003815ED" w:rsidRPr="00C209C0">
        <w:rPr>
          <w:lang w:val="en-GB"/>
        </w:rPr>
        <w:t xml:space="preserve"> this arbitrary</w:t>
      </w:r>
      <w:r w:rsidR="00F376D4" w:rsidRPr="00C209C0">
        <w:rPr>
          <w:lang w:val="en-GB"/>
        </w:rPr>
        <w:t xml:space="preserve"> primary/secondary care</w:t>
      </w:r>
      <w:r w:rsidR="003815ED" w:rsidRPr="00C209C0">
        <w:rPr>
          <w:lang w:val="en-GB"/>
        </w:rPr>
        <w:t xml:space="preserve"> divide </w:t>
      </w:r>
      <w:r w:rsidR="00A439CF" w:rsidRPr="00C209C0">
        <w:rPr>
          <w:noProof/>
          <w:lang w:val="en-GB"/>
        </w:rPr>
        <w:t>[</w:t>
      </w:r>
      <w:r w:rsidR="00687494" w:rsidRPr="00C209C0">
        <w:rPr>
          <w:noProof/>
          <w:lang w:val="en-GB"/>
        </w:rPr>
        <w:t>65</w:t>
      </w:r>
      <w:r w:rsidR="00A439CF" w:rsidRPr="00C209C0">
        <w:rPr>
          <w:noProof/>
          <w:lang w:val="en-GB"/>
        </w:rPr>
        <w:t>–</w:t>
      </w:r>
      <w:r w:rsidR="00687494" w:rsidRPr="00C209C0">
        <w:rPr>
          <w:noProof/>
          <w:lang w:val="en-GB"/>
        </w:rPr>
        <w:t>68</w:t>
      </w:r>
      <w:r w:rsidR="00A439CF" w:rsidRPr="00C209C0">
        <w:rPr>
          <w:noProof/>
          <w:lang w:val="en-GB"/>
        </w:rPr>
        <w:t>]</w:t>
      </w:r>
      <w:r w:rsidR="003815ED" w:rsidRPr="00C209C0">
        <w:rPr>
          <w:lang w:val="en-GB"/>
        </w:rPr>
        <w:t xml:space="preserve">. </w:t>
      </w:r>
    </w:p>
    <w:p w14:paraId="1652F2AA" w14:textId="1108B88D" w:rsidR="00B46AB5" w:rsidRPr="00C209C0" w:rsidRDefault="00B04C7B" w:rsidP="00B46AB5">
      <w:pPr>
        <w:pStyle w:val="MDPI31text"/>
        <w:rPr>
          <w:lang w:val="en-GB"/>
        </w:rPr>
      </w:pPr>
      <w:r>
        <w:rPr>
          <w:lang w:val="en-GB"/>
        </w:rPr>
        <w:t>Patient-cen</w:t>
      </w:r>
      <w:r w:rsidR="001C3122" w:rsidRPr="00C209C0">
        <w:rPr>
          <w:lang w:val="en-GB"/>
        </w:rPr>
        <w:t>tred</w:t>
      </w:r>
      <w:r w:rsidR="00F376D4" w:rsidRPr="00C209C0">
        <w:rPr>
          <w:lang w:val="en-GB"/>
        </w:rPr>
        <w:t xml:space="preserve">, </w:t>
      </w:r>
      <w:r>
        <w:rPr>
          <w:lang w:val="en-GB"/>
        </w:rPr>
        <w:t>age-frien</w:t>
      </w:r>
      <w:r w:rsidR="001C3122" w:rsidRPr="00C209C0">
        <w:rPr>
          <w:lang w:val="en-GB"/>
        </w:rPr>
        <w:t>dly care</w:t>
      </w:r>
      <w:r w:rsidR="00F376D4" w:rsidRPr="00C209C0">
        <w:rPr>
          <w:lang w:val="en-GB"/>
        </w:rPr>
        <w:t xml:space="preserve"> and polypharmacy management</w:t>
      </w:r>
      <w:r w:rsidR="001C3122" w:rsidRPr="00C209C0">
        <w:rPr>
          <w:lang w:val="en-GB"/>
        </w:rPr>
        <w:t xml:space="preserve"> are embodied in the core principles of CGA where a holistic and balanced approach to individualise and prioritise management opinions take centre stage. Exploring a person’s personal goals, </w:t>
      </w:r>
      <w:r w:rsidR="003C767D">
        <w:rPr>
          <w:lang w:val="en-GB"/>
        </w:rPr>
        <w:t>the</w:t>
      </w:r>
      <w:r w:rsidR="003C767D" w:rsidRPr="00C209C0">
        <w:rPr>
          <w:lang w:val="en-GB"/>
        </w:rPr>
        <w:t xml:space="preserve"> </w:t>
      </w:r>
      <w:r w:rsidR="001C3122" w:rsidRPr="00C209C0">
        <w:rPr>
          <w:lang w:val="en-GB"/>
        </w:rPr>
        <w:t xml:space="preserve">health problems </w:t>
      </w:r>
      <w:r w:rsidR="003C767D">
        <w:rPr>
          <w:lang w:val="en-GB"/>
        </w:rPr>
        <w:t xml:space="preserve">that </w:t>
      </w:r>
      <w:r w:rsidR="001C3122" w:rsidRPr="00C209C0">
        <w:rPr>
          <w:lang w:val="en-GB"/>
        </w:rPr>
        <w:t xml:space="preserve">have the most impact on their day-to-day life and choice on their medication regime allows a tailored approach, which can facilitate an improvement in individual quality of life. </w:t>
      </w:r>
      <w:r w:rsidR="00C9721D" w:rsidRPr="00C209C0">
        <w:rPr>
          <w:lang w:val="en-GB"/>
        </w:rPr>
        <w:t>This positive approach, inclusive for all individuals irrespective of their capacity and capability</w:t>
      </w:r>
      <w:r w:rsidR="003C767D">
        <w:rPr>
          <w:lang w:val="en-GB"/>
        </w:rPr>
        <w:t>,</w:t>
      </w:r>
      <w:r w:rsidR="00C9721D" w:rsidRPr="00C209C0">
        <w:rPr>
          <w:lang w:val="en-GB"/>
        </w:rPr>
        <w:t xml:space="preserve"> is summarised in </w:t>
      </w:r>
      <w:r w:rsidR="00C9721D" w:rsidRPr="0002196E">
        <w:rPr>
          <w:b/>
          <w:lang w:val="en-GB"/>
        </w:rPr>
        <w:t>Figure 1.</w:t>
      </w:r>
      <w:r w:rsidR="00C9721D" w:rsidRPr="0002196E">
        <w:rPr>
          <w:lang w:val="en-GB"/>
        </w:rPr>
        <w:t xml:space="preserve"> </w:t>
      </w:r>
    </w:p>
    <w:p w14:paraId="07340FF8" w14:textId="77777777" w:rsidR="00B46AB5" w:rsidRPr="00C209C0" w:rsidRDefault="00B46AB5" w:rsidP="00B46AB5">
      <w:pPr>
        <w:pStyle w:val="MDPI12title"/>
        <w:rPr>
          <w:sz w:val="20"/>
          <w:szCs w:val="22"/>
          <w:lang w:val="en-GB"/>
        </w:rPr>
      </w:pPr>
      <w:r w:rsidRPr="00C209C0">
        <w:rPr>
          <w:lang w:val="en-GB"/>
        </w:rPr>
        <w:br w:type="page"/>
      </w:r>
    </w:p>
    <w:p w14:paraId="73555703" w14:textId="77777777" w:rsidR="00B46AB5" w:rsidRPr="00C209C0" w:rsidRDefault="00B46AB5" w:rsidP="00A439CF">
      <w:pPr>
        <w:pStyle w:val="MDPI52figure"/>
        <w:rPr>
          <w:lang w:val="en-GB"/>
        </w:rPr>
      </w:pPr>
      <w:r w:rsidRPr="00C209C0">
        <w:rPr>
          <w:noProof/>
          <w:lang w:eastAsia="zh-CN" w:bidi="ar-SA"/>
        </w:rPr>
        <w:lastRenderedPageBreak/>
        <w:drawing>
          <wp:inline distT="0" distB="0" distL="0" distR="0" wp14:anchorId="3AF0DDBC" wp14:editId="45774FE3">
            <wp:extent cx="5615940" cy="3197922"/>
            <wp:effectExtent l="0" t="0" r="381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5940" cy="3197922"/>
                    </a:xfrm>
                    <a:prstGeom prst="rect">
                      <a:avLst/>
                    </a:prstGeom>
                  </pic:spPr>
                </pic:pic>
              </a:graphicData>
            </a:graphic>
          </wp:inline>
        </w:drawing>
      </w:r>
    </w:p>
    <w:p w14:paraId="1A2C174A" w14:textId="3FD38206" w:rsidR="000E4C44" w:rsidRDefault="00A439CF" w:rsidP="00A439CF">
      <w:pPr>
        <w:pStyle w:val="MDPI51figurecaption"/>
        <w:rPr>
          <w:lang w:val="en-GB"/>
        </w:rPr>
      </w:pPr>
      <w:r w:rsidRPr="00C209C0">
        <w:rPr>
          <w:b/>
          <w:lang w:val="en-GB"/>
        </w:rPr>
        <w:t xml:space="preserve">Figure 1. </w:t>
      </w:r>
      <w:r w:rsidR="000E4C44">
        <w:rPr>
          <w:lang w:val="en-GB"/>
        </w:rPr>
        <w:t>P</w:t>
      </w:r>
      <w:r w:rsidR="00B46AB5" w:rsidRPr="00C209C0">
        <w:rPr>
          <w:lang w:val="en-GB"/>
        </w:rPr>
        <w:t xml:space="preserve">rinciples of comprehensive geriatric assessment (CGA). </w:t>
      </w:r>
    </w:p>
    <w:p w14:paraId="2BF7F797" w14:textId="3C2FCB05" w:rsidR="00B46AB5" w:rsidRPr="00C209C0" w:rsidRDefault="00B46AB5" w:rsidP="00A439CF">
      <w:pPr>
        <w:pStyle w:val="MDPI51figurecaption"/>
        <w:rPr>
          <w:lang w:val="en-GB"/>
        </w:rPr>
      </w:pPr>
      <w:r w:rsidRPr="00C209C0">
        <w:rPr>
          <w:lang w:val="en-GB"/>
        </w:rPr>
        <w:t>CGA is an evidence</w:t>
      </w:r>
      <w:r w:rsidR="003C767D">
        <w:rPr>
          <w:lang w:val="en-GB"/>
        </w:rPr>
        <w:t>-</w:t>
      </w:r>
      <w:r w:rsidRPr="00C209C0">
        <w:rPr>
          <w:lang w:val="en-GB"/>
        </w:rPr>
        <w:t>based multidimensional and interdisciplinary assessment of medical, psychological</w:t>
      </w:r>
      <w:r w:rsidR="003C767D">
        <w:rPr>
          <w:lang w:val="en-GB"/>
        </w:rPr>
        <w:t>,</w:t>
      </w:r>
      <w:r w:rsidRPr="00C209C0">
        <w:rPr>
          <w:lang w:val="en-GB"/>
        </w:rPr>
        <w:t xml:space="preserve"> and functional capabilities aimed at developing an integrated plan for treatment and care. CGA is associated with favourable clinical and health care outcomes. The core principles of CGA include comprehensive history taking</w:t>
      </w:r>
      <w:r w:rsidR="000E4C44">
        <w:rPr>
          <w:lang w:val="en-GB"/>
        </w:rPr>
        <w:t xml:space="preserve"> and </w:t>
      </w:r>
      <w:r w:rsidRPr="00C209C0">
        <w:rPr>
          <w:lang w:val="en-GB"/>
        </w:rPr>
        <w:t>multidisciplinary led assessment</w:t>
      </w:r>
      <w:r w:rsidR="003C3CDB">
        <w:rPr>
          <w:lang w:val="en-GB"/>
        </w:rPr>
        <w:t>,</w:t>
      </w:r>
      <w:r w:rsidRPr="00C209C0">
        <w:rPr>
          <w:lang w:val="en-GB"/>
        </w:rPr>
        <w:t xml:space="preserve"> culminating in goals for current and future management. They encompass the 5 tenets of </w:t>
      </w:r>
      <w:r w:rsidR="00B04C7B">
        <w:rPr>
          <w:rFonts w:cstheme="minorHAnsi"/>
          <w:lang w:val="en-GB"/>
        </w:rPr>
        <w:t>age-frien</w:t>
      </w:r>
      <w:r w:rsidRPr="00C209C0">
        <w:rPr>
          <w:rFonts w:cstheme="minorHAnsi"/>
          <w:lang w:val="en-GB"/>
        </w:rPr>
        <w:t>dly care</w:t>
      </w:r>
      <w:r w:rsidR="003C3CDB">
        <w:rPr>
          <w:rFonts w:cstheme="minorHAnsi"/>
          <w:lang w:val="en-GB"/>
        </w:rPr>
        <w:t>:</w:t>
      </w:r>
      <w:r w:rsidRPr="00C209C0">
        <w:rPr>
          <w:rFonts w:cstheme="minorHAnsi"/>
          <w:lang w:val="en-GB"/>
        </w:rPr>
        <w:t xml:space="preserve"> 1. </w:t>
      </w:r>
      <w:r w:rsidR="003C3CDB">
        <w:rPr>
          <w:rFonts w:cstheme="minorHAnsi"/>
          <w:lang w:val="en-GB"/>
        </w:rPr>
        <w:t>w</w:t>
      </w:r>
      <w:r w:rsidRPr="00C209C0">
        <w:rPr>
          <w:rFonts w:cstheme="minorHAnsi"/>
          <w:lang w:val="en-GB"/>
        </w:rPr>
        <w:t xml:space="preserve">hat matters most to the patient, 2. </w:t>
      </w:r>
      <w:r w:rsidR="003C3CDB">
        <w:rPr>
          <w:rFonts w:cstheme="minorHAnsi"/>
          <w:lang w:val="en-GB"/>
        </w:rPr>
        <w:t>m</w:t>
      </w:r>
      <w:r w:rsidRPr="00C209C0">
        <w:rPr>
          <w:rFonts w:cstheme="minorHAnsi"/>
          <w:lang w:val="en-GB"/>
        </w:rPr>
        <w:t xml:space="preserve">ulti-complexity management, 3. </w:t>
      </w:r>
      <w:r w:rsidR="003C3CDB">
        <w:rPr>
          <w:rFonts w:cstheme="minorHAnsi"/>
          <w:lang w:val="en-GB"/>
        </w:rPr>
        <w:t>m</w:t>
      </w:r>
      <w:r w:rsidRPr="00C209C0">
        <w:rPr>
          <w:rFonts w:cstheme="minorHAnsi"/>
          <w:lang w:val="en-GB"/>
        </w:rPr>
        <w:t xml:space="preserve">edication management, 4. </w:t>
      </w:r>
      <w:r w:rsidR="003C3CDB">
        <w:rPr>
          <w:rFonts w:cstheme="minorHAnsi"/>
          <w:lang w:val="en-GB"/>
        </w:rPr>
        <w:t>m</w:t>
      </w:r>
      <w:r w:rsidRPr="00C209C0">
        <w:rPr>
          <w:rFonts w:cstheme="minorHAnsi"/>
          <w:lang w:val="en-GB"/>
        </w:rPr>
        <w:t>entation</w:t>
      </w:r>
      <w:r w:rsidR="003C3CDB">
        <w:rPr>
          <w:rFonts w:cstheme="minorHAnsi"/>
          <w:lang w:val="en-GB"/>
        </w:rPr>
        <w:t>,</w:t>
      </w:r>
      <w:r w:rsidRPr="00C209C0">
        <w:rPr>
          <w:rFonts w:cstheme="minorHAnsi"/>
          <w:lang w:val="en-GB"/>
        </w:rPr>
        <w:t xml:space="preserve"> and 5. </w:t>
      </w:r>
      <w:r w:rsidR="003C3CDB">
        <w:rPr>
          <w:rFonts w:cstheme="minorHAnsi"/>
          <w:lang w:val="en-GB"/>
        </w:rPr>
        <w:t>m</w:t>
      </w:r>
      <w:r w:rsidRPr="00C209C0">
        <w:rPr>
          <w:rFonts w:cstheme="minorHAnsi"/>
          <w:lang w:val="en-GB"/>
        </w:rPr>
        <w:t>obility.</w:t>
      </w:r>
      <w:r w:rsidRPr="00C209C0">
        <w:rPr>
          <w:lang w:val="en-GB"/>
        </w:rPr>
        <w:t xml:space="preserve"> These principles can be applied across any health and social care setting and have been shown to be highly effective in the management of older people living with frailty and multi-morbidity. The process is iterative and the key to its success is timely review and coordination so that the care plan generated from a CGA remains responsive to the patient’s needs </w:t>
      </w:r>
      <w:r w:rsidR="00A439CF" w:rsidRPr="00C209C0">
        <w:rPr>
          <w:noProof/>
          <w:lang w:val="en-GB"/>
        </w:rPr>
        <w:t>[24,46,66,69,</w:t>
      </w:r>
      <w:r w:rsidRPr="00C209C0">
        <w:rPr>
          <w:noProof/>
          <w:lang w:val="en-GB"/>
        </w:rPr>
        <w:t>70</w:t>
      </w:r>
      <w:r w:rsidR="00A439CF" w:rsidRPr="00C209C0">
        <w:rPr>
          <w:noProof/>
          <w:lang w:val="en-GB"/>
        </w:rPr>
        <w:t>]</w:t>
      </w:r>
      <w:r w:rsidRPr="00C209C0">
        <w:rPr>
          <w:lang w:val="en-GB"/>
        </w:rPr>
        <w:t>.</w:t>
      </w:r>
    </w:p>
    <w:p w14:paraId="62E22C1A" w14:textId="77777777" w:rsidR="004F4F69" w:rsidRPr="00C209C0" w:rsidRDefault="00B46AB5" w:rsidP="00B46AB5">
      <w:pPr>
        <w:pStyle w:val="MDPI21heading1"/>
        <w:rPr>
          <w:lang w:val="en-GB"/>
        </w:rPr>
      </w:pPr>
      <w:r w:rsidRPr="00C209C0">
        <w:rPr>
          <w:lang w:val="en-GB"/>
        </w:rPr>
        <w:t xml:space="preserve">3. </w:t>
      </w:r>
      <w:r w:rsidR="00593D38" w:rsidRPr="00C209C0">
        <w:rPr>
          <w:lang w:val="en-GB"/>
        </w:rPr>
        <w:t>Conclusions</w:t>
      </w:r>
    </w:p>
    <w:p w14:paraId="19C2CFE4" w14:textId="5A3CEAD2" w:rsidR="00B2098F" w:rsidRDefault="00593D38" w:rsidP="00B325CA">
      <w:pPr>
        <w:pStyle w:val="MDPI31text"/>
        <w:rPr>
          <w:rStyle w:val="Hyperlink"/>
          <w:rFonts w:cstheme="minorHAnsi"/>
          <w:color w:val="000000" w:themeColor="text1"/>
          <w:szCs w:val="20"/>
          <w:u w:val="none"/>
          <w:lang w:val="en-GB"/>
        </w:rPr>
      </w:pPr>
      <w:r w:rsidRPr="00340A68">
        <w:rPr>
          <w:rStyle w:val="Hyperlink"/>
          <w:rFonts w:cstheme="minorHAnsi"/>
          <w:color w:val="000000" w:themeColor="text1"/>
          <w:szCs w:val="20"/>
          <w:u w:val="none"/>
          <w:lang w:val="en-GB"/>
        </w:rPr>
        <w:t xml:space="preserve">Older age is </w:t>
      </w:r>
      <w:r w:rsidR="001776CB" w:rsidRPr="00340A68">
        <w:rPr>
          <w:rStyle w:val="Hyperlink"/>
          <w:rFonts w:cstheme="minorHAnsi"/>
          <w:color w:val="000000" w:themeColor="text1"/>
          <w:szCs w:val="20"/>
          <w:u w:val="none"/>
          <w:lang w:val="en-GB"/>
        </w:rPr>
        <w:t>associated with an</w:t>
      </w:r>
      <w:r w:rsidRPr="00340A68">
        <w:rPr>
          <w:rStyle w:val="Hyperlink"/>
          <w:rFonts w:cstheme="minorHAnsi"/>
          <w:color w:val="000000" w:themeColor="text1"/>
          <w:szCs w:val="20"/>
          <w:u w:val="none"/>
          <w:lang w:val="en-GB"/>
        </w:rPr>
        <w:t xml:space="preserve"> increased risk of accumulating multiple </w:t>
      </w:r>
      <w:r w:rsidR="004F4F69" w:rsidRPr="00340A68">
        <w:rPr>
          <w:rStyle w:val="Hyperlink"/>
          <w:rFonts w:cstheme="minorHAnsi"/>
          <w:color w:val="000000" w:themeColor="text1"/>
          <w:szCs w:val="20"/>
          <w:u w:val="none"/>
          <w:lang w:val="en-GB"/>
        </w:rPr>
        <w:t>long-term</w:t>
      </w:r>
      <w:r w:rsidRPr="00340A68">
        <w:rPr>
          <w:rStyle w:val="Hyperlink"/>
          <w:rFonts w:cstheme="minorHAnsi"/>
          <w:color w:val="000000" w:themeColor="text1"/>
          <w:szCs w:val="20"/>
          <w:u w:val="none"/>
          <w:lang w:val="en-GB"/>
        </w:rPr>
        <w:t xml:space="preserve"> conditions. Multi-morbidity and polypharmacy are associated with progressive loss of resilience</w:t>
      </w:r>
      <w:r w:rsidR="000E4C44">
        <w:rPr>
          <w:rStyle w:val="Hyperlink"/>
          <w:rFonts w:cstheme="minorHAnsi"/>
          <w:color w:val="000000" w:themeColor="text1"/>
          <w:szCs w:val="20"/>
          <w:u w:val="none"/>
          <w:lang w:val="en-GB"/>
        </w:rPr>
        <w:t xml:space="preserve"> and </w:t>
      </w:r>
      <w:r w:rsidRPr="00340A68">
        <w:rPr>
          <w:rStyle w:val="Hyperlink"/>
          <w:rFonts w:cstheme="minorHAnsi"/>
          <w:color w:val="000000" w:themeColor="text1"/>
          <w:szCs w:val="20"/>
          <w:u w:val="none"/>
          <w:lang w:val="en-GB"/>
        </w:rPr>
        <w:t>impaired homeostasis</w:t>
      </w:r>
      <w:r w:rsidR="000E4C44">
        <w:rPr>
          <w:rStyle w:val="Hyperlink"/>
          <w:rFonts w:cstheme="minorHAnsi"/>
          <w:color w:val="000000" w:themeColor="text1"/>
          <w:szCs w:val="20"/>
          <w:u w:val="none"/>
          <w:lang w:val="en-GB"/>
        </w:rPr>
        <w:t>, that</w:t>
      </w:r>
      <w:r w:rsidR="00211961" w:rsidRPr="00340A68">
        <w:rPr>
          <w:rStyle w:val="Hyperlink"/>
          <w:rFonts w:cstheme="minorHAnsi"/>
          <w:color w:val="000000" w:themeColor="text1"/>
          <w:szCs w:val="20"/>
          <w:u w:val="none"/>
          <w:lang w:val="en-GB"/>
        </w:rPr>
        <w:t xml:space="preserve"> </w:t>
      </w:r>
      <w:r w:rsidRPr="00340A68">
        <w:rPr>
          <w:rStyle w:val="Hyperlink"/>
          <w:rFonts w:cstheme="minorHAnsi"/>
          <w:color w:val="000000" w:themeColor="text1"/>
          <w:szCs w:val="20"/>
          <w:u w:val="none"/>
          <w:lang w:val="en-GB"/>
        </w:rPr>
        <w:t>contribut</w:t>
      </w:r>
      <w:r w:rsidR="000E4C44">
        <w:rPr>
          <w:rStyle w:val="Hyperlink"/>
          <w:rFonts w:cstheme="minorHAnsi"/>
          <w:color w:val="000000" w:themeColor="text1"/>
          <w:szCs w:val="20"/>
          <w:u w:val="none"/>
          <w:lang w:val="en-GB"/>
        </w:rPr>
        <w:t>e</w:t>
      </w:r>
      <w:r w:rsidRPr="00340A68">
        <w:rPr>
          <w:rStyle w:val="Hyperlink"/>
          <w:rFonts w:cstheme="minorHAnsi"/>
          <w:color w:val="000000" w:themeColor="text1"/>
          <w:szCs w:val="20"/>
          <w:u w:val="none"/>
          <w:lang w:val="en-GB"/>
        </w:rPr>
        <w:t xml:space="preserve"> to</w:t>
      </w:r>
      <w:r w:rsidR="003C3CDB" w:rsidRPr="00340A68">
        <w:rPr>
          <w:rStyle w:val="Hyperlink"/>
          <w:rFonts w:cstheme="minorHAnsi"/>
          <w:color w:val="000000" w:themeColor="text1"/>
          <w:szCs w:val="20"/>
          <w:u w:val="none"/>
          <w:lang w:val="en-GB"/>
        </w:rPr>
        <w:t xml:space="preserve"> </w:t>
      </w:r>
      <w:r w:rsidRPr="00340A68">
        <w:rPr>
          <w:rStyle w:val="Hyperlink"/>
          <w:rFonts w:cstheme="minorHAnsi"/>
          <w:color w:val="000000" w:themeColor="text1"/>
          <w:szCs w:val="20"/>
          <w:u w:val="none"/>
          <w:lang w:val="en-GB"/>
        </w:rPr>
        <w:t xml:space="preserve">significant health and social care burden. </w:t>
      </w:r>
      <w:r w:rsidR="00273A1A" w:rsidRPr="00340A68">
        <w:rPr>
          <w:rStyle w:val="Hyperlink"/>
          <w:rFonts w:cstheme="minorHAnsi"/>
          <w:color w:val="000000" w:themeColor="text1"/>
          <w:szCs w:val="20"/>
          <w:u w:val="none"/>
          <w:lang w:val="en-GB"/>
        </w:rPr>
        <w:t xml:space="preserve">Implementing an </w:t>
      </w:r>
      <w:r w:rsidR="00B04C7B" w:rsidRPr="00340A68">
        <w:rPr>
          <w:rStyle w:val="Hyperlink"/>
          <w:rFonts w:cstheme="minorHAnsi"/>
          <w:color w:val="000000" w:themeColor="text1"/>
          <w:szCs w:val="20"/>
          <w:u w:val="none"/>
          <w:lang w:val="en-GB"/>
        </w:rPr>
        <w:t>age-frien</w:t>
      </w:r>
      <w:r w:rsidR="001776CB" w:rsidRPr="00340A68">
        <w:rPr>
          <w:rStyle w:val="Hyperlink"/>
          <w:rFonts w:cstheme="minorHAnsi"/>
          <w:color w:val="000000" w:themeColor="text1"/>
          <w:szCs w:val="20"/>
          <w:u w:val="none"/>
          <w:lang w:val="en-GB"/>
        </w:rPr>
        <w:t>dly care</w:t>
      </w:r>
      <w:r w:rsidR="00273A1A" w:rsidRPr="00340A68">
        <w:rPr>
          <w:rStyle w:val="Hyperlink"/>
          <w:rFonts w:cstheme="minorHAnsi"/>
          <w:color w:val="000000" w:themeColor="text1"/>
          <w:szCs w:val="20"/>
          <w:u w:val="none"/>
          <w:lang w:val="en-GB"/>
        </w:rPr>
        <w:t xml:space="preserve"> paradigm</w:t>
      </w:r>
      <w:r w:rsidR="001776CB" w:rsidRPr="00340A68">
        <w:rPr>
          <w:rStyle w:val="Hyperlink"/>
          <w:rFonts w:cstheme="minorHAnsi"/>
          <w:color w:val="000000" w:themeColor="text1"/>
          <w:szCs w:val="20"/>
          <w:u w:val="none"/>
          <w:lang w:val="en-GB"/>
        </w:rPr>
        <w:t xml:space="preserve"> where there is r</w:t>
      </w:r>
      <w:r w:rsidRPr="00340A68">
        <w:rPr>
          <w:rStyle w:val="Hyperlink"/>
          <w:rFonts w:cstheme="minorHAnsi"/>
          <w:color w:val="000000" w:themeColor="text1"/>
          <w:szCs w:val="20"/>
          <w:u w:val="none"/>
          <w:lang w:val="en-GB"/>
        </w:rPr>
        <w:t xml:space="preserve">outine assessment of </w:t>
      </w:r>
      <w:r w:rsidR="004F4F69" w:rsidRPr="00340A68">
        <w:rPr>
          <w:rStyle w:val="Hyperlink"/>
          <w:rFonts w:cstheme="minorHAnsi"/>
          <w:color w:val="000000" w:themeColor="text1"/>
          <w:szCs w:val="20"/>
          <w:u w:val="none"/>
          <w:lang w:val="en-GB"/>
        </w:rPr>
        <w:t>long-term</w:t>
      </w:r>
      <w:r w:rsidRPr="00340A68">
        <w:rPr>
          <w:rStyle w:val="Hyperlink"/>
          <w:rFonts w:cstheme="minorHAnsi"/>
          <w:color w:val="000000" w:themeColor="text1"/>
          <w:szCs w:val="20"/>
          <w:u w:val="none"/>
          <w:lang w:val="en-GB"/>
        </w:rPr>
        <w:t xml:space="preserve"> conditions, </w:t>
      </w:r>
      <w:r w:rsidR="001776CB" w:rsidRPr="00340A68">
        <w:rPr>
          <w:rStyle w:val="Hyperlink"/>
          <w:rFonts w:cstheme="minorHAnsi"/>
          <w:color w:val="000000" w:themeColor="text1"/>
          <w:szCs w:val="20"/>
          <w:u w:val="none"/>
          <w:lang w:val="en-GB"/>
        </w:rPr>
        <w:t xml:space="preserve">ascertainment </w:t>
      </w:r>
      <w:r w:rsidRPr="00340A68">
        <w:rPr>
          <w:rStyle w:val="Hyperlink"/>
          <w:rFonts w:cstheme="minorHAnsi"/>
          <w:color w:val="000000" w:themeColor="text1"/>
          <w:szCs w:val="20"/>
          <w:u w:val="none"/>
          <w:lang w:val="en-GB"/>
        </w:rPr>
        <w:t>of frailty</w:t>
      </w:r>
      <w:r w:rsidR="003C3CDB" w:rsidRPr="00340A68">
        <w:rPr>
          <w:rStyle w:val="Hyperlink"/>
          <w:rFonts w:cstheme="minorHAnsi"/>
          <w:color w:val="000000" w:themeColor="text1"/>
          <w:szCs w:val="20"/>
          <w:u w:val="none"/>
          <w:lang w:val="en-GB"/>
        </w:rPr>
        <w:t>,</w:t>
      </w:r>
      <w:r w:rsidRPr="00340A68">
        <w:rPr>
          <w:rStyle w:val="Hyperlink"/>
          <w:rFonts w:cstheme="minorHAnsi"/>
          <w:color w:val="000000" w:themeColor="text1"/>
          <w:szCs w:val="20"/>
          <w:u w:val="none"/>
          <w:lang w:val="en-GB"/>
        </w:rPr>
        <w:t xml:space="preserve"> and medicines optimisation</w:t>
      </w:r>
      <w:r w:rsidR="00273A1A" w:rsidRPr="00340A68">
        <w:rPr>
          <w:rStyle w:val="Hyperlink"/>
          <w:rFonts w:cstheme="minorHAnsi"/>
          <w:color w:val="000000" w:themeColor="text1"/>
          <w:szCs w:val="20"/>
          <w:u w:val="none"/>
          <w:lang w:val="en-GB"/>
        </w:rPr>
        <w:t xml:space="preserve"> should be the goal for clinicians</w:t>
      </w:r>
      <w:r w:rsidRPr="00340A68">
        <w:rPr>
          <w:rStyle w:val="Hyperlink"/>
          <w:rFonts w:cstheme="minorHAnsi"/>
          <w:color w:val="000000" w:themeColor="text1"/>
          <w:szCs w:val="20"/>
          <w:u w:val="none"/>
          <w:lang w:val="en-GB"/>
        </w:rPr>
        <w:t xml:space="preserve"> across all health and social care settings</w:t>
      </w:r>
      <w:r w:rsidR="00273A1A" w:rsidRPr="00340A68">
        <w:rPr>
          <w:rStyle w:val="Hyperlink"/>
          <w:rFonts w:cstheme="minorHAnsi"/>
          <w:color w:val="000000" w:themeColor="text1"/>
          <w:szCs w:val="20"/>
          <w:u w:val="none"/>
          <w:lang w:val="en-GB"/>
        </w:rPr>
        <w:t xml:space="preserve">. </w:t>
      </w:r>
    </w:p>
    <w:p w14:paraId="6E097206" w14:textId="7B68340E" w:rsidR="0002196E" w:rsidRDefault="0002196E" w:rsidP="00B325CA">
      <w:pPr>
        <w:pStyle w:val="MDPI31text"/>
        <w:rPr>
          <w:rStyle w:val="Hyperlink"/>
          <w:rFonts w:cstheme="minorHAnsi"/>
          <w:color w:val="000000" w:themeColor="text1"/>
          <w:szCs w:val="20"/>
          <w:u w:val="none"/>
          <w:lang w:val="en-GB"/>
        </w:rPr>
      </w:pPr>
    </w:p>
    <w:p w14:paraId="67A2023B" w14:textId="4D3C8918" w:rsidR="0002196E" w:rsidRDefault="0002196E" w:rsidP="00B325CA">
      <w:pPr>
        <w:pStyle w:val="MDPI31text"/>
        <w:rPr>
          <w:rStyle w:val="Hyperlink"/>
          <w:rFonts w:cstheme="minorHAnsi"/>
          <w:color w:val="000000" w:themeColor="text1"/>
          <w:szCs w:val="20"/>
          <w:u w:val="none"/>
          <w:lang w:val="en-GB"/>
        </w:rPr>
      </w:pPr>
    </w:p>
    <w:p w14:paraId="26643AA2" w14:textId="6E2A1551" w:rsidR="0002196E" w:rsidRDefault="0002196E" w:rsidP="00B325CA">
      <w:pPr>
        <w:pStyle w:val="MDPI31text"/>
        <w:rPr>
          <w:rStyle w:val="Hyperlink"/>
          <w:rFonts w:cstheme="minorHAnsi"/>
          <w:color w:val="000000" w:themeColor="text1"/>
          <w:szCs w:val="20"/>
          <w:u w:val="none"/>
          <w:lang w:val="en-GB"/>
        </w:rPr>
      </w:pPr>
    </w:p>
    <w:p w14:paraId="5F80B4AB" w14:textId="679FE1DB" w:rsidR="0002196E" w:rsidRDefault="0002196E" w:rsidP="00B325CA">
      <w:pPr>
        <w:pStyle w:val="MDPI31text"/>
        <w:rPr>
          <w:rStyle w:val="Hyperlink"/>
          <w:rFonts w:cstheme="minorHAnsi"/>
          <w:color w:val="000000" w:themeColor="text1"/>
          <w:szCs w:val="20"/>
          <w:u w:val="none"/>
          <w:lang w:val="en-GB"/>
        </w:rPr>
      </w:pPr>
    </w:p>
    <w:p w14:paraId="7BA87150" w14:textId="080FF357" w:rsidR="0002196E" w:rsidRDefault="0002196E" w:rsidP="00B325CA">
      <w:pPr>
        <w:pStyle w:val="MDPI31text"/>
        <w:rPr>
          <w:rStyle w:val="Hyperlink"/>
          <w:rFonts w:cstheme="minorHAnsi"/>
          <w:color w:val="000000" w:themeColor="text1"/>
          <w:szCs w:val="20"/>
          <w:u w:val="none"/>
          <w:lang w:val="en-GB"/>
        </w:rPr>
      </w:pPr>
    </w:p>
    <w:p w14:paraId="66F70C06" w14:textId="2E951D98" w:rsidR="0002196E" w:rsidRDefault="0002196E" w:rsidP="00B325CA">
      <w:pPr>
        <w:pStyle w:val="MDPI31text"/>
        <w:rPr>
          <w:rStyle w:val="Hyperlink"/>
          <w:rFonts w:cstheme="minorHAnsi"/>
          <w:color w:val="000000" w:themeColor="text1"/>
          <w:szCs w:val="20"/>
          <w:u w:val="none"/>
          <w:lang w:val="en-GB"/>
        </w:rPr>
      </w:pPr>
    </w:p>
    <w:p w14:paraId="299D1AC6" w14:textId="0B18ED82" w:rsidR="0002196E" w:rsidRDefault="0002196E" w:rsidP="00B325CA">
      <w:pPr>
        <w:pStyle w:val="MDPI31text"/>
        <w:rPr>
          <w:rStyle w:val="Hyperlink"/>
          <w:rFonts w:cstheme="minorHAnsi"/>
          <w:color w:val="000000" w:themeColor="text1"/>
          <w:szCs w:val="20"/>
          <w:u w:val="none"/>
          <w:lang w:val="en-GB"/>
        </w:rPr>
      </w:pPr>
    </w:p>
    <w:p w14:paraId="565C43F4" w14:textId="2CA7DC88" w:rsidR="0002196E" w:rsidRDefault="0002196E" w:rsidP="00B325CA">
      <w:pPr>
        <w:pStyle w:val="MDPI31text"/>
        <w:rPr>
          <w:rStyle w:val="Hyperlink"/>
          <w:rFonts w:cstheme="minorHAnsi"/>
          <w:color w:val="000000" w:themeColor="text1"/>
          <w:szCs w:val="20"/>
          <w:u w:val="none"/>
          <w:lang w:val="en-GB"/>
        </w:rPr>
      </w:pPr>
    </w:p>
    <w:p w14:paraId="3EC40EAB" w14:textId="027397FB" w:rsidR="0002196E" w:rsidRDefault="0002196E" w:rsidP="00B325CA">
      <w:pPr>
        <w:pStyle w:val="MDPI31text"/>
        <w:rPr>
          <w:rStyle w:val="Hyperlink"/>
          <w:rFonts w:cstheme="minorHAnsi"/>
          <w:color w:val="000000" w:themeColor="text1"/>
          <w:szCs w:val="20"/>
          <w:u w:val="none"/>
          <w:lang w:val="en-GB"/>
        </w:rPr>
      </w:pPr>
    </w:p>
    <w:p w14:paraId="279A3434" w14:textId="61D17553" w:rsidR="0002196E" w:rsidRDefault="0002196E" w:rsidP="00B325CA">
      <w:pPr>
        <w:pStyle w:val="MDPI31text"/>
        <w:rPr>
          <w:rStyle w:val="Hyperlink"/>
          <w:rFonts w:cstheme="minorHAnsi"/>
          <w:color w:val="000000" w:themeColor="text1"/>
          <w:szCs w:val="20"/>
          <w:u w:val="none"/>
          <w:lang w:val="en-GB"/>
        </w:rPr>
      </w:pPr>
    </w:p>
    <w:p w14:paraId="3B8ED81B" w14:textId="72054D4F" w:rsidR="0002196E" w:rsidRDefault="0002196E" w:rsidP="00B325CA">
      <w:pPr>
        <w:pStyle w:val="MDPI31text"/>
        <w:rPr>
          <w:rStyle w:val="Hyperlink"/>
          <w:rFonts w:cstheme="minorHAnsi"/>
          <w:color w:val="000000" w:themeColor="text1"/>
          <w:szCs w:val="20"/>
          <w:u w:val="none"/>
          <w:lang w:val="en-GB"/>
        </w:rPr>
      </w:pPr>
    </w:p>
    <w:p w14:paraId="5073D72B" w14:textId="77777777" w:rsidR="0002196E" w:rsidRPr="00340A68" w:rsidRDefault="0002196E" w:rsidP="00B325CA">
      <w:pPr>
        <w:pStyle w:val="MDPI31text"/>
        <w:rPr>
          <w:rStyle w:val="Hyperlink"/>
          <w:rFonts w:cstheme="minorHAnsi"/>
          <w:color w:val="000000" w:themeColor="text1"/>
          <w:szCs w:val="20"/>
          <w:u w:val="none"/>
          <w:lang w:val="en-GB"/>
        </w:rPr>
      </w:pPr>
    </w:p>
    <w:p w14:paraId="61AE2DA0" w14:textId="77777777" w:rsidR="00B2098F" w:rsidRPr="00C209C0" w:rsidRDefault="00B2098F" w:rsidP="00B2098F">
      <w:pPr>
        <w:pStyle w:val="MDPI62Acknowledgments"/>
        <w:rPr>
          <w:b/>
          <w:lang w:val="en-GB"/>
        </w:rPr>
      </w:pPr>
      <w:r w:rsidRPr="00C209C0">
        <w:rPr>
          <w:b/>
          <w:lang w:val="en-GB"/>
        </w:rPr>
        <w:lastRenderedPageBreak/>
        <w:t>Appendix 1.1</w:t>
      </w:r>
    </w:p>
    <w:p w14:paraId="72193E1F" w14:textId="14E57E18" w:rsidR="00B2098F" w:rsidRPr="00C209C0" w:rsidRDefault="00B2098F" w:rsidP="00B2098F">
      <w:pPr>
        <w:pStyle w:val="MDPI31text"/>
        <w:rPr>
          <w:b/>
          <w:bCs/>
          <w:sz w:val="18"/>
          <w:szCs w:val="18"/>
          <w:lang w:val="en-GB"/>
        </w:rPr>
      </w:pPr>
      <w:r w:rsidRPr="00C209C0">
        <w:rPr>
          <w:b/>
          <w:sz w:val="18"/>
          <w:szCs w:val="20"/>
          <w:lang w:val="en-GB"/>
        </w:rPr>
        <w:t>Search strategy:</w:t>
      </w:r>
      <w:r w:rsidRPr="00C209C0">
        <w:rPr>
          <w:b/>
          <w:bCs/>
          <w:lang w:val="en-GB"/>
        </w:rPr>
        <w:t xml:space="preserve"> </w:t>
      </w:r>
      <w:r w:rsidRPr="00C209C0">
        <w:rPr>
          <w:sz w:val="18"/>
          <w:szCs w:val="18"/>
          <w:lang w:val="en-GB"/>
        </w:rPr>
        <w:t>A literature review was carried out utilising medical journal databases, including PubMed and the Cochrane Library. Search terms pertinent to this topic used were “multi-morbidity”, “polypharmacy”, “deprescribing”, “comprehensive geriatric assessment”, “age friendly care”</w:t>
      </w:r>
      <w:r w:rsidR="003C3CDB">
        <w:rPr>
          <w:sz w:val="18"/>
          <w:szCs w:val="18"/>
          <w:lang w:val="en-GB"/>
        </w:rPr>
        <w:t>,</w:t>
      </w:r>
      <w:r w:rsidRPr="00C209C0">
        <w:rPr>
          <w:sz w:val="18"/>
          <w:szCs w:val="18"/>
          <w:lang w:val="en-GB"/>
        </w:rPr>
        <w:t xml:space="preserve"> and “patient priority care”. Article titles and abstracts were then assessed for relevance and full-text screening performed if the title or abstract contained one or more search terms</w:t>
      </w:r>
      <w:r w:rsidR="003C3CDB">
        <w:rPr>
          <w:sz w:val="18"/>
          <w:szCs w:val="18"/>
          <w:lang w:val="en-GB"/>
        </w:rPr>
        <w:t>,</w:t>
      </w:r>
      <w:r w:rsidRPr="00C209C0">
        <w:rPr>
          <w:sz w:val="18"/>
          <w:szCs w:val="18"/>
          <w:lang w:val="en-GB"/>
        </w:rPr>
        <w:t xml:space="preserve"> and the article itself was deemed relevant to this topic. Articles were also selected for further review from the wider literature based on the authors own clinical expertise and knowledge of pre-existing work in this field. Only English </w:t>
      </w:r>
      <w:r w:rsidR="003C3CDB" w:rsidRPr="00C209C0">
        <w:rPr>
          <w:sz w:val="18"/>
          <w:szCs w:val="18"/>
          <w:lang w:val="en-GB"/>
        </w:rPr>
        <w:t xml:space="preserve">articles </w:t>
      </w:r>
      <w:r w:rsidRPr="00C209C0">
        <w:rPr>
          <w:sz w:val="18"/>
          <w:szCs w:val="18"/>
          <w:lang w:val="en-GB"/>
        </w:rPr>
        <w:t>language published between 2003 and 2020 were included. We applied the principles from the Scale for the Assessment of Narrative Review Articles (SANRA) to this manuscript.</w:t>
      </w:r>
    </w:p>
    <w:p w14:paraId="292ADCC9" w14:textId="77777777" w:rsidR="000E4C44" w:rsidRDefault="000E4C44" w:rsidP="00B2098F">
      <w:pPr>
        <w:pStyle w:val="MDPI62Acknowledgments"/>
        <w:rPr>
          <w:b/>
          <w:lang w:val="en-GB"/>
        </w:rPr>
      </w:pPr>
    </w:p>
    <w:p w14:paraId="712631B6" w14:textId="77777777" w:rsidR="000E4C44" w:rsidRDefault="000E4C44" w:rsidP="00B2098F">
      <w:pPr>
        <w:pStyle w:val="MDPI62Acknowledgments"/>
        <w:rPr>
          <w:b/>
          <w:lang w:val="en-GB"/>
        </w:rPr>
      </w:pPr>
    </w:p>
    <w:p w14:paraId="0610EED9" w14:textId="77777777" w:rsidR="00B2098F" w:rsidRPr="00C209C0" w:rsidRDefault="00B2098F" w:rsidP="00B2098F">
      <w:pPr>
        <w:pStyle w:val="MDPI71References"/>
        <w:numPr>
          <w:ilvl w:val="0"/>
          <w:numId w:val="0"/>
        </w:numPr>
        <w:spacing w:after="240"/>
        <w:rPr>
          <w:rFonts w:eastAsia="SimSun"/>
          <w:sz w:val="22"/>
          <w:szCs w:val="22"/>
          <w:lang w:val="en-GB"/>
        </w:rPr>
      </w:pPr>
      <w:r w:rsidRPr="00C209C0">
        <w:rPr>
          <w:rFonts w:eastAsia="SimSun"/>
          <w:noProof/>
          <w:snapToGrid/>
          <w:sz w:val="22"/>
          <w:szCs w:val="22"/>
          <w:lang w:eastAsia="zh-CN" w:bidi="ar-SA"/>
        </w:rPr>
        <w:drawing>
          <wp:inline distT="0" distB="0" distL="0" distR="0" wp14:anchorId="0D408219" wp14:editId="7ECBA942">
            <wp:extent cx="5615940" cy="659384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5940" cy="6593840"/>
                    </a:xfrm>
                    <a:prstGeom prst="rect">
                      <a:avLst/>
                    </a:prstGeom>
                  </pic:spPr>
                </pic:pic>
              </a:graphicData>
            </a:graphic>
          </wp:inline>
        </w:drawing>
      </w:r>
    </w:p>
    <w:p w14:paraId="68A02D7F" w14:textId="025C509B" w:rsidR="00944DD1" w:rsidRPr="00C209C0" w:rsidRDefault="00944DD1" w:rsidP="00944DD1">
      <w:pPr>
        <w:pStyle w:val="MDPI62Acknowledgments"/>
        <w:rPr>
          <w:b/>
          <w:lang w:val="en-GB"/>
        </w:rPr>
      </w:pPr>
      <w:r>
        <w:rPr>
          <w:b/>
          <w:lang w:val="en-GB"/>
        </w:rPr>
        <w:t xml:space="preserve">Figure </w:t>
      </w:r>
      <w:r w:rsidR="009D5E37">
        <w:rPr>
          <w:b/>
          <w:lang w:val="en-GB"/>
        </w:rPr>
        <w:t>1.1</w:t>
      </w:r>
      <w:r>
        <w:rPr>
          <w:b/>
          <w:lang w:val="en-GB"/>
        </w:rPr>
        <w:t xml:space="preserve">. </w:t>
      </w:r>
      <w:r w:rsidRPr="00C209C0">
        <w:rPr>
          <w:b/>
          <w:lang w:val="en-GB"/>
        </w:rPr>
        <w:t>Flow chart</w:t>
      </w:r>
      <w:r>
        <w:rPr>
          <w:b/>
          <w:lang w:val="en-GB"/>
        </w:rPr>
        <w:t xml:space="preserve"> for article selection</w:t>
      </w:r>
    </w:p>
    <w:p w14:paraId="068076BF" w14:textId="0712760D" w:rsidR="00B2098F" w:rsidRPr="0002196E" w:rsidRDefault="00B2098F" w:rsidP="0002196E">
      <w:pPr>
        <w:pStyle w:val="MDPI12title"/>
        <w:rPr>
          <w:rFonts w:eastAsia="SimSun"/>
          <w:lang w:val="en-GB"/>
        </w:rPr>
      </w:pPr>
      <w:r w:rsidRPr="00C209C0">
        <w:rPr>
          <w:rFonts w:eastAsia="SimSun"/>
          <w:lang w:val="en-GB"/>
        </w:rPr>
        <w:br w:type="page"/>
      </w:r>
      <w:r w:rsidRPr="00C209C0">
        <w:rPr>
          <w:rFonts w:eastAsia="SimSun"/>
          <w:bCs/>
          <w:szCs w:val="18"/>
          <w:lang w:val="en-GB"/>
        </w:rPr>
        <w:lastRenderedPageBreak/>
        <w:t>Appendix 1.2</w:t>
      </w:r>
    </w:p>
    <w:p w14:paraId="7D55A0AD" w14:textId="0686B8DE" w:rsidR="009D5E37" w:rsidRDefault="009D5E37" w:rsidP="00B2098F">
      <w:pPr>
        <w:pStyle w:val="MDPI71References"/>
        <w:numPr>
          <w:ilvl w:val="0"/>
          <w:numId w:val="0"/>
        </w:numPr>
        <w:spacing w:after="240"/>
        <w:rPr>
          <w:bCs/>
          <w:szCs w:val="18"/>
          <w:lang w:val="en-GB"/>
        </w:rPr>
      </w:pPr>
      <w:r w:rsidRPr="009D5E37">
        <w:rPr>
          <w:rFonts w:eastAsia="SimSun"/>
          <w:bCs/>
          <w:szCs w:val="18"/>
          <w:lang w:val="en-GB"/>
        </w:rPr>
        <w:t xml:space="preserve">Table 1.2 </w:t>
      </w:r>
      <w:r w:rsidRPr="0002196E">
        <w:rPr>
          <w:bCs/>
          <w:szCs w:val="18"/>
          <w:lang w:val="en-GB"/>
        </w:rPr>
        <w:t>Scale for the Assessment of Narrative Review Articles (SANRA)</w:t>
      </w:r>
    </w:p>
    <w:p w14:paraId="4A6D20A4" w14:textId="77777777" w:rsidR="009D5E37" w:rsidRPr="00C209C0" w:rsidRDefault="009D5E37" w:rsidP="009D5E37">
      <w:pPr>
        <w:pStyle w:val="MDPI43tablefooter"/>
        <w:ind w:left="425" w:right="425"/>
        <w:rPr>
          <w:rFonts w:eastAsia="SimSun"/>
          <w:lang w:val="en-GB"/>
        </w:rPr>
      </w:pPr>
      <w:r w:rsidRPr="00C209C0">
        <w:rPr>
          <w:rFonts w:eastAsia="SimSun"/>
          <w:lang w:val="en-GB"/>
        </w:rPr>
        <w:t xml:space="preserve">We rated the content of this manuscript according to the </w:t>
      </w:r>
      <w:r w:rsidRPr="00C209C0">
        <w:rPr>
          <w:lang w:val="en-GB"/>
        </w:rPr>
        <w:t xml:space="preserve">Scale for the Assessment of Narrative Review Articles (SANRA) </w:t>
      </w:r>
      <w:r w:rsidRPr="00C209C0">
        <w:rPr>
          <w:noProof/>
          <w:lang w:val="en-GB"/>
        </w:rPr>
        <w:t>[5]</w:t>
      </w:r>
      <w:r w:rsidRPr="00C209C0">
        <w:rPr>
          <w:lang w:val="en-GB"/>
        </w:rPr>
        <w:t>. The sum score was 10 out of a maximum of 12 points indicating a high-quality manuscript.</w:t>
      </w:r>
    </w:p>
    <w:p w14:paraId="796EDAB0" w14:textId="77777777" w:rsidR="009D5E37" w:rsidRPr="009D5E37" w:rsidRDefault="009D5E37" w:rsidP="00B2098F">
      <w:pPr>
        <w:pStyle w:val="MDPI71References"/>
        <w:numPr>
          <w:ilvl w:val="0"/>
          <w:numId w:val="0"/>
        </w:numPr>
        <w:spacing w:after="240"/>
        <w:rPr>
          <w:rFonts w:eastAsia="SimSun"/>
          <w:szCs w:val="18"/>
          <w:lang w:val="en-GB"/>
        </w:rPr>
      </w:pPr>
    </w:p>
    <w:tbl>
      <w:tblPr>
        <w:tblStyle w:val="TableGrid"/>
        <w:tblW w:w="8372" w:type="dxa"/>
        <w:jc w:val="center"/>
        <w:tblLook w:val="04A0" w:firstRow="1" w:lastRow="0" w:firstColumn="1" w:lastColumn="0" w:noHBand="0" w:noVBand="1"/>
      </w:tblPr>
      <w:tblGrid>
        <w:gridCol w:w="316"/>
        <w:gridCol w:w="7216"/>
        <w:gridCol w:w="456"/>
        <w:gridCol w:w="384"/>
      </w:tblGrid>
      <w:tr w:rsidR="00B2098F" w:rsidRPr="00C209C0" w14:paraId="1554D71C" w14:textId="77777777" w:rsidTr="008A2E76">
        <w:trPr>
          <w:jc w:val="center"/>
        </w:trPr>
        <w:tc>
          <w:tcPr>
            <w:tcW w:w="0" w:type="auto"/>
            <w:gridSpan w:val="4"/>
            <w:tcBorders>
              <w:top w:val="single" w:sz="8" w:space="0" w:color="auto"/>
              <w:left w:val="nil"/>
              <w:right w:val="nil"/>
            </w:tcBorders>
            <w:shd w:val="clear" w:color="auto" w:fill="auto"/>
            <w:vAlign w:val="center"/>
          </w:tcPr>
          <w:p w14:paraId="09582374" w14:textId="54913BB5" w:rsidR="00B2098F" w:rsidRPr="00C209C0" w:rsidRDefault="00B2098F" w:rsidP="00B2098F">
            <w:pPr>
              <w:autoSpaceDE w:val="0"/>
              <w:autoSpaceDN w:val="0"/>
              <w:adjustRightInd w:val="0"/>
              <w:snapToGrid w:val="0"/>
              <w:spacing w:line="240" w:lineRule="auto"/>
              <w:jc w:val="center"/>
              <w:rPr>
                <w:rFonts w:ascii="Palatino Linotype" w:hAnsi="Palatino Linotype"/>
                <w:b/>
                <w:sz w:val="20"/>
                <w:szCs w:val="22"/>
                <w:lang w:val="en-GB"/>
              </w:rPr>
            </w:pPr>
          </w:p>
        </w:tc>
      </w:tr>
      <w:tr w:rsidR="00B2098F" w:rsidRPr="00C209C0" w14:paraId="5CA68726" w14:textId="77777777" w:rsidTr="008A2E76">
        <w:trPr>
          <w:jc w:val="center"/>
        </w:trPr>
        <w:tc>
          <w:tcPr>
            <w:tcW w:w="0" w:type="auto"/>
            <w:tcBorders>
              <w:left w:val="nil"/>
              <w:right w:val="nil"/>
            </w:tcBorders>
            <w:shd w:val="clear" w:color="auto" w:fill="auto"/>
            <w:vAlign w:val="center"/>
          </w:tcPr>
          <w:p w14:paraId="72CD08F6"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1</w:t>
            </w:r>
          </w:p>
        </w:tc>
        <w:tc>
          <w:tcPr>
            <w:tcW w:w="0" w:type="auto"/>
            <w:gridSpan w:val="3"/>
            <w:tcBorders>
              <w:left w:val="nil"/>
              <w:right w:val="nil"/>
            </w:tcBorders>
            <w:shd w:val="clear" w:color="auto" w:fill="auto"/>
            <w:vAlign w:val="center"/>
          </w:tcPr>
          <w:p w14:paraId="3EDDC39F" w14:textId="77777777"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Justification of the article’s importance for the readership</w:t>
            </w:r>
          </w:p>
        </w:tc>
      </w:tr>
      <w:tr w:rsidR="00B2098F" w:rsidRPr="00C209C0" w14:paraId="336D1C49" w14:textId="77777777" w:rsidTr="008A2E76">
        <w:trPr>
          <w:jc w:val="center"/>
        </w:trPr>
        <w:tc>
          <w:tcPr>
            <w:tcW w:w="0" w:type="auto"/>
            <w:tcBorders>
              <w:left w:val="nil"/>
              <w:right w:val="nil"/>
            </w:tcBorders>
            <w:shd w:val="clear" w:color="auto" w:fill="auto"/>
            <w:vAlign w:val="center"/>
          </w:tcPr>
          <w:p w14:paraId="7B9B9537"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sz w:val="20"/>
                <w:szCs w:val="22"/>
                <w:lang w:val="en-GB"/>
              </w:rPr>
            </w:pPr>
          </w:p>
        </w:tc>
        <w:tc>
          <w:tcPr>
            <w:tcW w:w="0" w:type="auto"/>
            <w:tcBorders>
              <w:left w:val="nil"/>
              <w:right w:val="nil"/>
            </w:tcBorders>
            <w:shd w:val="clear" w:color="auto" w:fill="auto"/>
            <w:vAlign w:val="center"/>
          </w:tcPr>
          <w:p w14:paraId="1AB86C13"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importance is not justified</w:t>
            </w:r>
          </w:p>
        </w:tc>
        <w:tc>
          <w:tcPr>
            <w:tcW w:w="0" w:type="auto"/>
            <w:tcBorders>
              <w:left w:val="nil"/>
              <w:right w:val="nil"/>
            </w:tcBorders>
            <w:shd w:val="clear" w:color="auto" w:fill="auto"/>
            <w:vAlign w:val="center"/>
          </w:tcPr>
          <w:p w14:paraId="3016C99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left w:val="nil"/>
              <w:right w:val="nil"/>
            </w:tcBorders>
            <w:shd w:val="clear" w:color="auto" w:fill="auto"/>
            <w:vAlign w:val="center"/>
          </w:tcPr>
          <w:p w14:paraId="754000D7"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44C03280" w14:textId="77777777" w:rsidTr="008A2E76">
        <w:trPr>
          <w:jc w:val="center"/>
        </w:trPr>
        <w:tc>
          <w:tcPr>
            <w:tcW w:w="0" w:type="auto"/>
            <w:tcBorders>
              <w:left w:val="nil"/>
              <w:right w:val="nil"/>
            </w:tcBorders>
            <w:shd w:val="clear" w:color="auto" w:fill="auto"/>
            <w:vAlign w:val="center"/>
          </w:tcPr>
          <w:p w14:paraId="7BE2F0CF"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4C3D42AA"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importance is alluded to, but not explicitly justified</w:t>
            </w:r>
          </w:p>
        </w:tc>
        <w:tc>
          <w:tcPr>
            <w:tcW w:w="0" w:type="auto"/>
            <w:tcBorders>
              <w:left w:val="nil"/>
              <w:right w:val="nil"/>
            </w:tcBorders>
            <w:shd w:val="clear" w:color="auto" w:fill="auto"/>
            <w:vAlign w:val="center"/>
          </w:tcPr>
          <w:p w14:paraId="65334B3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7BD8BC6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6E42FBC9" w14:textId="77777777" w:rsidTr="008A2E76">
        <w:trPr>
          <w:jc w:val="center"/>
        </w:trPr>
        <w:tc>
          <w:tcPr>
            <w:tcW w:w="0" w:type="auto"/>
            <w:tcBorders>
              <w:left w:val="nil"/>
              <w:right w:val="nil"/>
            </w:tcBorders>
            <w:shd w:val="clear" w:color="auto" w:fill="auto"/>
            <w:vAlign w:val="center"/>
          </w:tcPr>
          <w:p w14:paraId="1C5E412D"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66F72BAB" w14:textId="12B21EF9"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importance i</w:t>
            </w:r>
            <w:r w:rsidR="003C3CDB">
              <w:rPr>
                <w:rFonts w:ascii="Palatino Linotype" w:hAnsi="Palatino Linotype"/>
                <w:sz w:val="20"/>
                <w:szCs w:val="22"/>
                <w:lang w:val="en-GB"/>
              </w:rPr>
              <w:t>s</w:t>
            </w:r>
            <w:r w:rsidRPr="00C209C0">
              <w:rPr>
                <w:rFonts w:ascii="Palatino Linotype" w:hAnsi="Palatino Linotype"/>
                <w:sz w:val="20"/>
                <w:szCs w:val="22"/>
                <w:lang w:val="en-GB"/>
              </w:rPr>
              <w:t xml:space="preserve"> explicitly justified</w:t>
            </w:r>
          </w:p>
        </w:tc>
        <w:tc>
          <w:tcPr>
            <w:tcW w:w="0" w:type="auto"/>
            <w:tcBorders>
              <w:left w:val="nil"/>
              <w:right w:val="nil"/>
            </w:tcBorders>
            <w:shd w:val="clear" w:color="auto" w:fill="auto"/>
            <w:vAlign w:val="center"/>
          </w:tcPr>
          <w:p w14:paraId="3353348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1A13377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67D2E651" w14:textId="77777777" w:rsidTr="008A2E76">
        <w:trPr>
          <w:jc w:val="center"/>
        </w:trPr>
        <w:tc>
          <w:tcPr>
            <w:tcW w:w="0" w:type="auto"/>
            <w:tcBorders>
              <w:left w:val="nil"/>
              <w:right w:val="nil"/>
            </w:tcBorders>
            <w:shd w:val="clear" w:color="auto" w:fill="auto"/>
            <w:vAlign w:val="center"/>
          </w:tcPr>
          <w:p w14:paraId="1AC23307"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2</w:t>
            </w:r>
          </w:p>
        </w:tc>
        <w:tc>
          <w:tcPr>
            <w:tcW w:w="0" w:type="auto"/>
            <w:gridSpan w:val="3"/>
            <w:tcBorders>
              <w:left w:val="nil"/>
              <w:right w:val="nil"/>
            </w:tcBorders>
            <w:shd w:val="clear" w:color="auto" w:fill="auto"/>
            <w:vAlign w:val="center"/>
          </w:tcPr>
          <w:p w14:paraId="272C4153" w14:textId="77777777"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Statement of concrete aims or formulation of questions</w:t>
            </w:r>
          </w:p>
        </w:tc>
      </w:tr>
      <w:tr w:rsidR="00B2098F" w:rsidRPr="00C209C0" w14:paraId="504CDBDD" w14:textId="77777777" w:rsidTr="008A2E76">
        <w:trPr>
          <w:jc w:val="center"/>
        </w:trPr>
        <w:tc>
          <w:tcPr>
            <w:tcW w:w="0" w:type="auto"/>
            <w:tcBorders>
              <w:left w:val="nil"/>
              <w:right w:val="nil"/>
            </w:tcBorders>
            <w:shd w:val="clear" w:color="auto" w:fill="auto"/>
            <w:vAlign w:val="center"/>
          </w:tcPr>
          <w:p w14:paraId="20DA911D"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7BFDB749"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No aims of questions are formulated</w:t>
            </w:r>
          </w:p>
        </w:tc>
        <w:tc>
          <w:tcPr>
            <w:tcW w:w="0" w:type="auto"/>
            <w:tcBorders>
              <w:left w:val="nil"/>
              <w:right w:val="nil"/>
            </w:tcBorders>
            <w:shd w:val="clear" w:color="auto" w:fill="auto"/>
            <w:vAlign w:val="center"/>
          </w:tcPr>
          <w:p w14:paraId="4F6D5CBC"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top w:val="nil"/>
              <w:left w:val="nil"/>
              <w:bottom w:val="single" w:sz="4" w:space="0" w:color="auto"/>
              <w:right w:val="nil"/>
            </w:tcBorders>
            <w:shd w:val="clear" w:color="auto" w:fill="auto"/>
            <w:vAlign w:val="center"/>
          </w:tcPr>
          <w:p w14:paraId="318B83D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767DD080" w14:textId="77777777" w:rsidTr="008A2E76">
        <w:trPr>
          <w:jc w:val="center"/>
        </w:trPr>
        <w:tc>
          <w:tcPr>
            <w:tcW w:w="0" w:type="auto"/>
            <w:tcBorders>
              <w:left w:val="nil"/>
              <w:right w:val="nil"/>
            </w:tcBorders>
            <w:shd w:val="clear" w:color="auto" w:fill="auto"/>
            <w:vAlign w:val="center"/>
          </w:tcPr>
          <w:p w14:paraId="2F9B9F8D"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0044BE24"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Aims are formulated generally but not concretely or in terms of clear questions</w:t>
            </w:r>
          </w:p>
        </w:tc>
        <w:tc>
          <w:tcPr>
            <w:tcW w:w="0" w:type="auto"/>
            <w:tcBorders>
              <w:left w:val="nil"/>
              <w:right w:val="nil"/>
            </w:tcBorders>
            <w:shd w:val="clear" w:color="auto" w:fill="auto"/>
            <w:vAlign w:val="center"/>
          </w:tcPr>
          <w:p w14:paraId="683F1D5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5856015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0242E066" w14:textId="77777777" w:rsidTr="008A2E76">
        <w:trPr>
          <w:jc w:val="center"/>
        </w:trPr>
        <w:tc>
          <w:tcPr>
            <w:tcW w:w="0" w:type="auto"/>
            <w:tcBorders>
              <w:left w:val="nil"/>
              <w:right w:val="nil"/>
            </w:tcBorders>
            <w:shd w:val="clear" w:color="auto" w:fill="auto"/>
            <w:vAlign w:val="center"/>
          </w:tcPr>
          <w:p w14:paraId="53B4A84C"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4A957BB"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One or more concrete aims or questions are formulated</w:t>
            </w:r>
          </w:p>
        </w:tc>
        <w:tc>
          <w:tcPr>
            <w:tcW w:w="0" w:type="auto"/>
            <w:tcBorders>
              <w:left w:val="nil"/>
              <w:right w:val="nil"/>
            </w:tcBorders>
            <w:shd w:val="clear" w:color="auto" w:fill="auto"/>
            <w:vAlign w:val="center"/>
          </w:tcPr>
          <w:p w14:paraId="7F977EE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71EBE87C"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72E13742" w14:textId="77777777" w:rsidTr="008A2E76">
        <w:trPr>
          <w:jc w:val="center"/>
        </w:trPr>
        <w:tc>
          <w:tcPr>
            <w:tcW w:w="0" w:type="auto"/>
            <w:tcBorders>
              <w:left w:val="nil"/>
              <w:right w:val="nil"/>
            </w:tcBorders>
            <w:shd w:val="clear" w:color="auto" w:fill="auto"/>
            <w:vAlign w:val="center"/>
          </w:tcPr>
          <w:p w14:paraId="5AA76C90"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3</w:t>
            </w:r>
          </w:p>
        </w:tc>
        <w:tc>
          <w:tcPr>
            <w:tcW w:w="0" w:type="auto"/>
            <w:gridSpan w:val="3"/>
            <w:tcBorders>
              <w:left w:val="nil"/>
              <w:right w:val="nil"/>
            </w:tcBorders>
            <w:shd w:val="clear" w:color="auto" w:fill="auto"/>
            <w:vAlign w:val="center"/>
          </w:tcPr>
          <w:p w14:paraId="63FCC367" w14:textId="77777777"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Description of literature search</w:t>
            </w:r>
          </w:p>
        </w:tc>
      </w:tr>
      <w:tr w:rsidR="00B2098F" w:rsidRPr="00C209C0" w14:paraId="1041D697" w14:textId="77777777" w:rsidTr="008A2E76">
        <w:trPr>
          <w:jc w:val="center"/>
        </w:trPr>
        <w:tc>
          <w:tcPr>
            <w:tcW w:w="0" w:type="auto"/>
            <w:tcBorders>
              <w:left w:val="nil"/>
              <w:right w:val="nil"/>
            </w:tcBorders>
            <w:shd w:val="clear" w:color="auto" w:fill="auto"/>
            <w:vAlign w:val="center"/>
          </w:tcPr>
          <w:p w14:paraId="4511CDF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7169734"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search strategy is not presented</w:t>
            </w:r>
          </w:p>
        </w:tc>
        <w:tc>
          <w:tcPr>
            <w:tcW w:w="0" w:type="auto"/>
            <w:tcBorders>
              <w:left w:val="nil"/>
              <w:right w:val="nil"/>
            </w:tcBorders>
            <w:shd w:val="clear" w:color="auto" w:fill="auto"/>
            <w:vAlign w:val="center"/>
          </w:tcPr>
          <w:p w14:paraId="18B37B0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left w:val="nil"/>
              <w:right w:val="nil"/>
            </w:tcBorders>
            <w:shd w:val="clear" w:color="auto" w:fill="auto"/>
            <w:vAlign w:val="center"/>
          </w:tcPr>
          <w:p w14:paraId="3882E2C1"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1CB8CE98" w14:textId="77777777" w:rsidTr="008A2E76">
        <w:trPr>
          <w:jc w:val="center"/>
        </w:trPr>
        <w:tc>
          <w:tcPr>
            <w:tcW w:w="0" w:type="auto"/>
            <w:tcBorders>
              <w:left w:val="nil"/>
              <w:right w:val="nil"/>
            </w:tcBorders>
            <w:shd w:val="clear" w:color="auto" w:fill="auto"/>
            <w:vAlign w:val="center"/>
          </w:tcPr>
          <w:p w14:paraId="48D2157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3E8ED31F"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literature search is described briefly</w:t>
            </w:r>
          </w:p>
        </w:tc>
        <w:tc>
          <w:tcPr>
            <w:tcW w:w="0" w:type="auto"/>
            <w:tcBorders>
              <w:left w:val="nil"/>
              <w:right w:val="nil"/>
            </w:tcBorders>
            <w:shd w:val="clear" w:color="auto" w:fill="auto"/>
            <w:vAlign w:val="center"/>
          </w:tcPr>
          <w:p w14:paraId="08461206"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032E27C8"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211E2E0D" w14:textId="77777777" w:rsidTr="008A2E76">
        <w:trPr>
          <w:jc w:val="center"/>
        </w:trPr>
        <w:tc>
          <w:tcPr>
            <w:tcW w:w="0" w:type="auto"/>
            <w:tcBorders>
              <w:left w:val="nil"/>
              <w:right w:val="nil"/>
            </w:tcBorders>
            <w:shd w:val="clear" w:color="auto" w:fill="auto"/>
            <w:vAlign w:val="center"/>
          </w:tcPr>
          <w:p w14:paraId="78DA53C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6ACC8009"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literature search is described in detail, including search terms and inclusion criteria</w:t>
            </w:r>
          </w:p>
        </w:tc>
        <w:tc>
          <w:tcPr>
            <w:tcW w:w="0" w:type="auto"/>
            <w:tcBorders>
              <w:left w:val="nil"/>
              <w:right w:val="nil"/>
            </w:tcBorders>
            <w:shd w:val="clear" w:color="auto" w:fill="auto"/>
            <w:vAlign w:val="center"/>
          </w:tcPr>
          <w:p w14:paraId="4258C09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61E173A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34923875" w14:textId="77777777" w:rsidTr="008A2E76">
        <w:trPr>
          <w:jc w:val="center"/>
        </w:trPr>
        <w:tc>
          <w:tcPr>
            <w:tcW w:w="0" w:type="auto"/>
            <w:tcBorders>
              <w:left w:val="nil"/>
              <w:right w:val="nil"/>
            </w:tcBorders>
            <w:shd w:val="clear" w:color="auto" w:fill="auto"/>
            <w:vAlign w:val="center"/>
          </w:tcPr>
          <w:p w14:paraId="1DD9698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4</w:t>
            </w:r>
          </w:p>
        </w:tc>
        <w:tc>
          <w:tcPr>
            <w:tcW w:w="0" w:type="auto"/>
            <w:gridSpan w:val="3"/>
            <w:tcBorders>
              <w:left w:val="nil"/>
              <w:right w:val="nil"/>
            </w:tcBorders>
            <w:shd w:val="clear" w:color="auto" w:fill="auto"/>
            <w:vAlign w:val="center"/>
          </w:tcPr>
          <w:p w14:paraId="38B28B2E" w14:textId="77777777"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Referencing</w:t>
            </w:r>
          </w:p>
        </w:tc>
      </w:tr>
      <w:tr w:rsidR="00B2098F" w:rsidRPr="00C209C0" w14:paraId="559EB6E7" w14:textId="77777777" w:rsidTr="008A2E76">
        <w:trPr>
          <w:jc w:val="center"/>
        </w:trPr>
        <w:tc>
          <w:tcPr>
            <w:tcW w:w="0" w:type="auto"/>
            <w:tcBorders>
              <w:left w:val="nil"/>
              <w:right w:val="nil"/>
            </w:tcBorders>
            <w:shd w:val="clear" w:color="auto" w:fill="auto"/>
            <w:vAlign w:val="center"/>
          </w:tcPr>
          <w:p w14:paraId="688CA4B0"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7696D903"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Key statements are not supported by references</w:t>
            </w:r>
          </w:p>
        </w:tc>
        <w:tc>
          <w:tcPr>
            <w:tcW w:w="0" w:type="auto"/>
            <w:tcBorders>
              <w:left w:val="nil"/>
              <w:right w:val="nil"/>
            </w:tcBorders>
            <w:shd w:val="clear" w:color="auto" w:fill="auto"/>
            <w:vAlign w:val="center"/>
          </w:tcPr>
          <w:p w14:paraId="1410499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left w:val="nil"/>
              <w:right w:val="nil"/>
            </w:tcBorders>
            <w:shd w:val="clear" w:color="auto" w:fill="auto"/>
            <w:vAlign w:val="center"/>
          </w:tcPr>
          <w:p w14:paraId="4FE314B8"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2A1FBC41" w14:textId="77777777" w:rsidTr="008A2E76">
        <w:trPr>
          <w:jc w:val="center"/>
        </w:trPr>
        <w:tc>
          <w:tcPr>
            <w:tcW w:w="0" w:type="auto"/>
            <w:tcBorders>
              <w:left w:val="nil"/>
              <w:right w:val="nil"/>
            </w:tcBorders>
            <w:shd w:val="clear" w:color="auto" w:fill="auto"/>
            <w:vAlign w:val="center"/>
          </w:tcPr>
          <w:p w14:paraId="44DB908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3643CE34" w14:textId="565AFC3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referencing of key statements i</w:t>
            </w:r>
            <w:r w:rsidR="003C3CDB">
              <w:rPr>
                <w:rFonts w:ascii="Palatino Linotype" w:hAnsi="Palatino Linotype"/>
                <w:sz w:val="20"/>
                <w:szCs w:val="22"/>
                <w:lang w:val="en-GB"/>
              </w:rPr>
              <w:t>s</w:t>
            </w:r>
            <w:r w:rsidRPr="00C209C0">
              <w:rPr>
                <w:rFonts w:ascii="Palatino Linotype" w:hAnsi="Palatino Linotype"/>
                <w:sz w:val="20"/>
                <w:szCs w:val="22"/>
                <w:lang w:val="en-GB"/>
              </w:rPr>
              <w:t xml:space="preserve"> inconsistent</w:t>
            </w:r>
          </w:p>
        </w:tc>
        <w:tc>
          <w:tcPr>
            <w:tcW w:w="0" w:type="auto"/>
            <w:tcBorders>
              <w:left w:val="nil"/>
              <w:right w:val="nil"/>
            </w:tcBorders>
            <w:shd w:val="clear" w:color="auto" w:fill="auto"/>
            <w:vAlign w:val="center"/>
          </w:tcPr>
          <w:p w14:paraId="624A67D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5B7ECA3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52FDBB1F" w14:textId="77777777" w:rsidTr="008A2E76">
        <w:trPr>
          <w:jc w:val="center"/>
        </w:trPr>
        <w:tc>
          <w:tcPr>
            <w:tcW w:w="0" w:type="auto"/>
            <w:tcBorders>
              <w:left w:val="nil"/>
              <w:right w:val="nil"/>
            </w:tcBorders>
            <w:shd w:val="clear" w:color="auto" w:fill="auto"/>
            <w:vAlign w:val="center"/>
          </w:tcPr>
          <w:p w14:paraId="1E85C628"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0D0FBD62"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Key statements are supported by references</w:t>
            </w:r>
          </w:p>
        </w:tc>
        <w:tc>
          <w:tcPr>
            <w:tcW w:w="0" w:type="auto"/>
            <w:tcBorders>
              <w:left w:val="nil"/>
              <w:right w:val="nil"/>
            </w:tcBorders>
            <w:shd w:val="clear" w:color="auto" w:fill="auto"/>
            <w:vAlign w:val="center"/>
          </w:tcPr>
          <w:p w14:paraId="2FE10BB4"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678ACD95"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552B8523" w14:textId="77777777" w:rsidTr="008A2E76">
        <w:trPr>
          <w:jc w:val="center"/>
        </w:trPr>
        <w:tc>
          <w:tcPr>
            <w:tcW w:w="0" w:type="auto"/>
            <w:tcBorders>
              <w:left w:val="nil"/>
              <w:right w:val="nil"/>
            </w:tcBorders>
            <w:shd w:val="clear" w:color="auto" w:fill="auto"/>
            <w:vAlign w:val="center"/>
          </w:tcPr>
          <w:p w14:paraId="6B0086F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5</w:t>
            </w:r>
          </w:p>
        </w:tc>
        <w:tc>
          <w:tcPr>
            <w:tcW w:w="0" w:type="auto"/>
            <w:gridSpan w:val="3"/>
            <w:tcBorders>
              <w:left w:val="nil"/>
              <w:right w:val="nil"/>
            </w:tcBorders>
            <w:shd w:val="clear" w:color="auto" w:fill="auto"/>
            <w:vAlign w:val="center"/>
          </w:tcPr>
          <w:p w14:paraId="0E47022F" w14:textId="006E2B7A"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Scientific reasoning (e.g.</w:t>
            </w:r>
            <w:r w:rsidR="003C3CDB">
              <w:rPr>
                <w:rFonts w:ascii="Palatino Linotype" w:hAnsi="Palatino Linotype"/>
                <w:b/>
                <w:bCs/>
                <w:sz w:val="20"/>
                <w:szCs w:val="22"/>
                <w:lang w:val="en-GB"/>
              </w:rPr>
              <w:t>,</w:t>
            </w:r>
            <w:r w:rsidRPr="00C209C0">
              <w:rPr>
                <w:rFonts w:ascii="Palatino Linotype" w:hAnsi="Palatino Linotype"/>
                <w:b/>
                <w:bCs/>
                <w:sz w:val="20"/>
                <w:szCs w:val="22"/>
                <w:lang w:val="en-GB"/>
              </w:rPr>
              <w:t xml:space="preserve"> incorporation of appropriate evidence, such as RCTs in clinical medicine</w:t>
            </w:r>
          </w:p>
        </w:tc>
      </w:tr>
      <w:tr w:rsidR="00B2098F" w:rsidRPr="00C209C0" w14:paraId="64CBD008" w14:textId="77777777" w:rsidTr="008A2E76">
        <w:trPr>
          <w:jc w:val="center"/>
        </w:trPr>
        <w:tc>
          <w:tcPr>
            <w:tcW w:w="0" w:type="auto"/>
            <w:tcBorders>
              <w:left w:val="nil"/>
              <w:right w:val="nil"/>
            </w:tcBorders>
            <w:shd w:val="clear" w:color="auto" w:fill="auto"/>
            <w:vAlign w:val="center"/>
          </w:tcPr>
          <w:p w14:paraId="019F752C"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D5ECA36" w14:textId="7B8AA7F0"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The article’s point i</w:t>
            </w:r>
            <w:r w:rsidR="003C3CDB">
              <w:rPr>
                <w:rFonts w:ascii="Palatino Linotype" w:hAnsi="Palatino Linotype"/>
                <w:sz w:val="20"/>
                <w:szCs w:val="22"/>
                <w:lang w:val="en-GB"/>
              </w:rPr>
              <w:t>s</w:t>
            </w:r>
            <w:r w:rsidRPr="00C209C0">
              <w:rPr>
                <w:rFonts w:ascii="Palatino Linotype" w:hAnsi="Palatino Linotype"/>
                <w:sz w:val="20"/>
                <w:szCs w:val="22"/>
                <w:lang w:val="en-GB"/>
              </w:rPr>
              <w:t xml:space="preserve"> not based on appropriate arguments</w:t>
            </w:r>
          </w:p>
        </w:tc>
        <w:tc>
          <w:tcPr>
            <w:tcW w:w="0" w:type="auto"/>
            <w:tcBorders>
              <w:left w:val="nil"/>
              <w:right w:val="nil"/>
            </w:tcBorders>
            <w:shd w:val="clear" w:color="auto" w:fill="auto"/>
            <w:vAlign w:val="center"/>
          </w:tcPr>
          <w:p w14:paraId="1880606C"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left w:val="nil"/>
              <w:right w:val="nil"/>
            </w:tcBorders>
            <w:shd w:val="clear" w:color="auto" w:fill="auto"/>
            <w:vAlign w:val="center"/>
          </w:tcPr>
          <w:p w14:paraId="0FFFD645"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24FD3E3A" w14:textId="77777777" w:rsidTr="008A2E76">
        <w:trPr>
          <w:jc w:val="center"/>
        </w:trPr>
        <w:tc>
          <w:tcPr>
            <w:tcW w:w="0" w:type="auto"/>
            <w:tcBorders>
              <w:left w:val="nil"/>
              <w:right w:val="nil"/>
            </w:tcBorders>
            <w:shd w:val="clear" w:color="auto" w:fill="auto"/>
            <w:vAlign w:val="center"/>
          </w:tcPr>
          <w:p w14:paraId="79F8C13B"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719FE13" w14:textId="115999DA"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Appropriate evidence i</w:t>
            </w:r>
            <w:r w:rsidR="003C3CDB">
              <w:rPr>
                <w:rFonts w:ascii="Palatino Linotype" w:hAnsi="Palatino Linotype"/>
                <w:sz w:val="20"/>
                <w:szCs w:val="22"/>
                <w:lang w:val="en-GB"/>
              </w:rPr>
              <w:t>s</w:t>
            </w:r>
            <w:r w:rsidRPr="00C209C0">
              <w:rPr>
                <w:rFonts w:ascii="Palatino Linotype" w:hAnsi="Palatino Linotype"/>
                <w:sz w:val="20"/>
                <w:szCs w:val="22"/>
                <w:lang w:val="en-GB"/>
              </w:rPr>
              <w:t xml:space="preserve"> introduced selectively</w:t>
            </w:r>
          </w:p>
        </w:tc>
        <w:tc>
          <w:tcPr>
            <w:tcW w:w="0" w:type="auto"/>
            <w:tcBorders>
              <w:left w:val="nil"/>
              <w:right w:val="nil"/>
            </w:tcBorders>
            <w:shd w:val="clear" w:color="auto" w:fill="auto"/>
            <w:vAlign w:val="center"/>
          </w:tcPr>
          <w:p w14:paraId="1B3512AB"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5E19F5F2"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2E3AEE63" w14:textId="77777777" w:rsidTr="008A2E76">
        <w:trPr>
          <w:jc w:val="center"/>
        </w:trPr>
        <w:tc>
          <w:tcPr>
            <w:tcW w:w="0" w:type="auto"/>
            <w:tcBorders>
              <w:left w:val="nil"/>
              <w:right w:val="nil"/>
            </w:tcBorders>
            <w:shd w:val="clear" w:color="auto" w:fill="auto"/>
            <w:vAlign w:val="center"/>
          </w:tcPr>
          <w:p w14:paraId="2248ED78"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62CAE97C"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Appropriate evidence is generally present</w:t>
            </w:r>
          </w:p>
        </w:tc>
        <w:tc>
          <w:tcPr>
            <w:tcW w:w="0" w:type="auto"/>
            <w:tcBorders>
              <w:left w:val="nil"/>
              <w:right w:val="nil"/>
            </w:tcBorders>
            <w:shd w:val="clear" w:color="auto" w:fill="auto"/>
            <w:vAlign w:val="center"/>
          </w:tcPr>
          <w:p w14:paraId="1D6C328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5ADB683E"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4BAFF6E4" w14:textId="77777777" w:rsidTr="008A2E76">
        <w:trPr>
          <w:jc w:val="center"/>
        </w:trPr>
        <w:tc>
          <w:tcPr>
            <w:tcW w:w="0" w:type="auto"/>
            <w:tcBorders>
              <w:left w:val="nil"/>
              <w:right w:val="nil"/>
            </w:tcBorders>
            <w:shd w:val="clear" w:color="auto" w:fill="auto"/>
            <w:vAlign w:val="center"/>
          </w:tcPr>
          <w:p w14:paraId="25D819F8"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6</w:t>
            </w:r>
          </w:p>
        </w:tc>
        <w:tc>
          <w:tcPr>
            <w:tcW w:w="0" w:type="auto"/>
            <w:gridSpan w:val="3"/>
            <w:tcBorders>
              <w:left w:val="nil"/>
              <w:right w:val="nil"/>
            </w:tcBorders>
            <w:shd w:val="clear" w:color="auto" w:fill="auto"/>
            <w:vAlign w:val="center"/>
          </w:tcPr>
          <w:p w14:paraId="6E68F5F0" w14:textId="14762FF2" w:rsidR="00B2098F" w:rsidRPr="00C209C0" w:rsidRDefault="00B2098F" w:rsidP="00875479">
            <w:pPr>
              <w:autoSpaceDE w:val="0"/>
              <w:autoSpaceDN w:val="0"/>
              <w:adjustRightInd w:val="0"/>
              <w:snapToGrid w:val="0"/>
              <w:spacing w:line="240" w:lineRule="auto"/>
              <w:jc w:val="left"/>
              <w:rPr>
                <w:rFonts w:ascii="Palatino Linotype" w:hAnsi="Palatino Linotype"/>
                <w:b/>
                <w:bCs/>
                <w:sz w:val="20"/>
                <w:szCs w:val="22"/>
                <w:lang w:val="en-GB"/>
              </w:rPr>
            </w:pPr>
            <w:r w:rsidRPr="00C209C0">
              <w:rPr>
                <w:rFonts w:ascii="Palatino Linotype" w:hAnsi="Palatino Linotype"/>
                <w:b/>
                <w:bCs/>
                <w:sz w:val="20"/>
                <w:szCs w:val="22"/>
                <w:lang w:val="en-GB"/>
              </w:rPr>
              <w:t>Appropriate presentation of data (e.g.</w:t>
            </w:r>
            <w:r w:rsidR="003C3CDB">
              <w:rPr>
                <w:rFonts w:ascii="Palatino Linotype" w:hAnsi="Palatino Linotype"/>
                <w:b/>
                <w:bCs/>
                <w:sz w:val="20"/>
                <w:szCs w:val="22"/>
                <w:lang w:val="en-GB"/>
              </w:rPr>
              <w:t>,</w:t>
            </w:r>
            <w:r w:rsidRPr="00C209C0">
              <w:rPr>
                <w:rFonts w:ascii="Palatino Linotype" w:hAnsi="Palatino Linotype"/>
                <w:b/>
                <w:bCs/>
                <w:sz w:val="20"/>
                <w:szCs w:val="22"/>
                <w:lang w:val="en-GB"/>
              </w:rPr>
              <w:t xml:space="preserve"> absolute vs</w:t>
            </w:r>
            <w:r w:rsidR="003C3CDB">
              <w:rPr>
                <w:rFonts w:ascii="Palatino Linotype" w:hAnsi="Palatino Linotype"/>
                <w:b/>
                <w:bCs/>
                <w:sz w:val="20"/>
                <w:szCs w:val="22"/>
                <w:lang w:val="en-GB"/>
              </w:rPr>
              <w:t>.</w:t>
            </w:r>
            <w:r w:rsidRPr="00C209C0">
              <w:rPr>
                <w:rFonts w:ascii="Palatino Linotype" w:hAnsi="Palatino Linotype"/>
                <w:b/>
                <w:bCs/>
                <w:sz w:val="20"/>
                <w:szCs w:val="22"/>
                <w:lang w:val="en-GB"/>
              </w:rPr>
              <w:t xml:space="preserve"> relative risk; effect sizes without confidence intervals)</w:t>
            </w:r>
          </w:p>
        </w:tc>
      </w:tr>
      <w:tr w:rsidR="00B2098F" w:rsidRPr="00C209C0" w14:paraId="4049F6D3" w14:textId="77777777" w:rsidTr="008A2E76">
        <w:trPr>
          <w:jc w:val="center"/>
        </w:trPr>
        <w:tc>
          <w:tcPr>
            <w:tcW w:w="0" w:type="auto"/>
            <w:tcBorders>
              <w:left w:val="nil"/>
              <w:right w:val="nil"/>
            </w:tcBorders>
            <w:shd w:val="clear" w:color="auto" w:fill="auto"/>
            <w:vAlign w:val="center"/>
          </w:tcPr>
          <w:p w14:paraId="389F68A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67F0172"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Data are presented inadequately</w:t>
            </w:r>
          </w:p>
        </w:tc>
        <w:tc>
          <w:tcPr>
            <w:tcW w:w="0" w:type="auto"/>
            <w:tcBorders>
              <w:left w:val="nil"/>
              <w:right w:val="nil"/>
            </w:tcBorders>
            <w:shd w:val="clear" w:color="auto" w:fill="auto"/>
            <w:vAlign w:val="center"/>
          </w:tcPr>
          <w:p w14:paraId="61675B6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0</w:t>
            </w:r>
          </w:p>
        </w:tc>
        <w:tc>
          <w:tcPr>
            <w:tcW w:w="0" w:type="auto"/>
            <w:tcBorders>
              <w:left w:val="nil"/>
              <w:right w:val="nil"/>
            </w:tcBorders>
            <w:shd w:val="clear" w:color="auto" w:fill="auto"/>
            <w:vAlign w:val="center"/>
          </w:tcPr>
          <w:p w14:paraId="5529D12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6A165A18" w14:textId="77777777" w:rsidTr="008A2E76">
        <w:trPr>
          <w:jc w:val="center"/>
        </w:trPr>
        <w:tc>
          <w:tcPr>
            <w:tcW w:w="0" w:type="auto"/>
            <w:tcBorders>
              <w:left w:val="nil"/>
              <w:right w:val="nil"/>
            </w:tcBorders>
            <w:shd w:val="clear" w:color="auto" w:fill="auto"/>
            <w:vAlign w:val="center"/>
          </w:tcPr>
          <w:p w14:paraId="708EC9D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30E1A74D"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Data are often presented in the most appropriate way</w:t>
            </w:r>
          </w:p>
        </w:tc>
        <w:tc>
          <w:tcPr>
            <w:tcW w:w="0" w:type="auto"/>
            <w:tcBorders>
              <w:left w:val="nil"/>
              <w:right w:val="nil"/>
            </w:tcBorders>
            <w:shd w:val="clear" w:color="auto" w:fill="auto"/>
            <w:vAlign w:val="center"/>
          </w:tcPr>
          <w:p w14:paraId="5BDC145B"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1</w:t>
            </w:r>
          </w:p>
        </w:tc>
        <w:tc>
          <w:tcPr>
            <w:tcW w:w="0" w:type="auto"/>
            <w:tcBorders>
              <w:left w:val="nil"/>
              <w:right w:val="nil"/>
            </w:tcBorders>
            <w:shd w:val="clear" w:color="auto" w:fill="auto"/>
            <w:vAlign w:val="center"/>
          </w:tcPr>
          <w:p w14:paraId="2505C9AB"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eastAsia="Arial Unicode MS" w:hAnsi="Palatino Linotype" w:cs="Arial Unicode MS"/>
                <w:sz w:val="20"/>
                <w:szCs w:val="22"/>
                <w:lang w:val="en-GB"/>
              </w:rPr>
              <w:t>X</w:t>
            </w:r>
          </w:p>
        </w:tc>
      </w:tr>
      <w:tr w:rsidR="00B2098F" w:rsidRPr="00C209C0" w14:paraId="245DFAAC" w14:textId="77777777" w:rsidTr="008A2E76">
        <w:trPr>
          <w:jc w:val="center"/>
        </w:trPr>
        <w:tc>
          <w:tcPr>
            <w:tcW w:w="0" w:type="auto"/>
            <w:tcBorders>
              <w:left w:val="nil"/>
              <w:right w:val="nil"/>
            </w:tcBorders>
            <w:shd w:val="clear" w:color="auto" w:fill="auto"/>
            <w:vAlign w:val="center"/>
          </w:tcPr>
          <w:p w14:paraId="768B34AA"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57057D1" w14:textId="77777777" w:rsidR="00B2098F" w:rsidRPr="00C209C0" w:rsidRDefault="00B2098F" w:rsidP="00875479">
            <w:pPr>
              <w:autoSpaceDE w:val="0"/>
              <w:autoSpaceDN w:val="0"/>
              <w:adjustRightInd w:val="0"/>
              <w:snapToGrid w:val="0"/>
              <w:spacing w:line="240" w:lineRule="auto"/>
              <w:jc w:val="left"/>
              <w:rPr>
                <w:rFonts w:ascii="Palatino Linotype" w:hAnsi="Palatino Linotype"/>
                <w:sz w:val="20"/>
                <w:szCs w:val="22"/>
                <w:lang w:val="en-GB"/>
              </w:rPr>
            </w:pPr>
            <w:r w:rsidRPr="00C209C0">
              <w:rPr>
                <w:rFonts w:ascii="Palatino Linotype" w:hAnsi="Palatino Linotype"/>
                <w:sz w:val="20"/>
                <w:szCs w:val="22"/>
                <w:lang w:val="en-GB"/>
              </w:rPr>
              <w:t>Relevant outcome data are generally presented appropriately</w:t>
            </w:r>
          </w:p>
        </w:tc>
        <w:tc>
          <w:tcPr>
            <w:tcW w:w="0" w:type="auto"/>
            <w:tcBorders>
              <w:left w:val="nil"/>
              <w:right w:val="nil"/>
            </w:tcBorders>
            <w:shd w:val="clear" w:color="auto" w:fill="auto"/>
            <w:vAlign w:val="center"/>
          </w:tcPr>
          <w:p w14:paraId="51E5C2B8" w14:textId="0D4E02F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r w:rsidRPr="00C209C0">
              <w:rPr>
                <w:rFonts w:ascii="Palatino Linotype" w:hAnsi="Palatino Linotype"/>
                <w:sz w:val="20"/>
                <w:szCs w:val="22"/>
                <w:lang w:val="en-GB"/>
              </w:rPr>
              <w:t>2</w:t>
            </w:r>
          </w:p>
        </w:tc>
        <w:tc>
          <w:tcPr>
            <w:tcW w:w="0" w:type="auto"/>
            <w:tcBorders>
              <w:left w:val="nil"/>
              <w:right w:val="nil"/>
            </w:tcBorders>
            <w:shd w:val="clear" w:color="auto" w:fill="auto"/>
            <w:vAlign w:val="center"/>
          </w:tcPr>
          <w:p w14:paraId="766BE5DB"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71725501" w14:textId="77777777" w:rsidTr="008A2E76">
        <w:trPr>
          <w:jc w:val="center"/>
        </w:trPr>
        <w:tc>
          <w:tcPr>
            <w:tcW w:w="0" w:type="auto"/>
            <w:tcBorders>
              <w:left w:val="nil"/>
              <w:right w:val="nil"/>
            </w:tcBorders>
            <w:shd w:val="clear" w:color="auto" w:fill="auto"/>
            <w:vAlign w:val="center"/>
          </w:tcPr>
          <w:p w14:paraId="4466528E"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2479E2A9"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72F93566"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c>
          <w:tcPr>
            <w:tcW w:w="0" w:type="auto"/>
            <w:tcBorders>
              <w:left w:val="nil"/>
              <w:right w:val="nil"/>
            </w:tcBorders>
            <w:shd w:val="clear" w:color="auto" w:fill="auto"/>
            <w:vAlign w:val="center"/>
          </w:tcPr>
          <w:p w14:paraId="5D82793F"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r w:rsidR="00B2098F" w:rsidRPr="00C209C0" w14:paraId="2D646609" w14:textId="77777777" w:rsidTr="008A2E76">
        <w:trPr>
          <w:jc w:val="center"/>
        </w:trPr>
        <w:tc>
          <w:tcPr>
            <w:tcW w:w="0" w:type="auto"/>
            <w:tcBorders>
              <w:left w:val="nil"/>
              <w:bottom w:val="single" w:sz="8" w:space="0" w:color="auto"/>
              <w:right w:val="nil"/>
            </w:tcBorders>
            <w:shd w:val="clear" w:color="auto" w:fill="auto"/>
            <w:vAlign w:val="center"/>
          </w:tcPr>
          <w:p w14:paraId="4A33EF8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p>
        </w:tc>
        <w:tc>
          <w:tcPr>
            <w:tcW w:w="0" w:type="auto"/>
            <w:tcBorders>
              <w:left w:val="nil"/>
              <w:bottom w:val="single" w:sz="8" w:space="0" w:color="auto"/>
              <w:right w:val="nil"/>
            </w:tcBorders>
            <w:shd w:val="clear" w:color="auto" w:fill="auto"/>
            <w:vAlign w:val="center"/>
          </w:tcPr>
          <w:p w14:paraId="45786103"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Sum score</w:t>
            </w:r>
          </w:p>
        </w:tc>
        <w:tc>
          <w:tcPr>
            <w:tcW w:w="0" w:type="auto"/>
            <w:tcBorders>
              <w:left w:val="nil"/>
              <w:bottom w:val="single" w:sz="8" w:space="0" w:color="auto"/>
              <w:right w:val="nil"/>
            </w:tcBorders>
            <w:shd w:val="clear" w:color="auto" w:fill="auto"/>
            <w:vAlign w:val="center"/>
          </w:tcPr>
          <w:p w14:paraId="362E8390" w14:textId="495F8646" w:rsidR="00B2098F" w:rsidRPr="00C209C0" w:rsidRDefault="00B2098F" w:rsidP="00B2098F">
            <w:pPr>
              <w:autoSpaceDE w:val="0"/>
              <w:autoSpaceDN w:val="0"/>
              <w:adjustRightInd w:val="0"/>
              <w:snapToGrid w:val="0"/>
              <w:spacing w:line="240" w:lineRule="auto"/>
              <w:jc w:val="center"/>
              <w:rPr>
                <w:rFonts w:ascii="Palatino Linotype" w:hAnsi="Palatino Linotype"/>
                <w:b/>
                <w:bCs/>
                <w:sz w:val="20"/>
                <w:szCs w:val="22"/>
                <w:lang w:val="en-GB"/>
              </w:rPr>
            </w:pPr>
            <w:r w:rsidRPr="00C209C0">
              <w:rPr>
                <w:rFonts w:ascii="Palatino Linotype" w:hAnsi="Palatino Linotype"/>
                <w:b/>
                <w:bCs/>
                <w:sz w:val="20"/>
                <w:szCs w:val="22"/>
                <w:lang w:val="en-GB"/>
              </w:rPr>
              <w:t>10</w:t>
            </w:r>
          </w:p>
        </w:tc>
        <w:tc>
          <w:tcPr>
            <w:tcW w:w="0" w:type="auto"/>
            <w:tcBorders>
              <w:left w:val="nil"/>
              <w:bottom w:val="single" w:sz="8" w:space="0" w:color="auto"/>
              <w:right w:val="nil"/>
            </w:tcBorders>
            <w:shd w:val="clear" w:color="auto" w:fill="auto"/>
            <w:vAlign w:val="center"/>
          </w:tcPr>
          <w:p w14:paraId="3179EC20" w14:textId="77777777" w:rsidR="00B2098F" w:rsidRPr="00C209C0" w:rsidRDefault="00B2098F" w:rsidP="00B2098F">
            <w:pPr>
              <w:autoSpaceDE w:val="0"/>
              <w:autoSpaceDN w:val="0"/>
              <w:adjustRightInd w:val="0"/>
              <w:snapToGrid w:val="0"/>
              <w:spacing w:line="240" w:lineRule="auto"/>
              <w:jc w:val="center"/>
              <w:rPr>
                <w:rFonts w:ascii="Palatino Linotype" w:hAnsi="Palatino Linotype"/>
                <w:sz w:val="20"/>
                <w:szCs w:val="22"/>
                <w:lang w:val="en-GB"/>
              </w:rPr>
            </w:pPr>
          </w:p>
        </w:tc>
      </w:tr>
    </w:tbl>
    <w:p w14:paraId="672A29A3" w14:textId="6FE6AFF3" w:rsidR="00627497" w:rsidRPr="00C209C0" w:rsidRDefault="00593D38" w:rsidP="00170C52">
      <w:pPr>
        <w:pStyle w:val="MDPI62Acknowledgments"/>
        <w:rPr>
          <w:lang w:val="en-GB"/>
        </w:rPr>
      </w:pPr>
      <w:r w:rsidRPr="00C209C0">
        <w:rPr>
          <w:b/>
          <w:lang w:val="en-GB"/>
        </w:rPr>
        <w:t>Author contributions</w:t>
      </w:r>
      <w:r w:rsidR="00170C52" w:rsidRPr="00C209C0">
        <w:rPr>
          <w:b/>
          <w:lang w:val="en-GB"/>
        </w:rPr>
        <w:t xml:space="preserve">: </w:t>
      </w:r>
      <w:r w:rsidR="000E4C44">
        <w:rPr>
          <w:b/>
          <w:lang w:val="en-GB"/>
        </w:rPr>
        <w:t>P.A</w:t>
      </w:r>
      <w:r w:rsidR="00D31D84">
        <w:rPr>
          <w:b/>
          <w:lang w:val="en-GB"/>
        </w:rPr>
        <w:t>.</w:t>
      </w:r>
      <w:r w:rsidR="000E4C44">
        <w:rPr>
          <w:b/>
          <w:lang w:val="en-GB"/>
        </w:rPr>
        <w:t>, S.J.W</w:t>
      </w:r>
      <w:r w:rsidR="00D31D84">
        <w:rPr>
          <w:b/>
          <w:lang w:val="en-GB"/>
        </w:rPr>
        <w:t>.</w:t>
      </w:r>
      <w:r w:rsidR="000E4C44">
        <w:rPr>
          <w:b/>
          <w:lang w:val="en-GB"/>
        </w:rPr>
        <w:t xml:space="preserve"> and H.P.P.</w:t>
      </w:r>
      <w:r w:rsidR="000E4C44">
        <w:rPr>
          <w:lang w:val="en-GB"/>
        </w:rPr>
        <w:t xml:space="preserve"> </w:t>
      </w:r>
      <w:r w:rsidRPr="00C209C0">
        <w:rPr>
          <w:lang w:val="en-GB"/>
        </w:rPr>
        <w:t xml:space="preserve"> were involved in the preparation of this manuscript. H</w:t>
      </w:r>
      <w:r w:rsidR="003C3CDB">
        <w:rPr>
          <w:lang w:val="en-GB"/>
        </w:rPr>
        <w:t>.</w:t>
      </w:r>
      <w:r w:rsidRPr="00C209C0">
        <w:rPr>
          <w:lang w:val="en-GB"/>
        </w:rPr>
        <w:t>P</w:t>
      </w:r>
      <w:r w:rsidR="003C3CDB">
        <w:rPr>
          <w:lang w:val="en-GB"/>
        </w:rPr>
        <w:t>.</w:t>
      </w:r>
      <w:r w:rsidRPr="00C209C0">
        <w:rPr>
          <w:lang w:val="en-GB"/>
        </w:rPr>
        <w:t>P</w:t>
      </w:r>
      <w:r w:rsidR="003C3CDB">
        <w:rPr>
          <w:lang w:val="en-GB"/>
        </w:rPr>
        <w:t>.</w:t>
      </w:r>
      <w:r w:rsidRPr="00C209C0">
        <w:rPr>
          <w:lang w:val="en-GB"/>
        </w:rPr>
        <w:t xml:space="preserve"> edited and critically revised the final version. All authors read and approved the final version of this manuscript.</w:t>
      </w:r>
    </w:p>
    <w:p w14:paraId="578C3771" w14:textId="77777777" w:rsidR="008B2904" w:rsidRPr="00C209C0" w:rsidRDefault="00593D38" w:rsidP="00B46AB5">
      <w:pPr>
        <w:pStyle w:val="MDPI62Acknowledgments"/>
        <w:rPr>
          <w:lang w:val="en-GB"/>
        </w:rPr>
      </w:pPr>
      <w:r w:rsidRPr="00C209C0">
        <w:rPr>
          <w:b/>
          <w:lang w:val="en-GB"/>
        </w:rPr>
        <w:t>Funding</w:t>
      </w:r>
      <w:r w:rsidR="00B46AB5" w:rsidRPr="00C209C0">
        <w:rPr>
          <w:b/>
          <w:lang w:val="en-GB"/>
        </w:rPr>
        <w:t xml:space="preserve">: </w:t>
      </w:r>
      <w:r w:rsidRPr="00C209C0">
        <w:rPr>
          <w:lang w:val="en-GB"/>
        </w:rPr>
        <w:t>This research received no external funding</w:t>
      </w:r>
    </w:p>
    <w:p w14:paraId="3937D31A" w14:textId="29062FD0" w:rsidR="00593D38" w:rsidRPr="00C209C0" w:rsidRDefault="00B46AB5" w:rsidP="00B46AB5">
      <w:pPr>
        <w:pStyle w:val="MDPI62Acknowledgments"/>
        <w:rPr>
          <w:kern w:val="24"/>
          <w:lang w:val="en-GB"/>
        </w:rPr>
      </w:pPr>
      <w:r w:rsidRPr="00C209C0">
        <w:rPr>
          <w:b/>
          <w:lang w:val="en-GB"/>
        </w:rPr>
        <w:t xml:space="preserve">Acknowledgments: </w:t>
      </w:r>
      <w:r w:rsidR="00593D38" w:rsidRPr="00C209C0">
        <w:rPr>
          <w:lang w:val="en-GB"/>
        </w:rPr>
        <w:t>H</w:t>
      </w:r>
      <w:r w:rsidR="003C3CDB">
        <w:rPr>
          <w:lang w:val="en-GB"/>
        </w:rPr>
        <w:t>.</w:t>
      </w:r>
      <w:r w:rsidR="00593D38" w:rsidRPr="00C209C0">
        <w:rPr>
          <w:lang w:val="en-GB"/>
        </w:rPr>
        <w:t>P</w:t>
      </w:r>
      <w:r w:rsidR="003C3CDB">
        <w:rPr>
          <w:lang w:val="en-GB"/>
        </w:rPr>
        <w:t>.</w:t>
      </w:r>
      <w:r w:rsidR="00593D38" w:rsidRPr="00C209C0">
        <w:rPr>
          <w:lang w:val="en-GB"/>
        </w:rPr>
        <w:t>P</w:t>
      </w:r>
      <w:r w:rsidR="003C3CDB">
        <w:rPr>
          <w:lang w:val="en-GB"/>
        </w:rPr>
        <w:t>.</w:t>
      </w:r>
      <w:r w:rsidR="00593D38" w:rsidRPr="00C209C0">
        <w:rPr>
          <w:lang w:val="en-GB"/>
        </w:rPr>
        <w:t xml:space="preserve"> is supported by the Department for Medicine for Older People, University Hospital Southampton and NIHR Southampton Biomedical Research Centre, Nutrition and the University of Southampton. This report is independent research and the views expressed in this publication are those of the authors and not necessarily those of the NHS, the NIHR</w:t>
      </w:r>
      <w:r w:rsidR="003C3CDB">
        <w:rPr>
          <w:lang w:val="en-GB"/>
        </w:rPr>
        <w:t>,</w:t>
      </w:r>
      <w:r w:rsidR="00593D38" w:rsidRPr="00C209C0">
        <w:rPr>
          <w:lang w:val="en-GB"/>
        </w:rPr>
        <w:t xml:space="preserve"> or the Department of Health. </w:t>
      </w:r>
      <w:r w:rsidR="00593D38" w:rsidRPr="00C209C0">
        <w:rPr>
          <w:kern w:val="24"/>
          <w:lang w:val="en-GB"/>
        </w:rPr>
        <w:t xml:space="preserve">The funding bodies had no role in writing of the manuscript or decision to submit for publication. </w:t>
      </w:r>
    </w:p>
    <w:p w14:paraId="03A03D90" w14:textId="6C52DC75" w:rsidR="00B77070" w:rsidRPr="00C209C0" w:rsidRDefault="003C3801" w:rsidP="00B46AB5">
      <w:pPr>
        <w:pStyle w:val="MDPI62Acknowledgments"/>
        <w:rPr>
          <w:rFonts w:cstheme="minorHAnsi"/>
          <w:b/>
          <w:lang w:val="en-GB"/>
        </w:rPr>
      </w:pPr>
      <w:r w:rsidRPr="00C209C0">
        <w:rPr>
          <w:b/>
          <w:lang w:val="en-GB"/>
        </w:rPr>
        <w:t>Conflicts of Interest</w:t>
      </w:r>
      <w:r w:rsidR="00B77070" w:rsidRPr="00C209C0">
        <w:rPr>
          <w:rFonts w:ascii="SimSun" w:eastAsia="SimSun" w:hAnsi="SimSun" w:cs="SimSun"/>
          <w:b/>
          <w:lang w:val="en-GB"/>
        </w:rPr>
        <w:t>：</w:t>
      </w:r>
      <w:r w:rsidR="00B77070" w:rsidRPr="00C209C0">
        <w:rPr>
          <w:lang w:val="en-GB"/>
        </w:rPr>
        <w:t>The authors declare no conflict of interest</w:t>
      </w:r>
    </w:p>
    <w:p w14:paraId="6905F2F3" w14:textId="77777777" w:rsidR="009D5E37" w:rsidRDefault="009D5E37" w:rsidP="003213E5">
      <w:pPr>
        <w:pStyle w:val="MDPI21heading1"/>
        <w:rPr>
          <w:lang w:val="en-GB"/>
        </w:rPr>
      </w:pPr>
    </w:p>
    <w:p w14:paraId="2DAA5940" w14:textId="578A204C" w:rsidR="00593D38" w:rsidRPr="00C209C0" w:rsidRDefault="00593D38" w:rsidP="003213E5">
      <w:pPr>
        <w:pStyle w:val="MDPI21heading1"/>
        <w:rPr>
          <w:lang w:val="en-GB"/>
        </w:rPr>
      </w:pPr>
      <w:r w:rsidRPr="00C209C0">
        <w:rPr>
          <w:lang w:val="en-GB"/>
        </w:rPr>
        <w:lastRenderedPageBreak/>
        <w:t>References</w:t>
      </w:r>
    </w:p>
    <w:p w14:paraId="3DB8696B" w14:textId="77777777" w:rsidR="00496C1F" w:rsidRPr="003D6B51" w:rsidRDefault="00496C1F" w:rsidP="00E54C73">
      <w:pPr>
        <w:pStyle w:val="MDPI71References"/>
      </w:pPr>
      <w:r w:rsidRPr="003D6B51">
        <w:t>Chatterji. S., Byles, J.; Cutler, D.; Seeman, T.; Verdes, E. Health, functioning, and disability in older adults--present status and future implications</w:t>
      </w:r>
      <w:r w:rsidRPr="003D6B51">
        <w:rPr>
          <w:i/>
        </w:rPr>
        <w:t>. Lancet</w:t>
      </w:r>
      <w:r w:rsidRPr="003D6B51">
        <w:t xml:space="preserve">. </w:t>
      </w:r>
      <w:r w:rsidRPr="003D6B51">
        <w:rPr>
          <w:b/>
        </w:rPr>
        <w:t>2015</w:t>
      </w:r>
      <w:r w:rsidRPr="003D6B51">
        <w:t xml:space="preserve">, </w:t>
      </w:r>
      <w:r w:rsidRPr="003D6B51">
        <w:rPr>
          <w:i/>
        </w:rPr>
        <w:t>385</w:t>
      </w:r>
      <w:r w:rsidRPr="003D6B51">
        <w:t>, 563–575</w:t>
      </w:r>
    </w:p>
    <w:p w14:paraId="66B0F4AD" w14:textId="77777777" w:rsidR="00496C1F" w:rsidRPr="003D6B51" w:rsidRDefault="00496C1F" w:rsidP="00E54C73">
      <w:pPr>
        <w:pStyle w:val="MDPI71References"/>
      </w:pPr>
      <w:r w:rsidRPr="003D6B51">
        <w:t>United Nations, Department of Economic and Social Affairs, Population Division World Population Ageing 2015 (ST/ESA/SER.A/390). 2015</w:t>
      </w:r>
      <w:r>
        <w:t>,</w:t>
      </w:r>
      <w:r w:rsidRPr="003D6B51">
        <w:t xml:space="preserve"> </w:t>
      </w:r>
      <w:hyperlink r:id="rId9" w:history="1">
        <w:r w:rsidRPr="009E3CF9">
          <w:rPr>
            <w:rStyle w:val="Hyperlink"/>
            <w:color w:val="000000" w:themeColor="text1"/>
            <w:u w:val="none"/>
          </w:rPr>
          <w:t>https://www.un.org/en/development/desa/population/publications/pdf/ageing/WPA2015_Report.pdf</w:t>
        </w:r>
        <w:r w:rsidRPr="00F04B3F">
          <w:rPr>
            <w:rStyle w:val="Hyperlink"/>
            <w:color w:val="000000" w:themeColor="text1"/>
            <w:u w:val="none"/>
          </w:rPr>
          <w:t xml:space="preserve"> </w:t>
        </w:r>
        <w:r w:rsidRPr="009E3CF9">
          <w:rPr>
            <w:rStyle w:val="Hyperlink"/>
            <w:color w:val="000000" w:themeColor="text1"/>
            <w:u w:val="none"/>
          </w:rPr>
          <w:t>(assess</w:t>
        </w:r>
        <w:r w:rsidRPr="00F04B3F">
          <w:rPr>
            <w:rStyle w:val="Hyperlink"/>
            <w:color w:val="000000" w:themeColor="text1"/>
            <w:u w:val="none"/>
          </w:rPr>
          <w:t>ed</w:t>
        </w:r>
      </w:hyperlink>
      <w:r w:rsidRPr="009E3CF9">
        <w:rPr>
          <w:color w:val="000000" w:themeColor="text1"/>
        </w:rPr>
        <w:t xml:space="preserve"> on </w:t>
      </w:r>
      <w:r>
        <w:t>27 October 2020)</w:t>
      </w:r>
    </w:p>
    <w:p w14:paraId="2DA783A4" w14:textId="77777777" w:rsidR="00496C1F" w:rsidRPr="003D6B51" w:rsidRDefault="00496C1F" w:rsidP="00E54C73">
      <w:pPr>
        <w:pStyle w:val="MDPI71References"/>
      </w:pPr>
      <w:r w:rsidRPr="003D6B51">
        <w:t>Willcox</w:t>
      </w:r>
      <w:r>
        <w:t>,</w:t>
      </w:r>
      <w:r w:rsidRPr="003D6B51">
        <w:t xml:space="preserve"> D</w:t>
      </w:r>
      <w:r>
        <w:t>.</w:t>
      </w:r>
      <w:r w:rsidRPr="003D6B51">
        <w:t>C</w:t>
      </w:r>
      <w:r>
        <w:t>.;</w:t>
      </w:r>
      <w:r w:rsidRPr="003D6B51">
        <w:t xml:space="preserve"> Willcox</w:t>
      </w:r>
      <w:r>
        <w:t>,</w:t>
      </w:r>
      <w:r w:rsidRPr="003D6B51">
        <w:t xml:space="preserve"> B</w:t>
      </w:r>
      <w:r>
        <w:t>.</w:t>
      </w:r>
      <w:r w:rsidRPr="003D6B51">
        <w:t>J</w:t>
      </w:r>
      <w:r>
        <w:t>.;</w:t>
      </w:r>
      <w:r w:rsidRPr="003D6B51">
        <w:t xml:space="preserve"> Poon</w:t>
      </w:r>
      <w:r>
        <w:t>,</w:t>
      </w:r>
      <w:r w:rsidRPr="003D6B51">
        <w:t xml:space="preserve"> L</w:t>
      </w:r>
      <w:r>
        <w:t>.</w:t>
      </w:r>
      <w:r w:rsidRPr="003D6B51">
        <w:t xml:space="preserve">W. </w:t>
      </w:r>
      <w:bookmarkStart w:id="3" w:name="OLE_LINK3"/>
      <w:bookmarkStart w:id="4" w:name="OLE_LINK4"/>
      <w:r w:rsidRPr="003D6B51">
        <w:t>Centenarian studies: Important contributors to our understanding of the aging process and longevity</w:t>
      </w:r>
      <w:bookmarkEnd w:id="3"/>
      <w:bookmarkEnd w:id="4"/>
      <w:r w:rsidRPr="003D6B51">
        <w:t xml:space="preserve">. </w:t>
      </w:r>
      <w:r w:rsidRPr="009E3CF9">
        <w:rPr>
          <w:i/>
        </w:rPr>
        <w:t>Current Gerontol. Geriatr. Res</w:t>
      </w:r>
      <w:r>
        <w:t>.</w:t>
      </w:r>
      <w:r w:rsidRPr="003D6B51">
        <w:t xml:space="preserve"> </w:t>
      </w:r>
      <w:r w:rsidRPr="009E3CF9">
        <w:rPr>
          <w:b/>
        </w:rPr>
        <w:t>2010</w:t>
      </w:r>
      <w:r>
        <w:t xml:space="preserve">, </w:t>
      </w:r>
      <w:r w:rsidRPr="009E3CF9">
        <w:rPr>
          <w:i/>
        </w:rPr>
        <w:t>2010</w:t>
      </w:r>
      <w:r>
        <w:t>,</w:t>
      </w:r>
      <w:r w:rsidRPr="00EB4FAC">
        <w:t xml:space="preserve"> doi</w:t>
      </w:r>
      <w:r>
        <w:t>:</w:t>
      </w:r>
      <w:r w:rsidRPr="00EB4FAC">
        <w:t>org/10.1155/2010/484529</w:t>
      </w:r>
    </w:p>
    <w:p w14:paraId="0E71E88C" w14:textId="77777777" w:rsidR="00496C1F" w:rsidRPr="003D6B51" w:rsidRDefault="00496C1F" w:rsidP="00E54C73">
      <w:pPr>
        <w:pStyle w:val="MDPI71References"/>
      </w:pPr>
      <w:r w:rsidRPr="003D6B51">
        <w:t>Fabbri</w:t>
      </w:r>
      <w:r>
        <w:t>,</w:t>
      </w:r>
      <w:r w:rsidRPr="003D6B51">
        <w:t xml:space="preserve"> E</w:t>
      </w:r>
      <w:r>
        <w:t>.;</w:t>
      </w:r>
      <w:r w:rsidRPr="003D6B51">
        <w:t xml:space="preserve"> An</w:t>
      </w:r>
      <w:r>
        <w:t>,</w:t>
      </w:r>
      <w:r w:rsidRPr="003D6B51">
        <w:t xml:space="preserve"> Y</w:t>
      </w:r>
      <w:r>
        <w:t>.;</w:t>
      </w:r>
      <w:r w:rsidRPr="003D6B51">
        <w:t xml:space="preserve"> Zoli</w:t>
      </w:r>
      <w:r>
        <w:t>,</w:t>
      </w:r>
      <w:r w:rsidRPr="003D6B51">
        <w:t xml:space="preserve"> M</w:t>
      </w:r>
      <w:r>
        <w:t>.;</w:t>
      </w:r>
      <w:r w:rsidRPr="003D6B51">
        <w:t xml:space="preserve"> Simonsick</w:t>
      </w:r>
      <w:r>
        <w:t>,</w:t>
      </w:r>
      <w:r w:rsidRPr="003D6B51">
        <w:t xml:space="preserve"> E</w:t>
      </w:r>
      <w:r>
        <w:t>.</w:t>
      </w:r>
      <w:r w:rsidRPr="003D6B51">
        <w:t>M</w:t>
      </w:r>
      <w:r>
        <w:t>.;</w:t>
      </w:r>
      <w:r w:rsidRPr="003D6B51">
        <w:t xml:space="preserve"> Guralnik</w:t>
      </w:r>
      <w:r>
        <w:t>,</w:t>
      </w:r>
      <w:r w:rsidRPr="003D6B51">
        <w:t xml:space="preserve"> J</w:t>
      </w:r>
      <w:r>
        <w:t>.</w:t>
      </w:r>
      <w:r w:rsidRPr="003D6B51">
        <w:t>M</w:t>
      </w:r>
      <w:r>
        <w:t>.;</w:t>
      </w:r>
      <w:r w:rsidRPr="003D6B51">
        <w:t xml:space="preserve"> Bandinelli, S. Aging and the burden of multimorbidity: Associations with inflammatory and anabolic hormonal biomarkers. </w:t>
      </w:r>
      <w:r w:rsidRPr="009E3CF9">
        <w:rPr>
          <w:i/>
        </w:rPr>
        <w:t>J Gerontol A Biol Sci Med Sci.</w:t>
      </w:r>
      <w:r w:rsidRPr="003D6B51">
        <w:t xml:space="preserve"> </w:t>
      </w:r>
      <w:r w:rsidRPr="009E3CF9">
        <w:rPr>
          <w:b/>
        </w:rPr>
        <w:t>2015</w:t>
      </w:r>
      <w:r>
        <w:t xml:space="preserve">, </w:t>
      </w:r>
      <w:r w:rsidRPr="009E3CF9">
        <w:rPr>
          <w:i/>
        </w:rPr>
        <w:t>70</w:t>
      </w:r>
      <w:r>
        <w:t xml:space="preserve">, </w:t>
      </w:r>
      <w:r w:rsidRPr="003D6B51">
        <w:t>63</w:t>
      </w:r>
      <w:r>
        <w:t>–</w:t>
      </w:r>
      <w:r w:rsidRPr="003D6B51">
        <w:t>70</w:t>
      </w:r>
    </w:p>
    <w:p w14:paraId="42F2FEA7" w14:textId="77777777" w:rsidR="00496C1F" w:rsidRPr="003D6B51" w:rsidRDefault="00496C1F" w:rsidP="00E54C73">
      <w:pPr>
        <w:pStyle w:val="MDPI71References"/>
      </w:pPr>
      <w:r w:rsidRPr="003D6B51">
        <w:t>Baethge</w:t>
      </w:r>
      <w:r>
        <w:t>,</w:t>
      </w:r>
      <w:r w:rsidRPr="003D6B51">
        <w:t xml:space="preserve"> C</w:t>
      </w:r>
      <w:r>
        <w:t>.;</w:t>
      </w:r>
      <w:r w:rsidRPr="003D6B51">
        <w:t xml:space="preserve"> Goldbeck-Wood</w:t>
      </w:r>
      <w:r>
        <w:t>,</w:t>
      </w:r>
      <w:r w:rsidRPr="003D6B51">
        <w:t xml:space="preserve"> S</w:t>
      </w:r>
      <w:r>
        <w:t>.;</w:t>
      </w:r>
      <w:r w:rsidRPr="003D6B51">
        <w:t xml:space="preserve"> Mertens, S. SANRA-a scale for the quality assessment of narrative review articles. </w:t>
      </w:r>
      <w:r w:rsidRPr="009E3CF9">
        <w:rPr>
          <w:i/>
        </w:rPr>
        <w:t>Res Integr Peer Rev.</w:t>
      </w:r>
      <w:r w:rsidRPr="003D6B51">
        <w:t xml:space="preserve"> </w:t>
      </w:r>
      <w:r w:rsidRPr="009E3CF9">
        <w:rPr>
          <w:b/>
        </w:rPr>
        <w:t>2019</w:t>
      </w:r>
      <w:r>
        <w:t xml:space="preserve">, </w:t>
      </w:r>
      <w:r w:rsidRPr="009E3CF9">
        <w:rPr>
          <w:i/>
        </w:rPr>
        <w:t>4</w:t>
      </w:r>
      <w:r>
        <w:t xml:space="preserve">, </w:t>
      </w:r>
      <w:r w:rsidRPr="003D6B51">
        <w:t>5</w:t>
      </w:r>
    </w:p>
    <w:p w14:paraId="7F20248E" w14:textId="77777777" w:rsidR="00496C1F" w:rsidRPr="003D6B51" w:rsidRDefault="00496C1F" w:rsidP="00E54C73">
      <w:pPr>
        <w:pStyle w:val="MDPI71References"/>
      </w:pPr>
      <w:r w:rsidRPr="003D6B51">
        <w:t>Barnett</w:t>
      </w:r>
      <w:r>
        <w:t>,</w:t>
      </w:r>
      <w:r w:rsidRPr="003D6B51">
        <w:t xml:space="preserve"> K</w:t>
      </w:r>
      <w:r>
        <w:t>.;</w:t>
      </w:r>
      <w:r w:rsidRPr="003D6B51">
        <w:t xml:space="preserve"> Mercer</w:t>
      </w:r>
      <w:r>
        <w:t>,</w:t>
      </w:r>
      <w:r w:rsidRPr="003D6B51">
        <w:t xml:space="preserve"> S</w:t>
      </w:r>
      <w:r>
        <w:t>.</w:t>
      </w:r>
      <w:r w:rsidRPr="003D6B51">
        <w:t>W</w:t>
      </w:r>
      <w:r>
        <w:t>.;</w:t>
      </w:r>
      <w:r w:rsidRPr="003D6B51">
        <w:t xml:space="preserve"> Norbury</w:t>
      </w:r>
      <w:r>
        <w:t>,</w:t>
      </w:r>
      <w:r w:rsidRPr="003D6B51">
        <w:t xml:space="preserve"> M</w:t>
      </w:r>
      <w:r>
        <w:t>.;</w:t>
      </w:r>
      <w:r w:rsidRPr="003D6B51">
        <w:t xml:space="preserve"> Watt</w:t>
      </w:r>
      <w:r>
        <w:t>,</w:t>
      </w:r>
      <w:r w:rsidRPr="003D6B51">
        <w:t xml:space="preserve"> G</w:t>
      </w:r>
      <w:r>
        <w:t>.;</w:t>
      </w:r>
      <w:r w:rsidRPr="003D6B51">
        <w:t xml:space="preserve"> Wyke</w:t>
      </w:r>
      <w:r>
        <w:t>,</w:t>
      </w:r>
      <w:r w:rsidRPr="003D6B51">
        <w:t xml:space="preserve"> S</w:t>
      </w:r>
      <w:r>
        <w:t>.;</w:t>
      </w:r>
      <w:r w:rsidRPr="003D6B51">
        <w:t xml:space="preserve"> Guthrie, B. Epidemiology of multimorbidity and implications for health care, research, and medical education: A cross-sectional study. </w:t>
      </w:r>
      <w:r w:rsidRPr="009E3CF9">
        <w:rPr>
          <w:i/>
        </w:rPr>
        <w:t>Lancet.</w:t>
      </w:r>
      <w:r w:rsidRPr="003D6B51">
        <w:t xml:space="preserve"> </w:t>
      </w:r>
      <w:r w:rsidRPr="009E3CF9">
        <w:rPr>
          <w:b/>
        </w:rPr>
        <w:t>2012</w:t>
      </w:r>
      <w:r>
        <w:t xml:space="preserve">, </w:t>
      </w:r>
      <w:r w:rsidRPr="009E3CF9">
        <w:rPr>
          <w:i/>
        </w:rPr>
        <w:t>380</w:t>
      </w:r>
      <w:r>
        <w:t xml:space="preserve">, </w:t>
      </w:r>
      <w:r w:rsidRPr="003D6B51">
        <w:t>37</w:t>
      </w:r>
      <w:r>
        <w:t>–</w:t>
      </w:r>
      <w:r w:rsidRPr="003D6B51">
        <w:t>43</w:t>
      </w:r>
    </w:p>
    <w:p w14:paraId="0F275E44" w14:textId="77777777" w:rsidR="00496C1F" w:rsidRPr="003D6B51" w:rsidRDefault="00496C1F" w:rsidP="00E54C73">
      <w:pPr>
        <w:pStyle w:val="MDPI71References"/>
      </w:pPr>
      <w:r w:rsidRPr="003D6B51">
        <w:t xml:space="preserve">The National Institute for Health and Care Excellence (NICE): Multimorbidity: Clinical assessment and management. </w:t>
      </w:r>
      <w:r w:rsidRPr="009E3CF9">
        <w:rPr>
          <w:b/>
        </w:rPr>
        <w:t>2016</w:t>
      </w:r>
      <w:r>
        <w:t>,</w:t>
      </w:r>
      <w:r w:rsidRPr="003D6B51">
        <w:t xml:space="preserve"> https://www.nice.org.uk/guidance/ng56</w:t>
      </w:r>
      <w:r>
        <w:t xml:space="preserve"> (assessed </w:t>
      </w:r>
      <w:r w:rsidRPr="00915F5A">
        <w:rPr>
          <w:color w:val="000000" w:themeColor="text1"/>
        </w:rPr>
        <w:t xml:space="preserve">on </w:t>
      </w:r>
      <w:r>
        <w:t>27 October 2020)</w:t>
      </w:r>
    </w:p>
    <w:p w14:paraId="745801C9" w14:textId="77777777" w:rsidR="00496C1F" w:rsidRPr="003D6B51" w:rsidRDefault="00496C1F" w:rsidP="00E54C73">
      <w:pPr>
        <w:pStyle w:val="MDPI71References"/>
      </w:pPr>
      <w:r w:rsidRPr="003D6B51">
        <w:t xml:space="preserve">Aiden, H. Multimorbidity: Understanding the Challenge. </w:t>
      </w:r>
      <w:r w:rsidRPr="009E3CF9">
        <w:rPr>
          <w:b/>
        </w:rPr>
        <w:t>2018</w:t>
      </w:r>
      <w:r>
        <w:t>,</w:t>
      </w:r>
      <w:r w:rsidRPr="003D6B51">
        <w:t xml:space="preserve"> www</w:t>
      </w:r>
      <w:r>
        <w:t>.</w:t>
      </w:r>
      <w:r w:rsidRPr="003D6B51">
        <w:t xml:space="preserve">richmondgroupofcharitiesorguk. </w:t>
      </w:r>
      <w:r>
        <w:t xml:space="preserve">(assessed </w:t>
      </w:r>
      <w:r w:rsidRPr="00915F5A">
        <w:rPr>
          <w:color w:val="000000" w:themeColor="text1"/>
        </w:rPr>
        <w:t xml:space="preserve">on </w:t>
      </w:r>
      <w:r>
        <w:t>27 October 2020)</w:t>
      </w:r>
    </w:p>
    <w:p w14:paraId="6F4966DD" w14:textId="77777777" w:rsidR="00496C1F" w:rsidRPr="003D6B51" w:rsidRDefault="00496C1F" w:rsidP="00E54C73">
      <w:pPr>
        <w:pStyle w:val="MDPI71References"/>
      </w:pPr>
      <w:r w:rsidRPr="003D6B51">
        <w:t>Fortin</w:t>
      </w:r>
      <w:r>
        <w:t>,</w:t>
      </w:r>
      <w:r w:rsidRPr="003D6B51">
        <w:t xml:space="preserve"> M</w:t>
      </w:r>
      <w:r>
        <w:t>.;</w:t>
      </w:r>
      <w:r w:rsidRPr="003D6B51">
        <w:t xml:space="preserve"> Lapointe</w:t>
      </w:r>
      <w:r>
        <w:t>,</w:t>
      </w:r>
      <w:r w:rsidRPr="003D6B51">
        <w:t xml:space="preserve"> L</w:t>
      </w:r>
      <w:r>
        <w:t>.;</w:t>
      </w:r>
      <w:r w:rsidRPr="003D6B51">
        <w:t xml:space="preserve"> Hudon</w:t>
      </w:r>
      <w:r>
        <w:t>,</w:t>
      </w:r>
      <w:r w:rsidRPr="003D6B51">
        <w:t xml:space="preserve"> C</w:t>
      </w:r>
      <w:r>
        <w:t>.;</w:t>
      </w:r>
      <w:r w:rsidRPr="003D6B51">
        <w:t xml:space="preserve"> Vanasse</w:t>
      </w:r>
      <w:r>
        <w:t>,</w:t>
      </w:r>
      <w:r w:rsidRPr="003D6B51">
        <w:t xml:space="preserve"> A</w:t>
      </w:r>
      <w:r>
        <w:t>.;</w:t>
      </w:r>
      <w:r w:rsidRPr="003D6B51">
        <w:t xml:space="preserve"> Ntetu</w:t>
      </w:r>
      <w:r>
        <w:t>,</w:t>
      </w:r>
      <w:r w:rsidRPr="003D6B51">
        <w:t xml:space="preserve"> A</w:t>
      </w:r>
      <w:r>
        <w:t>.</w:t>
      </w:r>
      <w:r w:rsidRPr="003D6B51">
        <w:t>L</w:t>
      </w:r>
      <w:r>
        <w:t>.;</w:t>
      </w:r>
      <w:r w:rsidRPr="003D6B51">
        <w:t xml:space="preserve"> Maltais, D. Multimorbidity and quality of life in primary care: A systematic review. </w:t>
      </w:r>
      <w:r w:rsidRPr="009E3CF9">
        <w:rPr>
          <w:i/>
        </w:rPr>
        <w:t>Health Quality life Outcomes</w:t>
      </w:r>
      <w:r w:rsidRPr="003D6B51">
        <w:t xml:space="preserve">. </w:t>
      </w:r>
      <w:r w:rsidRPr="009E3CF9">
        <w:rPr>
          <w:b/>
        </w:rPr>
        <w:t>2004</w:t>
      </w:r>
      <w:r>
        <w:t xml:space="preserve">, </w:t>
      </w:r>
      <w:r w:rsidRPr="009E3CF9">
        <w:rPr>
          <w:i/>
        </w:rPr>
        <w:t>2</w:t>
      </w:r>
      <w:r>
        <w:t xml:space="preserve">, </w:t>
      </w:r>
      <w:r w:rsidRPr="003D6B51">
        <w:t>51.</w:t>
      </w:r>
    </w:p>
    <w:p w14:paraId="6DFC2D62" w14:textId="77777777" w:rsidR="00496C1F" w:rsidRPr="003D6B51" w:rsidRDefault="00496C1F" w:rsidP="00E54C73">
      <w:pPr>
        <w:pStyle w:val="MDPI71References"/>
      </w:pPr>
      <w:r w:rsidRPr="003D6B51">
        <w:t>Payne</w:t>
      </w:r>
      <w:r>
        <w:t>,</w:t>
      </w:r>
      <w:r w:rsidRPr="003D6B51">
        <w:t xml:space="preserve"> R</w:t>
      </w:r>
      <w:r>
        <w:t>.</w:t>
      </w:r>
      <w:r w:rsidRPr="003D6B51">
        <w:t>A</w:t>
      </w:r>
      <w:r>
        <w:t>.;</w:t>
      </w:r>
      <w:r w:rsidRPr="003D6B51">
        <w:t xml:space="preserve"> Abel</w:t>
      </w:r>
      <w:r>
        <w:t>,</w:t>
      </w:r>
      <w:r w:rsidRPr="003D6B51">
        <w:t xml:space="preserve"> G</w:t>
      </w:r>
      <w:r>
        <w:t>.</w:t>
      </w:r>
      <w:r w:rsidRPr="003D6B51">
        <w:t>A</w:t>
      </w:r>
      <w:r>
        <w:t>.;</w:t>
      </w:r>
      <w:r w:rsidRPr="003D6B51">
        <w:t xml:space="preserve"> Guthrie, B.</w:t>
      </w:r>
      <w:r>
        <w:t>;</w:t>
      </w:r>
      <w:r w:rsidRPr="003D6B51">
        <w:t xml:space="preserve"> Mercer</w:t>
      </w:r>
      <w:r>
        <w:t>,</w:t>
      </w:r>
      <w:r w:rsidRPr="003D6B51">
        <w:t xml:space="preserve"> S</w:t>
      </w:r>
      <w:r>
        <w:t>.</w:t>
      </w:r>
      <w:r w:rsidRPr="003D6B51">
        <w:t xml:space="preserve">W. The effect of physical multimorbidity, mental health conditions and socioeconomic deprivation on unplanned admissions to hospital: A retrospective cohort study. </w:t>
      </w:r>
      <w:r w:rsidRPr="009E3CF9">
        <w:rPr>
          <w:i/>
        </w:rPr>
        <w:t>Cmaj</w:t>
      </w:r>
      <w:r w:rsidRPr="003D6B51">
        <w:t xml:space="preserve">. </w:t>
      </w:r>
      <w:r w:rsidRPr="009E3CF9">
        <w:rPr>
          <w:b/>
        </w:rPr>
        <w:t>2013</w:t>
      </w:r>
      <w:r>
        <w:t xml:space="preserve">, </w:t>
      </w:r>
      <w:r w:rsidRPr="009E3CF9">
        <w:rPr>
          <w:i/>
        </w:rPr>
        <w:t>185</w:t>
      </w:r>
      <w:r>
        <w:t xml:space="preserve">, </w:t>
      </w:r>
      <w:r w:rsidRPr="003D6B51">
        <w:t>E221</w:t>
      </w:r>
      <w:r>
        <w:t>–</w:t>
      </w:r>
      <w:r w:rsidRPr="003D6B51">
        <w:t>E</w:t>
      </w:r>
      <w:r>
        <w:t>22</w:t>
      </w:r>
      <w:r w:rsidRPr="003D6B51">
        <w:t>8</w:t>
      </w:r>
    </w:p>
    <w:p w14:paraId="7E66079A" w14:textId="77777777" w:rsidR="00496C1F" w:rsidRPr="003D6B51" w:rsidRDefault="00496C1F" w:rsidP="00E54C73">
      <w:pPr>
        <w:pStyle w:val="MDPI71References"/>
      </w:pPr>
      <w:r w:rsidRPr="003D6B51">
        <w:t>Calderón-Larrañaga</w:t>
      </w:r>
      <w:r>
        <w:t>,</w:t>
      </w:r>
      <w:r w:rsidRPr="003D6B51">
        <w:t xml:space="preserve"> A</w:t>
      </w:r>
      <w:r>
        <w:t>.;</w:t>
      </w:r>
      <w:r w:rsidRPr="003D6B51">
        <w:t xml:space="preserve"> Poblador-Plou</w:t>
      </w:r>
      <w:r>
        <w:t>,</w:t>
      </w:r>
      <w:r w:rsidRPr="003D6B51">
        <w:t xml:space="preserve"> B</w:t>
      </w:r>
      <w:r>
        <w:t>.;</w:t>
      </w:r>
      <w:r w:rsidRPr="003D6B51">
        <w:t xml:space="preserve"> González-Rubio</w:t>
      </w:r>
      <w:r>
        <w:t>,</w:t>
      </w:r>
      <w:r w:rsidRPr="003D6B51">
        <w:t xml:space="preserve"> F</w:t>
      </w:r>
      <w:r>
        <w:t>.;</w:t>
      </w:r>
      <w:r w:rsidRPr="003D6B51">
        <w:t xml:space="preserve"> Gimeno-Feliu</w:t>
      </w:r>
      <w:r>
        <w:t>,</w:t>
      </w:r>
      <w:r w:rsidRPr="003D6B51">
        <w:t xml:space="preserve"> L</w:t>
      </w:r>
      <w:r>
        <w:t>.</w:t>
      </w:r>
      <w:r w:rsidRPr="003D6B51">
        <w:t>A</w:t>
      </w:r>
      <w:r>
        <w:t>.;</w:t>
      </w:r>
      <w:r w:rsidRPr="003D6B51">
        <w:t xml:space="preserve"> Abad-Díez</w:t>
      </w:r>
      <w:r>
        <w:t>,</w:t>
      </w:r>
      <w:r w:rsidRPr="003D6B51">
        <w:t xml:space="preserve"> J</w:t>
      </w:r>
      <w:r>
        <w:t>.</w:t>
      </w:r>
      <w:r w:rsidRPr="003D6B51">
        <w:t>M</w:t>
      </w:r>
      <w:r>
        <w:t>.;</w:t>
      </w:r>
      <w:r w:rsidRPr="003D6B51">
        <w:t xml:space="preserve"> Prados-Torres, A. Multimorbidity, polypharmacy, referrals, and adverse drug events: Are we doing things well? </w:t>
      </w:r>
      <w:r w:rsidRPr="009E3CF9">
        <w:rPr>
          <w:i/>
        </w:rPr>
        <w:t>Br J Gen Pract</w:t>
      </w:r>
      <w:r w:rsidRPr="003D6B51">
        <w:t xml:space="preserve">. </w:t>
      </w:r>
      <w:r w:rsidRPr="009E3CF9">
        <w:rPr>
          <w:b/>
        </w:rPr>
        <w:t>2012</w:t>
      </w:r>
      <w:r>
        <w:t xml:space="preserve">, </w:t>
      </w:r>
      <w:r w:rsidRPr="009E3CF9">
        <w:rPr>
          <w:i/>
        </w:rPr>
        <w:t>62</w:t>
      </w:r>
      <w:r>
        <w:t xml:space="preserve">, </w:t>
      </w:r>
      <w:r w:rsidRPr="003D6B51">
        <w:t>e821</w:t>
      </w:r>
      <w:r>
        <w:t>–</w:t>
      </w:r>
      <w:r w:rsidRPr="003D6B51">
        <w:t>e</w:t>
      </w:r>
      <w:r>
        <w:t>82</w:t>
      </w:r>
      <w:r w:rsidRPr="003D6B51">
        <w:t>6</w:t>
      </w:r>
    </w:p>
    <w:p w14:paraId="2B3E9AA7" w14:textId="77777777" w:rsidR="00496C1F" w:rsidRPr="003D6B51" w:rsidRDefault="00496C1F" w:rsidP="00E54C73">
      <w:pPr>
        <w:pStyle w:val="MDPI71References"/>
      </w:pPr>
      <w:r w:rsidRPr="003D6B51">
        <w:t>Marengoni</w:t>
      </w:r>
      <w:r>
        <w:t>,</w:t>
      </w:r>
      <w:r w:rsidRPr="003D6B51">
        <w:t xml:space="preserve"> A</w:t>
      </w:r>
      <w:r>
        <w:t>.;</w:t>
      </w:r>
      <w:r w:rsidRPr="003D6B51">
        <w:t xml:space="preserve"> Angleman</w:t>
      </w:r>
      <w:r>
        <w:t>,</w:t>
      </w:r>
      <w:r w:rsidRPr="003D6B51">
        <w:t xml:space="preserve"> S</w:t>
      </w:r>
      <w:r>
        <w:t>.;</w:t>
      </w:r>
      <w:r w:rsidRPr="003D6B51">
        <w:t xml:space="preserve"> Melis</w:t>
      </w:r>
      <w:r>
        <w:t>,</w:t>
      </w:r>
      <w:r w:rsidRPr="003D6B51">
        <w:t xml:space="preserve"> R</w:t>
      </w:r>
      <w:r>
        <w:t>.;</w:t>
      </w:r>
      <w:r w:rsidRPr="003D6B51">
        <w:t xml:space="preserve"> Mangialasche</w:t>
      </w:r>
      <w:r>
        <w:t>,</w:t>
      </w:r>
      <w:r w:rsidRPr="003D6B51">
        <w:t xml:space="preserve"> F</w:t>
      </w:r>
      <w:r>
        <w:t>.;</w:t>
      </w:r>
      <w:r w:rsidRPr="003D6B51">
        <w:t xml:space="preserve"> Karp</w:t>
      </w:r>
      <w:r>
        <w:t>,</w:t>
      </w:r>
      <w:r w:rsidRPr="003D6B51">
        <w:t xml:space="preserve"> A</w:t>
      </w:r>
      <w:r>
        <w:t>.;</w:t>
      </w:r>
      <w:r w:rsidRPr="003D6B51">
        <w:t xml:space="preserve"> Garmen</w:t>
      </w:r>
      <w:r>
        <w:t>,</w:t>
      </w:r>
      <w:r w:rsidRPr="003D6B51">
        <w:t xml:space="preserve"> A</w:t>
      </w:r>
      <w:r>
        <w:t>.</w:t>
      </w:r>
      <w:r w:rsidRPr="003D6B51">
        <w:t xml:space="preserve"> Aging with multimorbidity: A systematic review of the literature. </w:t>
      </w:r>
      <w:r w:rsidRPr="009E3CF9">
        <w:rPr>
          <w:i/>
        </w:rPr>
        <w:t>Ageing Res Rev</w:t>
      </w:r>
      <w:r w:rsidRPr="003D6B51">
        <w:t xml:space="preserve">. </w:t>
      </w:r>
      <w:r w:rsidRPr="009E3CF9">
        <w:rPr>
          <w:b/>
        </w:rPr>
        <w:t>2011</w:t>
      </w:r>
      <w:r>
        <w:t xml:space="preserve">, </w:t>
      </w:r>
      <w:r w:rsidRPr="009E3CF9">
        <w:rPr>
          <w:i/>
        </w:rPr>
        <w:t>10</w:t>
      </w:r>
      <w:r>
        <w:t xml:space="preserve">, </w:t>
      </w:r>
      <w:r w:rsidRPr="003D6B51">
        <w:t>430</w:t>
      </w:r>
      <w:r>
        <w:t>–43</w:t>
      </w:r>
      <w:r w:rsidRPr="003D6B51">
        <w:t>9</w:t>
      </w:r>
    </w:p>
    <w:p w14:paraId="1BBFCE50" w14:textId="77777777" w:rsidR="00496C1F" w:rsidRPr="003D6B51" w:rsidRDefault="00496C1F" w:rsidP="00E54C73">
      <w:pPr>
        <w:pStyle w:val="MDPI71References"/>
      </w:pPr>
      <w:r w:rsidRPr="003D6B51">
        <w:t>Nunes</w:t>
      </w:r>
      <w:r>
        <w:t>,</w:t>
      </w:r>
      <w:r w:rsidRPr="003D6B51">
        <w:t xml:space="preserve"> B</w:t>
      </w:r>
      <w:r>
        <w:t>.</w:t>
      </w:r>
      <w:r w:rsidRPr="003D6B51">
        <w:t>P</w:t>
      </w:r>
      <w:r>
        <w:t>.;</w:t>
      </w:r>
      <w:r w:rsidRPr="003D6B51">
        <w:t xml:space="preserve"> Flores</w:t>
      </w:r>
      <w:r>
        <w:t>,</w:t>
      </w:r>
      <w:r w:rsidRPr="003D6B51">
        <w:t xml:space="preserve"> T</w:t>
      </w:r>
      <w:r>
        <w:t>.</w:t>
      </w:r>
      <w:r w:rsidRPr="003D6B51">
        <w:t>R</w:t>
      </w:r>
      <w:r>
        <w:t>.;</w:t>
      </w:r>
      <w:r w:rsidRPr="003D6B51">
        <w:t xml:space="preserve"> Mielke</w:t>
      </w:r>
      <w:r>
        <w:t>,</w:t>
      </w:r>
      <w:r w:rsidRPr="003D6B51">
        <w:t xml:space="preserve"> G</w:t>
      </w:r>
      <w:r>
        <w:t>.</w:t>
      </w:r>
      <w:r w:rsidRPr="003D6B51">
        <w:t>I</w:t>
      </w:r>
      <w:r>
        <w:t>.;</w:t>
      </w:r>
      <w:r w:rsidRPr="003D6B51">
        <w:t xml:space="preserve"> Thume, E.</w:t>
      </w:r>
      <w:r>
        <w:t>;</w:t>
      </w:r>
      <w:r w:rsidRPr="003D6B51">
        <w:t xml:space="preserve"> Facchini</w:t>
      </w:r>
      <w:r>
        <w:t>,</w:t>
      </w:r>
      <w:r w:rsidRPr="003D6B51">
        <w:t xml:space="preserve"> L</w:t>
      </w:r>
      <w:r>
        <w:t>.</w:t>
      </w:r>
      <w:r w:rsidRPr="003D6B51">
        <w:t xml:space="preserve">A. Multimorbidity and mortality in older adults: A systematic review and meta-analysis. </w:t>
      </w:r>
      <w:r w:rsidRPr="009E3CF9">
        <w:rPr>
          <w:i/>
        </w:rPr>
        <w:t xml:space="preserve">Archives of </w:t>
      </w:r>
      <w:r>
        <w:rPr>
          <w:i/>
        </w:rPr>
        <w:t>G</w:t>
      </w:r>
      <w:r w:rsidRPr="009E3CF9">
        <w:rPr>
          <w:i/>
        </w:rPr>
        <w:t xml:space="preserve">erontology and </w:t>
      </w:r>
      <w:r>
        <w:rPr>
          <w:i/>
        </w:rPr>
        <w:t>G</w:t>
      </w:r>
      <w:r w:rsidRPr="009E3CF9">
        <w:rPr>
          <w:i/>
        </w:rPr>
        <w:t>eriatrics</w:t>
      </w:r>
      <w:r w:rsidRPr="003D6B51">
        <w:t xml:space="preserve">. </w:t>
      </w:r>
      <w:r w:rsidRPr="009E3CF9">
        <w:rPr>
          <w:b/>
        </w:rPr>
        <w:t>2016</w:t>
      </w:r>
      <w:r>
        <w:t xml:space="preserve">, </w:t>
      </w:r>
      <w:r w:rsidRPr="009E3CF9">
        <w:rPr>
          <w:i/>
        </w:rPr>
        <w:t>67</w:t>
      </w:r>
      <w:r>
        <w:t xml:space="preserve">, </w:t>
      </w:r>
      <w:r w:rsidRPr="003D6B51">
        <w:t>130</w:t>
      </w:r>
      <w:r>
        <w:t>–13</w:t>
      </w:r>
      <w:r w:rsidRPr="003D6B51">
        <w:t>8</w:t>
      </w:r>
    </w:p>
    <w:p w14:paraId="285A9E24" w14:textId="77777777" w:rsidR="00496C1F" w:rsidRPr="003D6B51" w:rsidRDefault="00496C1F" w:rsidP="00E54C73">
      <w:pPr>
        <w:pStyle w:val="MDPI71References"/>
      </w:pPr>
      <w:r w:rsidRPr="003D6B51">
        <w:t>Vos</w:t>
      </w:r>
      <w:r>
        <w:t>,</w:t>
      </w:r>
      <w:r w:rsidRPr="003D6B51">
        <w:t xml:space="preserve"> T</w:t>
      </w:r>
      <w:r>
        <w:t>.;</w:t>
      </w:r>
      <w:r w:rsidRPr="003D6B51">
        <w:t xml:space="preserve"> Barber</w:t>
      </w:r>
      <w:r>
        <w:t>,</w:t>
      </w:r>
      <w:r w:rsidRPr="003D6B51">
        <w:t xml:space="preserve"> R</w:t>
      </w:r>
      <w:r>
        <w:t>.</w:t>
      </w:r>
      <w:r w:rsidRPr="003D6B51">
        <w:t>M</w:t>
      </w:r>
      <w:r>
        <w:t>.;</w:t>
      </w:r>
      <w:r w:rsidRPr="003D6B51">
        <w:t xml:space="preserve"> Bell</w:t>
      </w:r>
      <w:r>
        <w:t>,</w:t>
      </w:r>
      <w:r w:rsidRPr="003D6B51">
        <w:t xml:space="preserve"> B</w:t>
      </w:r>
      <w:r>
        <w:t>.;</w:t>
      </w:r>
      <w:r w:rsidRPr="003D6B51">
        <w:t xml:space="preserve"> Bertozzi-Villa</w:t>
      </w:r>
      <w:r>
        <w:t>,</w:t>
      </w:r>
      <w:r w:rsidRPr="003D6B51">
        <w:t xml:space="preserve"> A</w:t>
      </w:r>
      <w:r>
        <w:t>.;</w:t>
      </w:r>
      <w:r w:rsidRPr="003D6B51">
        <w:t xml:space="preserve"> Biryukov</w:t>
      </w:r>
      <w:r>
        <w:t>,</w:t>
      </w:r>
      <w:r w:rsidRPr="003D6B51">
        <w:t xml:space="preserve"> S</w:t>
      </w:r>
      <w:r>
        <w:t>.;</w:t>
      </w:r>
      <w:r w:rsidRPr="003D6B51">
        <w:t xml:space="preserve"> </w:t>
      </w:r>
      <w:proofErr w:type="spellStart"/>
      <w:r w:rsidRPr="003D6B51">
        <w:t>Bolliger</w:t>
      </w:r>
      <w:proofErr w:type="spellEnd"/>
      <w:r w:rsidRPr="003D6B51">
        <w:t xml:space="preserve">, I. Global, regional, and national incidence, prevalence, and years lived with disability for 301 acute and chronic diseases and injuries in 188 countries, 1990–2013: A systematic analysis for the Global Burden of Disease Study 2013. </w:t>
      </w:r>
      <w:r w:rsidRPr="009E3CF9">
        <w:rPr>
          <w:i/>
        </w:rPr>
        <w:t>Lancet.</w:t>
      </w:r>
      <w:r w:rsidRPr="003D6B51">
        <w:t xml:space="preserve"> </w:t>
      </w:r>
      <w:r w:rsidRPr="009E3CF9">
        <w:rPr>
          <w:b/>
        </w:rPr>
        <w:t>2015</w:t>
      </w:r>
      <w:r>
        <w:t xml:space="preserve">, </w:t>
      </w:r>
      <w:r w:rsidRPr="009E3CF9">
        <w:rPr>
          <w:i/>
        </w:rPr>
        <w:t>386</w:t>
      </w:r>
      <w:r>
        <w:t xml:space="preserve">, </w:t>
      </w:r>
      <w:r w:rsidRPr="003D6B51">
        <w:t>743</w:t>
      </w:r>
      <w:r>
        <w:t>–</w:t>
      </w:r>
      <w:r w:rsidRPr="003D6B51">
        <w:t>800</w:t>
      </w:r>
    </w:p>
    <w:p w14:paraId="3771A511" w14:textId="77777777" w:rsidR="00496C1F" w:rsidRPr="003D6B51" w:rsidRDefault="00496C1F" w:rsidP="00E54C73">
      <w:pPr>
        <w:pStyle w:val="MDPI71References"/>
      </w:pPr>
      <w:proofErr w:type="spellStart"/>
      <w:r w:rsidRPr="003D6B51">
        <w:t>Garin</w:t>
      </w:r>
      <w:proofErr w:type="spellEnd"/>
      <w:r>
        <w:t>,</w:t>
      </w:r>
      <w:r w:rsidRPr="003D6B51">
        <w:t xml:space="preserve"> N</w:t>
      </w:r>
      <w:r>
        <w:t>.;</w:t>
      </w:r>
      <w:r w:rsidRPr="003D6B51">
        <w:t xml:space="preserve"> Koyanagi</w:t>
      </w:r>
      <w:r>
        <w:t>,</w:t>
      </w:r>
      <w:r w:rsidRPr="003D6B51">
        <w:t xml:space="preserve"> A</w:t>
      </w:r>
      <w:r>
        <w:t>.;</w:t>
      </w:r>
      <w:r w:rsidRPr="003D6B51">
        <w:t xml:space="preserve"> </w:t>
      </w:r>
      <w:proofErr w:type="spellStart"/>
      <w:r w:rsidRPr="003D6B51">
        <w:t>Chatterji</w:t>
      </w:r>
      <w:proofErr w:type="spellEnd"/>
      <w:r>
        <w:t>,</w:t>
      </w:r>
      <w:r w:rsidRPr="003D6B51">
        <w:t xml:space="preserve"> S</w:t>
      </w:r>
      <w:r>
        <w:t>.;</w:t>
      </w:r>
      <w:r w:rsidRPr="003D6B51">
        <w:t xml:space="preserve"> Tyrovolas</w:t>
      </w:r>
      <w:r>
        <w:t>,</w:t>
      </w:r>
      <w:r w:rsidRPr="003D6B51">
        <w:t xml:space="preserve"> S</w:t>
      </w:r>
      <w:r>
        <w:t>.;</w:t>
      </w:r>
      <w:r w:rsidRPr="003D6B51">
        <w:t xml:space="preserve"> </w:t>
      </w:r>
      <w:proofErr w:type="spellStart"/>
      <w:r w:rsidRPr="003D6B51">
        <w:t>Olaya</w:t>
      </w:r>
      <w:proofErr w:type="spellEnd"/>
      <w:r w:rsidRPr="003D6B51">
        <w:t>, B.</w:t>
      </w:r>
      <w:r>
        <w:t>;</w:t>
      </w:r>
      <w:r w:rsidRPr="003D6B51">
        <w:t xml:space="preserve"> Leonardi, M</w:t>
      </w:r>
      <w:r>
        <w:t xml:space="preserve">. </w:t>
      </w:r>
      <w:r w:rsidRPr="003D6B51">
        <w:t xml:space="preserve">Global Multimorbidity Patterns: A Cross-Sectional, Population-Based, Multi-Country Study. </w:t>
      </w:r>
      <w:r w:rsidRPr="009E3CF9">
        <w:rPr>
          <w:i/>
        </w:rPr>
        <w:t>The Journals of Gerontology: Series, A.</w:t>
      </w:r>
      <w:r w:rsidRPr="003D6B51">
        <w:t xml:space="preserve"> </w:t>
      </w:r>
      <w:r w:rsidRPr="009E3CF9">
        <w:rPr>
          <w:b/>
        </w:rPr>
        <w:t>2015</w:t>
      </w:r>
      <w:r>
        <w:t xml:space="preserve">, </w:t>
      </w:r>
      <w:r w:rsidRPr="009E3CF9">
        <w:rPr>
          <w:i/>
        </w:rPr>
        <w:t>71</w:t>
      </w:r>
      <w:r>
        <w:t xml:space="preserve">, </w:t>
      </w:r>
      <w:r w:rsidRPr="003D6B51">
        <w:t>205</w:t>
      </w:r>
      <w:r>
        <w:t>–2</w:t>
      </w:r>
      <w:r w:rsidRPr="003D6B51">
        <w:t>14</w:t>
      </w:r>
    </w:p>
    <w:p w14:paraId="1DD65CC9" w14:textId="77777777" w:rsidR="00496C1F" w:rsidRPr="003D6B51" w:rsidRDefault="00496C1F" w:rsidP="00E54C73">
      <w:pPr>
        <w:pStyle w:val="MDPI71References"/>
      </w:pPr>
      <w:r w:rsidRPr="003D6B51">
        <w:t>Afshar</w:t>
      </w:r>
      <w:r>
        <w:t>,</w:t>
      </w:r>
      <w:r w:rsidRPr="003D6B51">
        <w:t xml:space="preserve"> S</w:t>
      </w:r>
      <w:r>
        <w:t>.;</w:t>
      </w:r>
      <w:r w:rsidRPr="003D6B51">
        <w:t xml:space="preserve"> Roderick</w:t>
      </w:r>
      <w:r>
        <w:t>,</w:t>
      </w:r>
      <w:r w:rsidRPr="003D6B51">
        <w:t xml:space="preserve"> P</w:t>
      </w:r>
      <w:r>
        <w:t>.</w:t>
      </w:r>
      <w:r w:rsidRPr="003D6B51">
        <w:t>J</w:t>
      </w:r>
      <w:r>
        <w:t>.;</w:t>
      </w:r>
      <w:r w:rsidRPr="003D6B51">
        <w:t xml:space="preserve"> Kowal</w:t>
      </w:r>
      <w:r>
        <w:t>,</w:t>
      </w:r>
      <w:r w:rsidRPr="003D6B51">
        <w:t xml:space="preserve"> P</w:t>
      </w:r>
      <w:r>
        <w:t>.;</w:t>
      </w:r>
      <w:r w:rsidRPr="003D6B51">
        <w:t xml:space="preserve"> Dimitrov</w:t>
      </w:r>
      <w:r>
        <w:t>,</w:t>
      </w:r>
      <w:r w:rsidRPr="003D6B51">
        <w:t xml:space="preserve"> B</w:t>
      </w:r>
      <w:r>
        <w:t>.</w:t>
      </w:r>
      <w:r w:rsidRPr="003D6B51">
        <w:t>D</w:t>
      </w:r>
      <w:r>
        <w:t>.;</w:t>
      </w:r>
      <w:r w:rsidRPr="003D6B51">
        <w:t xml:space="preserve"> Hill</w:t>
      </w:r>
      <w:r>
        <w:t>,</w:t>
      </w:r>
      <w:r w:rsidRPr="003D6B51">
        <w:t xml:space="preserve"> A</w:t>
      </w:r>
      <w:r>
        <w:t>.</w:t>
      </w:r>
      <w:r w:rsidRPr="003D6B51">
        <w:t xml:space="preserve">G. Multimorbidity and the inequalities of global ageing: A cross-sectional study of 28 countries using the World Health Surveys. </w:t>
      </w:r>
      <w:r w:rsidRPr="009E3CF9">
        <w:rPr>
          <w:i/>
        </w:rPr>
        <w:t>BMC Public Health.</w:t>
      </w:r>
      <w:r w:rsidRPr="003D6B51">
        <w:t xml:space="preserve"> </w:t>
      </w:r>
      <w:r w:rsidRPr="009E3CF9">
        <w:rPr>
          <w:b/>
        </w:rPr>
        <w:t>2015</w:t>
      </w:r>
      <w:r>
        <w:t xml:space="preserve">, </w:t>
      </w:r>
      <w:r w:rsidRPr="009E3CF9">
        <w:rPr>
          <w:i/>
        </w:rPr>
        <w:t>15</w:t>
      </w:r>
      <w:r>
        <w:t xml:space="preserve">, </w:t>
      </w:r>
      <w:r w:rsidRPr="003D6B51">
        <w:t>776.</w:t>
      </w:r>
    </w:p>
    <w:p w14:paraId="43B25C2B" w14:textId="77777777" w:rsidR="00496C1F" w:rsidRPr="003D6B51" w:rsidRDefault="00496C1F" w:rsidP="00E54C73">
      <w:pPr>
        <w:pStyle w:val="MDPI71References"/>
      </w:pPr>
      <w:proofErr w:type="spellStart"/>
      <w:r w:rsidRPr="003D6B51">
        <w:t>Prados</w:t>
      </w:r>
      <w:proofErr w:type="spellEnd"/>
      <w:r w:rsidRPr="003D6B51">
        <w:t>-Torres</w:t>
      </w:r>
      <w:r>
        <w:t>,</w:t>
      </w:r>
      <w:r w:rsidRPr="003D6B51">
        <w:t xml:space="preserve"> A</w:t>
      </w:r>
      <w:r>
        <w:t>.;</w:t>
      </w:r>
      <w:r w:rsidRPr="003D6B51">
        <w:t xml:space="preserve"> </w:t>
      </w:r>
      <w:proofErr w:type="spellStart"/>
      <w:r w:rsidRPr="003D6B51">
        <w:t>Poblador-Plou</w:t>
      </w:r>
      <w:proofErr w:type="spellEnd"/>
      <w:r>
        <w:t>,</w:t>
      </w:r>
      <w:r w:rsidRPr="003D6B51">
        <w:t xml:space="preserve"> B</w:t>
      </w:r>
      <w:r>
        <w:t>.;</w:t>
      </w:r>
      <w:r w:rsidRPr="003D6B51">
        <w:t xml:space="preserve"> Calderón-</w:t>
      </w:r>
      <w:proofErr w:type="spellStart"/>
      <w:r w:rsidRPr="003D6B51">
        <w:t>Larrañaga</w:t>
      </w:r>
      <w:proofErr w:type="spellEnd"/>
      <w:r>
        <w:t>,</w:t>
      </w:r>
      <w:r w:rsidRPr="003D6B51">
        <w:t xml:space="preserve"> A</w:t>
      </w:r>
      <w:r>
        <w:t>.;</w:t>
      </w:r>
      <w:r w:rsidRPr="003D6B51">
        <w:t xml:space="preserve"> </w:t>
      </w:r>
      <w:proofErr w:type="spellStart"/>
      <w:r w:rsidRPr="003D6B51">
        <w:t>Gimeno-Feliu</w:t>
      </w:r>
      <w:proofErr w:type="spellEnd"/>
      <w:r>
        <w:t>,</w:t>
      </w:r>
      <w:r w:rsidRPr="003D6B51">
        <w:t xml:space="preserve"> L</w:t>
      </w:r>
      <w:r>
        <w:t>.</w:t>
      </w:r>
      <w:r w:rsidRPr="003D6B51">
        <w:t>A</w:t>
      </w:r>
      <w:r>
        <w:t>.;</w:t>
      </w:r>
      <w:r w:rsidRPr="003D6B51">
        <w:t xml:space="preserve"> González-Rubio</w:t>
      </w:r>
      <w:r>
        <w:t>,</w:t>
      </w:r>
      <w:r w:rsidRPr="003D6B51">
        <w:t xml:space="preserve"> F</w:t>
      </w:r>
      <w:r>
        <w:t>.;</w:t>
      </w:r>
      <w:r w:rsidRPr="003D6B51">
        <w:t xml:space="preserve"> </w:t>
      </w:r>
      <w:proofErr w:type="spellStart"/>
      <w:r w:rsidRPr="003D6B51">
        <w:t>Poncel-Falcó</w:t>
      </w:r>
      <w:proofErr w:type="spellEnd"/>
      <w:r>
        <w:t>,</w:t>
      </w:r>
      <w:r w:rsidRPr="003D6B51">
        <w:t xml:space="preserve"> A. Multimorbidity patterns in primary care: Interactions among chronic diseases using factor analysis. </w:t>
      </w:r>
      <w:r w:rsidRPr="003D6B51">
        <w:rPr>
          <w:i/>
        </w:rPr>
        <w:t>PLoS ONE</w:t>
      </w:r>
      <w:r w:rsidRPr="003D6B51">
        <w:t>. 2012</w:t>
      </w:r>
      <w:r>
        <w:t xml:space="preserve">, </w:t>
      </w:r>
      <w:r w:rsidRPr="003D6B51">
        <w:t>7</w:t>
      </w:r>
    </w:p>
    <w:p w14:paraId="2C86AC99" w14:textId="77777777" w:rsidR="00496C1F" w:rsidRPr="003D6B51" w:rsidRDefault="00496C1F" w:rsidP="00E54C73">
      <w:pPr>
        <w:pStyle w:val="MDPI71References"/>
      </w:pPr>
      <w:proofErr w:type="spellStart"/>
      <w:r w:rsidRPr="003D6B51">
        <w:t>Zimmet</w:t>
      </w:r>
      <w:proofErr w:type="spellEnd"/>
      <w:r w:rsidRPr="003D6B51">
        <w:t>, P.</w:t>
      </w:r>
      <w:r>
        <w:t>;</w:t>
      </w:r>
      <w:r w:rsidRPr="003D6B51">
        <w:t xml:space="preserve"> Alberti, K.</w:t>
      </w:r>
      <w:r>
        <w:t>;</w:t>
      </w:r>
      <w:r w:rsidRPr="003D6B51">
        <w:t xml:space="preserve"> Shaw, J. International Diabetes Federation: The IDF consensus worldwide definition of the metabolic syndrome. </w:t>
      </w:r>
      <w:r w:rsidRPr="009E3CF9">
        <w:rPr>
          <w:i/>
        </w:rPr>
        <w:t>Diabetes voice</w:t>
      </w:r>
      <w:r w:rsidRPr="003D6B51">
        <w:t xml:space="preserve">. </w:t>
      </w:r>
      <w:r w:rsidRPr="009E3CF9">
        <w:rPr>
          <w:b/>
        </w:rPr>
        <w:t>2005</w:t>
      </w:r>
      <w:r>
        <w:t xml:space="preserve">, </w:t>
      </w:r>
      <w:r w:rsidRPr="009E3CF9">
        <w:rPr>
          <w:i/>
        </w:rPr>
        <w:t>50</w:t>
      </w:r>
      <w:r>
        <w:t xml:space="preserve">, </w:t>
      </w:r>
      <w:r w:rsidRPr="003D6B51">
        <w:t>31</w:t>
      </w:r>
      <w:r>
        <w:t>–3</w:t>
      </w:r>
      <w:r w:rsidRPr="003D6B51">
        <w:t>3</w:t>
      </w:r>
    </w:p>
    <w:p w14:paraId="45982E4B" w14:textId="77777777" w:rsidR="00496C1F" w:rsidRPr="003D6B51" w:rsidRDefault="00496C1F" w:rsidP="00E54C73">
      <w:pPr>
        <w:pStyle w:val="MDPI71References"/>
      </w:pPr>
      <w:r w:rsidRPr="003D6B51">
        <w:t>Sattar</w:t>
      </w:r>
      <w:r>
        <w:t>,</w:t>
      </w:r>
      <w:r w:rsidRPr="003D6B51">
        <w:t xml:space="preserve"> N</w:t>
      </w:r>
      <w:r>
        <w:t>.;</w:t>
      </w:r>
      <w:r w:rsidRPr="003D6B51">
        <w:t xml:space="preserve"> </w:t>
      </w:r>
      <w:proofErr w:type="spellStart"/>
      <w:r w:rsidRPr="003D6B51">
        <w:t>Gaw</w:t>
      </w:r>
      <w:proofErr w:type="spellEnd"/>
      <w:r>
        <w:t>,</w:t>
      </w:r>
      <w:r w:rsidRPr="003D6B51">
        <w:t xml:space="preserve"> A</w:t>
      </w:r>
      <w:r>
        <w:t>.;</w:t>
      </w:r>
      <w:r w:rsidRPr="003D6B51">
        <w:t xml:space="preserve"> </w:t>
      </w:r>
      <w:proofErr w:type="spellStart"/>
      <w:r w:rsidRPr="003D6B51">
        <w:t>Scherbakova</w:t>
      </w:r>
      <w:proofErr w:type="spellEnd"/>
      <w:r>
        <w:t>,</w:t>
      </w:r>
      <w:r w:rsidRPr="003D6B51">
        <w:t xml:space="preserve"> O</w:t>
      </w:r>
      <w:r>
        <w:t>.;</w:t>
      </w:r>
      <w:r w:rsidRPr="003D6B51">
        <w:t xml:space="preserve"> Ford</w:t>
      </w:r>
      <w:r>
        <w:t>,</w:t>
      </w:r>
      <w:r w:rsidRPr="003D6B51">
        <w:t xml:space="preserve"> I</w:t>
      </w:r>
      <w:r>
        <w:t>.;</w:t>
      </w:r>
      <w:r w:rsidRPr="003D6B51">
        <w:t xml:space="preserve"> O’Reilly</w:t>
      </w:r>
      <w:r>
        <w:t>,</w:t>
      </w:r>
      <w:r w:rsidRPr="003D6B51">
        <w:t xml:space="preserve"> D</w:t>
      </w:r>
      <w:r>
        <w:t>.</w:t>
      </w:r>
      <w:r w:rsidRPr="003D6B51">
        <w:t>S</w:t>
      </w:r>
      <w:r>
        <w:t>.</w:t>
      </w:r>
      <w:r w:rsidRPr="003D6B51">
        <w:t>J</w:t>
      </w:r>
      <w:r>
        <w:t>.;</w:t>
      </w:r>
      <w:r w:rsidRPr="003D6B51">
        <w:t xml:space="preserve"> Haffner</w:t>
      </w:r>
      <w:r>
        <w:t>,</w:t>
      </w:r>
      <w:r w:rsidRPr="003D6B51">
        <w:t xml:space="preserve"> S</w:t>
      </w:r>
      <w:r>
        <w:t>.</w:t>
      </w:r>
      <w:r w:rsidRPr="003D6B51">
        <w:t>M</w:t>
      </w:r>
      <w:r>
        <w:t>.</w:t>
      </w:r>
      <w:r w:rsidRPr="003D6B51">
        <w:t xml:space="preserve"> Metabolic syndrome with and without C-reactive protein as a predictor of coronary heart disease and diabetes in the West of Scotland Coronary Prevention Study. </w:t>
      </w:r>
      <w:r w:rsidRPr="009E3CF9">
        <w:rPr>
          <w:i/>
        </w:rPr>
        <w:t>Circulation</w:t>
      </w:r>
      <w:r w:rsidRPr="003D6B51">
        <w:t xml:space="preserve">. </w:t>
      </w:r>
      <w:r w:rsidRPr="009E3CF9">
        <w:rPr>
          <w:b/>
        </w:rPr>
        <w:t>2003</w:t>
      </w:r>
      <w:r>
        <w:t xml:space="preserve">, </w:t>
      </w:r>
      <w:r w:rsidRPr="009E3CF9">
        <w:rPr>
          <w:i/>
        </w:rPr>
        <w:t>108</w:t>
      </w:r>
      <w:r>
        <w:t xml:space="preserve">, </w:t>
      </w:r>
      <w:r w:rsidRPr="003D6B51">
        <w:t>414</w:t>
      </w:r>
      <w:r>
        <w:t>–41</w:t>
      </w:r>
      <w:r w:rsidRPr="003D6B51">
        <w:t>9</w:t>
      </w:r>
    </w:p>
    <w:p w14:paraId="7A34BC5F" w14:textId="77777777" w:rsidR="00496C1F" w:rsidRPr="003D6B51" w:rsidRDefault="00496C1F" w:rsidP="00E54C73">
      <w:pPr>
        <w:pStyle w:val="MDPI71References"/>
      </w:pPr>
      <w:r w:rsidRPr="003D6B51">
        <w:t>Hu</w:t>
      </w:r>
      <w:r>
        <w:t>,</w:t>
      </w:r>
      <w:r w:rsidRPr="003D6B51">
        <w:t xml:space="preserve"> G</w:t>
      </w:r>
      <w:r>
        <w:t>.;</w:t>
      </w:r>
      <w:r w:rsidRPr="003D6B51">
        <w:t xml:space="preserve"> </w:t>
      </w:r>
      <w:proofErr w:type="spellStart"/>
      <w:r w:rsidRPr="003D6B51">
        <w:t>Qiao</w:t>
      </w:r>
      <w:proofErr w:type="spellEnd"/>
      <w:r>
        <w:t>,</w:t>
      </w:r>
      <w:r w:rsidRPr="003D6B51">
        <w:t xml:space="preserve"> Q</w:t>
      </w:r>
      <w:r>
        <w:t>.;</w:t>
      </w:r>
      <w:r w:rsidRPr="003D6B51">
        <w:t xml:space="preserve"> </w:t>
      </w:r>
      <w:proofErr w:type="spellStart"/>
      <w:r w:rsidRPr="003D6B51">
        <w:t>Tuomilehto</w:t>
      </w:r>
      <w:proofErr w:type="spellEnd"/>
      <w:r>
        <w:t>,</w:t>
      </w:r>
      <w:r w:rsidRPr="003D6B51">
        <w:t xml:space="preserve"> J</w:t>
      </w:r>
      <w:r>
        <w:t>.;</w:t>
      </w:r>
      <w:r w:rsidRPr="003D6B51">
        <w:t xml:space="preserve"> </w:t>
      </w:r>
      <w:proofErr w:type="spellStart"/>
      <w:r w:rsidRPr="003D6B51">
        <w:t>Balkau</w:t>
      </w:r>
      <w:proofErr w:type="spellEnd"/>
      <w:r>
        <w:t>,</w:t>
      </w:r>
      <w:r w:rsidRPr="003D6B51">
        <w:t xml:space="preserve"> B</w:t>
      </w:r>
      <w:r>
        <w:t>.;</w:t>
      </w:r>
      <w:r w:rsidRPr="003D6B51">
        <w:t xml:space="preserve"> </w:t>
      </w:r>
      <w:proofErr w:type="spellStart"/>
      <w:r w:rsidRPr="003D6B51">
        <w:t>Borch</w:t>
      </w:r>
      <w:proofErr w:type="spellEnd"/>
      <w:r w:rsidRPr="003D6B51">
        <w:t>-Johnsen, K.</w:t>
      </w:r>
      <w:r>
        <w:t>;</w:t>
      </w:r>
      <w:r w:rsidRPr="003D6B51">
        <w:t xml:space="preserve"> </w:t>
      </w:r>
      <w:proofErr w:type="spellStart"/>
      <w:r w:rsidRPr="003D6B51">
        <w:t>Pyorala</w:t>
      </w:r>
      <w:proofErr w:type="spellEnd"/>
      <w:r w:rsidRPr="003D6B51">
        <w:t xml:space="preserve">, K. Prevalence of the metabolic syndrome and its relation to all-cause and cardiovascular mortality in nondiabetic European men and women. </w:t>
      </w:r>
      <w:r w:rsidRPr="009E3CF9">
        <w:rPr>
          <w:i/>
        </w:rPr>
        <w:t>Archives of internal medicine</w:t>
      </w:r>
      <w:r w:rsidRPr="003D6B51">
        <w:t xml:space="preserve">. </w:t>
      </w:r>
      <w:r w:rsidRPr="009E3CF9">
        <w:rPr>
          <w:b/>
        </w:rPr>
        <w:t>2004</w:t>
      </w:r>
      <w:r>
        <w:t xml:space="preserve">, </w:t>
      </w:r>
      <w:r w:rsidRPr="009E3CF9">
        <w:rPr>
          <w:i/>
        </w:rPr>
        <w:t>164</w:t>
      </w:r>
      <w:r>
        <w:t xml:space="preserve">, </w:t>
      </w:r>
      <w:r w:rsidRPr="003D6B51">
        <w:t>1066</w:t>
      </w:r>
      <w:r>
        <w:t>–10</w:t>
      </w:r>
      <w:r w:rsidRPr="003D6B51">
        <w:t>76</w:t>
      </w:r>
    </w:p>
    <w:p w14:paraId="542B9381" w14:textId="77777777" w:rsidR="00496C1F" w:rsidRPr="003D6B51" w:rsidRDefault="00496C1F" w:rsidP="00E54C73">
      <w:pPr>
        <w:pStyle w:val="MDPI71References"/>
      </w:pPr>
      <w:r w:rsidRPr="003D6B51">
        <w:lastRenderedPageBreak/>
        <w:t>Schubert</w:t>
      </w:r>
      <w:r>
        <w:t>,</w:t>
      </w:r>
      <w:r w:rsidRPr="003D6B51">
        <w:t xml:space="preserve"> C</w:t>
      </w:r>
      <w:r>
        <w:t>.</w:t>
      </w:r>
      <w:r w:rsidRPr="003D6B51">
        <w:t>C</w:t>
      </w:r>
      <w:r>
        <w:t>.;</w:t>
      </w:r>
      <w:r w:rsidRPr="003D6B51">
        <w:t xml:space="preserve"> </w:t>
      </w:r>
      <w:proofErr w:type="spellStart"/>
      <w:r w:rsidRPr="003D6B51">
        <w:t>Boustani</w:t>
      </w:r>
      <w:proofErr w:type="spellEnd"/>
      <w:r>
        <w:t>,</w:t>
      </w:r>
      <w:r w:rsidRPr="003D6B51">
        <w:t xml:space="preserve"> M</w:t>
      </w:r>
      <w:r>
        <w:t>.;</w:t>
      </w:r>
      <w:r w:rsidRPr="003D6B51">
        <w:t xml:space="preserve"> Callahan</w:t>
      </w:r>
      <w:r>
        <w:t>,</w:t>
      </w:r>
      <w:r w:rsidRPr="003D6B51">
        <w:t xml:space="preserve"> C</w:t>
      </w:r>
      <w:r>
        <w:t>.</w:t>
      </w:r>
      <w:r w:rsidRPr="003D6B51">
        <w:t>M</w:t>
      </w:r>
      <w:r>
        <w:t>.;</w:t>
      </w:r>
      <w:r w:rsidRPr="003D6B51">
        <w:t xml:space="preserve"> Perkins</w:t>
      </w:r>
      <w:r>
        <w:t>,</w:t>
      </w:r>
      <w:r w:rsidRPr="003D6B51">
        <w:t xml:space="preserve"> A</w:t>
      </w:r>
      <w:r>
        <w:t>.</w:t>
      </w:r>
      <w:r w:rsidRPr="003D6B51">
        <w:t>J</w:t>
      </w:r>
      <w:r>
        <w:t>.;</w:t>
      </w:r>
      <w:r w:rsidRPr="003D6B51">
        <w:t xml:space="preserve"> Carney</w:t>
      </w:r>
      <w:r>
        <w:t>,</w:t>
      </w:r>
      <w:r w:rsidRPr="003D6B51">
        <w:t xml:space="preserve"> C</w:t>
      </w:r>
      <w:r>
        <w:t>.</w:t>
      </w:r>
      <w:r w:rsidRPr="003D6B51">
        <w:t>P</w:t>
      </w:r>
      <w:r>
        <w:t>.;</w:t>
      </w:r>
      <w:r w:rsidRPr="003D6B51">
        <w:t xml:space="preserve"> Fox, C. Comorbidity profile of dementia patients in primary care: Are they sicker? </w:t>
      </w:r>
      <w:r w:rsidRPr="009E3CF9">
        <w:rPr>
          <w:i/>
        </w:rPr>
        <w:t>Journal of the American Geriatrics Society.</w:t>
      </w:r>
      <w:r w:rsidRPr="003D6B51">
        <w:t xml:space="preserve"> </w:t>
      </w:r>
      <w:r w:rsidRPr="009E3CF9">
        <w:rPr>
          <w:b/>
        </w:rPr>
        <w:t>2006</w:t>
      </w:r>
      <w:r>
        <w:t xml:space="preserve">, </w:t>
      </w:r>
      <w:r w:rsidRPr="009E3CF9">
        <w:rPr>
          <w:i/>
        </w:rPr>
        <w:t>54</w:t>
      </w:r>
      <w:r>
        <w:t xml:space="preserve">, </w:t>
      </w:r>
      <w:r w:rsidRPr="003D6B51">
        <w:t>104</w:t>
      </w:r>
      <w:r>
        <w:t>–10</w:t>
      </w:r>
      <w:r w:rsidRPr="003D6B51">
        <w:t>9</w:t>
      </w:r>
    </w:p>
    <w:p w14:paraId="26C6939B" w14:textId="77777777" w:rsidR="00496C1F" w:rsidRPr="003D6B51" w:rsidRDefault="00496C1F" w:rsidP="00E54C73">
      <w:pPr>
        <w:pStyle w:val="MDPI71References"/>
      </w:pPr>
      <w:r w:rsidRPr="003D6B51">
        <w:t>Chamberlain</w:t>
      </w:r>
      <w:r>
        <w:t>,</w:t>
      </w:r>
      <w:r w:rsidRPr="003D6B51">
        <w:t xml:space="preserve"> A</w:t>
      </w:r>
      <w:r>
        <w:t>.</w:t>
      </w:r>
      <w:r w:rsidRPr="003D6B51">
        <w:t>M</w:t>
      </w:r>
      <w:r>
        <w:t>.;</w:t>
      </w:r>
      <w:r w:rsidRPr="003D6B51">
        <w:t xml:space="preserve"> Rutten</w:t>
      </w:r>
      <w:r>
        <w:t>,</w:t>
      </w:r>
      <w:r w:rsidRPr="003D6B51">
        <w:t xml:space="preserve"> L</w:t>
      </w:r>
      <w:r>
        <w:t>.</w:t>
      </w:r>
      <w:r w:rsidRPr="003D6B51">
        <w:t>J</w:t>
      </w:r>
      <w:r>
        <w:t>.</w:t>
      </w:r>
      <w:r w:rsidRPr="003D6B51">
        <w:t>F</w:t>
      </w:r>
      <w:r>
        <w:t>.;</w:t>
      </w:r>
      <w:r w:rsidRPr="003D6B51">
        <w:t xml:space="preserve"> Jacobson</w:t>
      </w:r>
      <w:r>
        <w:t>,</w:t>
      </w:r>
      <w:r w:rsidRPr="003D6B51">
        <w:t xml:space="preserve"> D</w:t>
      </w:r>
      <w:r>
        <w:t>.</w:t>
      </w:r>
      <w:r w:rsidRPr="003D6B51">
        <w:t>J</w:t>
      </w:r>
      <w:r>
        <w:t>.;</w:t>
      </w:r>
      <w:r w:rsidRPr="003D6B51">
        <w:t xml:space="preserve"> Fan</w:t>
      </w:r>
      <w:r>
        <w:t>,</w:t>
      </w:r>
      <w:r w:rsidRPr="003D6B51">
        <w:t xml:space="preserve"> C</w:t>
      </w:r>
      <w:r>
        <w:t>.;</w:t>
      </w:r>
      <w:r w:rsidRPr="003D6B51">
        <w:t xml:space="preserve"> Wilson</w:t>
      </w:r>
      <w:r>
        <w:t>,</w:t>
      </w:r>
      <w:r w:rsidRPr="003D6B51">
        <w:t xml:space="preserve"> P</w:t>
      </w:r>
      <w:r>
        <w:t>.</w:t>
      </w:r>
      <w:r w:rsidRPr="003D6B51">
        <w:t>M</w:t>
      </w:r>
      <w:r>
        <w:t>.;</w:t>
      </w:r>
      <w:r w:rsidRPr="003D6B51">
        <w:t xml:space="preserve"> Rocca</w:t>
      </w:r>
      <w:r>
        <w:t>,</w:t>
      </w:r>
      <w:r w:rsidRPr="003D6B51">
        <w:t xml:space="preserve"> W</w:t>
      </w:r>
      <w:r>
        <w:t>.</w:t>
      </w:r>
      <w:r w:rsidRPr="003D6B51">
        <w:t xml:space="preserve">A. Multimorbidity, functional limitations, and outcomes: Interactions in a population-based cohort of older adults. </w:t>
      </w:r>
      <w:r w:rsidRPr="009E3CF9">
        <w:rPr>
          <w:i/>
        </w:rPr>
        <w:t xml:space="preserve">J </w:t>
      </w:r>
      <w:proofErr w:type="spellStart"/>
      <w:r w:rsidRPr="009E3CF9">
        <w:rPr>
          <w:i/>
        </w:rPr>
        <w:t>Comorb</w:t>
      </w:r>
      <w:proofErr w:type="spellEnd"/>
      <w:r w:rsidRPr="009E3CF9">
        <w:rPr>
          <w:i/>
        </w:rPr>
        <w:t>.</w:t>
      </w:r>
      <w:r w:rsidRPr="003D6B51">
        <w:t xml:space="preserve"> </w:t>
      </w:r>
      <w:r w:rsidRPr="009E3CF9">
        <w:rPr>
          <w:b/>
        </w:rPr>
        <w:t>2019</w:t>
      </w:r>
      <w:r>
        <w:t xml:space="preserve">, </w:t>
      </w:r>
      <w:r w:rsidRPr="009E3CF9">
        <w:rPr>
          <w:i/>
        </w:rPr>
        <w:t>9</w:t>
      </w:r>
      <w:r>
        <w:t xml:space="preserve">, </w:t>
      </w:r>
      <w:r w:rsidRPr="003D6B51">
        <w:t>2235042x19873486</w:t>
      </w:r>
    </w:p>
    <w:p w14:paraId="2B196FAF" w14:textId="77777777" w:rsidR="00496C1F" w:rsidRPr="003D6B51" w:rsidRDefault="00496C1F" w:rsidP="00E54C73">
      <w:pPr>
        <w:pStyle w:val="MDPI71References"/>
      </w:pPr>
      <w:r w:rsidRPr="003D6B51">
        <w:t>Guthrie</w:t>
      </w:r>
      <w:r>
        <w:t>,</w:t>
      </w:r>
      <w:r w:rsidRPr="003D6B51">
        <w:t xml:space="preserve"> B</w:t>
      </w:r>
      <w:r>
        <w:t>.;</w:t>
      </w:r>
      <w:r w:rsidRPr="003D6B51">
        <w:t xml:space="preserve"> Payne</w:t>
      </w:r>
      <w:r>
        <w:t>,</w:t>
      </w:r>
      <w:r w:rsidRPr="003D6B51">
        <w:t xml:space="preserve"> K</w:t>
      </w:r>
      <w:r>
        <w:t>.;</w:t>
      </w:r>
      <w:r w:rsidRPr="003D6B51">
        <w:t xml:space="preserve"> Alderson</w:t>
      </w:r>
      <w:r>
        <w:t>,</w:t>
      </w:r>
      <w:r w:rsidRPr="003D6B51">
        <w:t xml:space="preserve"> P</w:t>
      </w:r>
      <w:r>
        <w:t>.;</w:t>
      </w:r>
      <w:r w:rsidRPr="003D6B51">
        <w:t xml:space="preserve"> McMurdo</w:t>
      </w:r>
      <w:r>
        <w:t>,</w:t>
      </w:r>
      <w:r w:rsidRPr="003D6B51">
        <w:t xml:space="preserve"> M</w:t>
      </w:r>
      <w:r>
        <w:t>.</w:t>
      </w:r>
      <w:r w:rsidRPr="003D6B51">
        <w:t>E</w:t>
      </w:r>
      <w:r>
        <w:t>.;</w:t>
      </w:r>
      <w:r w:rsidRPr="003D6B51">
        <w:t xml:space="preserve"> Mercer</w:t>
      </w:r>
      <w:r>
        <w:t>,</w:t>
      </w:r>
      <w:r w:rsidRPr="003D6B51">
        <w:t xml:space="preserve"> S</w:t>
      </w:r>
      <w:r>
        <w:t>.</w:t>
      </w:r>
      <w:r w:rsidRPr="003D6B51">
        <w:t xml:space="preserve">W. Adapting clinical guidelines to take account of multimorbidity. </w:t>
      </w:r>
      <w:proofErr w:type="spellStart"/>
      <w:r w:rsidRPr="009E3CF9">
        <w:rPr>
          <w:i/>
        </w:rPr>
        <w:t>Bmj</w:t>
      </w:r>
      <w:proofErr w:type="spellEnd"/>
      <w:r w:rsidRPr="003D6B51">
        <w:t xml:space="preserve">. </w:t>
      </w:r>
      <w:r w:rsidRPr="009E3CF9">
        <w:rPr>
          <w:b/>
        </w:rPr>
        <w:t>2012</w:t>
      </w:r>
      <w:r>
        <w:t xml:space="preserve">, </w:t>
      </w:r>
      <w:r w:rsidRPr="009E3CF9">
        <w:rPr>
          <w:i/>
        </w:rPr>
        <w:t>345</w:t>
      </w:r>
      <w:r>
        <w:t xml:space="preserve">, </w:t>
      </w:r>
      <w:r w:rsidRPr="003D6B51">
        <w:t>e6341</w:t>
      </w:r>
    </w:p>
    <w:p w14:paraId="09DE6644" w14:textId="77777777" w:rsidR="00496C1F" w:rsidRPr="003D6B51" w:rsidRDefault="00496C1F" w:rsidP="00E54C73">
      <w:pPr>
        <w:pStyle w:val="MDPI71References"/>
      </w:pPr>
      <w:r w:rsidRPr="003D6B51">
        <w:t>Tinetti</w:t>
      </w:r>
      <w:r>
        <w:t>,</w:t>
      </w:r>
      <w:r w:rsidRPr="003D6B51">
        <w:t xml:space="preserve"> M</w:t>
      </w:r>
      <w:r>
        <w:t>.</w:t>
      </w:r>
      <w:r w:rsidRPr="003D6B51">
        <w:t>E</w:t>
      </w:r>
      <w:r>
        <w:t>.;</w:t>
      </w:r>
      <w:r w:rsidRPr="003D6B51">
        <w:t xml:space="preserve"> </w:t>
      </w:r>
      <w:proofErr w:type="spellStart"/>
      <w:r w:rsidRPr="003D6B51">
        <w:t>Esterson</w:t>
      </w:r>
      <w:proofErr w:type="spellEnd"/>
      <w:r>
        <w:t>,</w:t>
      </w:r>
      <w:r w:rsidRPr="003D6B51">
        <w:t xml:space="preserve"> J</w:t>
      </w:r>
      <w:r>
        <w:t>.;</w:t>
      </w:r>
      <w:r w:rsidRPr="003D6B51">
        <w:t xml:space="preserve"> Ferris</w:t>
      </w:r>
      <w:r>
        <w:t>,</w:t>
      </w:r>
      <w:r w:rsidRPr="003D6B51">
        <w:t xml:space="preserve"> R</w:t>
      </w:r>
      <w:r>
        <w:t>.;</w:t>
      </w:r>
      <w:r w:rsidRPr="003D6B51">
        <w:t xml:space="preserve"> Posner</w:t>
      </w:r>
      <w:r>
        <w:t>,</w:t>
      </w:r>
      <w:r w:rsidRPr="003D6B51">
        <w:t xml:space="preserve"> P</w:t>
      </w:r>
      <w:r>
        <w:t>.;</w:t>
      </w:r>
      <w:r w:rsidRPr="003D6B51">
        <w:t xml:space="preserve"> </w:t>
      </w:r>
      <w:proofErr w:type="spellStart"/>
      <w:r w:rsidRPr="003D6B51">
        <w:t>Blaum</w:t>
      </w:r>
      <w:proofErr w:type="spellEnd"/>
      <w:r>
        <w:t>,</w:t>
      </w:r>
      <w:r w:rsidRPr="003D6B51">
        <w:t xml:space="preserve"> C</w:t>
      </w:r>
      <w:r>
        <w:t>.</w:t>
      </w:r>
      <w:r w:rsidRPr="003D6B51">
        <w:t xml:space="preserve">S. </w:t>
      </w:r>
      <w:bookmarkStart w:id="5" w:name="OLE_LINK7"/>
      <w:bookmarkStart w:id="6" w:name="OLE_LINK8"/>
      <w:r w:rsidRPr="003D6B51">
        <w:t>Patient Priority-Directed Decision Making and Care for Older Adults with Multiple Chronic Conditions</w:t>
      </w:r>
      <w:bookmarkEnd w:id="5"/>
      <w:bookmarkEnd w:id="6"/>
      <w:r w:rsidRPr="003D6B51">
        <w:t xml:space="preserve">. </w:t>
      </w:r>
      <w:r w:rsidRPr="009E3CF9">
        <w:rPr>
          <w:i/>
        </w:rPr>
        <w:t>Clin Geriatr Med</w:t>
      </w:r>
      <w:r w:rsidRPr="003D6B51">
        <w:t xml:space="preserve">. </w:t>
      </w:r>
      <w:r w:rsidRPr="009E3CF9">
        <w:rPr>
          <w:b/>
        </w:rPr>
        <w:t>2016</w:t>
      </w:r>
      <w:r>
        <w:t xml:space="preserve">, </w:t>
      </w:r>
      <w:r w:rsidRPr="003D6B51">
        <w:t>32</w:t>
      </w:r>
      <w:r>
        <w:t xml:space="preserve">, </w:t>
      </w:r>
      <w:r w:rsidRPr="003D6B51">
        <w:t>261</w:t>
      </w:r>
      <w:r>
        <w:t>–2</w:t>
      </w:r>
      <w:r w:rsidRPr="003D6B51">
        <w:t>75</w:t>
      </w:r>
    </w:p>
    <w:p w14:paraId="34060270" w14:textId="77777777" w:rsidR="00496C1F" w:rsidRPr="003D6B51" w:rsidRDefault="00496C1F" w:rsidP="00E54C73">
      <w:pPr>
        <w:pStyle w:val="MDPI71References"/>
      </w:pPr>
      <w:proofErr w:type="spellStart"/>
      <w:r w:rsidRPr="003D6B51">
        <w:t>Masoudi</w:t>
      </w:r>
      <w:proofErr w:type="spellEnd"/>
      <w:r>
        <w:t>,</w:t>
      </w:r>
      <w:r w:rsidRPr="003D6B51">
        <w:t xml:space="preserve"> F</w:t>
      </w:r>
      <w:r>
        <w:t>.</w:t>
      </w:r>
      <w:r w:rsidRPr="003D6B51">
        <w:t>A</w:t>
      </w:r>
      <w:r>
        <w:t>.;</w:t>
      </w:r>
      <w:r w:rsidRPr="003D6B51">
        <w:t xml:space="preserve"> </w:t>
      </w:r>
      <w:proofErr w:type="spellStart"/>
      <w:r w:rsidRPr="003D6B51">
        <w:t>Havranek</w:t>
      </w:r>
      <w:proofErr w:type="spellEnd"/>
      <w:r>
        <w:t xml:space="preserve">, </w:t>
      </w:r>
      <w:r w:rsidRPr="003D6B51">
        <w:t>E</w:t>
      </w:r>
      <w:r>
        <w:t>.</w:t>
      </w:r>
      <w:r w:rsidRPr="003D6B51">
        <w:t>P</w:t>
      </w:r>
      <w:r>
        <w:t>.;</w:t>
      </w:r>
      <w:r w:rsidRPr="003D6B51">
        <w:t xml:space="preserve"> Wolfe</w:t>
      </w:r>
      <w:r>
        <w:t>,</w:t>
      </w:r>
      <w:r w:rsidRPr="003D6B51">
        <w:t xml:space="preserve"> P</w:t>
      </w:r>
      <w:r>
        <w:t>.;</w:t>
      </w:r>
      <w:r w:rsidRPr="003D6B51">
        <w:t xml:space="preserve"> Gross</w:t>
      </w:r>
      <w:r>
        <w:t>,</w:t>
      </w:r>
      <w:r w:rsidRPr="003D6B51">
        <w:t xml:space="preserve"> C</w:t>
      </w:r>
      <w:r>
        <w:t>.</w:t>
      </w:r>
      <w:r w:rsidRPr="003D6B51">
        <w:t>P</w:t>
      </w:r>
      <w:r>
        <w:t>.;</w:t>
      </w:r>
      <w:r w:rsidRPr="003D6B51">
        <w:t xml:space="preserve"> Rathore</w:t>
      </w:r>
      <w:r>
        <w:t>,</w:t>
      </w:r>
      <w:r w:rsidRPr="003D6B51">
        <w:t xml:space="preserve"> S</w:t>
      </w:r>
      <w:r>
        <w:t>.</w:t>
      </w:r>
      <w:r w:rsidRPr="003D6B51">
        <w:t>S</w:t>
      </w:r>
      <w:r>
        <w:t>.;</w:t>
      </w:r>
      <w:r w:rsidRPr="003D6B51">
        <w:t xml:space="preserve"> Steiner</w:t>
      </w:r>
      <w:r>
        <w:t>,</w:t>
      </w:r>
      <w:r w:rsidRPr="003D6B51">
        <w:t xml:space="preserve"> J</w:t>
      </w:r>
      <w:r>
        <w:t>.</w:t>
      </w:r>
      <w:r w:rsidRPr="003D6B51">
        <w:t xml:space="preserve">F. Most hospitalized older persons do not meet the enrollment criteria for clinical trials in heart failure. </w:t>
      </w:r>
      <w:r w:rsidRPr="009E3CF9">
        <w:rPr>
          <w:i/>
        </w:rPr>
        <w:t>American heart journal.</w:t>
      </w:r>
      <w:r w:rsidRPr="003D6B51">
        <w:t xml:space="preserve"> </w:t>
      </w:r>
      <w:r w:rsidRPr="009E3CF9">
        <w:rPr>
          <w:b/>
        </w:rPr>
        <w:t>2003</w:t>
      </w:r>
      <w:r>
        <w:t xml:space="preserve">, </w:t>
      </w:r>
      <w:r w:rsidRPr="009E3CF9">
        <w:rPr>
          <w:i/>
        </w:rPr>
        <w:t>146</w:t>
      </w:r>
      <w:r>
        <w:t xml:space="preserve">, </w:t>
      </w:r>
      <w:r w:rsidRPr="003D6B51">
        <w:t>250</w:t>
      </w:r>
      <w:r>
        <w:t>–25</w:t>
      </w:r>
      <w:r w:rsidRPr="003D6B51">
        <w:t>7</w:t>
      </w:r>
    </w:p>
    <w:p w14:paraId="65986451" w14:textId="77777777" w:rsidR="00496C1F" w:rsidRPr="003D6B51" w:rsidRDefault="00496C1F" w:rsidP="00E54C73">
      <w:pPr>
        <w:pStyle w:val="MDPI71References"/>
      </w:pPr>
      <w:r w:rsidRPr="003D6B51">
        <w:t>Travers</w:t>
      </w:r>
      <w:r>
        <w:t>,</w:t>
      </w:r>
      <w:r w:rsidRPr="003D6B51">
        <w:t xml:space="preserve"> J</w:t>
      </w:r>
      <w:r>
        <w:t>.;</w:t>
      </w:r>
      <w:r w:rsidRPr="003D6B51">
        <w:t xml:space="preserve"> Marsh</w:t>
      </w:r>
      <w:r>
        <w:t>,</w:t>
      </w:r>
      <w:r w:rsidRPr="003D6B51">
        <w:t xml:space="preserve"> S</w:t>
      </w:r>
      <w:r>
        <w:t>.;</w:t>
      </w:r>
      <w:r w:rsidRPr="003D6B51">
        <w:t xml:space="preserve"> Caldwell</w:t>
      </w:r>
      <w:r>
        <w:t>,</w:t>
      </w:r>
      <w:r w:rsidRPr="003D6B51">
        <w:t xml:space="preserve"> B</w:t>
      </w:r>
      <w:r>
        <w:t>.;</w:t>
      </w:r>
      <w:r w:rsidRPr="003D6B51">
        <w:t xml:space="preserve"> Williams</w:t>
      </w:r>
      <w:r>
        <w:t>,</w:t>
      </w:r>
      <w:r w:rsidRPr="003D6B51">
        <w:t xml:space="preserve"> M</w:t>
      </w:r>
      <w:r>
        <w:t>.;</w:t>
      </w:r>
      <w:r w:rsidRPr="003D6B51">
        <w:t xml:space="preserve"> Aldington</w:t>
      </w:r>
      <w:r>
        <w:t>,</w:t>
      </w:r>
      <w:r w:rsidRPr="003D6B51">
        <w:t xml:space="preserve"> S</w:t>
      </w:r>
      <w:r>
        <w:t>.;</w:t>
      </w:r>
      <w:r w:rsidRPr="003D6B51">
        <w:t xml:space="preserve"> Weatherall, M.</w:t>
      </w:r>
      <w:r>
        <w:t xml:space="preserve"> </w:t>
      </w:r>
      <w:r w:rsidRPr="003D6B51">
        <w:t xml:space="preserve">External validity of randomized controlled trials in COPD. </w:t>
      </w:r>
      <w:r w:rsidRPr="009E3CF9">
        <w:rPr>
          <w:i/>
        </w:rPr>
        <w:t>Respiratory medicine</w:t>
      </w:r>
      <w:r w:rsidRPr="003D6B51">
        <w:t xml:space="preserve">. </w:t>
      </w:r>
      <w:r w:rsidRPr="009E3CF9">
        <w:rPr>
          <w:b/>
        </w:rPr>
        <w:t>2007</w:t>
      </w:r>
      <w:r>
        <w:t xml:space="preserve">, </w:t>
      </w:r>
      <w:r w:rsidRPr="009E3CF9">
        <w:rPr>
          <w:i/>
        </w:rPr>
        <w:t>101</w:t>
      </w:r>
      <w:r>
        <w:t xml:space="preserve">, </w:t>
      </w:r>
      <w:r w:rsidRPr="003D6B51">
        <w:t>1313</w:t>
      </w:r>
      <w:r>
        <w:t>–13</w:t>
      </w:r>
      <w:r w:rsidRPr="003D6B51">
        <w:t>20</w:t>
      </w:r>
    </w:p>
    <w:p w14:paraId="224D6B44" w14:textId="77777777" w:rsidR="00496C1F" w:rsidRPr="003D6B51" w:rsidRDefault="00496C1F" w:rsidP="00E54C73">
      <w:pPr>
        <w:pStyle w:val="MDPI71References"/>
      </w:pPr>
      <w:r w:rsidRPr="003D6B51">
        <w:t>Saunders</w:t>
      </w:r>
      <w:r>
        <w:t>,</w:t>
      </w:r>
      <w:r w:rsidRPr="003D6B51">
        <w:t xml:space="preserve"> C</w:t>
      </w:r>
      <w:r>
        <w:t>.;</w:t>
      </w:r>
      <w:r w:rsidRPr="003D6B51">
        <w:t xml:space="preserve"> Byrne</w:t>
      </w:r>
      <w:r>
        <w:t>,</w:t>
      </w:r>
      <w:r w:rsidRPr="003D6B51">
        <w:t xml:space="preserve"> C</w:t>
      </w:r>
      <w:r>
        <w:t>.</w:t>
      </w:r>
      <w:r w:rsidRPr="003D6B51">
        <w:t>D</w:t>
      </w:r>
      <w:r>
        <w:t>.;</w:t>
      </w:r>
      <w:r w:rsidRPr="003D6B51">
        <w:t xml:space="preserve"> Guthrie</w:t>
      </w:r>
      <w:r>
        <w:t>,</w:t>
      </w:r>
      <w:r w:rsidRPr="003D6B51">
        <w:t xml:space="preserve"> B</w:t>
      </w:r>
      <w:r>
        <w:t>.;</w:t>
      </w:r>
      <w:r w:rsidRPr="003D6B51">
        <w:t xml:space="preserve"> Lindsay</w:t>
      </w:r>
      <w:r>
        <w:t>,</w:t>
      </w:r>
      <w:r w:rsidRPr="003D6B51">
        <w:t xml:space="preserve"> R</w:t>
      </w:r>
      <w:r>
        <w:t>.;</w:t>
      </w:r>
      <w:r w:rsidRPr="003D6B51">
        <w:t xml:space="preserve"> McKnight</w:t>
      </w:r>
      <w:r>
        <w:t>,</w:t>
      </w:r>
      <w:r w:rsidRPr="003D6B51">
        <w:t xml:space="preserve"> J</w:t>
      </w:r>
      <w:r>
        <w:t>.;</w:t>
      </w:r>
      <w:r w:rsidRPr="003D6B51">
        <w:t xml:space="preserve"> Philip, S. External validity of randomized controlled trials of </w:t>
      </w:r>
      <w:proofErr w:type="spellStart"/>
      <w:r w:rsidRPr="003D6B51">
        <w:t>glycaemic</w:t>
      </w:r>
      <w:proofErr w:type="spellEnd"/>
      <w:r w:rsidRPr="003D6B51">
        <w:t xml:space="preserve"> control and vascular disease: How representative are participants? </w:t>
      </w:r>
      <w:r w:rsidRPr="009E3CF9">
        <w:rPr>
          <w:i/>
        </w:rPr>
        <w:t>Diabetic medicine</w:t>
      </w:r>
      <w:r w:rsidRPr="003D6B51">
        <w:t xml:space="preserve">. </w:t>
      </w:r>
      <w:r w:rsidRPr="009E3CF9">
        <w:rPr>
          <w:b/>
        </w:rPr>
        <w:t>2013</w:t>
      </w:r>
      <w:r>
        <w:t xml:space="preserve">, </w:t>
      </w:r>
      <w:r w:rsidRPr="009E3CF9">
        <w:rPr>
          <w:i/>
        </w:rPr>
        <w:t>30</w:t>
      </w:r>
      <w:r>
        <w:t xml:space="preserve">, </w:t>
      </w:r>
      <w:r w:rsidRPr="003D6B51">
        <w:t>300</w:t>
      </w:r>
      <w:r>
        <w:t>–30</w:t>
      </w:r>
      <w:r w:rsidRPr="003D6B51">
        <w:t>8.</w:t>
      </w:r>
    </w:p>
    <w:p w14:paraId="0F18E281" w14:textId="77777777" w:rsidR="00496C1F" w:rsidRPr="003D6B51" w:rsidRDefault="00496C1F" w:rsidP="00E54C73">
      <w:pPr>
        <w:pStyle w:val="MDPI71References"/>
      </w:pPr>
      <w:r w:rsidRPr="003D6B51">
        <w:t>Boyd</w:t>
      </w:r>
      <w:r>
        <w:t>,</w:t>
      </w:r>
      <w:r w:rsidRPr="003D6B51">
        <w:t xml:space="preserve"> C</w:t>
      </w:r>
      <w:r>
        <w:t>.</w:t>
      </w:r>
      <w:r w:rsidRPr="003D6B51">
        <w:t>M</w:t>
      </w:r>
      <w:r>
        <w:t>.;</w:t>
      </w:r>
      <w:r w:rsidRPr="003D6B51">
        <w:t xml:space="preserve"> </w:t>
      </w:r>
      <w:proofErr w:type="spellStart"/>
      <w:r w:rsidRPr="003D6B51">
        <w:t>Vollenweider</w:t>
      </w:r>
      <w:proofErr w:type="spellEnd"/>
      <w:r w:rsidRPr="003D6B51">
        <w:t>, D.</w:t>
      </w:r>
      <w:r>
        <w:t>;</w:t>
      </w:r>
      <w:r w:rsidRPr="003D6B51">
        <w:t xml:space="preserve"> </w:t>
      </w:r>
      <w:proofErr w:type="spellStart"/>
      <w:r w:rsidRPr="003D6B51">
        <w:t>Puhan</w:t>
      </w:r>
      <w:proofErr w:type="spellEnd"/>
      <w:r>
        <w:t>,</w:t>
      </w:r>
      <w:r w:rsidRPr="003D6B51">
        <w:t xml:space="preserve"> M</w:t>
      </w:r>
      <w:r>
        <w:t>.</w:t>
      </w:r>
      <w:r w:rsidRPr="003D6B51">
        <w:t xml:space="preserve">A. Informing evidence-based decision-making for patients with comorbidity: Availability of necessary information in clinical trials for chronic diseases. </w:t>
      </w:r>
      <w:r w:rsidRPr="003D6B51">
        <w:rPr>
          <w:i/>
        </w:rPr>
        <w:t>PLoS ONE</w:t>
      </w:r>
      <w:r w:rsidRPr="003D6B51">
        <w:t xml:space="preserve">. </w:t>
      </w:r>
      <w:r w:rsidRPr="009E3CF9">
        <w:rPr>
          <w:b/>
        </w:rPr>
        <w:t>2012</w:t>
      </w:r>
      <w:r>
        <w:t xml:space="preserve">, </w:t>
      </w:r>
      <w:r w:rsidRPr="009E3CF9">
        <w:rPr>
          <w:i/>
        </w:rPr>
        <w:t>7</w:t>
      </w:r>
      <w:r>
        <w:t xml:space="preserve">, </w:t>
      </w:r>
      <w:r w:rsidRPr="003D6B51">
        <w:t>e41601</w:t>
      </w:r>
    </w:p>
    <w:p w14:paraId="48B61753" w14:textId="77777777" w:rsidR="00496C1F" w:rsidRPr="003D6B51" w:rsidRDefault="00496C1F" w:rsidP="00E54C73">
      <w:pPr>
        <w:pStyle w:val="MDPI71References"/>
      </w:pPr>
      <w:proofErr w:type="spellStart"/>
      <w:r w:rsidRPr="003D6B51">
        <w:t>Jadad</w:t>
      </w:r>
      <w:proofErr w:type="spellEnd"/>
      <w:r>
        <w:t>,</w:t>
      </w:r>
      <w:r w:rsidRPr="003D6B51">
        <w:t xml:space="preserve"> A</w:t>
      </w:r>
      <w:r>
        <w:t>.</w:t>
      </w:r>
      <w:r w:rsidRPr="003D6B51">
        <w:t>R</w:t>
      </w:r>
      <w:r>
        <w:t>.;</w:t>
      </w:r>
      <w:r w:rsidRPr="003D6B51">
        <w:t xml:space="preserve"> To</w:t>
      </w:r>
      <w:r>
        <w:t>,</w:t>
      </w:r>
      <w:r w:rsidRPr="003D6B51">
        <w:t xml:space="preserve"> M</w:t>
      </w:r>
      <w:r>
        <w:t>.</w:t>
      </w:r>
      <w:r w:rsidRPr="003D6B51">
        <w:t>J</w:t>
      </w:r>
      <w:r>
        <w:t>.;</w:t>
      </w:r>
      <w:r w:rsidRPr="003D6B51">
        <w:t xml:space="preserve"> </w:t>
      </w:r>
      <w:proofErr w:type="spellStart"/>
      <w:r w:rsidRPr="003D6B51">
        <w:t>Emara</w:t>
      </w:r>
      <w:proofErr w:type="spellEnd"/>
      <w:r w:rsidRPr="003D6B51">
        <w:t>, M.</w:t>
      </w:r>
      <w:r>
        <w:t>;</w:t>
      </w:r>
      <w:r w:rsidRPr="003D6B51">
        <w:t xml:space="preserve"> Jones, J. Consideration of multiple chronic diseases in randomized controlled trials. </w:t>
      </w:r>
      <w:r w:rsidRPr="009E3CF9">
        <w:rPr>
          <w:i/>
        </w:rPr>
        <w:t>Jama</w:t>
      </w:r>
      <w:r w:rsidRPr="003D6B51">
        <w:t xml:space="preserve">. </w:t>
      </w:r>
      <w:r w:rsidRPr="009E3CF9">
        <w:rPr>
          <w:b/>
          <w:i/>
        </w:rPr>
        <w:t>2011</w:t>
      </w:r>
      <w:r>
        <w:t xml:space="preserve">, </w:t>
      </w:r>
      <w:r w:rsidRPr="009E3CF9">
        <w:rPr>
          <w:i/>
        </w:rPr>
        <w:t>306</w:t>
      </w:r>
      <w:r>
        <w:t xml:space="preserve">, </w:t>
      </w:r>
      <w:r w:rsidRPr="003D6B51">
        <w:t>2670</w:t>
      </w:r>
      <w:r>
        <w:t>–267</w:t>
      </w:r>
      <w:r w:rsidRPr="003D6B51">
        <w:t>2</w:t>
      </w:r>
    </w:p>
    <w:p w14:paraId="0CA9A84B" w14:textId="77777777" w:rsidR="00496C1F" w:rsidRPr="003D6B51" w:rsidRDefault="00496C1F" w:rsidP="00E54C73">
      <w:pPr>
        <w:pStyle w:val="MDPI71References"/>
      </w:pPr>
      <w:proofErr w:type="spellStart"/>
      <w:r w:rsidRPr="003D6B51">
        <w:t>Kuchel</w:t>
      </w:r>
      <w:proofErr w:type="spellEnd"/>
      <w:r>
        <w:t>,</w:t>
      </w:r>
      <w:r w:rsidRPr="003D6B51">
        <w:t xml:space="preserve"> G</w:t>
      </w:r>
      <w:r>
        <w:t>.</w:t>
      </w:r>
      <w:r w:rsidRPr="003D6B51">
        <w:t xml:space="preserve">A. Inclusion of Older Adults in Research: Ensuring Relevance, Feasibility, and Rigor. </w:t>
      </w:r>
      <w:r w:rsidRPr="009E3CF9">
        <w:rPr>
          <w:i/>
        </w:rPr>
        <w:t>Journal of the American Geriatrics Society.</w:t>
      </w:r>
      <w:r w:rsidRPr="003D6B51">
        <w:t xml:space="preserve"> </w:t>
      </w:r>
      <w:r w:rsidRPr="009E3CF9">
        <w:rPr>
          <w:b/>
        </w:rPr>
        <w:t>2019</w:t>
      </w:r>
      <w:r>
        <w:t xml:space="preserve">, </w:t>
      </w:r>
      <w:r w:rsidRPr="009E3CF9">
        <w:rPr>
          <w:i/>
        </w:rPr>
        <w:t>67</w:t>
      </w:r>
      <w:r>
        <w:t xml:space="preserve">, </w:t>
      </w:r>
      <w:r w:rsidRPr="003D6B51">
        <w:t>203</w:t>
      </w:r>
      <w:r>
        <w:t>–20</w:t>
      </w:r>
      <w:r w:rsidRPr="003D6B51">
        <w:t>4</w:t>
      </w:r>
    </w:p>
    <w:p w14:paraId="63A9F041" w14:textId="77777777" w:rsidR="00496C1F" w:rsidRPr="003D6B51" w:rsidRDefault="00496C1F" w:rsidP="00E54C73">
      <w:pPr>
        <w:pStyle w:val="MDPI71References"/>
      </w:pPr>
      <w:r w:rsidRPr="003D6B51">
        <w:t>Hughes</w:t>
      </w:r>
      <w:r>
        <w:t>,</w:t>
      </w:r>
      <w:r w:rsidRPr="003D6B51">
        <w:t xml:space="preserve"> L</w:t>
      </w:r>
      <w:r>
        <w:t>.</w:t>
      </w:r>
      <w:r w:rsidRPr="003D6B51">
        <w:t>D</w:t>
      </w:r>
      <w:r>
        <w:t>.;</w:t>
      </w:r>
      <w:r w:rsidRPr="003D6B51">
        <w:t xml:space="preserve"> McMurdo</w:t>
      </w:r>
      <w:r>
        <w:t>,</w:t>
      </w:r>
      <w:r w:rsidRPr="003D6B51">
        <w:t xml:space="preserve"> M</w:t>
      </w:r>
      <w:r>
        <w:t>.</w:t>
      </w:r>
      <w:r w:rsidRPr="003D6B51">
        <w:t>E</w:t>
      </w:r>
      <w:r>
        <w:t>.;</w:t>
      </w:r>
      <w:r w:rsidRPr="003D6B51">
        <w:t xml:space="preserve"> Guthrie, B. Guidelines for people not for diseases: The challenges of applying UK clinical guidelines to people with multimorbidity. </w:t>
      </w:r>
      <w:r w:rsidRPr="009E3CF9">
        <w:rPr>
          <w:i/>
        </w:rPr>
        <w:t>Age and ageing</w:t>
      </w:r>
      <w:r w:rsidRPr="003D6B51">
        <w:t xml:space="preserve">. </w:t>
      </w:r>
      <w:r w:rsidRPr="009E3CF9">
        <w:rPr>
          <w:b/>
        </w:rPr>
        <w:t>2013</w:t>
      </w:r>
      <w:r>
        <w:t xml:space="preserve">, </w:t>
      </w:r>
      <w:r w:rsidRPr="009E3CF9">
        <w:rPr>
          <w:i/>
        </w:rPr>
        <w:t>42</w:t>
      </w:r>
      <w:r>
        <w:t xml:space="preserve">, </w:t>
      </w:r>
      <w:r w:rsidRPr="003D6B51">
        <w:t>62</w:t>
      </w:r>
      <w:r>
        <w:t>–6</w:t>
      </w:r>
      <w:r w:rsidRPr="003D6B51">
        <w:t>9</w:t>
      </w:r>
    </w:p>
    <w:p w14:paraId="0972D17F" w14:textId="77777777" w:rsidR="00496C1F" w:rsidRPr="003D6B51" w:rsidRDefault="00496C1F" w:rsidP="00E54C73">
      <w:pPr>
        <w:pStyle w:val="MDPI71References"/>
      </w:pPr>
      <w:proofErr w:type="spellStart"/>
      <w:r w:rsidRPr="003D6B51">
        <w:t>Vetrano</w:t>
      </w:r>
      <w:proofErr w:type="spellEnd"/>
      <w:r>
        <w:t>,</w:t>
      </w:r>
      <w:r w:rsidRPr="003D6B51">
        <w:t xml:space="preserve"> D</w:t>
      </w:r>
      <w:r>
        <w:t>.</w:t>
      </w:r>
      <w:r w:rsidRPr="003D6B51">
        <w:t>L</w:t>
      </w:r>
      <w:r>
        <w:t>.;</w:t>
      </w:r>
      <w:r w:rsidRPr="003D6B51">
        <w:t xml:space="preserve"> Palmer</w:t>
      </w:r>
      <w:r>
        <w:t>,</w:t>
      </w:r>
      <w:r w:rsidRPr="003D6B51">
        <w:t xml:space="preserve"> K</w:t>
      </w:r>
      <w:r>
        <w:t>.;</w:t>
      </w:r>
      <w:r w:rsidRPr="003D6B51">
        <w:t xml:space="preserve"> </w:t>
      </w:r>
      <w:proofErr w:type="spellStart"/>
      <w:r w:rsidRPr="003D6B51">
        <w:t>Marengoni</w:t>
      </w:r>
      <w:proofErr w:type="spellEnd"/>
      <w:r>
        <w:t>,</w:t>
      </w:r>
      <w:r w:rsidRPr="003D6B51">
        <w:t xml:space="preserve"> A</w:t>
      </w:r>
      <w:r>
        <w:t>.;</w:t>
      </w:r>
      <w:r w:rsidRPr="003D6B51">
        <w:t xml:space="preserve"> Marzetti</w:t>
      </w:r>
      <w:r>
        <w:t>,</w:t>
      </w:r>
      <w:r w:rsidRPr="003D6B51">
        <w:t xml:space="preserve"> E</w:t>
      </w:r>
      <w:r>
        <w:t>.;</w:t>
      </w:r>
      <w:r w:rsidRPr="003D6B51">
        <w:t xml:space="preserve"> </w:t>
      </w:r>
      <w:proofErr w:type="spellStart"/>
      <w:r w:rsidRPr="003D6B51">
        <w:t>Lattanzio</w:t>
      </w:r>
      <w:proofErr w:type="spellEnd"/>
      <w:r>
        <w:t>,</w:t>
      </w:r>
      <w:r w:rsidRPr="003D6B51">
        <w:t xml:space="preserve"> F</w:t>
      </w:r>
      <w:r>
        <w:t>.;</w:t>
      </w:r>
      <w:r w:rsidRPr="003D6B51">
        <w:t xml:space="preserve"> Roller-</w:t>
      </w:r>
      <w:proofErr w:type="spellStart"/>
      <w:r w:rsidRPr="003D6B51">
        <w:t>Wirnsberger</w:t>
      </w:r>
      <w:proofErr w:type="spellEnd"/>
      <w:r w:rsidRPr="003D6B51">
        <w:t xml:space="preserve">, R. Frailty and multimorbidity: A systematic review and meta-analysis. </w:t>
      </w:r>
      <w:r w:rsidRPr="009E3CF9">
        <w:rPr>
          <w:i/>
        </w:rPr>
        <w:t>The Journals of Gerontology: Series, A.</w:t>
      </w:r>
      <w:r w:rsidRPr="003D6B51">
        <w:t xml:space="preserve"> </w:t>
      </w:r>
      <w:r w:rsidRPr="009E3CF9">
        <w:rPr>
          <w:b/>
        </w:rPr>
        <w:t>2019</w:t>
      </w:r>
      <w:r>
        <w:t xml:space="preserve">, </w:t>
      </w:r>
      <w:r w:rsidRPr="009E3CF9">
        <w:rPr>
          <w:i/>
        </w:rPr>
        <w:t>74</w:t>
      </w:r>
      <w:r>
        <w:t xml:space="preserve">, </w:t>
      </w:r>
      <w:r w:rsidRPr="003D6B51">
        <w:t>659</w:t>
      </w:r>
      <w:r>
        <w:t>––6</w:t>
      </w:r>
      <w:r w:rsidRPr="003D6B51">
        <w:t>66</w:t>
      </w:r>
    </w:p>
    <w:p w14:paraId="14DBAD7C" w14:textId="77777777" w:rsidR="00496C1F" w:rsidRPr="003D6B51" w:rsidRDefault="00496C1F" w:rsidP="00E54C73">
      <w:pPr>
        <w:pStyle w:val="MDPI71References"/>
      </w:pPr>
      <w:proofErr w:type="spellStart"/>
      <w:r w:rsidRPr="003D6B51">
        <w:t>Duerden</w:t>
      </w:r>
      <w:proofErr w:type="spellEnd"/>
      <w:r w:rsidRPr="003D6B51">
        <w:t>, M.A</w:t>
      </w:r>
      <w:r>
        <w:t>.</w:t>
      </w:r>
      <w:r w:rsidRPr="003D6B51">
        <w:t>T</w:t>
      </w:r>
      <w:r>
        <w:t>.;</w:t>
      </w:r>
      <w:r w:rsidRPr="003D6B51">
        <w:t xml:space="preserve"> Payne, R. Polypharmacy and medicines optimisation: Making it safe and </w:t>
      </w:r>
      <w:proofErr w:type="spellStart"/>
      <w:r w:rsidRPr="003D6B51">
        <w:t>sound.</w:t>
      </w:r>
      <w:r w:rsidRPr="009E3CF9">
        <w:rPr>
          <w:i/>
        </w:rPr>
        <w:t>The</w:t>
      </w:r>
      <w:proofErr w:type="spellEnd"/>
      <w:r w:rsidRPr="009E3CF9">
        <w:rPr>
          <w:i/>
        </w:rPr>
        <w:t xml:space="preserve"> King's Fund.</w:t>
      </w:r>
      <w:r w:rsidRPr="003D6B51">
        <w:t xml:space="preserve"> </w:t>
      </w:r>
      <w:r w:rsidRPr="009E3CF9">
        <w:rPr>
          <w:b/>
        </w:rPr>
        <w:t>2013</w:t>
      </w:r>
    </w:p>
    <w:p w14:paraId="4A9B384D" w14:textId="77777777" w:rsidR="00496C1F" w:rsidRPr="003D6B51" w:rsidRDefault="00496C1F" w:rsidP="00E54C73">
      <w:pPr>
        <w:pStyle w:val="MDPI71References"/>
      </w:pPr>
      <w:proofErr w:type="spellStart"/>
      <w:r w:rsidRPr="003D6B51">
        <w:t>Lavan</w:t>
      </w:r>
      <w:proofErr w:type="spellEnd"/>
      <w:r>
        <w:t>,</w:t>
      </w:r>
      <w:r w:rsidRPr="003D6B51">
        <w:t xml:space="preserve"> A</w:t>
      </w:r>
      <w:r>
        <w:t>.</w:t>
      </w:r>
      <w:r w:rsidRPr="003D6B51">
        <w:t>H</w:t>
      </w:r>
      <w:r>
        <w:t>.;</w:t>
      </w:r>
      <w:r w:rsidRPr="003D6B51">
        <w:t xml:space="preserve"> Gallagher</w:t>
      </w:r>
      <w:r>
        <w:t>,</w:t>
      </w:r>
      <w:r w:rsidRPr="003D6B51">
        <w:t xml:space="preserve"> P</w:t>
      </w:r>
      <w:r>
        <w:t>.</w:t>
      </w:r>
      <w:r w:rsidRPr="003D6B51">
        <w:t>F</w:t>
      </w:r>
      <w:r>
        <w:t>.;</w:t>
      </w:r>
      <w:r w:rsidRPr="003D6B51">
        <w:t xml:space="preserve"> </w:t>
      </w:r>
      <w:proofErr w:type="spellStart"/>
      <w:r w:rsidRPr="003D6B51">
        <w:t>O'Mahony</w:t>
      </w:r>
      <w:proofErr w:type="spellEnd"/>
      <w:r w:rsidRPr="003D6B51">
        <w:t xml:space="preserve">, D. Methods to reduce prescribing errors in elderly patients with multimorbidity. </w:t>
      </w:r>
      <w:r w:rsidRPr="009E3CF9">
        <w:rPr>
          <w:i/>
        </w:rPr>
        <w:t xml:space="preserve">Clin </w:t>
      </w:r>
      <w:proofErr w:type="spellStart"/>
      <w:r w:rsidRPr="009E3CF9">
        <w:rPr>
          <w:i/>
        </w:rPr>
        <w:t>Interv</w:t>
      </w:r>
      <w:proofErr w:type="spellEnd"/>
      <w:r w:rsidRPr="009E3CF9">
        <w:rPr>
          <w:i/>
        </w:rPr>
        <w:t xml:space="preserve"> Aging.</w:t>
      </w:r>
      <w:r w:rsidRPr="003D6B51">
        <w:t xml:space="preserve"> </w:t>
      </w:r>
      <w:r w:rsidRPr="009E3CF9">
        <w:rPr>
          <w:b/>
        </w:rPr>
        <w:t>2016</w:t>
      </w:r>
      <w:r>
        <w:t xml:space="preserve">, </w:t>
      </w:r>
      <w:r w:rsidRPr="009E3CF9">
        <w:rPr>
          <w:i/>
        </w:rPr>
        <w:t>11</w:t>
      </w:r>
      <w:r>
        <w:t xml:space="preserve">, </w:t>
      </w:r>
      <w:r w:rsidRPr="003D6B51">
        <w:t>857</w:t>
      </w:r>
      <w:r>
        <w:t>–8</w:t>
      </w:r>
      <w:r w:rsidRPr="003D6B51">
        <w:t>66</w:t>
      </w:r>
    </w:p>
    <w:p w14:paraId="3FCBBC09" w14:textId="77777777" w:rsidR="00496C1F" w:rsidRPr="003D6B51" w:rsidRDefault="00496C1F" w:rsidP="00E54C73">
      <w:pPr>
        <w:pStyle w:val="MDPI71References"/>
      </w:pPr>
      <w:r w:rsidRPr="003D6B51">
        <w:t>Payne</w:t>
      </w:r>
      <w:r>
        <w:t>,</w:t>
      </w:r>
      <w:r w:rsidRPr="003D6B51">
        <w:t xml:space="preserve"> R</w:t>
      </w:r>
      <w:r>
        <w:t>.</w:t>
      </w:r>
      <w:r w:rsidRPr="003D6B51">
        <w:t>A</w:t>
      </w:r>
      <w:r>
        <w:t>.;</w:t>
      </w:r>
      <w:r w:rsidRPr="003D6B51">
        <w:t xml:space="preserve"> Avery</w:t>
      </w:r>
      <w:r>
        <w:t>,</w:t>
      </w:r>
      <w:r w:rsidRPr="003D6B51">
        <w:t xml:space="preserve"> A</w:t>
      </w:r>
      <w:r>
        <w:t>.</w:t>
      </w:r>
      <w:r w:rsidRPr="003D6B51">
        <w:t>J</w:t>
      </w:r>
      <w:r>
        <w:t>.;</w:t>
      </w:r>
      <w:r w:rsidRPr="003D6B51">
        <w:t xml:space="preserve"> </w:t>
      </w:r>
      <w:proofErr w:type="spellStart"/>
      <w:r w:rsidRPr="003D6B51">
        <w:t>Duerden</w:t>
      </w:r>
      <w:proofErr w:type="spellEnd"/>
      <w:r>
        <w:t>,</w:t>
      </w:r>
      <w:r w:rsidRPr="003D6B51">
        <w:t xml:space="preserve"> M</w:t>
      </w:r>
      <w:r>
        <w:t>.;</w:t>
      </w:r>
      <w:r w:rsidRPr="003D6B51">
        <w:t xml:space="preserve"> Saunders</w:t>
      </w:r>
      <w:r>
        <w:t>,</w:t>
      </w:r>
      <w:r w:rsidRPr="003D6B51">
        <w:t xml:space="preserve"> C</w:t>
      </w:r>
      <w:r>
        <w:t>.</w:t>
      </w:r>
      <w:r w:rsidRPr="003D6B51">
        <w:t>L</w:t>
      </w:r>
      <w:r>
        <w:t>.;</w:t>
      </w:r>
      <w:r w:rsidRPr="003D6B51">
        <w:t xml:space="preserve"> Simpson</w:t>
      </w:r>
      <w:r>
        <w:t>,</w:t>
      </w:r>
      <w:r w:rsidRPr="003D6B51">
        <w:t xml:space="preserve"> C</w:t>
      </w:r>
      <w:r>
        <w:t>.</w:t>
      </w:r>
      <w:r w:rsidRPr="003D6B51">
        <w:t>R</w:t>
      </w:r>
      <w:r>
        <w:t>.;</w:t>
      </w:r>
      <w:r w:rsidRPr="003D6B51">
        <w:t xml:space="preserve"> Abel</w:t>
      </w:r>
      <w:r>
        <w:t>,</w:t>
      </w:r>
      <w:r w:rsidRPr="003D6B51">
        <w:t xml:space="preserve"> G</w:t>
      </w:r>
      <w:r>
        <w:t>.</w:t>
      </w:r>
      <w:r w:rsidRPr="003D6B51">
        <w:t xml:space="preserve">A. Prevalence of polypharmacy in a Scottish primary care population. </w:t>
      </w:r>
      <w:r w:rsidRPr="009E3CF9">
        <w:rPr>
          <w:i/>
        </w:rPr>
        <w:t>European Journal of Clinical Pharmacology.</w:t>
      </w:r>
      <w:r w:rsidRPr="003D6B51">
        <w:t xml:space="preserve"> </w:t>
      </w:r>
      <w:r w:rsidRPr="009E3CF9">
        <w:rPr>
          <w:b/>
        </w:rPr>
        <w:t>2014</w:t>
      </w:r>
      <w:r>
        <w:t xml:space="preserve">, </w:t>
      </w:r>
      <w:r w:rsidRPr="009E3CF9">
        <w:rPr>
          <w:i/>
        </w:rPr>
        <w:t>70</w:t>
      </w:r>
      <w:r>
        <w:t xml:space="preserve">, </w:t>
      </w:r>
      <w:r w:rsidRPr="003D6B51">
        <w:t>575</w:t>
      </w:r>
      <w:r>
        <w:t>–5</w:t>
      </w:r>
      <w:r w:rsidRPr="003D6B51">
        <w:t>81</w:t>
      </w:r>
    </w:p>
    <w:p w14:paraId="05F98BDA" w14:textId="77777777" w:rsidR="00496C1F" w:rsidRPr="003D6B51" w:rsidRDefault="00496C1F" w:rsidP="00E54C73">
      <w:pPr>
        <w:pStyle w:val="MDPI71References"/>
      </w:pPr>
      <w:r w:rsidRPr="003D6B51">
        <w:t>Betteridge</w:t>
      </w:r>
      <w:r>
        <w:t>,</w:t>
      </w:r>
      <w:r w:rsidRPr="003D6B51">
        <w:t xml:space="preserve"> T</w:t>
      </w:r>
      <w:r>
        <w:t>.;</w:t>
      </w:r>
      <w:r w:rsidRPr="003D6B51">
        <w:t xml:space="preserve"> Frampton</w:t>
      </w:r>
      <w:r>
        <w:t>,</w:t>
      </w:r>
      <w:r w:rsidRPr="003D6B51">
        <w:t xml:space="preserve"> C</w:t>
      </w:r>
      <w:r>
        <w:t>.;</w:t>
      </w:r>
      <w:r w:rsidRPr="003D6B51">
        <w:t xml:space="preserve"> Jardine, D. Polypharmacy–we make it worse! A cross‐sectional study from an acute admissions unit. </w:t>
      </w:r>
      <w:r w:rsidRPr="009E3CF9">
        <w:rPr>
          <w:i/>
        </w:rPr>
        <w:t>Internal medicine journal</w:t>
      </w:r>
      <w:r w:rsidRPr="003D6B51">
        <w:t xml:space="preserve">. </w:t>
      </w:r>
      <w:r w:rsidRPr="009E3CF9">
        <w:rPr>
          <w:b/>
        </w:rPr>
        <w:t>2012</w:t>
      </w:r>
      <w:r>
        <w:t xml:space="preserve">, </w:t>
      </w:r>
      <w:r w:rsidRPr="009E3CF9">
        <w:rPr>
          <w:i/>
        </w:rPr>
        <w:t>42</w:t>
      </w:r>
      <w:r>
        <w:t xml:space="preserve">, </w:t>
      </w:r>
      <w:r w:rsidRPr="003D6B51">
        <w:t>208</w:t>
      </w:r>
      <w:r>
        <w:t>–2</w:t>
      </w:r>
      <w:r w:rsidRPr="003D6B51">
        <w:t>11</w:t>
      </w:r>
    </w:p>
    <w:p w14:paraId="5176D0DC" w14:textId="77777777" w:rsidR="00496C1F" w:rsidRPr="003D6B51" w:rsidRDefault="00496C1F" w:rsidP="00E54C73">
      <w:pPr>
        <w:pStyle w:val="MDPI71References"/>
      </w:pPr>
      <w:proofErr w:type="spellStart"/>
      <w:r w:rsidRPr="003D6B51">
        <w:t>Viktil</w:t>
      </w:r>
      <w:proofErr w:type="spellEnd"/>
      <w:r>
        <w:t>,</w:t>
      </w:r>
      <w:r w:rsidRPr="003D6B51">
        <w:t xml:space="preserve"> K</w:t>
      </w:r>
      <w:r>
        <w:t>.</w:t>
      </w:r>
      <w:r w:rsidRPr="003D6B51">
        <w:t>K</w:t>
      </w:r>
      <w:r>
        <w:t>.;</w:t>
      </w:r>
      <w:r w:rsidRPr="003D6B51">
        <w:t xml:space="preserve"> Blix</w:t>
      </w:r>
      <w:r>
        <w:t>,</w:t>
      </w:r>
      <w:r w:rsidRPr="003D6B51">
        <w:t xml:space="preserve"> H</w:t>
      </w:r>
      <w:r>
        <w:t>.</w:t>
      </w:r>
      <w:r w:rsidRPr="003D6B51">
        <w:t>S</w:t>
      </w:r>
      <w:r>
        <w:t>.;</w:t>
      </w:r>
      <w:r w:rsidRPr="003D6B51">
        <w:t xml:space="preserve"> Eek</w:t>
      </w:r>
      <w:r>
        <w:t>,</w:t>
      </w:r>
      <w:r w:rsidRPr="003D6B51">
        <w:t xml:space="preserve"> A</w:t>
      </w:r>
      <w:r>
        <w:t>.</w:t>
      </w:r>
      <w:r w:rsidRPr="003D6B51">
        <w:t>K</w:t>
      </w:r>
      <w:r>
        <w:t>.;</w:t>
      </w:r>
      <w:r w:rsidRPr="003D6B51">
        <w:t xml:space="preserve"> Davies</w:t>
      </w:r>
      <w:r>
        <w:t>,</w:t>
      </w:r>
      <w:r w:rsidRPr="003D6B51">
        <w:t xml:space="preserve"> M</w:t>
      </w:r>
      <w:r>
        <w:t>.</w:t>
      </w:r>
      <w:r w:rsidRPr="003D6B51">
        <w:t>N</w:t>
      </w:r>
      <w:r>
        <w:t>.;</w:t>
      </w:r>
      <w:r w:rsidRPr="003D6B51">
        <w:t xml:space="preserve"> </w:t>
      </w:r>
      <w:proofErr w:type="spellStart"/>
      <w:r w:rsidRPr="003D6B51">
        <w:t>Moger</w:t>
      </w:r>
      <w:proofErr w:type="spellEnd"/>
      <w:r>
        <w:t>,</w:t>
      </w:r>
      <w:r w:rsidRPr="003D6B51">
        <w:t xml:space="preserve"> T</w:t>
      </w:r>
      <w:r>
        <w:t>.</w:t>
      </w:r>
      <w:r w:rsidRPr="003D6B51">
        <w:t>A</w:t>
      </w:r>
      <w:r>
        <w:t>.;</w:t>
      </w:r>
      <w:r w:rsidRPr="003D6B51">
        <w:t xml:space="preserve"> </w:t>
      </w:r>
      <w:proofErr w:type="spellStart"/>
      <w:r w:rsidRPr="003D6B51">
        <w:t>Reikvam</w:t>
      </w:r>
      <w:proofErr w:type="spellEnd"/>
      <w:r w:rsidRPr="003D6B51">
        <w:t xml:space="preserve">, A. How are drug regimen changes during </w:t>
      </w:r>
      <w:proofErr w:type="spellStart"/>
      <w:r w:rsidRPr="003D6B51">
        <w:t>hospitalisation</w:t>
      </w:r>
      <w:proofErr w:type="spellEnd"/>
      <w:r w:rsidRPr="003D6B51">
        <w:t xml:space="preserve"> handled after discharge: A cohort study. </w:t>
      </w:r>
      <w:r w:rsidRPr="009E3CF9">
        <w:rPr>
          <w:i/>
        </w:rPr>
        <w:t>BMJ open</w:t>
      </w:r>
      <w:r w:rsidRPr="003D6B51">
        <w:t xml:space="preserve">. </w:t>
      </w:r>
      <w:r w:rsidRPr="009E3CF9">
        <w:rPr>
          <w:b/>
        </w:rPr>
        <w:t>2012</w:t>
      </w:r>
      <w:r>
        <w:t xml:space="preserve">, </w:t>
      </w:r>
      <w:r w:rsidRPr="009E3CF9">
        <w:rPr>
          <w:i/>
        </w:rPr>
        <w:t>2</w:t>
      </w:r>
      <w:r>
        <w:t xml:space="preserve">, </w:t>
      </w:r>
      <w:r w:rsidRPr="003D6B51">
        <w:t>e001461</w:t>
      </w:r>
    </w:p>
    <w:p w14:paraId="56375745" w14:textId="77777777" w:rsidR="00496C1F" w:rsidRPr="00941E15" w:rsidRDefault="00496C1F" w:rsidP="00E54C73">
      <w:pPr>
        <w:pStyle w:val="MDPI71References"/>
      </w:pPr>
      <w:r w:rsidRPr="003D6B51">
        <w:t xml:space="preserve">The National Institute for Health and Care Excellence (NICE) : Multimorbidity and polypharmacy. </w:t>
      </w:r>
      <w:r w:rsidRPr="009E3CF9">
        <w:rPr>
          <w:b/>
        </w:rPr>
        <w:t>2019</w:t>
      </w:r>
      <w:r>
        <w:t xml:space="preserve">, </w:t>
      </w:r>
      <w:hyperlink r:id="rId10" w:history="1">
        <w:r w:rsidRPr="00941E15">
          <w:t>www.nice.org.uk/guidance/ktt18</w:t>
        </w:r>
      </w:hyperlink>
      <w:r w:rsidRPr="00941E15">
        <w:t xml:space="preserve"> (assessed </w:t>
      </w:r>
      <w:r w:rsidRPr="00941E15">
        <w:rPr>
          <w:color w:val="000000" w:themeColor="text1"/>
        </w:rPr>
        <w:t xml:space="preserve">on </w:t>
      </w:r>
      <w:r w:rsidRPr="00941E15">
        <w:t>27 October 2020)</w:t>
      </w:r>
    </w:p>
    <w:p w14:paraId="241BD99F" w14:textId="77777777" w:rsidR="00496C1F" w:rsidRPr="00941E15" w:rsidRDefault="00496C1F" w:rsidP="00E54C73">
      <w:pPr>
        <w:pStyle w:val="MDPI71References"/>
      </w:pPr>
      <w:r w:rsidRPr="00941E15">
        <w:t xml:space="preserve">Routledge, P.A.; </w:t>
      </w:r>
      <w:proofErr w:type="spellStart"/>
      <w:r w:rsidRPr="00941E15">
        <w:t>O'Mahony</w:t>
      </w:r>
      <w:proofErr w:type="spellEnd"/>
      <w:r w:rsidRPr="00941E15">
        <w:t xml:space="preserve">, M.S.; Woodhouse, K.W. Adverse drug reactions in elderly patients. </w:t>
      </w:r>
      <w:r w:rsidRPr="00941E15">
        <w:rPr>
          <w:i/>
        </w:rPr>
        <w:t xml:space="preserve">Br J Clin </w:t>
      </w:r>
      <w:proofErr w:type="spellStart"/>
      <w:r w:rsidRPr="00941E15">
        <w:rPr>
          <w:i/>
        </w:rPr>
        <w:t>Pharmacol</w:t>
      </w:r>
      <w:proofErr w:type="spellEnd"/>
      <w:r w:rsidRPr="00941E15">
        <w:rPr>
          <w:i/>
        </w:rPr>
        <w:t>.</w:t>
      </w:r>
      <w:r w:rsidRPr="00941E15">
        <w:t xml:space="preserve"> </w:t>
      </w:r>
      <w:r w:rsidRPr="00941E15">
        <w:rPr>
          <w:b/>
        </w:rPr>
        <w:t>2004</w:t>
      </w:r>
      <w:r w:rsidRPr="00941E15">
        <w:t xml:space="preserve">, </w:t>
      </w:r>
      <w:r w:rsidRPr="00941E15">
        <w:rPr>
          <w:i/>
        </w:rPr>
        <w:t>57</w:t>
      </w:r>
      <w:r w:rsidRPr="00941E15">
        <w:t>, 121–126</w:t>
      </w:r>
    </w:p>
    <w:p w14:paraId="5B785D49" w14:textId="77777777" w:rsidR="00496C1F" w:rsidRPr="003D6B51" w:rsidRDefault="00496C1F" w:rsidP="00E54C73">
      <w:pPr>
        <w:pStyle w:val="MDPI71References"/>
      </w:pPr>
      <w:proofErr w:type="spellStart"/>
      <w:r w:rsidRPr="003D6B51">
        <w:t>Pirmohamed</w:t>
      </w:r>
      <w:proofErr w:type="spellEnd"/>
      <w:r>
        <w:t>,</w:t>
      </w:r>
      <w:r w:rsidRPr="003D6B51">
        <w:t xml:space="preserve"> M</w:t>
      </w:r>
      <w:r>
        <w:t>.;</w:t>
      </w:r>
      <w:r w:rsidRPr="003D6B51">
        <w:t xml:space="preserve"> James</w:t>
      </w:r>
      <w:r>
        <w:t>,</w:t>
      </w:r>
      <w:r w:rsidRPr="003D6B51">
        <w:t xml:space="preserve"> S</w:t>
      </w:r>
      <w:r>
        <w:t>.;</w:t>
      </w:r>
      <w:r w:rsidRPr="003D6B51">
        <w:t xml:space="preserve"> </w:t>
      </w:r>
      <w:proofErr w:type="spellStart"/>
      <w:r w:rsidRPr="003D6B51">
        <w:t>Meakin</w:t>
      </w:r>
      <w:proofErr w:type="spellEnd"/>
      <w:r>
        <w:t>,</w:t>
      </w:r>
      <w:r w:rsidRPr="003D6B51">
        <w:t xml:space="preserve"> S</w:t>
      </w:r>
      <w:r>
        <w:t>.;</w:t>
      </w:r>
      <w:r w:rsidRPr="003D6B51">
        <w:t xml:space="preserve"> Green </w:t>
      </w:r>
      <w:r>
        <w:t>,</w:t>
      </w:r>
      <w:r w:rsidRPr="003D6B51">
        <w:t>C</w:t>
      </w:r>
      <w:r>
        <w:t>.;</w:t>
      </w:r>
      <w:r w:rsidRPr="003D6B51">
        <w:t xml:space="preserve"> Scott</w:t>
      </w:r>
      <w:r>
        <w:t>,</w:t>
      </w:r>
      <w:r w:rsidRPr="003D6B51">
        <w:t xml:space="preserve"> A</w:t>
      </w:r>
      <w:r>
        <w:t>.</w:t>
      </w:r>
      <w:r w:rsidRPr="003D6B51">
        <w:t>K</w:t>
      </w:r>
      <w:r>
        <w:t>.;</w:t>
      </w:r>
      <w:r w:rsidRPr="003D6B51">
        <w:t xml:space="preserve"> Walley</w:t>
      </w:r>
      <w:r>
        <w:t>,</w:t>
      </w:r>
      <w:r w:rsidRPr="003D6B51">
        <w:t xml:space="preserve"> T</w:t>
      </w:r>
      <w:r>
        <w:t>.</w:t>
      </w:r>
      <w:r w:rsidRPr="003D6B51">
        <w:t xml:space="preserve">J. Adverse drug reactions as cause of admission to hospital: Prospective analysis of 18 820 patients. </w:t>
      </w:r>
      <w:proofErr w:type="spellStart"/>
      <w:r w:rsidRPr="009E3CF9">
        <w:rPr>
          <w:i/>
        </w:rPr>
        <w:t>Bmj</w:t>
      </w:r>
      <w:proofErr w:type="spellEnd"/>
      <w:r w:rsidRPr="003D6B51">
        <w:t xml:space="preserve">. </w:t>
      </w:r>
      <w:r w:rsidRPr="009E3CF9">
        <w:rPr>
          <w:b/>
        </w:rPr>
        <w:t>2004</w:t>
      </w:r>
      <w:r>
        <w:t xml:space="preserve">, </w:t>
      </w:r>
      <w:r w:rsidRPr="009E3CF9">
        <w:rPr>
          <w:i/>
        </w:rPr>
        <w:t>329</w:t>
      </w:r>
      <w:r>
        <w:t xml:space="preserve">, </w:t>
      </w:r>
      <w:r w:rsidRPr="003D6B51">
        <w:t>15</w:t>
      </w:r>
      <w:r>
        <w:t>–1</w:t>
      </w:r>
      <w:r w:rsidRPr="003D6B51">
        <w:t>9</w:t>
      </w:r>
    </w:p>
    <w:p w14:paraId="339FA006" w14:textId="77777777" w:rsidR="00496C1F" w:rsidRPr="003D6B51" w:rsidRDefault="00496C1F" w:rsidP="00E54C73">
      <w:pPr>
        <w:pStyle w:val="MDPI71References"/>
      </w:pPr>
      <w:r w:rsidRPr="003D6B51">
        <w:t>Davies</w:t>
      </w:r>
      <w:r>
        <w:t>,</w:t>
      </w:r>
      <w:r w:rsidRPr="003D6B51">
        <w:t xml:space="preserve"> E</w:t>
      </w:r>
      <w:r>
        <w:t>.</w:t>
      </w:r>
      <w:r w:rsidRPr="003D6B51">
        <w:t>C</w:t>
      </w:r>
      <w:r>
        <w:t>.;</w:t>
      </w:r>
      <w:r w:rsidRPr="003D6B51">
        <w:t xml:space="preserve"> Green</w:t>
      </w:r>
      <w:r>
        <w:t>,</w:t>
      </w:r>
      <w:r w:rsidRPr="003D6B51">
        <w:t xml:space="preserve"> C</w:t>
      </w:r>
      <w:r>
        <w:t>.</w:t>
      </w:r>
      <w:r w:rsidRPr="003D6B51">
        <w:t>F</w:t>
      </w:r>
      <w:r>
        <w:t>.;</w:t>
      </w:r>
      <w:r w:rsidRPr="003D6B51">
        <w:t xml:space="preserve"> Taylor</w:t>
      </w:r>
      <w:r>
        <w:t>,</w:t>
      </w:r>
      <w:r w:rsidRPr="003D6B51">
        <w:t xml:space="preserve"> S</w:t>
      </w:r>
      <w:r>
        <w:t>.;</w:t>
      </w:r>
      <w:r w:rsidRPr="003D6B51">
        <w:t xml:space="preserve"> Williamson</w:t>
      </w:r>
      <w:r>
        <w:t>,</w:t>
      </w:r>
      <w:r w:rsidRPr="003D6B51">
        <w:t xml:space="preserve"> P</w:t>
      </w:r>
      <w:r>
        <w:t>.</w:t>
      </w:r>
      <w:r w:rsidRPr="003D6B51">
        <w:t>R</w:t>
      </w:r>
      <w:r>
        <w:t>.;</w:t>
      </w:r>
      <w:r w:rsidRPr="003D6B51">
        <w:t xml:space="preserve"> Mottram</w:t>
      </w:r>
      <w:r>
        <w:t>,</w:t>
      </w:r>
      <w:r w:rsidRPr="003D6B51">
        <w:t xml:space="preserve"> D</w:t>
      </w:r>
      <w:r>
        <w:t>.</w:t>
      </w:r>
      <w:r w:rsidRPr="003D6B51">
        <w:t>R</w:t>
      </w:r>
      <w:r>
        <w:t>.;</w:t>
      </w:r>
      <w:r w:rsidRPr="003D6B51">
        <w:t xml:space="preserve"> </w:t>
      </w:r>
      <w:proofErr w:type="spellStart"/>
      <w:r w:rsidRPr="003D6B51">
        <w:t>Pirmohamed</w:t>
      </w:r>
      <w:proofErr w:type="spellEnd"/>
      <w:r w:rsidRPr="003D6B51">
        <w:t xml:space="preserve">, M. Adverse drug reactions in hospital in-patients: A prospective analysis of 3695 patient-episodes. </w:t>
      </w:r>
      <w:r w:rsidRPr="003D6B51">
        <w:rPr>
          <w:i/>
        </w:rPr>
        <w:t>PLoS ONE</w:t>
      </w:r>
      <w:r w:rsidRPr="003D6B51">
        <w:t xml:space="preserve">. </w:t>
      </w:r>
      <w:r w:rsidRPr="009E3CF9">
        <w:rPr>
          <w:b/>
        </w:rPr>
        <w:t>2009</w:t>
      </w:r>
      <w:r>
        <w:t>,</w:t>
      </w:r>
      <w:r w:rsidRPr="009E3CF9">
        <w:rPr>
          <w:i/>
        </w:rPr>
        <w:t>4</w:t>
      </w:r>
      <w:r>
        <w:t xml:space="preserve">, </w:t>
      </w:r>
      <w:r w:rsidRPr="003D6B51">
        <w:t>e4439</w:t>
      </w:r>
    </w:p>
    <w:p w14:paraId="0DCACC3E" w14:textId="77777777" w:rsidR="00496C1F" w:rsidRPr="003D6B51" w:rsidRDefault="00496C1F" w:rsidP="00E54C73">
      <w:pPr>
        <w:pStyle w:val="MDPI71References"/>
      </w:pPr>
      <w:r w:rsidRPr="003D6B51">
        <w:t>Farmer</w:t>
      </w:r>
      <w:r>
        <w:t>,</w:t>
      </w:r>
      <w:r w:rsidRPr="003D6B51">
        <w:t xml:space="preserve"> C</w:t>
      </w:r>
      <w:r>
        <w:t>.;</w:t>
      </w:r>
      <w:r w:rsidRPr="003D6B51">
        <w:t xml:space="preserve"> </w:t>
      </w:r>
      <w:proofErr w:type="spellStart"/>
      <w:r w:rsidRPr="003D6B51">
        <w:t>Fenu</w:t>
      </w:r>
      <w:proofErr w:type="spellEnd"/>
      <w:r>
        <w:t>,</w:t>
      </w:r>
      <w:r w:rsidRPr="003D6B51">
        <w:t xml:space="preserve"> E</w:t>
      </w:r>
      <w:r>
        <w:t>.;</w:t>
      </w:r>
      <w:r w:rsidRPr="003D6B51">
        <w:t xml:space="preserve"> </w:t>
      </w:r>
      <w:proofErr w:type="spellStart"/>
      <w:r w:rsidRPr="003D6B51">
        <w:t>O’Flynn</w:t>
      </w:r>
      <w:proofErr w:type="spellEnd"/>
      <w:r>
        <w:t>,</w:t>
      </w:r>
      <w:r w:rsidRPr="003D6B51">
        <w:t xml:space="preserve"> N</w:t>
      </w:r>
      <w:r>
        <w:t>.;</w:t>
      </w:r>
      <w:r w:rsidRPr="003D6B51">
        <w:t xml:space="preserve"> Guthrie, B. Clinical assessment and management of multimorbidity: Summary of NICE guidance. </w:t>
      </w:r>
      <w:proofErr w:type="spellStart"/>
      <w:r w:rsidRPr="009E3CF9">
        <w:rPr>
          <w:i/>
        </w:rPr>
        <w:t>Bmj</w:t>
      </w:r>
      <w:proofErr w:type="spellEnd"/>
      <w:r w:rsidRPr="003D6B51">
        <w:t xml:space="preserve">. </w:t>
      </w:r>
      <w:r w:rsidRPr="009E3CF9">
        <w:rPr>
          <w:b/>
        </w:rPr>
        <w:t>2016</w:t>
      </w:r>
      <w:r>
        <w:t xml:space="preserve">, </w:t>
      </w:r>
      <w:r w:rsidRPr="009E3CF9">
        <w:rPr>
          <w:i/>
        </w:rPr>
        <w:t>354</w:t>
      </w:r>
      <w:r>
        <w:t xml:space="preserve">, </w:t>
      </w:r>
      <w:r w:rsidRPr="003D6B51">
        <w:t>i4843</w:t>
      </w:r>
    </w:p>
    <w:p w14:paraId="380A13A2" w14:textId="77777777" w:rsidR="00496C1F" w:rsidRPr="003D6B51" w:rsidRDefault="00496C1F" w:rsidP="00E54C73">
      <w:pPr>
        <w:pStyle w:val="MDPI71References"/>
      </w:pPr>
      <w:proofErr w:type="spellStart"/>
      <w:r w:rsidRPr="003D6B51">
        <w:t>Muth</w:t>
      </w:r>
      <w:proofErr w:type="spellEnd"/>
      <w:r>
        <w:t>,</w:t>
      </w:r>
      <w:r w:rsidRPr="003D6B51">
        <w:t xml:space="preserve"> C</w:t>
      </w:r>
      <w:r>
        <w:t>.;</w:t>
      </w:r>
      <w:r w:rsidRPr="003D6B51">
        <w:t xml:space="preserve"> </w:t>
      </w:r>
      <w:proofErr w:type="spellStart"/>
      <w:r w:rsidRPr="003D6B51">
        <w:t>Blom</w:t>
      </w:r>
      <w:proofErr w:type="spellEnd"/>
      <w:r>
        <w:t>,</w:t>
      </w:r>
      <w:r w:rsidRPr="003D6B51">
        <w:t xml:space="preserve"> J</w:t>
      </w:r>
      <w:r>
        <w:t>.</w:t>
      </w:r>
      <w:r w:rsidRPr="003D6B51">
        <w:t>W</w:t>
      </w:r>
      <w:r>
        <w:t>.;</w:t>
      </w:r>
      <w:r w:rsidRPr="003D6B51">
        <w:t xml:space="preserve"> Smith</w:t>
      </w:r>
      <w:r>
        <w:t>,</w:t>
      </w:r>
      <w:r w:rsidRPr="003D6B51">
        <w:t xml:space="preserve"> S</w:t>
      </w:r>
      <w:r>
        <w:t>.</w:t>
      </w:r>
      <w:r w:rsidRPr="003D6B51">
        <w:t>M</w:t>
      </w:r>
      <w:r>
        <w:t>.;</w:t>
      </w:r>
      <w:r w:rsidRPr="003D6B51">
        <w:t xml:space="preserve"> </w:t>
      </w:r>
      <w:proofErr w:type="spellStart"/>
      <w:r w:rsidRPr="003D6B51">
        <w:t>Johnell</w:t>
      </w:r>
      <w:proofErr w:type="spellEnd"/>
      <w:r>
        <w:t>,</w:t>
      </w:r>
      <w:r w:rsidRPr="003D6B51">
        <w:t xml:space="preserve"> K</w:t>
      </w:r>
      <w:r>
        <w:t>.;</w:t>
      </w:r>
      <w:r w:rsidRPr="003D6B51">
        <w:t xml:space="preserve"> Gonzalez‐Gonzalez</w:t>
      </w:r>
      <w:r>
        <w:t>,</w:t>
      </w:r>
      <w:r w:rsidRPr="003D6B51">
        <w:t xml:space="preserve"> A</w:t>
      </w:r>
      <w:r>
        <w:t>.</w:t>
      </w:r>
      <w:r w:rsidRPr="003D6B51">
        <w:t>I</w:t>
      </w:r>
      <w:r>
        <w:t>.;</w:t>
      </w:r>
      <w:r w:rsidRPr="003D6B51">
        <w:t xml:space="preserve"> Nguyen</w:t>
      </w:r>
      <w:r>
        <w:t>,</w:t>
      </w:r>
      <w:r w:rsidRPr="003D6B51">
        <w:t xml:space="preserve"> T</w:t>
      </w:r>
      <w:r>
        <w:t>.</w:t>
      </w:r>
      <w:r w:rsidRPr="003D6B51">
        <w:t xml:space="preserve">S. Evidence supporting the best clinical management of patients with multimorbidity and polypharmacy: A systematic guideline review and expert consensus. </w:t>
      </w:r>
      <w:r w:rsidRPr="009E3CF9">
        <w:rPr>
          <w:i/>
        </w:rPr>
        <w:t>Journal of internal medicine</w:t>
      </w:r>
      <w:r w:rsidRPr="003D6B51">
        <w:t xml:space="preserve">. </w:t>
      </w:r>
      <w:r w:rsidRPr="009E3CF9">
        <w:rPr>
          <w:b/>
        </w:rPr>
        <w:t>2019</w:t>
      </w:r>
      <w:r>
        <w:t xml:space="preserve">, </w:t>
      </w:r>
      <w:r w:rsidRPr="009E3CF9">
        <w:rPr>
          <w:i/>
        </w:rPr>
        <w:t>285</w:t>
      </w:r>
      <w:r>
        <w:t xml:space="preserve">, </w:t>
      </w:r>
      <w:r w:rsidRPr="003D6B51">
        <w:t>272</w:t>
      </w:r>
      <w:r>
        <w:t>–2</w:t>
      </w:r>
      <w:r w:rsidRPr="003D6B51">
        <w:t>88</w:t>
      </w:r>
    </w:p>
    <w:p w14:paraId="759FEEA9" w14:textId="77777777" w:rsidR="00496C1F" w:rsidRPr="003D6B51" w:rsidRDefault="00496C1F" w:rsidP="00E54C73">
      <w:pPr>
        <w:pStyle w:val="MDPI71References"/>
      </w:pPr>
      <w:r w:rsidRPr="003D6B51">
        <w:lastRenderedPageBreak/>
        <w:t>Yarnall</w:t>
      </w:r>
      <w:r>
        <w:t>,</w:t>
      </w:r>
      <w:r w:rsidRPr="003D6B51">
        <w:t xml:space="preserve"> A</w:t>
      </w:r>
      <w:r>
        <w:t>.</w:t>
      </w:r>
      <w:r w:rsidRPr="003D6B51">
        <w:t>J</w:t>
      </w:r>
      <w:r>
        <w:t>.;</w:t>
      </w:r>
      <w:r w:rsidRPr="003D6B51">
        <w:t xml:space="preserve"> Sayer</w:t>
      </w:r>
      <w:r>
        <w:t>,</w:t>
      </w:r>
      <w:r w:rsidRPr="003D6B51">
        <w:t xml:space="preserve"> A</w:t>
      </w:r>
      <w:r>
        <w:t>.</w:t>
      </w:r>
      <w:r w:rsidRPr="003D6B51">
        <w:t>A</w:t>
      </w:r>
      <w:r>
        <w:t>.;</w:t>
      </w:r>
      <w:r w:rsidRPr="003D6B51">
        <w:t xml:space="preserve"> Clegg</w:t>
      </w:r>
      <w:r>
        <w:t>,</w:t>
      </w:r>
      <w:r w:rsidRPr="003D6B51">
        <w:t xml:space="preserve"> A</w:t>
      </w:r>
      <w:r>
        <w:t>.;</w:t>
      </w:r>
      <w:r w:rsidRPr="003D6B51">
        <w:t xml:space="preserve"> Rockwood</w:t>
      </w:r>
      <w:r>
        <w:t>,</w:t>
      </w:r>
      <w:r w:rsidRPr="003D6B51">
        <w:t xml:space="preserve"> K</w:t>
      </w:r>
      <w:r>
        <w:t>.;</w:t>
      </w:r>
      <w:r w:rsidRPr="003D6B51">
        <w:t xml:space="preserve"> Parker, S.</w:t>
      </w:r>
      <w:r>
        <w:t>;</w:t>
      </w:r>
      <w:r w:rsidRPr="003D6B51">
        <w:t xml:space="preserve"> </w:t>
      </w:r>
      <w:proofErr w:type="spellStart"/>
      <w:r w:rsidRPr="003D6B51">
        <w:t>Hindle</w:t>
      </w:r>
      <w:proofErr w:type="spellEnd"/>
      <w:r>
        <w:t>,</w:t>
      </w:r>
      <w:r w:rsidRPr="003D6B51">
        <w:t xml:space="preserve"> J</w:t>
      </w:r>
      <w:r>
        <w:t>.</w:t>
      </w:r>
      <w:r w:rsidRPr="003D6B51">
        <w:t xml:space="preserve">V. New horizons in multimorbidity in older adults. </w:t>
      </w:r>
      <w:r w:rsidRPr="009E3CF9">
        <w:rPr>
          <w:i/>
        </w:rPr>
        <w:t>Age Ageing.</w:t>
      </w:r>
      <w:r w:rsidRPr="003D6B51">
        <w:t xml:space="preserve"> </w:t>
      </w:r>
      <w:r w:rsidRPr="009E3CF9">
        <w:rPr>
          <w:b/>
        </w:rPr>
        <w:t>2017</w:t>
      </w:r>
      <w:r>
        <w:t>,</w:t>
      </w:r>
      <w:r w:rsidRPr="009E3CF9">
        <w:rPr>
          <w:i/>
        </w:rPr>
        <w:t>46</w:t>
      </w:r>
      <w:r>
        <w:t xml:space="preserve">, </w:t>
      </w:r>
      <w:r w:rsidRPr="003D6B51">
        <w:t>882</w:t>
      </w:r>
      <w:r>
        <w:t>–88</w:t>
      </w:r>
      <w:r w:rsidRPr="003D6B51">
        <w:t>8</w:t>
      </w:r>
    </w:p>
    <w:p w14:paraId="1393CE2C" w14:textId="77777777" w:rsidR="00496C1F" w:rsidRPr="003D6B51" w:rsidRDefault="00496C1F" w:rsidP="00E54C73">
      <w:pPr>
        <w:pStyle w:val="MDPI71References"/>
      </w:pPr>
      <w:r w:rsidRPr="003D6B51">
        <w:t>Cullinan</w:t>
      </w:r>
      <w:r>
        <w:t xml:space="preserve">, </w:t>
      </w:r>
      <w:r w:rsidRPr="003D6B51">
        <w:t>S</w:t>
      </w:r>
      <w:r>
        <w:t>.;</w:t>
      </w:r>
      <w:r w:rsidRPr="003D6B51">
        <w:t xml:space="preserve"> </w:t>
      </w:r>
      <w:proofErr w:type="spellStart"/>
      <w:r w:rsidRPr="003D6B51">
        <w:t>Raae</w:t>
      </w:r>
      <w:proofErr w:type="spellEnd"/>
      <w:r>
        <w:t>,</w:t>
      </w:r>
      <w:r w:rsidRPr="003D6B51">
        <w:t xml:space="preserve"> H</w:t>
      </w:r>
      <w:r>
        <w:t>.</w:t>
      </w:r>
      <w:r w:rsidRPr="003D6B51">
        <w:t>C</w:t>
      </w:r>
      <w:r>
        <w:t>.;</w:t>
      </w:r>
      <w:r w:rsidRPr="003D6B51">
        <w:t xml:space="preserve"> Byrne</w:t>
      </w:r>
      <w:r>
        <w:t>,</w:t>
      </w:r>
      <w:r w:rsidRPr="003D6B51">
        <w:t xml:space="preserve"> S</w:t>
      </w:r>
      <w:r>
        <w:t>.;</w:t>
      </w:r>
      <w:r w:rsidRPr="003D6B51">
        <w:t xml:space="preserve"> </w:t>
      </w:r>
      <w:proofErr w:type="spellStart"/>
      <w:r w:rsidRPr="003D6B51">
        <w:t>O'Mahony</w:t>
      </w:r>
      <w:proofErr w:type="spellEnd"/>
      <w:r>
        <w:t>,</w:t>
      </w:r>
      <w:r w:rsidRPr="003D6B51">
        <w:t xml:space="preserve"> D</w:t>
      </w:r>
      <w:r>
        <w:t>.;</w:t>
      </w:r>
      <w:r w:rsidRPr="003D6B51">
        <w:t xml:space="preserve"> Kearney, P.</w:t>
      </w:r>
      <w:r>
        <w:t>;</w:t>
      </w:r>
      <w:r w:rsidRPr="003D6B51">
        <w:t xml:space="preserve"> </w:t>
      </w:r>
      <w:proofErr w:type="spellStart"/>
      <w:r w:rsidRPr="003D6B51">
        <w:t>Sahm</w:t>
      </w:r>
      <w:proofErr w:type="spellEnd"/>
      <w:r w:rsidRPr="003D6B51">
        <w:t xml:space="preserve">, L. Challenges of deprescribing in the multimorbid patient. </w:t>
      </w:r>
      <w:r w:rsidRPr="009E3CF9">
        <w:rPr>
          <w:i/>
        </w:rPr>
        <w:t>Eur J Hosp Pharm</w:t>
      </w:r>
      <w:r w:rsidRPr="003D6B51">
        <w:t xml:space="preserve">. </w:t>
      </w:r>
      <w:r w:rsidRPr="009E3CF9">
        <w:rPr>
          <w:b/>
        </w:rPr>
        <w:t>2017</w:t>
      </w:r>
      <w:r>
        <w:t xml:space="preserve">, </w:t>
      </w:r>
      <w:r w:rsidRPr="009E3CF9">
        <w:rPr>
          <w:i/>
        </w:rPr>
        <w:t>24</w:t>
      </w:r>
      <w:r>
        <w:t xml:space="preserve">, </w:t>
      </w:r>
      <w:r w:rsidRPr="003D6B51">
        <w:t>43</w:t>
      </w:r>
      <w:r>
        <w:t>–4</w:t>
      </w:r>
      <w:r w:rsidRPr="003D6B51">
        <w:t>6</w:t>
      </w:r>
    </w:p>
    <w:p w14:paraId="28591C5E" w14:textId="77777777" w:rsidR="00496C1F" w:rsidRPr="003D6B51" w:rsidRDefault="00496C1F" w:rsidP="00E54C73">
      <w:pPr>
        <w:pStyle w:val="MDPI71References"/>
      </w:pPr>
      <w:r w:rsidRPr="003D6B51">
        <w:t>Fulmer, T.</w:t>
      </w:r>
      <w:r>
        <w:t>;</w:t>
      </w:r>
      <w:r w:rsidRPr="003D6B51">
        <w:t xml:space="preserve"> Mate</w:t>
      </w:r>
      <w:r>
        <w:t>,</w:t>
      </w:r>
      <w:r w:rsidRPr="003D6B51">
        <w:t xml:space="preserve"> K</w:t>
      </w:r>
      <w:r>
        <w:t>.</w:t>
      </w:r>
      <w:r w:rsidRPr="003D6B51">
        <w:t>S</w:t>
      </w:r>
      <w:r>
        <w:t>.;</w:t>
      </w:r>
      <w:r w:rsidRPr="003D6B51">
        <w:t xml:space="preserve"> Berman, A. </w:t>
      </w:r>
      <w:bookmarkStart w:id="7" w:name="OLE_LINK5"/>
      <w:bookmarkStart w:id="8" w:name="OLE_LINK6"/>
      <w:r w:rsidRPr="003D6B51">
        <w:t>The Age-Friendly Health System Imperative</w:t>
      </w:r>
      <w:bookmarkEnd w:id="7"/>
      <w:bookmarkEnd w:id="8"/>
      <w:r w:rsidRPr="003D6B51">
        <w:t xml:space="preserve">. </w:t>
      </w:r>
      <w:r w:rsidRPr="009E3CF9">
        <w:rPr>
          <w:i/>
        </w:rPr>
        <w:t>Journal of the American Geriatrics Society.</w:t>
      </w:r>
      <w:r w:rsidRPr="003D6B51">
        <w:t xml:space="preserve"> </w:t>
      </w:r>
      <w:r w:rsidRPr="009E3CF9">
        <w:rPr>
          <w:b/>
        </w:rPr>
        <w:t>2018</w:t>
      </w:r>
      <w:r>
        <w:t xml:space="preserve">, </w:t>
      </w:r>
      <w:r w:rsidRPr="009E3CF9">
        <w:rPr>
          <w:i/>
        </w:rPr>
        <w:t>66</w:t>
      </w:r>
      <w:r>
        <w:t xml:space="preserve">, </w:t>
      </w:r>
      <w:r w:rsidRPr="003D6B51">
        <w:t>22</w:t>
      </w:r>
      <w:r>
        <w:t>–2</w:t>
      </w:r>
      <w:r w:rsidRPr="003D6B51">
        <w:t>4</w:t>
      </w:r>
    </w:p>
    <w:p w14:paraId="7DA20654" w14:textId="77777777" w:rsidR="00496C1F" w:rsidRPr="003D6B51" w:rsidRDefault="00496C1F" w:rsidP="00E54C73">
      <w:pPr>
        <w:pStyle w:val="MDPI71References"/>
      </w:pPr>
      <w:r w:rsidRPr="003D6B51">
        <w:t>Tinetti</w:t>
      </w:r>
      <w:r>
        <w:t>,</w:t>
      </w:r>
      <w:r w:rsidRPr="003D6B51">
        <w:t xml:space="preserve"> M</w:t>
      </w:r>
      <w:r>
        <w:t>.;</w:t>
      </w:r>
      <w:r w:rsidRPr="003D6B51">
        <w:t xml:space="preserve"> </w:t>
      </w:r>
      <w:proofErr w:type="spellStart"/>
      <w:r w:rsidRPr="003D6B51">
        <w:t>Dindo</w:t>
      </w:r>
      <w:proofErr w:type="spellEnd"/>
      <w:r>
        <w:t xml:space="preserve">, </w:t>
      </w:r>
      <w:r w:rsidRPr="003D6B51">
        <w:t>L</w:t>
      </w:r>
      <w:r>
        <w:t>.;</w:t>
      </w:r>
      <w:r w:rsidRPr="003D6B51">
        <w:t xml:space="preserve"> Smith</w:t>
      </w:r>
      <w:r>
        <w:t>,</w:t>
      </w:r>
      <w:r w:rsidRPr="003D6B51">
        <w:t xml:space="preserve"> C</w:t>
      </w:r>
      <w:r>
        <w:t>.</w:t>
      </w:r>
      <w:r w:rsidRPr="003D6B51">
        <w:t>D</w:t>
      </w:r>
      <w:r>
        <w:t>.;</w:t>
      </w:r>
      <w:r w:rsidRPr="003D6B51">
        <w:t xml:space="preserve"> </w:t>
      </w:r>
      <w:proofErr w:type="spellStart"/>
      <w:r w:rsidRPr="003D6B51">
        <w:t>Blaum</w:t>
      </w:r>
      <w:proofErr w:type="spellEnd"/>
      <w:r>
        <w:t>,</w:t>
      </w:r>
      <w:r w:rsidRPr="003D6B51">
        <w:t xml:space="preserve"> C</w:t>
      </w:r>
      <w:r>
        <w:t>.;</w:t>
      </w:r>
      <w:r w:rsidRPr="003D6B51">
        <w:t xml:space="preserve"> Costello</w:t>
      </w:r>
      <w:r>
        <w:t>,</w:t>
      </w:r>
      <w:r w:rsidRPr="003D6B51">
        <w:t xml:space="preserve"> D</w:t>
      </w:r>
      <w:r>
        <w:t>.;</w:t>
      </w:r>
      <w:r w:rsidRPr="003D6B51">
        <w:t xml:space="preserve"> Ouellet, G. Challenges and strategies in patients' health priorities-aligned decision-making for older adults with multiple chronic conditions. </w:t>
      </w:r>
      <w:r w:rsidRPr="003D6B51">
        <w:rPr>
          <w:i/>
        </w:rPr>
        <w:t>PLoS ONE</w:t>
      </w:r>
      <w:r w:rsidRPr="003D6B51">
        <w:t xml:space="preserve">. </w:t>
      </w:r>
      <w:r w:rsidRPr="009E3CF9">
        <w:rPr>
          <w:b/>
        </w:rPr>
        <w:t>2019</w:t>
      </w:r>
      <w:r>
        <w:t xml:space="preserve">, </w:t>
      </w:r>
      <w:r w:rsidRPr="009E3CF9">
        <w:rPr>
          <w:i/>
        </w:rPr>
        <w:t>14</w:t>
      </w:r>
      <w:r>
        <w:t xml:space="preserve">, </w:t>
      </w:r>
      <w:r w:rsidRPr="003D6B51">
        <w:t>e0218249</w:t>
      </w:r>
    </w:p>
    <w:p w14:paraId="4BD9CFF5" w14:textId="77777777" w:rsidR="00496C1F" w:rsidRPr="003D6B51" w:rsidRDefault="00496C1F" w:rsidP="00E54C73">
      <w:pPr>
        <w:pStyle w:val="MDPI71References"/>
      </w:pPr>
      <w:r w:rsidRPr="003D6B51">
        <w:t>Newell, S.</w:t>
      </w:r>
      <w:r>
        <w:t>;</w:t>
      </w:r>
      <w:r w:rsidRPr="003D6B51">
        <w:t xml:space="preserve"> Jordan, Z. The patient experience of patient-centered communication with nurses in the hospital setting: A qualitative systematic review protocol. </w:t>
      </w:r>
      <w:r w:rsidRPr="009E3CF9">
        <w:rPr>
          <w:i/>
        </w:rPr>
        <w:t>JBI Database System Rev Implement Rep</w:t>
      </w:r>
      <w:r w:rsidRPr="003D6B51">
        <w:t xml:space="preserve">. </w:t>
      </w:r>
      <w:r w:rsidRPr="009E3CF9">
        <w:rPr>
          <w:b/>
        </w:rPr>
        <w:t>2015</w:t>
      </w:r>
      <w:r>
        <w:t xml:space="preserve">, </w:t>
      </w:r>
      <w:r w:rsidRPr="009E3CF9">
        <w:rPr>
          <w:i/>
        </w:rPr>
        <w:t>13</w:t>
      </w:r>
      <w:r>
        <w:t xml:space="preserve">, </w:t>
      </w:r>
      <w:r w:rsidRPr="003D6B51">
        <w:t>76</w:t>
      </w:r>
      <w:r>
        <w:t>–</w:t>
      </w:r>
      <w:r w:rsidRPr="003D6B51">
        <w:t>87</w:t>
      </w:r>
    </w:p>
    <w:p w14:paraId="7E0BC530" w14:textId="77777777" w:rsidR="00496C1F" w:rsidRPr="003D6B51" w:rsidRDefault="00496C1F" w:rsidP="00E54C73">
      <w:pPr>
        <w:pStyle w:val="MDPI71References"/>
      </w:pPr>
      <w:r w:rsidRPr="003D6B51">
        <w:t>Hanlon</w:t>
      </w:r>
      <w:r>
        <w:t>,</w:t>
      </w:r>
      <w:r w:rsidRPr="003D6B51">
        <w:t xml:space="preserve"> J</w:t>
      </w:r>
      <w:r>
        <w:t>.</w:t>
      </w:r>
      <w:r w:rsidRPr="003D6B51">
        <w:t>T</w:t>
      </w:r>
      <w:r>
        <w:t>.;</w:t>
      </w:r>
      <w:r w:rsidRPr="003D6B51">
        <w:t xml:space="preserve"> </w:t>
      </w:r>
      <w:proofErr w:type="spellStart"/>
      <w:r w:rsidRPr="003D6B51">
        <w:t>Schmader</w:t>
      </w:r>
      <w:proofErr w:type="spellEnd"/>
      <w:r>
        <w:t>,</w:t>
      </w:r>
      <w:r w:rsidRPr="003D6B51">
        <w:t xml:space="preserve"> K</w:t>
      </w:r>
      <w:r>
        <w:t>.</w:t>
      </w:r>
      <w:r w:rsidRPr="003D6B51">
        <w:t xml:space="preserve">E. The medication appropriateness index at 20: Where it started, where it has been, and where it may be going. </w:t>
      </w:r>
      <w:r w:rsidRPr="009E3CF9">
        <w:rPr>
          <w:i/>
        </w:rPr>
        <w:t>Drugs Aging</w:t>
      </w:r>
      <w:r w:rsidRPr="003D6B51">
        <w:t xml:space="preserve">. </w:t>
      </w:r>
      <w:r w:rsidRPr="009E3CF9">
        <w:rPr>
          <w:b/>
        </w:rPr>
        <w:t>2013</w:t>
      </w:r>
      <w:r>
        <w:t xml:space="preserve">, </w:t>
      </w:r>
      <w:r w:rsidRPr="009E3CF9">
        <w:rPr>
          <w:i/>
        </w:rPr>
        <w:t>30</w:t>
      </w:r>
      <w:r>
        <w:t xml:space="preserve">, </w:t>
      </w:r>
      <w:r w:rsidRPr="003D6B51">
        <w:t>893</w:t>
      </w:r>
      <w:r>
        <w:t>–</w:t>
      </w:r>
      <w:r w:rsidRPr="003D6B51">
        <w:t>900</w:t>
      </w:r>
    </w:p>
    <w:p w14:paraId="2498C4D1" w14:textId="77777777" w:rsidR="00496C1F" w:rsidRPr="003D6B51" w:rsidRDefault="00496C1F" w:rsidP="00E54C73">
      <w:pPr>
        <w:pStyle w:val="MDPI71References"/>
      </w:pPr>
      <w:r w:rsidRPr="003D6B51">
        <w:t xml:space="preserve">Lewis, T. Using the NO TEARS tool for medication review. </w:t>
      </w:r>
      <w:proofErr w:type="spellStart"/>
      <w:r w:rsidRPr="009E3CF9">
        <w:rPr>
          <w:i/>
        </w:rPr>
        <w:t>Bmj</w:t>
      </w:r>
      <w:proofErr w:type="spellEnd"/>
      <w:r w:rsidRPr="003D6B51">
        <w:t xml:space="preserve">. </w:t>
      </w:r>
      <w:r w:rsidRPr="009E3CF9">
        <w:rPr>
          <w:b/>
        </w:rPr>
        <w:t>2004</w:t>
      </w:r>
      <w:r>
        <w:t xml:space="preserve">, </w:t>
      </w:r>
      <w:r w:rsidRPr="009E3CF9">
        <w:rPr>
          <w:i/>
        </w:rPr>
        <w:t>329</w:t>
      </w:r>
      <w:r>
        <w:t xml:space="preserve">, </w:t>
      </w:r>
      <w:r w:rsidRPr="003D6B51">
        <w:t>434</w:t>
      </w:r>
    </w:p>
    <w:p w14:paraId="13C33B81" w14:textId="77777777" w:rsidR="00496C1F" w:rsidRPr="003D6B51" w:rsidRDefault="00496C1F" w:rsidP="00E54C73">
      <w:pPr>
        <w:pStyle w:val="MDPI71References"/>
      </w:pPr>
      <w:proofErr w:type="spellStart"/>
      <w:r w:rsidRPr="003D6B51">
        <w:t>O'Mahony</w:t>
      </w:r>
      <w:proofErr w:type="spellEnd"/>
      <w:r>
        <w:t>,</w:t>
      </w:r>
      <w:r w:rsidRPr="003D6B51">
        <w:t xml:space="preserve"> D</w:t>
      </w:r>
      <w:r>
        <w:t>.;</w:t>
      </w:r>
      <w:r w:rsidRPr="003D6B51">
        <w:t xml:space="preserve"> O'Sullivan</w:t>
      </w:r>
      <w:r>
        <w:t>,</w:t>
      </w:r>
      <w:r w:rsidRPr="003D6B51">
        <w:t xml:space="preserve"> D</w:t>
      </w:r>
      <w:r>
        <w:t>.;</w:t>
      </w:r>
      <w:r w:rsidRPr="003D6B51">
        <w:t xml:space="preserve"> Byrne</w:t>
      </w:r>
      <w:r>
        <w:t>,</w:t>
      </w:r>
      <w:r w:rsidRPr="003D6B51">
        <w:t xml:space="preserve"> S</w:t>
      </w:r>
      <w:r>
        <w:t>.;</w:t>
      </w:r>
      <w:r w:rsidRPr="003D6B51">
        <w:t xml:space="preserve"> O'Connor</w:t>
      </w:r>
      <w:r>
        <w:t>,</w:t>
      </w:r>
      <w:r w:rsidRPr="003D6B51">
        <w:t xml:space="preserve"> M</w:t>
      </w:r>
      <w:r>
        <w:t>.</w:t>
      </w:r>
      <w:r w:rsidRPr="003D6B51">
        <w:t>N</w:t>
      </w:r>
      <w:r>
        <w:t>.;</w:t>
      </w:r>
      <w:r w:rsidRPr="003D6B51">
        <w:t xml:space="preserve"> Ryan</w:t>
      </w:r>
      <w:r>
        <w:t>,</w:t>
      </w:r>
      <w:r w:rsidRPr="003D6B51">
        <w:t xml:space="preserve"> C</w:t>
      </w:r>
      <w:r>
        <w:t>.;</w:t>
      </w:r>
      <w:r w:rsidRPr="003D6B51">
        <w:t xml:space="preserve"> Gallagher, P. STOPP/START criteria for potentially inappropriate prescribing in older people: Version 2. </w:t>
      </w:r>
      <w:r w:rsidRPr="009E3CF9">
        <w:rPr>
          <w:i/>
        </w:rPr>
        <w:t>Age Ageing</w:t>
      </w:r>
      <w:r w:rsidRPr="003D6B51">
        <w:t xml:space="preserve">. </w:t>
      </w:r>
      <w:r w:rsidRPr="009E3CF9">
        <w:rPr>
          <w:b/>
        </w:rPr>
        <w:t>2015</w:t>
      </w:r>
      <w:r>
        <w:t xml:space="preserve">, </w:t>
      </w:r>
      <w:r w:rsidRPr="009E3CF9">
        <w:rPr>
          <w:i/>
        </w:rPr>
        <w:t>44</w:t>
      </w:r>
      <w:r>
        <w:t xml:space="preserve">, </w:t>
      </w:r>
      <w:r w:rsidRPr="003D6B51">
        <w:t>213</w:t>
      </w:r>
      <w:r>
        <w:t>–21</w:t>
      </w:r>
      <w:r w:rsidRPr="003D6B51">
        <w:t>8</w:t>
      </w:r>
    </w:p>
    <w:p w14:paraId="43CE7278" w14:textId="77777777" w:rsidR="00496C1F" w:rsidRPr="003D6B51" w:rsidRDefault="00496C1F" w:rsidP="00E54C73">
      <w:pPr>
        <w:pStyle w:val="MDPI71References"/>
      </w:pPr>
      <w:r w:rsidRPr="003D6B51">
        <w:t>Avery</w:t>
      </w:r>
      <w:r>
        <w:t>,</w:t>
      </w:r>
      <w:r w:rsidRPr="003D6B51">
        <w:t xml:space="preserve"> A</w:t>
      </w:r>
      <w:r>
        <w:t>.</w:t>
      </w:r>
      <w:r w:rsidRPr="003D6B51">
        <w:t>J</w:t>
      </w:r>
      <w:r>
        <w:t>.;</w:t>
      </w:r>
      <w:r w:rsidRPr="003D6B51">
        <w:t xml:space="preserve"> Rodgers</w:t>
      </w:r>
      <w:r>
        <w:t>,</w:t>
      </w:r>
      <w:r w:rsidRPr="003D6B51">
        <w:t xml:space="preserve"> S</w:t>
      </w:r>
      <w:r>
        <w:t>.;</w:t>
      </w:r>
      <w:r w:rsidRPr="003D6B51">
        <w:t xml:space="preserve"> </w:t>
      </w:r>
      <w:proofErr w:type="spellStart"/>
      <w:r w:rsidRPr="003D6B51">
        <w:t>Cantrill</w:t>
      </w:r>
      <w:proofErr w:type="spellEnd"/>
      <w:r>
        <w:t>,</w:t>
      </w:r>
      <w:r w:rsidRPr="003D6B51">
        <w:t xml:space="preserve"> J</w:t>
      </w:r>
      <w:r>
        <w:t>.</w:t>
      </w:r>
      <w:r w:rsidRPr="003D6B51">
        <w:t>A</w:t>
      </w:r>
      <w:r>
        <w:t>.;</w:t>
      </w:r>
      <w:r w:rsidRPr="003D6B51">
        <w:t xml:space="preserve"> Armstrong</w:t>
      </w:r>
      <w:r>
        <w:t>,</w:t>
      </w:r>
      <w:r w:rsidRPr="003D6B51">
        <w:t xml:space="preserve"> S</w:t>
      </w:r>
      <w:r>
        <w:t>.;</w:t>
      </w:r>
      <w:r w:rsidRPr="003D6B51">
        <w:t xml:space="preserve"> </w:t>
      </w:r>
      <w:proofErr w:type="spellStart"/>
      <w:r w:rsidRPr="003D6B51">
        <w:t>Cresswell</w:t>
      </w:r>
      <w:proofErr w:type="spellEnd"/>
      <w:r>
        <w:t>,</w:t>
      </w:r>
      <w:r w:rsidRPr="003D6B51">
        <w:t xml:space="preserve"> K</w:t>
      </w:r>
      <w:r>
        <w:t>.;</w:t>
      </w:r>
      <w:r w:rsidRPr="003D6B51">
        <w:t xml:space="preserve"> Eden</w:t>
      </w:r>
      <w:r>
        <w:t>,</w:t>
      </w:r>
      <w:r w:rsidRPr="003D6B51">
        <w:t xml:space="preserve"> M. A pharmacist-led information technology intervention for medication errors (PINCER): A </w:t>
      </w:r>
      <w:proofErr w:type="spellStart"/>
      <w:r w:rsidRPr="003D6B51">
        <w:t>multicentre</w:t>
      </w:r>
      <w:proofErr w:type="spellEnd"/>
      <w:r w:rsidRPr="003D6B51">
        <w:t xml:space="preserve">, cluster </w:t>
      </w:r>
      <w:proofErr w:type="spellStart"/>
      <w:r w:rsidRPr="003D6B51">
        <w:t>randomised</w:t>
      </w:r>
      <w:proofErr w:type="spellEnd"/>
      <w:r w:rsidRPr="003D6B51">
        <w:t xml:space="preserve">, controlled trial and cost-effectiveness analysis. </w:t>
      </w:r>
      <w:r w:rsidRPr="009E3CF9">
        <w:rPr>
          <w:i/>
        </w:rPr>
        <w:t>Lancet</w:t>
      </w:r>
      <w:r w:rsidRPr="003D6B51">
        <w:t xml:space="preserve">. </w:t>
      </w:r>
      <w:r w:rsidRPr="009E3CF9">
        <w:rPr>
          <w:b/>
        </w:rPr>
        <w:t>2012</w:t>
      </w:r>
      <w:r>
        <w:t xml:space="preserve">, </w:t>
      </w:r>
      <w:r w:rsidRPr="009E3CF9">
        <w:rPr>
          <w:i/>
        </w:rPr>
        <w:t>379</w:t>
      </w:r>
      <w:r>
        <w:t xml:space="preserve">, </w:t>
      </w:r>
      <w:r w:rsidRPr="003D6B51">
        <w:t>1310</w:t>
      </w:r>
      <w:r>
        <w:t>–131</w:t>
      </w:r>
      <w:r w:rsidRPr="003D6B51">
        <w:t>9</w:t>
      </w:r>
    </w:p>
    <w:p w14:paraId="620A3EAF" w14:textId="77777777" w:rsidR="00496C1F" w:rsidRPr="003D6B51" w:rsidRDefault="00496C1F" w:rsidP="00E54C73">
      <w:pPr>
        <w:pStyle w:val="MDPI71References"/>
      </w:pPr>
      <w:r w:rsidRPr="003D6B51">
        <w:t>Thompson, W.</w:t>
      </w:r>
      <w:r>
        <w:t>;</w:t>
      </w:r>
      <w:r w:rsidRPr="003D6B51">
        <w:t xml:space="preserve"> Farrell, B. Deprescribing: What is it and what does the evidence tell us? </w:t>
      </w:r>
      <w:r w:rsidRPr="009E3CF9">
        <w:rPr>
          <w:i/>
        </w:rPr>
        <w:t>Can J Hosp Pharm.</w:t>
      </w:r>
      <w:r w:rsidRPr="003D6B51">
        <w:t xml:space="preserve"> </w:t>
      </w:r>
      <w:r w:rsidRPr="009E3CF9">
        <w:rPr>
          <w:b/>
        </w:rPr>
        <w:t>2013</w:t>
      </w:r>
      <w:r>
        <w:t xml:space="preserve">, </w:t>
      </w:r>
      <w:r w:rsidRPr="009E3CF9">
        <w:rPr>
          <w:i/>
        </w:rPr>
        <w:t>6</w:t>
      </w:r>
      <w:r>
        <w:t xml:space="preserve">, </w:t>
      </w:r>
      <w:r w:rsidRPr="003D6B51">
        <w:t>201</w:t>
      </w:r>
      <w:r>
        <w:t>–20</w:t>
      </w:r>
      <w:r w:rsidRPr="003D6B51">
        <w:t>2</w:t>
      </w:r>
    </w:p>
    <w:p w14:paraId="3E13984A" w14:textId="77777777" w:rsidR="00496C1F" w:rsidRPr="003D6B51" w:rsidRDefault="00496C1F" w:rsidP="00E54C73">
      <w:pPr>
        <w:pStyle w:val="MDPI71References"/>
      </w:pPr>
      <w:proofErr w:type="spellStart"/>
      <w:r w:rsidRPr="003D6B51">
        <w:t>Sergi</w:t>
      </w:r>
      <w:proofErr w:type="spellEnd"/>
      <w:r>
        <w:t>,</w:t>
      </w:r>
      <w:r w:rsidRPr="003D6B51">
        <w:t xml:space="preserve"> G</w:t>
      </w:r>
      <w:r>
        <w:t>.;</w:t>
      </w:r>
      <w:r w:rsidRPr="003D6B51">
        <w:t xml:space="preserve"> De</w:t>
      </w:r>
      <w:r>
        <w:t>,</w:t>
      </w:r>
      <w:r w:rsidRPr="003D6B51">
        <w:t xml:space="preserve"> R</w:t>
      </w:r>
      <w:r>
        <w:t>.</w:t>
      </w:r>
      <w:r w:rsidRPr="003D6B51">
        <w:t>M</w:t>
      </w:r>
      <w:r>
        <w:t>.;</w:t>
      </w:r>
      <w:r w:rsidRPr="003D6B51">
        <w:t xml:space="preserve"> </w:t>
      </w:r>
      <w:proofErr w:type="spellStart"/>
      <w:r w:rsidRPr="003D6B51">
        <w:t>Sarti</w:t>
      </w:r>
      <w:proofErr w:type="spellEnd"/>
      <w:r>
        <w:t>,</w:t>
      </w:r>
      <w:r w:rsidRPr="003D6B51">
        <w:t xml:space="preserve"> S</w:t>
      </w:r>
      <w:r>
        <w:t>.;</w:t>
      </w:r>
      <w:r w:rsidRPr="003D6B51">
        <w:t xml:space="preserve"> </w:t>
      </w:r>
      <w:proofErr w:type="spellStart"/>
      <w:r w:rsidRPr="003D6B51">
        <w:t>Manzato</w:t>
      </w:r>
      <w:proofErr w:type="spellEnd"/>
      <w:r w:rsidRPr="003D6B51">
        <w:t xml:space="preserve">, E. Polypharmacy in the elderly: Can comprehensive geriatric assessment reduce inappropriate medication use? </w:t>
      </w:r>
      <w:r w:rsidRPr="009E3CF9">
        <w:rPr>
          <w:i/>
        </w:rPr>
        <w:t>Drugs Aging</w:t>
      </w:r>
      <w:r w:rsidRPr="003D6B51">
        <w:t xml:space="preserve">. </w:t>
      </w:r>
      <w:r w:rsidRPr="009E3CF9">
        <w:rPr>
          <w:b/>
        </w:rPr>
        <w:t>2011</w:t>
      </w:r>
      <w:r>
        <w:t xml:space="preserve">, </w:t>
      </w:r>
      <w:r w:rsidRPr="009E3CF9">
        <w:rPr>
          <w:i/>
        </w:rPr>
        <w:t>28</w:t>
      </w:r>
      <w:r>
        <w:t xml:space="preserve">, </w:t>
      </w:r>
      <w:r w:rsidRPr="003D6B51">
        <w:t>509</w:t>
      </w:r>
      <w:r>
        <w:t>–5</w:t>
      </w:r>
      <w:r w:rsidRPr="003D6B51">
        <w:t>18</w:t>
      </w:r>
    </w:p>
    <w:p w14:paraId="10C62B1F" w14:textId="77777777" w:rsidR="00496C1F" w:rsidRPr="003D6B51" w:rsidRDefault="00496C1F" w:rsidP="00E54C73">
      <w:pPr>
        <w:pStyle w:val="MDPI71References"/>
      </w:pPr>
      <w:proofErr w:type="spellStart"/>
      <w:r w:rsidRPr="003D6B51">
        <w:t>O'Mahony</w:t>
      </w:r>
      <w:proofErr w:type="spellEnd"/>
      <w:r>
        <w:t>,</w:t>
      </w:r>
      <w:r w:rsidRPr="003D6B51">
        <w:t xml:space="preserve"> M</w:t>
      </w:r>
      <w:r>
        <w:t>.</w:t>
      </w:r>
      <w:r w:rsidRPr="003D6B51">
        <w:t>S</w:t>
      </w:r>
      <w:r>
        <w:t>.;</w:t>
      </w:r>
      <w:r w:rsidRPr="003D6B51">
        <w:t xml:space="preserve"> </w:t>
      </w:r>
      <w:proofErr w:type="spellStart"/>
      <w:r w:rsidRPr="003D6B51">
        <w:t>Parbhoo</w:t>
      </w:r>
      <w:proofErr w:type="spellEnd"/>
      <w:r w:rsidRPr="003D6B51">
        <w:t xml:space="preserve">, A. Deprescribing in older people. </w:t>
      </w:r>
      <w:r w:rsidRPr="009E3CF9">
        <w:rPr>
          <w:i/>
        </w:rPr>
        <w:t>Br J Hosp Med (</w:t>
      </w:r>
      <w:proofErr w:type="spellStart"/>
      <w:r w:rsidRPr="009E3CF9">
        <w:rPr>
          <w:i/>
        </w:rPr>
        <w:t>Lond</w:t>
      </w:r>
      <w:proofErr w:type="spellEnd"/>
      <w:r w:rsidRPr="009E3CF9">
        <w:rPr>
          <w:i/>
        </w:rPr>
        <w:t>).</w:t>
      </w:r>
      <w:r w:rsidRPr="003D6B51">
        <w:t xml:space="preserve"> </w:t>
      </w:r>
      <w:r w:rsidRPr="009E3CF9">
        <w:rPr>
          <w:b/>
        </w:rPr>
        <w:t>2020</w:t>
      </w:r>
      <w:r>
        <w:t xml:space="preserve">, </w:t>
      </w:r>
      <w:r w:rsidRPr="009E3CF9">
        <w:rPr>
          <w:i/>
        </w:rPr>
        <w:t>81</w:t>
      </w:r>
      <w:r>
        <w:t xml:space="preserve">, </w:t>
      </w:r>
      <w:r w:rsidRPr="003D6B51">
        <w:t>1</w:t>
      </w:r>
      <w:r>
        <w:t>–</w:t>
      </w:r>
      <w:r w:rsidRPr="003D6B51">
        <w:t>9</w:t>
      </w:r>
    </w:p>
    <w:p w14:paraId="1D710EBE" w14:textId="77777777" w:rsidR="00496C1F" w:rsidRPr="003D6B51" w:rsidRDefault="00496C1F" w:rsidP="00E54C73">
      <w:pPr>
        <w:pStyle w:val="MDPI71References"/>
      </w:pPr>
      <w:r w:rsidRPr="003D6B51">
        <w:t>Rudolph</w:t>
      </w:r>
      <w:r>
        <w:t>,</w:t>
      </w:r>
      <w:r w:rsidRPr="003D6B51">
        <w:t xml:space="preserve"> J</w:t>
      </w:r>
      <w:r>
        <w:t>.</w:t>
      </w:r>
      <w:r w:rsidRPr="003D6B51">
        <w:t>L</w:t>
      </w:r>
      <w:r>
        <w:t>;</w:t>
      </w:r>
      <w:r w:rsidRPr="003D6B51">
        <w:t xml:space="preserve"> </w:t>
      </w:r>
      <w:proofErr w:type="spellStart"/>
      <w:r w:rsidRPr="003D6B51">
        <w:t>Salow</w:t>
      </w:r>
      <w:proofErr w:type="spellEnd"/>
      <w:r>
        <w:t>,</w:t>
      </w:r>
      <w:r w:rsidRPr="003D6B51">
        <w:t xml:space="preserve"> M</w:t>
      </w:r>
      <w:r>
        <w:t>.</w:t>
      </w:r>
      <w:r w:rsidRPr="003D6B51">
        <w:t>J</w:t>
      </w:r>
      <w:r>
        <w:t>.;</w:t>
      </w:r>
      <w:r w:rsidRPr="003D6B51">
        <w:t xml:space="preserve"> Angelini</w:t>
      </w:r>
      <w:r>
        <w:t>,</w:t>
      </w:r>
      <w:r w:rsidRPr="003D6B51">
        <w:t xml:space="preserve"> M</w:t>
      </w:r>
      <w:r>
        <w:t>.</w:t>
      </w:r>
      <w:r w:rsidRPr="003D6B51">
        <w:t>C</w:t>
      </w:r>
      <w:r>
        <w:t>.;</w:t>
      </w:r>
      <w:r w:rsidRPr="003D6B51">
        <w:t xml:space="preserve"> McGlinchey</w:t>
      </w:r>
      <w:r>
        <w:t>,</w:t>
      </w:r>
      <w:r w:rsidRPr="003D6B51">
        <w:t xml:space="preserve"> R</w:t>
      </w:r>
      <w:r>
        <w:t>.</w:t>
      </w:r>
      <w:r w:rsidRPr="003D6B51">
        <w:t xml:space="preserve">E. The anticholinergic risk scale and anticholinergic adverse effects in older persons. </w:t>
      </w:r>
      <w:r w:rsidRPr="009E3CF9">
        <w:rPr>
          <w:i/>
        </w:rPr>
        <w:t>Arch Intern Med</w:t>
      </w:r>
      <w:r w:rsidRPr="003D6B51">
        <w:t xml:space="preserve">. </w:t>
      </w:r>
      <w:r w:rsidRPr="009E3CF9">
        <w:rPr>
          <w:b/>
        </w:rPr>
        <w:t>2008</w:t>
      </w:r>
      <w:r>
        <w:t>,</w:t>
      </w:r>
      <w:r w:rsidRPr="009E3CF9">
        <w:rPr>
          <w:i/>
        </w:rPr>
        <w:t>168</w:t>
      </w:r>
      <w:r>
        <w:t xml:space="preserve">, </w:t>
      </w:r>
      <w:r w:rsidRPr="003D6B51">
        <w:t>508</w:t>
      </w:r>
      <w:r>
        <w:t>–5</w:t>
      </w:r>
      <w:r w:rsidRPr="003D6B51">
        <w:t>13</w:t>
      </w:r>
    </w:p>
    <w:p w14:paraId="154F57A2" w14:textId="77777777" w:rsidR="00496C1F" w:rsidRPr="003D6B51" w:rsidRDefault="00496C1F" w:rsidP="00E54C73">
      <w:pPr>
        <w:pStyle w:val="MDPI71References"/>
      </w:pPr>
      <w:r w:rsidRPr="003D6B51">
        <w:t>Woodford</w:t>
      </w:r>
      <w:r>
        <w:t>,</w:t>
      </w:r>
      <w:r w:rsidRPr="003D6B51">
        <w:t xml:space="preserve"> H</w:t>
      </w:r>
      <w:r>
        <w:t>.</w:t>
      </w:r>
      <w:r w:rsidRPr="003D6B51">
        <w:t>J</w:t>
      </w:r>
      <w:r>
        <w:t>.;</w:t>
      </w:r>
      <w:r w:rsidRPr="003D6B51">
        <w:t xml:space="preserve"> Fisher, J. New horizons in deprescribing for older people. </w:t>
      </w:r>
      <w:r w:rsidRPr="009E3CF9">
        <w:rPr>
          <w:i/>
        </w:rPr>
        <w:t>Age Ageing</w:t>
      </w:r>
      <w:r w:rsidRPr="003D6B51">
        <w:t xml:space="preserve">. </w:t>
      </w:r>
      <w:r w:rsidRPr="009E3CF9">
        <w:rPr>
          <w:b/>
        </w:rPr>
        <w:t>2019</w:t>
      </w:r>
      <w:r>
        <w:t>,</w:t>
      </w:r>
      <w:r w:rsidRPr="009E3CF9">
        <w:rPr>
          <w:i/>
        </w:rPr>
        <w:t>48</w:t>
      </w:r>
      <w:r>
        <w:t xml:space="preserve">, </w:t>
      </w:r>
      <w:r w:rsidRPr="003D6B51">
        <w:t>768</w:t>
      </w:r>
      <w:r>
        <w:t>–7</w:t>
      </w:r>
      <w:r w:rsidRPr="003D6B51">
        <w:t>75</w:t>
      </w:r>
    </w:p>
    <w:p w14:paraId="1FE195B4" w14:textId="77777777" w:rsidR="00496C1F" w:rsidRPr="003D6B51" w:rsidRDefault="00496C1F" w:rsidP="00E54C73">
      <w:pPr>
        <w:pStyle w:val="MDPI71References"/>
      </w:pPr>
      <w:r w:rsidRPr="003D6B51">
        <w:t>Ouellet</w:t>
      </w:r>
      <w:r>
        <w:t>,</w:t>
      </w:r>
      <w:r w:rsidRPr="003D6B51">
        <w:t xml:space="preserve"> G</w:t>
      </w:r>
      <w:r>
        <w:t>.</w:t>
      </w:r>
      <w:r w:rsidRPr="003D6B51">
        <w:t>M</w:t>
      </w:r>
      <w:r>
        <w:t>.;</w:t>
      </w:r>
      <w:r w:rsidRPr="003D6B51">
        <w:t xml:space="preserve"> Ouellet</w:t>
      </w:r>
      <w:r>
        <w:t>,</w:t>
      </w:r>
      <w:r w:rsidRPr="003D6B51">
        <w:t xml:space="preserve"> J</w:t>
      </w:r>
      <w:r>
        <w:t>.</w:t>
      </w:r>
      <w:r w:rsidRPr="003D6B51">
        <w:t>A</w:t>
      </w:r>
      <w:r>
        <w:t>.;</w:t>
      </w:r>
      <w:r w:rsidRPr="003D6B51">
        <w:t xml:space="preserve"> Tinetti</w:t>
      </w:r>
      <w:r>
        <w:t>,</w:t>
      </w:r>
      <w:r w:rsidRPr="003D6B51">
        <w:t xml:space="preserve"> M</w:t>
      </w:r>
      <w:r>
        <w:t>.</w:t>
      </w:r>
      <w:r w:rsidRPr="003D6B51">
        <w:t xml:space="preserve">E. Principle of rational prescribing and deprescribing in older adults with multiple chronic conditions. </w:t>
      </w:r>
      <w:proofErr w:type="spellStart"/>
      <w:r w:rsidRPr="009E3CF9">
        <w:rPr>
          <w:i/>
        </w:rPr>
        <w:t>Ther</w:t>
      </w:r>
      <w:proofErr w:type="spellEnd"/>
      <w:r w:rsidRPr="009E3CF9">
        <w:rPr>
          <w:i/>
        </w:rPr>
        <w:t xml:space="preserve"> Adv Drug </w:t>
      </w:r>
      <w:proofErr w:type="spellStart"/>
      <w:r w:rsidRPr="009E3CF9">
        <w:rPr>
          <w:i/>
        </w:rPr>
        <w:t>Saf</w:t>
      </w:r>
      <w:proofErr w:type="spellEnd"/>
      <w:r w:rsidRPr="003D6B51">
        <w:t xml:space="preserve">. </w:t>
      </w:r>
      <w:r w:rsidRPr="009E3CF9">
        <w:rPr>
          <w:b/>
        </w:rPr>
        <w:t>2018</w:t>
      </w:r>
      <w:r>
        <w:t xml:space="preserve">, </w:t>
      </w:r>
      <w:r w:rsidRPr="009E3CF9">
        <w:rPr>
          <w:i/>
        </w:rPr>
        <w:t>9</w:t>
      </w:r>
      <w:r>
        <w:t xml:space="preserve">, </w:t>
      </w:r>
      <w:r w:rsidRPr="003D6B51">
        <w:t>639</w:t>
      </w:r>
      <w:r>
        <w:t>–6</w:t>
      </w:r>
      <w:r w:rsidRPr="003D6B51">
        <w:t>52</w:t>
      </w:r>
    </w:p>
    <w:p w14:paraId="2C38E88B" w14:textId="77777777" w:rsidR="00496C1F" w:rsidRPr="003D6B51" w:rsidRDefault="00496C1F" w:rsidP="00E54C73">
      <w:pPr>
        <w:pStyle w:val="MDPI71References"/>
      </w:pPr>
      <w:r w:rsidRPr="003D6B51">
        <w:t>Anderson</w:t>
      </w:r>
      <w:r>
        <w:t>,</w:t>
      </w:r>
      <w:r w:rsidRPr="003D6B51">
        <w:t xml:space="preserve"> K</w:t>
      </w:r>
      <w:r>
        <w:t>.;</w:t>
      </w:r>
      <w:r w:rsidRPr="003D6B51">
        <w:t xml:space="preserve"> Freeman</w:t>
      </w:r>
      <w:r>
        <w:t>,</w:t>
      </w:r>
      <w:r w:rsidRPr="003D6B51">
        <w:t xml:space="preserve"> C</w:t>
      </w:r>
      <w:r>
        <w:t>.;</w:t>
      </w:r>
      <w:r w:rsidRPr="003D6B51">
        <w:t xml:space="preserve"> Foster</w:t>
      </w:r>
      <w:r>
        <w:t>,</w:t>
      </w:r>
      <w:r w:rsidRPr="003D6B51">
        <w:t xml:space="preserve"> M</w:t>
      </w:r>
      <w:r>
        <w:t>.;</w:t>
      </w:r>
      <w:r w:rsidRPr="003D6B51">
        <w:t xml:space="preserve"> Scott, I. GP-Led Deprescribing in Community-Living Older Australians: An Exploratory Controlled Trial. </w:t>
      </w:r>
      <w:r w:rsidRPr="009E3CF9">
        <w:rPr>
          <w:i/>
        </w:rPr>
        <w:t>Journal of the American Geriatrics Society</w:t>
      </w:r>
      <w:r w:rsidRPr="003D6B51">
        <w:t xml:space="preserve">. </w:t>
      </w:r>
      <w:r w:rsidRPr="009E3CF9">
        <w:rPr>
          <w:b/>
        </w:rPr>
        <w:t>2020</w:t>
      </w:r>
      <w:r>
        <w:t xml:space="preserve">, </w:t>
      </w:r>
      <w:r w:rsidRPr="009E3CF9">
        <w:rPr>
          <w:i/>
        </w:rPr>
        <w:t>68</w:t>
      </w:r>
      <w:r>
        <w:t xml:space="preserve">, </w:t>
      </w:r>
      <w:r w:rsidRPr="003D6B51">
        <w:t>403-</w:t>
      </w:r>
      <w:r>
        <w:t>4</w:t>
      </w:r>
      <w:r w:rsidRPr="003D6B51">
        <w:t>10</w:t>
      </w:r>
    </w:p>
    <w:p w14:paraId="1E3DE148" w14:textId="77777777" w:rsidR="00496C1F" w:rsidRPr="003D6B51" w:rsidRDefault="00496C1F" w:rsidP="00E54C73">
      <w:pPr>
        <w:pStyle w:val="MDPI71References"/>
      </w:pPr>
      <w:r w:rsidRPr="003D6B51">
        <w:t xml:space="preserve">Garfinkel, D. Poly-de-prescribing to treat polypharmacy: Efficacy and safety. </w:t>
      </w:r>
      <w:proofErr w:type="spellStart"/>
      <w:r w:rsidRPr="009E3CF9">
        <w:rPr>
          <w:i/>
        </w:rPr>
        <w:t>Ther</w:t>
      </w:r>
      <w:proofErr w:type="spellEnd"/>
      <w:r w:rsidRPr="009E3CF9">
        <w:rPr>
          <w:i/>
        </w:rPr>
        <w:t xml:space="preserve"> Adv Drug </w:t>
      </w:r>
      <w:proofErr w:type="spellStart"/>
      <w:r w:rsidRPr="009E3CF9">
        <w:rPr>
          <w:i/>
        </w:rPr>
        <w:t>Saf</w:t>
      </w:r>
      <w:proofErr w:type="spellEnd"/>
      <w:r w:rsidRPr="003D6B51">
        <w:t xml:space="preserve">. </w:t>
      </w:r>
      <w:r w:rsidRPr="009E3CF9">
        <w:rPr>
          <w:b/>
        </w:rPr>
        <w:t>2018</w:t>
      </w:r>
      <w:r>
        <w:t xml:space="preserve">, </w:t>
      </w:r>
      <w:r w:rsidRPr="009E3CF9">
        <w:rPr>
          <w:i/>
        </w:rPr>
        <w:t>9</w:t>
      </w:r>
      <w:r>
        <w:t xml:space="preserve">, </w:t>
      </w:r>
      <w:r w:rsidRPr="003D6B51">
        <w:t>25</w:t>
      </w:r>
      <w:r>
        <w:t>–</w:t>
      </w:r>
      <w:r w:rsidRPr="003D6B51">
        <w:t>43</w:t>
      </w:r>
    </w:p>
    <w:p w14:paraId="46F85741" w14:textId="77777777" w:rsidR="00496C1F" w:rsidRPr="003D6B51" w:rsidRDefault="00496C1F" w:rsidP="00E54C73">
      <w:pPr>
        <w:pStyle w:val="MDPI71References"/>
      </w:pPr>
      <w:r w:rsidRPr="003D6B51">
        <w:t>Potter</w:t>
      </w:r>
      <w:r>
        <w:t>,</w:t>
      </w:r>
      <w:r w:rsidRPr="003D6B51">
        <w:t xml:space="preserve"> K</w:t>
      </w:r>
      <w:r>
        <w:t>.;</w:t>
      </w:r>
      <w:r w:rsidRPr="003D6B51">
        <w:t xml:space="preserve"> Flicker</w:t>
      </w:r>
      <w:r>
        <w:t>,</w:t>
      </w:r>
      <w:r w:rsidRPr="003D6B51">
        <w:t xml:space="preserve"> L</w:t>
      </w:r>
      <w:r>
        <w:t>.;</w:t>
      </w:r>
      <w:r w:rsidRPr="003D6B51">
        <w:t xml:space="preserve"> Page</w:t>
      </w:r>
      <w:r>
        <w:t>,</w:t>
      </w:r>
      <w:r w:rsidRPr="003D6B51">
        <w:t xml:space="preserve"> A</w:t>
      </w:r>
      <w:r>
        <w:t>.;</w:t>
      </w:r>
      <w:r w:rsidRPr="003D6B51">
        <w:t xml:space="preserve"> </w:t>
      </w:r>
      <w:proofErr w:type="spellStart"/>
      <w:r w:rsidRPr="003D6B51">
        <w:t>Etherton</w:t>
      </w:r>
      <w:proofErr w:type="spellEnd"/>
      <w:r w:rsidRPr="003D6B51">
        <w:t xml:space="preserve">-Beer, C. Deprescribing in Frail Older People: A Randomised Controlled Trial. </w:t>
      </w:r>
      <w:r w:rsidRPr="003D6B51">
        <w:rPr>
          <w:i/>
        </w:rPr>
        <w:t>PLoS ONE</w:t>
      </w:r>
      <w:r w:rsidRPr="003D6B51">
        <w:t xml:space="preserve">. </w:t>
      </w:r>
      <w:r w:rsidRPr="009E3CF9">
        <w:rPr>
          <w:b/>
        </w:rPr>
        <w:t>2016</w:t>
      </w:r>
      <w:r>
        <w:t xml:space="preserve">, </w:t>
      </w:r>
      <w:r w:rsidRPr="009E3CF9">
        <w:rPr>
          <w:i/>
        </w:rPr>
        <w:t>11</w:t>
      </w:r>
      <w:r>
        <w:t xml:space="preserve">, </w:t>
      </w:r>
      <w:r w:rsidRPr="003D6B51">
        <w:t>e0149984</w:t>
      </w:r>
    </w:p>
    <w:p w14:paraId="4038391F" w14:textId="77777777" w:rsidR="00496C1F" w:rsidRPr="003D6B51" w:rsidRDefault="00496C1F" w:rsidP="00E54C73">
      <w:pPr>
        <w:pStyle w:val="MDPI71References"/>
      </w:pPr>
      <w:proofErr w:type="spellStart"/>
      <w:r w:rsidRPr="003D6B51">
        <w:t>Bezreh</w:t>
      </w:r>
      <w:proofErr w:type="spellEnd"/>
      <w:r>
        <w:t>,</w:t>
      </w:r>
      <w:r w:rsidRPr="003D6B51">
        <w:t xml:space="preserve"> T</w:t>
      </w:r>
      <w:r>
        <w:t>.;</w:t>
      </w:r>
      <w:r w:rsidRPr="003D6B51">
        <w:t xml:space="preserve"> Laws</w:t>
      </w:r>
      <w:r>
        <w:t>,</w:t>
      </w:r>
      <w:r w:rsidRPr="003D6B51">
        <w:t xml:space="preserve"> M</w:t>
      </w:r>
      <w:r>
        <w:t>.</w:t>
      </w:r>
      <w:r w:rsidRPr="003D6B51">
        <w:t>B</w:t>
      </w:r>
      <w:r>
        <w:t>.;</w:t>
      </w:r>
      <w:r w:rsidRPr="003D6B51">
        <w:t xml:space="preserve"> </w:t>
      </w:r>
      <w:proofErr w:type="spellStart"/>
      <w:r w:rsidRPr="003D6B51">
        <w:t>Taubin</w:t>
      </w:r>
      <w:proofErr w:type="spellEnd"/>
      <w:r>
        <w:t>,</w:t>
      </w:r>
      <w:r w:rsidRPr="003D6B51">
        <w:t xml:space="preserve"> T</w:t>
      </w:r>
      <w:r>
        <w:t>.;</w:t>
      </w:r>
      <w:r w:rsidRPr="003D6B51">
        <w:t xml:space="preserve"> Rifkin</w:t>
      </w:r>
      <w:r>
        <w:t>,</w:t>
      </w:r>
      <w:r w:rsidRPr="003D6B51">
        <w:t xml:space="preserve"> D</w:t>
      </w:r>
      <w:r>
        <w:t>.</w:t>
      </w:r>
      <w:r w:rsidRPr="003D6B51">
        <w:t>E</w:t>
      </w:r>
      <w:r>
        <w:t>.;</w:t>
      </w:r>
      <w:r w:rsidRPr="003D6B51">
        <w:t xml:space="preserve"> Wilson</w:t>
      </w:r>
      <w:r>
        <w:t>,</w:t>
      </w:r>
      <w:r w:rsidRPr="003D6B51">
        <w:t xml:space="preserve"> I</w:t>
      </w:r>
      <w:r>
        <w:t>.</w:t>
      </w:r>
      <w:r w:rsidRPr="003D6B51">
        <w:t xml:space="preserve">B. Challenges to physician-patient communication about medication use: A window into the skeptical patient's world. </w:t>
      </w:r>
      <w:r w:rsidRPr="009E3CF9">
        <w:rPr>
          <w:i/>
        </w:rPr>
        <w:t>Patient Prefer Adherence</w:t>
      </w:r>
      <w:r w:rsidRPr="003D6B51">
        <w:t xml:space="preserve">. </w:t>
      </w:r>
      <w:r w:rsidRPr="009E3CF9">
        <w:rPr>
          <w:b/>
        </w:rPr>
        <w:t>2012</w:t>
      </w:r>
      <w:r>
        <w:t xml:space="preserve">, </w:t>
      </w:r>
      <w:r w:rsidRPr="009E3CF9">
        <w:rPr>
          <w:i/>
        </w:rPr>
        <w:t>6</w:t>
      </w:r>
      <w:r>
        <w:t xml:space="preserve">, </w:t>
      </w:r>
      <w:r w:rsidRPr="003D6B51">
        <w:t>11-</w:t>
      </w:r>
      <w:r>
        <w:t>1</w:t>
      </w:r>
      <w:r w:rsidRPr="003D6B51">
        <w:t>8</w:t>
      </w:r>
    </w:p>
    <w:p w14:paraId="47F4324D" w14:textId="77777777" w:rsidR="00496C1F" w:rsidRPr="003D6B51" w:rsidRDefault="00496C1F" w:rsidP="00E54C73">
      <w:pPr>
        <w:pStyle w:val="MDPI71References"/>
      </w:pPr>
      <w:r w:rsidRPr="003D6B51">
        <w:t>Farrell, B.</w:t>
      </w:r>
      <w:r>
        <w:t>;</w:t>
      </w:r>
      <w:r w:rsidRPr="003D6B51">
        <w:t xml:space="preserve"> </w:t>
      </w:r>
      <w:proofErr w:type="spellStart"/>
      <w:r w:rsidRPr="003D6B51">
        <w:t>Mangin</w:t>
      </w:r>
      <w:proofErr w:type="spellEnd"/>
      <w:r w:rsidRPr="003D6B51">
        <w:t xml:space="preserve">, D. Deprescribing Is an Essential Part of Good Prescribing. </w:t>
      </w:r>
      <w:r w:rsidRPr="009E3CF9">
        <w:rPr>
          <w:i/>
        </w:rPr>
        <w:t>Am Fam Physician.</w:t>
      </w:r>
      <w:r w:rsidRPr="003D6B51">
        <w:t xml:space="preserve"> </w:t>
      </w:r>
      <w:r w:rsidRPr="009E3CF9">
        <w:rPr>
          <w:b/>
        </w:rPr>
        <w:t>2019</w:t>
      </w:r>
      <w:r>
        <w:t xml:space="preserve">, </w:t>
      </w:r>
      <w:r w:rsidRPr="009E3CF9">
        <w:rPr>
          <w:i/>
        </w:rPr>
        <w:t>99</w:t>
      </w:r>
      <w:r>
        <w:t xml:space="preserve">, </w:t>
      </w:r>
      <w:r w:rsidRPr="003D6B51">
        <w:t>7</w:t>
      </w:r>
      <w:r>
        <w:t>–</w:t>
      </w:r>
      <w:r w:rsidRPr="003D6B51">
        <w:t>9</w:t>
      </w:r>
    </w:p>
    <w:p w14:paraId="7E3A9E38" w14:textId="77777777" w:rsidR="00496C1F" w:rsidRPr="003D6B51" w:rsidRDefault="00496C1F" w:rsidP="00E54C73">
      <w:pPr>
        <w:pStyle w:val="MDPI71References"/>
      </w:pPr>
      <w:proofErr w:type="spellStart"/>
      <w:r w:rsidRPr="003D6B51">
        <w:t>Damarell</w:t>
      </w:r>
      <w:proofErr w:type="spellEnd"/>
      <w:r>
        <w:t>,</w:t>
      </w:r>
      <w:r w:rsidRPr="003D6B51">
        <w:t xml:space="preserve"> R</w:t>
      </w:r>
      <w:r>
        <w:t>.</w:t>
      </w:r>
      <w:r w:rsidRPr="003D6B51">
        <w:t>A</w:t>
      </w:r>
      <w:r>
        <w:t>.;</w:t>
      </w:r>
      <w:r w:rsidRPr="003D6B51">
        <w:t xml:space="preserve"> Morgan</w:t>
      </w:r>
      <w:r>
        <w:t>,</w:t>
      </w:r>
      <w:r w:rsidRPr="003D6B51">
        <w:t xml:space="preserve"> D</w:t>
      </w:r>
      <w:r>
        <w:t>.</w:t>
      </w:r>
      <w:r w:rsidRPr="003D6B51">
        <w:t>D</w:t>
      </w:r>
      <w:r>
        <w:t>.;</w:t>
      </w:r>
      <w:r w:rsidRPr="003D6B51">
        <w:t xml:space="preserve"> Tieman</w:t>
      </w:r>
      <w:r>
        <w:t>,</w:t>
      </w:r>
      <w:r w:rsidRPr="003D6B51">
        <w:t xml:space="preserve"> J</w:t>
      </w:r>
      <w:r>
        <w:t>.</w:t>
      </w:r>
      <w:r w:rsidRPr="003D6B51">
        <w:t xml:space="preserve">J. General practitioner strategies for managing patients with multimorbidity: A systematic review and thematic synthesis of qualitative research. </w:t>
      </w:r>
      <w:r w:rsidRPr="009E3CF9">
        <w:rPr>
          <w:i/>
        </w:rPr>
        <w:t xml:space="preserve">BMC Fam </w:t>
      </w:r>
      <w:proofErr w:type="spellStart"/>
      <w:r w:rsidRPr="009E3CF9">
        <w:rPr>
          <w:i/>
        </w:rPr>
        <w:t>Pract</w:t>
      </w:r>
      <w:proofErr w:type="spellEnd"/>
      <w:r w:rsidRPr="009E3CF9">
        <w:rPr>
          <w:i/>
        </w:rPr>
        <w:t>.</w:t>
      </w:r>
      <w:r w:rsidRPr="003D6B51">
        <w:t xml:space="preserve"> </w:t>
      </w:r>
      <w:r w:rsidRPr="009E3CF9">
        <w:rPr>
          <w:b/>
        </w:rPr>
        <w:t>2020</w:t>
      </w:r>
      <w:r>
        <w:t xml:space="preserve">, </w:t>
      </w:r>
      <w:r w:rsidRPr="009E3CF9">
        <w:rPr>
          <w:i/>
        </w:rPr>
        <w:t>21</w:t>
      </w:r>
      <w:r>
        <w:t xml:space="preserve">, </w:t>
      </w:r>
      <w:r w:rsidRPr="003D6B51">
        <w:t>131.</w:t>
      </w:r>
    </w:p>
    <w:p w14:paraId="29D4B9EA" w14:textId="77777777" w:rsidR="00496C1F" w:rsidRPr="003D6B51" w:rsidRDefault="00496C1F" w:rsidP="00E54C73">
      <w:pPr>
        <w:pStyle w:val="MDPI71References"/>
      </w:pPr>
      <w:r w:rsidRPr="003D6B51">
        <w:t>Fraser, A.</w:t>
      </w:r>
      <w:r>
        <w:t>;</w:t>
      </w:r>
      <w:r w:rsidRPr="003D6B51">
        <w:t xml:space="preserve"> Ross, S.</w:t>
      </w:r>
      <w:r>
        <w:t>;</w:t>
      </w:r>
      <w:r w:rsidRPr="003D6B51">
        <w:t xml:space="preserve"> Aggarwal, P. Walk in another's shoes: GP-consultant exchange schemes. </w:t>
      </w:r>
      <w:r w:rsidRPr="009E3CF9">
        <w:rPr>
          <w:i/>
        </w:rPr>
        <w:t>BMJ.</w:t>
      </w:r>
      <w:r w:rsidRPr="003D6B51">
        <w:t xml:space="preserve"> </w:t>
      </w:r>
      <w:r w:rsidRPr="009E3CF9">
        <w:rPr>
          <w:b/>
        </w:rPr>
        <w:t>2018</w:t>
      </w:r>
      <w:r>
        <w:t xml:space="preserve">, </w:t>
      </w:r>
      <w:r w:rsidRPr="009E3CF9">
        <w:rPr>
          <w:i/>
        </w:rPr>
        <w:t>363</w:t>
      </w:r>
      <w:r>
        <w:t xml:space="preserve">, </w:t>
      </w:r>
      <w:r w:rsidRPr="003D6B51">
        <w:t>2</w:t>
      </w:r>
    </w:p>
    <w:p w14:paraId="60ED0B51" w14:textId="77777777" w:rsidR="00496C1F" w:rsidRPr="003D6B51" w:rsidRDefault="00496C1F" w:rsidP="00E54C73">
      <w:pPr>
        <w:pStyle w:val="MDPI71References"/>
      </w:pPr>
      <w:proofErr w:type="spellStart"/>
      <w:r w:rsidRPr="003D6B51">
        <w:t>Vermunt</w:t>
      </w:r>
      <w:proofErr w:type="spellEnd"/>
      <w:r>
        <w:t>,</w:t>
      </w:r>
      <w:r w:rsidRPr="003D6B51">
        <w:t xml:space="preserve"> N</w:t>
      </w:r>
      <w:r>
        <w:t>.;</w:t>
      </w:r>
      <w:r w:rsidRPr="003D6B51">
        <w:t xml:space="preserve"> Elwyn</w:t>
      </w:r>
      <w:r>
        <w:t>,</w:t>
      </w:r>
      <w:r w:rsidRPr="003D6B51">
        <w:t xml:space="preserve"> G</w:t>
      </w:r>
      <w:r>
        <w:t>.;</w:t>
      </w:r>
      <w:r w:rsidRPr="003D6B51">
        <w:t xml:space="preserve"> </w:t>
      </w:r>
      <w:proofErr w:type="spellStart"/>
      <w:r w:rsidRPr="003D6B51">
        <w:t>Westert</w:t>
      </w:r>
      <w:proofErr w:type="spellEnd"/>
      <w:r>
        <w:t>,</w:t>
      </w:r>
      <w:r w:rsidRPr="003D6B51">
        <w:t xml:space="preserve"> G</w:t>
      </w:r>
      <w:r>
        <w:t>.;</w:t>
      </w:r>
      <w:r w:rsidRPr="003D6B51">
        <w:t xml:space="preserve"> </w:t>
      </w:r>
      <w:proofErr w:type="spellStart"/>
      <w:r w:rsidRPr="003D6B51">
        <w:t>Harmsen</w:t>
      </w:r>
      <w:proofErr w:type="spellEnd"/>
      <w:r>
        <w:t>,</w:t>
      </w:r>
      <w:r w:rsidRPr="003D6B51">
        <w:t xml:space="preserve"> M</w:t>
      </w:r>
      <w:r>
        <w:t>.;</w:t>
      </w:r>
      <w:r w:rsidRPr="003D6B51">
        <w:t xml:space="preserve"> Olde</w:t>
      </w:r>
      <w:r>
        <w:t>,</w:t>
      </w:r>
      <w:r w:rsidRPr="003D6B51">
        <w:t xml:space="preserve"> R</w:t>
      </w:r>
      <w:r>
        <w:t>.</w:t>
      </w:r>
      <w:r w:rsidRPr="003D6B51">
        <w:t>M</w:t>
      </w:r>
      <w:r>
        <w:t>.;</w:t>
      </w:r>
      <w:r w:rsidRPr="003D6B51">
        <w:t xml:space="preserve"> </w:t>
      </w:r>
      <w:proofErr w:type="spellStart"/>
      <w:r w:rsidRPr="003D6B51">
        <w:t>Meinders</w:t>
      </w:r>
      <w:proofErr w:type="spellEnd"/>
      <w:r w:rsidRPr="003D6B51">
        <w:t xml:space="preserve">, M. Goal setting is insufficiently </w:t>
      </w:r>
      <w:proofErr w:type="spellStart"/>
      <w:r w:rsidRPr="003D6B51">
        <w:t>recognised</w:t>
      </w:r>
      <w:proofErr w:type="spellEnd"/>
      <w:r w:rsidRPr="003D6B51">
        <w:t xml:space="preserve"> as an essential part of shared decision-making in the complex care of older patients: A framework analysis. </w:t>
      </w:r>
      <w:r w:rsidRPr="009E3CF9">
        <w:rPr>
          <w:i/>
        </w:rPr>
        <w:t xml:space="preserve">BMC Fam </w:t>
      </w:r>
      <w:proofErr w:type="spellStart"/>
      <w:r w:rsidRPr="009E3CF9">
        <w:rPr>
          <w:i/>
        </w:rPr>
        <w:t>Pract</w:t>
      </w:r>
      <w:proofErr w:type="spellEnd"/>
      <w:r w:rsidRPr="003D6B51">
        <w:t xml:space="preserve">. </w:t>
      </w:r>
      <w:r w:rsidRPr="009E3CF9">
        <w:rPr>
          <w:b/>
        </w:rPr>
        <w:t>2019</w:t>
      </w:r>
      <w:r>
        <w:t xml:space="preserve">, </w:t>
      </w:r>
      <w:r w:rsidRPr="009E3CF9">
        <w:rPr>
          <w:i/>
        </w:rPr>
        <w:t>20</w:t>
      </w:r>
      <w:r>
        <w:t xml:space="preserve">, </w:t>
      </w:r>
      <w:r w:rsidRPr="003D6B51">
        <w:t>76</w:t>
      </w:r>
    </w:p>
    <w:p w14:paraId="00D7FCF1" w14:textId="77777777" w:rsidR="00496C1F" w:rsidRPr="003D6B51" w:rsidRDefault="00496C1F" w:rsidP="00E54C73">
      <w:pPr>
        <w:pStyle w:val="MDPI71References"/>
      </w:pPr>
      <w:r w:rsidRPr="003D6B51">
        <w:t>Lea</w:t>
      </w:r>
      <w:r>
        <w:t>,</w:t>
      </w:r>
      <w:r w:rsidRPr="003D6B51">
        <w:t xml:space="preserve"> S</w:t>
      </w:r>
      <w:r>
        <w:t>.</w:t>
      </w:r>
      <w:r w:rsidRPr="003D6B51">
        <w:t>C</w:t>
      </w:r>
      <w:r>
        <w:t>.;</w:t>
      </w:r>
      <w:r w:rsidRPr="003D6B51">
        <w:t xml:space="preserve"> Watts</w:t>
      </w:r>
      <w:r>
        <w:t>,</w:t>
      </w:r>
      <w:r w:rsidRPr="003D6B51">
        <w:t xml:space="preserve"> K</w:t>
      </w:r>
      <w:r>
        <w:t>.</w:t>
      </w:r>
      <w:r w:rsidRPr="003D6B51">
        <w:t>L</w:t>
      </w:r>
      <w:r>
        <w:t>.;</w:t>
      </w:r>
      <w:r w:rsidRPr="003D6B51">
        <w:t xml:space="preserve"> Davis</w:t>
      </w:r>
      <w:r>
        <w:t>,</w:t>
      </w:r>
      <w:r w:rsidRPr="003D6B51">
        <w:t xml:space="preserve"> N</w:t>
      </w:r>
      <w:r>
        <w:t>.</w:t>
      </w:r>
      <w:r w:rsidRPr="003D6B51">
        <w:t>A</w:t>
      </w:r>
      <w:r>
        <w:t>.;</w:t>
      </w:r>
      <w:r w:rsidRPr="003D6B51">
        <w:t xml:space="preserve"> Panayiotou</w:t>
      </w:r>
      <w:r>
        <w:t>,</w:t>
      </w:r>
      <w:r w:rsidRPr="003D6B51">
        <w:t xml:space="preserve"> B</w:t>
      </w:r>
      <w:r>
        <w:t>.;</w:t>
      </w:r>
      <w:r w:rsidRPr="003D6B51">
        <w:t xml:space="preserve"> Bankart</w:t>
      </w:r>
      <w:r>
        <w:t>,</w:t>
      </w:r>
      <w:r w:rsidRPr="003D6B51">
        <w:t xml:space="preserve"> M</w:t>
      </w:r>
      <w:r>
        <w:t>.</w:t>
      </w:r>
      <w:r w:rsidRPr="003D6B51">
        <w:t>J</w:t>
      </w:r>
      <w:r>
        <w:t>.;</w:t>
      </w:r>
      <w:r w:rsidRPr="003D6B51">
        <w:t xml:space="preserve"> Arora</w:t>
      </w:r>
      <w:r>
        <w:t>,</w:t>
      </w:r>
      <w:r w:rsidRPr="003D6B51">
        <w:t xml:space="preserve"> A. The potential clinical benefits of medicines optimisation through comprehensive geriatric assessment, carried out by secondary care geriatricians, in a general practice care setting in North Staffordshire, UK: A feasibility study. </w:t>
      </w:r>
      <w:r w:rsidRPr="009E3CF9">
        <w:rPr>
          <w:i/>
        </w:rPr>
        <w:t>BMJ Open</w:t>
      </w:r>
      <w:r w:rsidRPr="003D6B51">
        <w:t xml:space="preserve">. </w:t>
      </w:r>
      <w:r w:rsidRPr="009E3CF9">
        <w:rPr>
          <w:b/>
        </w:rPr>
        <w:t>2017</w:t>
      </w:r>
      <w:r>
        <w:t xml:space="preserve">, </w:t>
      </w:r>
      <w:r w:rsidRPr="009E3CF9">
        <w:rPr>
          <w:i/>
        </w:rPr>
        <w:t>7</w:t>
      </w:r>
      <w:r>
        <w:t xml:space="preserve">, </w:t>
      </w:r>
      <w:r w:rsidRPr="003D6B51">
        <w:t>e015278</w:t>
      </w:r>
    </w:p>
    <w:p w14:paraId="790F6D35" w14:textId="77777777" w:rsidR="00496C1F" w:rsidRPr="003D6B51" w:rsidRDefault="00496C1F" w:rsidP="00E54C73">
      <w:pPr>
        <w:pStyle w:val="MDPI71References"/>
      </w:pPr>
      <w:proofErr w:type="spellStart"/>
      <w:r w:rsidRPr="003D6B51">
        <w:t>Laursen</w:t>
      </w:r>
      <w:proofErr w:type="spellEnd"/>
      <w:r>
        <w:t>,</w:t>
      </w:r>
      <w:r w:rsidRPr="003D6B51">
        <w:t xml:space="preserve"> J</w:t>
      </w:r>
      <w:r>
        <w:t>.;</w:t>
      </w:r>
      <w:r w:rsidRPr="003D6B51">
        <w:t xml:space="preserve"> </w:t>
      </w:r>
      <w:proofErr w:type="spellStart"/>
      <w:r w:rsidRPr="003D6B51">
        <w:t>Kornholt</w:t>
      </w:r>
      <w:proofErr w:type="spellEnd"/>
      <w:r>
        <w:t>,</w:t>
      </w:r>
      <w:r w:rsidRPr="003D6B51">
        <w:t xml:space="preserve"> J</w:t>
      </w:r>
      <w:r>
        <w:t>.;</w:t>
      </w:r>
      <w:r w:rsidRPr="003D6B51">
        <w:t xml:space="preserve"> </w:t>
      </w:r>
      <w:proofErr w:type="spellStart"/>
      <w:r w:rsidRPr="003D6B51">
        <w:t>Betzer</w:t>
      </w:r>
      <w:proofErr w:type="spellEnd"/>
      <w:r>
        <w:t>,</w:t>
      </w:r>
      <w:r w:rsidRPr="003D6B51">
        <w:t xml:space="preserve"> C</w:t>
      </w:r>
      <w:r>
        <w:t>.;</w:t>
      </w:r>
      <w:r w:rsidRPr="003D6B51">
        <w:t xml:space="preserve"> Petersen</w:t>
      </w:r>
      <w:r>
        <w:t>,</w:t>
      </w:r>
      <w:r w:rsidRPr="003D6B51">
        <w:t xml:space="preserve"> T</w:t>
      </w:r>
      <w:r>
        <w:t>.</w:t>
      </w:r>
      <w:r w:rsidRPr="003D6B51">
        <w:t>S</w:t>
      </w:r>
      <w:r>
        <w:t>.</w:t>
      </w:r>
      <w:r w:rsidRPr="003D6B51">
        <w:t xml:space="preserve"> Christensen</w:t>
      </w:r>
      <w:r>
        <w:t>,</w:t>
      </w:r>
      <w:r w:rsidRPr="003D6B51">
        <w:t xml:space="preserve"> M</w:t>
      </w:r>
      <w:r>
        <w:t>.</w:t>
      </w:r>
      <w:r w:rsidRPr="003D6B51">
        <w:t xml:space="preserve">B. General Practitioners' Barriers </w:t>
      </w:r>
      <w:r>
        <w:t>t</w:t>
      </w:r>
      <w:r w:rsidRPr="003D6B51">
        <w:t xml:space="preserve">oward Medication Reviews in </w:t>
      </w:r>
      <w:proofErr w:type="spellStart"/>
      <w:r w:rsidRPr="003D6B51">
        <w:t>Polymedicated</w:t>
      </w:r>
      <w:proofErr w:type="spellEnd"/>
      <w:r w:rsidRPr="003D6B51">
        <w:t xml:space="preserve"> Multimorbid Patients: How can a Focus on the Pharmacotherapy in an Outpatient Clinic Support GPs? </w:t>
      </w:r>
      <w:r w:rsidRPr="009E3CF9">
        <w:rPr>
          <w:i/>
        </w:rPr>
        <w:t xml:space="preserve">Health Serv Res </w:t>
      </w:r>
      <w:proofErr w:type="spellStart"/>
      <w:r w:rsidRPr="009E3CF9">
        <w:rPr>
          <w:i/>
        </w:rPr>
        <w:t>Manag</w:t>
      </w:r>
      <w:proofErr w:type="spellEnd"/>
      <w:r w:rsidRPr="009E3CF9">
        <w:rPr>
          <w:i/>
        </w:rPr>
        <w:t xml:space="preserve"> Epidemiol</w:t>
      </w:r>
      <w:r w:rsidRPr="003D6B51">
        <w:t xml:space="preserve">. </w:t>
      </w:r>
      <w:r w:rsidRPr="009E3CF9">
        <w:rPr>
          <w:b/>
        </w:rPr>
        <w:t>2018</w:t>
      </w:r>
      <w:r>
        <w:t xml:space="preserve">, </w:t>
      </w:r>
      <w:r w:rsidRPr="009E3CF9">
        <w:rPr>
          <w:i/>
        </w:rPr>
        <w:t>5</w:t>
      </w:r>
    </w:p>
    <w:p w14:paraId="5FDD8B48" w14:textId="77777777" w:rsidR="00496C1F" w:rsidRPr="003D6B51" w:rsidRDefault="00496C1F" w:rsidP="00E54C73">
      <w:pPr>
        <w:pStyle w:val="MDPI71References"/>
      </w:pPr>
      <w:r w:rsidRPr="003D6B51">
        <w:lastRenderedPageBreak/>
        <w:t>Ellis, G.</w:t>
      </w:r>
      <w:r>
        <w:t>;</w:t>
      </w:r>
      <w:r w:rsidRPr="003D6B51">
        <w:t xml:space="preserve"> </w:t>
      </w:r>
      <w:proofErr w:type="spellStart"/>
      <w:r w:rsidRPr="003D6B51">
        <w:t>Sevdalis</w:t>
      </w:r>
      <w:proofErr w:type="spellEnd"/>
      <w:r w:rsidRPr="003D6B51">
        <w:t xml:space="preserve">, N. Understanding and improving multidisciplinary team working in geriatric medicine. </w:t>
      </w:r>
      <w:r w:rsidRPr="009E3CF9">
        <w:rPr>
          <w:i/>
        </w:rPr>
        <w:t>Age Ageing</w:t>
      </w:r>
      <w:r w:rsidRPr="003D6B51">
        <w:t xml:space="preserve">. </w:t>
      </w:r>
      <w:r w:rsidRPr="009E3CF9">
        <w:rPr>
          <w:b/>
        </w:rPr>
        <w:t>2019</w:t>
      </w:r>
      <w:r>
        <w:t xml:space="preserve">, </w:t>
      </w:r>
      <w:r w:rsidRPr="009E3CF9">
        <w:rPr>
          <w:i/>
        </w:rPr>
        <w:t>48</w:t>
      </w:r>
      <w:r>
        <w:t xml:space="preserve">, </w:t>
      </w:r>
      <w:r w:rsidRPr="003D6B51">
        <w:t>498</w:t>
      </w:r>
      <w:r>
        <w:t>–</w:t>
      </w:r>
      <w:r w:rsidRPr="003D6B51">
        <w:t>505</w:t>
      </w:r>
    </w:p>
    <w:p w14:paraId="5135264B" w14:textId="77777777" w:rsidR="00496C1F" w:rsidRDefault="00496C1F" w:rsidP="00496C1F">
      <w:pPr>
        <w:pStyle w:val="MDPI71References"/>
      </w:pPr>
      <w:r w:rsidRPr="003D6B51">
        <w:t>Woolford</w:t>
      </w:r>
      <w:r>
        <w:t>,</w:t>
      </w:r>
      <w:r w:rsidRPr="003D6B51">
        <w:t xml:space="preserve"> S</w:t>
      </w:r>
      <w:r>
        <w:t>.</w:t>
      </w:r>
      <w:r w:rsidRPr="003D6B51">
        <w:t>J</w:t>
      </w:r>
      <w:r>
        <w:t>.;</w:t>
      </w:r>
      <w:r w:rsidRPr="003D6B51">
        <w:t xml:space="preserve"> Sohan</w:t>
      </w:r>
      <w:r>
        <w:t>,</w:t>
      </w:r>
      <w:r w:rsidRPr="003D6B51">
        <w:t xml:space="preserve"> O</w:t>
      </w:r>
      <w:r>
        <w:t>.;</w:t>
      </w:r>
      <w:r w:rsidRPr="003D6B51">
        <w:t xml:space="preserve"> Dennison</w:t>
      </w:r>
      <w:r>
        <w:t>,</w:t>
      </w:r>
      <w:r w:rsidRPr="003D6B51">
        <w:t xml:space="preserve"> E</w:t>
      </w:r>
      <w:r>
        <w:t>.</w:t>
      </w:r>
      <w:r w:rsidRPr="003D6B51">
        <w:t>M</w:t>
      </w:r>
      <w:r>
        <w:t>.;</w:t>
      </w:r>
      <w:r w:rsidRPr="003D6B51">
        <w:t xml:space="preserve"> Cooper, C.</w:t>
      </w:r>
      <w:r>
        <w:t>;</w:t>
      </w:r>
      <w:r w:rsidRPr="003D6B51">
        <w:t xml:space="preserve"> Patel</w:t>
      </w:r>
      <w:r>
        <w:t>,</w:t>
      </w:r>
      <w:r w:rsidRPr="003D6B51">
        <w:t xml:space="preserve"> H</w:t>
      </w:r>
      <w:r>
        <w:t>.</w:t>
      </w:r>
      <w:r w:rsidRPr="003D6B51">
        <w:t xml:space="preserve">P. Approaches to the diagnosis and prevention of frailty. </w:t>
      </w:r>
      <w:r w:rsidRPr="009E3CF9">
        <w:rPr>
          <w:i/>
        </w:rPr>
        <w:t>Aging Clin Exp Res</w:t>
      </w:r>
      <w:r w:rsidRPr="003D6B51">
        <w:t xml:space="preserve">. </w:t>
      </w:r>
      <w:r w:rsidRPr="009E3CF9">
        <w:rPr>
          <w:b/>
        </w:rPr>
        <w:t>2020</w:t>
      </w:r>
      <w:r>
        <w:t xml:space="preserve">, </w:t>
      </w:r>
      <w:r w:rsidRPr="009E3CF9">
        <w:rPr>
          <w:i/>
        </w:rPr>
        <w:t>32</w:t>
      </w:r>
      <w:r>
        <w:t xml:space="preserve">, </w:t>
      </w:r>
      <w:r w:rsidRPr="003D6B51">
        <w:t>1629</w:t>
      </w:r>
      <w:r>
        <w:t>–16</w:t>
      </w:r>
      <w:r w:rsidRPr="003D6B51">
        <w:t>37</w:t>
      </w:r>
    </w:p>
    <w:p w14:paraId="7F0ADC9D" w14:textId="77777777" w:rsidR="00496C1F" w:rsidRDefault="00496C1F" w:rsidP="00496C1F">
      <w:pPr>
        <w:pStyle w:val="MDPI71References"/>
        <w:numPr>
          <w:ilvl w:val="0"/>
          <w:numId w:val="0"/>
        </w:numPr>
      </w:pPr>
    </w:p>
    <w:p w14:paraId="60586A3F" w14:textId="2FF4F80F" w:rsidR="00AC1B50" w:rsidRPr="00C209C0" w:rsidRDefault="00AC1B50" w:rsidP="003D6B51">
      <w:pPr>
        <w:pStyle w:val="MDPI71References"/>
        <w:numPr>
          <w:ilvl w:val="0"/>
          <w:numId w:val="0"/>
        </w:numPr>
        <w:ind w:left="425"/>
        <w:rPr>
          <w:rFonts w:eastAsia="SimSun"/>
          <w:lang w:val="en-GB"/>
        </w:rPr>
      </w:pPr>
      <w:bookmarkStart w:id="9" w:name="noRef"/>
      <w:bookmarkEnd w:id="9"/>
    </w:p>
    <w:sectPr w:rsidR="00AC1B50" w:rsidRPr="00C209C0" w:rsidSect="00294F65">
      <w:headerReference w:type="even" r:id="rId11"/>
      <w:headerReference w:type="default" r:id="rId12"/>
      <w:footerReference w:type="first" r:id="rId13"/>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94613" w14:textId="77777777" w:rsidR="00E76873" w:rsidRDefault="00E76873">
      <w:pPr>
        <w:spacing w:line="240" w:lineRule="auto"/>
      </w:pPr>
      <w:r>
        <w:separator/>
      </w:r>
    </w:p>
  </w:endnote>
  <w:endnote w:type="continuationSeparator" w:id="0">
    <w:p w14:paraId="4A01A535" w14:textId="77777777" w:rsidR="00E76873" w:rsidRDefault="00E76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A796" w14:textId="79FDCEAD" w:rsidR="003213E5" w:rsidRPr="00372FCD" w:rsidRDefault="003213E5" w:rsidP="003C168D">
    <w:pPr>
      <w:tabs>
        <w:tab w:val="right" w:pos="8844"/>
      </w:tabs>
      <w:adjustRightInd w:val="0"/>
      <w:snapToGrid w:val="0"/>
      <w:spacing w:before="120" w:line="240" w:lineRule="auto"/>
      <w:rPr>
        <w:rFonts w:ascii="Palatino Linotype" w:hAnsi="Palatino Linotype"/>
        <w:sz w:val="16"/>
        <w:szCs w:val="16"/>
        <w:lang w:val="fr-CH"/>
      </w:rPr>
    </w:pPr>
    <w:r w:rsidRPr="00B65510">
      <w:rPr>
        <w:rFonts w:ascii="Palatino Linotype" w:hAnsi="Palatino Linotype"/>
        <w:i/>
        <w:sz w:val="16"/>
        <w:szCs w:val="16"/>
      </w:rPr>
      <w:t>Geriatrics</w:t>
    </w:r>
    <w:r w:rsidRPr="00B65510">
      <w:rPr>
        <w:rFonts w:ascii="Palatino Linotype" w:hAnsi="Palatino Linotype"/>
        <w:iCs/>
        <w:sz w:val="16"/>
        <w:szCs w:val="16"/>
      </w:rPr>
      <w:t xml:space="preserve"> </w:t>
    </w:r>
    <w:r w:rsidRPr="003E7996">
      <w:rPr>
        <w:rFonts w:ascii="Palatino Linotype" w:hAnsi="Palatino Linotype"/>
        <w:b/>
        <w:bCs/>
        <w:iCs/>
        <w:sz w:val="16"/>
        <w:szCs w:val="16"/>
      </w:rPr>
      <w:t>20</w:t>
    </w:r>
    <w:r>
      <w:rPr>
        <w:rFonts w:ascii="Palatino Linotype" w:hAnsi="Palatino Linotype"/>
        <w:b/>
        <w:bCs/>
        <w:iCs/>
        <w:sz w:val="16"/>
        <w:szCs w:val="16"/>
      </w:rPr>
      <w:t>20</w:t>
    </w:r>
    <w:r w:rsidRPr="003E7996">
      <w:rPr>
        <w:rFonts w:ascii="Palatino Linotype" w:hAnsi="Palatino Linotype"/>
        <w:bCs/>
        <w:iCs/>
        <w:sz w:val="16"/>
        <w:szCs w:val="16"/>
      </w:rPr>
      <w:t xml:space="preserve">, </w:t>
    </w:r>
    <w:r>
      <w:rPr>
        <w:rFonts w:ascii="Palatino Linotype" w:hAnsi="Palatino Linotype"/>
        <w:bCs/>
        <w:i/>
        <w:iCs/>
        <w:sz w:val="16"/>
        <w:szCs w:val="16"/>
      </w:rPr>
      <w:t>5</w:t>
    </w:r>
    <w:r w:rsidRPr="003E7996">
      <w:rPr>
        <w:rFonts w:ascii="Palatino Linotype" w:hAnsi="Palatino Linotype"/>
        <w:bCs/>
        <w:iCs/>
        <w:sz w:val="16"/>
        <w:szCs w:val="16"/>
      </w:rPr>
      <w:t xml:space="preserve">, </w:t>
    </w:r>
    <w:r>
      <w:rPr>
        <w:rFonts w:ascii="Palatino Linotype" w:hAnsi="Palatino Linotype"/>
        <w:bCs/>
        <w:iCs/>
        <w:sz w:val="16"/>
        <w:szCs w:val="16"/>
      </w:rPr>
      <w:t>x</w:t>
    </w:r>
    <w:r w:rsidRPr="00372FCD">
      <w:rPr>
        <w:rFonts w:ascii="Palatino Linotype" w:hAnsi="Palatino Linotype"/>
        <w:sz w:val="16"/>
        <w:szCs w:val="16"/>
        <w:lang w:val="fr-CH"/>
      </w:rPr>
      <w:tab/>
      <w:t>www.mdpi.com/journal/</w:t>
    </w:r>
    <w:r>
      <w:rPr>
        <w:rFonts w:ascii="Palatino Linotype" w:hAnsi="Palatino Linotype"/>
        <w:sz w:val="16"/>
        <w:szCs w:val="16"/>
      </w:rPr>
      <w:t>g</w:t>
    </w:r>
    <w:r w:rsidRPr="00372FCD">
      <w:rPr>
        <w:rFonts w:ascii="Palatino Linotype" w:hAnsi="Palatino Linotype"/>
        <w:sz w:val="16"/>
        <w:szCs w:val="16"/>
      </w:rPr>
      <w:t>eriatrics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9834" w14:textId="77777777" w:rsidR="00E76873" w:rsidRDefault="00E76873">
      <w:pPr>
        <w:spacing w:line="240" w:lineRule="auto"/>
      </w:pPr>
      <w:r>
        <w:separator/>
      </w:r>
    </w:p>
  </w:footnote>
  <w:footnote w:type="continuationSeparator" w:id="0">
    <w:p w14:paraId="5F72EC03" w14:textId="77777777" w:rsidR="00E76873" w:rsidRDefault="00E76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1144" w14:textId="77777777" w:rsidR="003213E5" w:rsidRDefault="003213E5" w:rsidP="003E093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0069" w14:textId="0557C8AA" w:rsidR="003213E5" w:rsidRPr="00976A90" w:rsidRDefault="003213E5" w:rsidP="003C168D">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697FE9">
      <w:rPr>
        <w:rFonts w:ascii="Palatino Linotype" w:hAnsi="Palatino Linotype"/>
        <w:noProof/>
        <w:sz w:val="16"/>
      </w:rPr>
      <w:t>11</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697FE9">
      <w:rPr>
        <w:rFonts w:ascii="Palatino Linotype" w:hAnsi="Palatino Linotype"/>
        <w:noProof/>
        <w:sz w:val="16"/>
      </w:rPr>
      <w:t>11</w:t>
    </w:r>
    <w:r>
      <w:rPr>
        <w:rFonts w:ascii="Palatino Linotype" w:hAnsi="Palatino Linotype"/>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02tz0fhezwvmed5sx5fze9v05tfs5drvvt&quot;&gt;Frailty MM and Polypharmacy-Converted&lt;record-ids&gt;&lt;item&gt;2&lt;/item&gt;&lt;item&gt;3&lt;/item&gt;&lt;item&gt;4&lt;/item&gt;&lt;item&gt;5&lt;/item&gt;&lt;item&gt;12&lt;/item&gt;&lt;item&gt;14&lt;/item&gt;&lt;item&gt;15&lt;/item&gt;&lt;item&gt;17&lt;/item&gt;&lt;item&gt;19&lt;/item&gt;&lt;item&gt;21&lt;/item&gt;&lt;item&gt;22&lt;/item&gt;&lt;item&gt;24&lt;/item&gt;&lt;item&gt;26&lt;/item&gt;&lt;item&gt;27&lt;/item&gt;&lt;item&gt;29&lt;/item&gt;&lt;item&gt;31&lt;/item&gt;&lt;item&gt;34&lt;/item&gt;&lt;item&gt;35&lt;/item&gt;&lt;item&gt;36&lt;/item&gt;&lt;item&gt;38&lt;/item&gt;&lt;item&gt;39&lt;/item&gt;&lt;item&gt;40&lt;/item&gt;&lt;item&gt;41&lt;/item&gt;&lt;item&gt;42&lt;/item&gt;&lt;item&gt;43&lt;/item&gt;&lt;item&gt;45&lt;/item&gt;&lt;item&gt;46&lt;/item&gt;&lt;item&gt;47&lt;/item&gt;&lt;item&gt;48&lt;/item&gt;&lt;item&gt;51&lt;/item&gt;&lt;item&gt;52&lt;/item&gt;&lt;item&gt;54&lt;/item&gt;&lt;item&gt;57&lt;/item&gt;&lt;item&gt;58&lt;/item&gt;&lt;item&gt;59&lt;/item&gt;&lt;item&gt;60&lt;/item&gt;&lt;item&gt;62&lt;/item&gt;&lt;item&gt;63&lt;/item&gt;&lt;item&gt;64&lt;/item&gt;&lt;item&gt;65&lt;/item&gt;&lt;item&gt;66&lt;/item&gt;&lt;item&gt;74&lt;/item&gt;&lt;item&gt;75&lt;/item&gt;&lt;item&gt;76&lt;/item&gt;&lt;item&gt;79&lt;/item&gt;&lt;item&gt;80&lt;/item&gt;&lt;item&gt;81&lt;/item&gt;&lt;item&gt;82&lt;/item&gt;&lt;item&gt;83&lt;/item&gt;&lt;item&gt;84&lt;/item&gt;&lt;item&gt;86&lt;/item&gt;&lt;item&gt;87&lt;/item&gt;&lt;item&gt;88&lt;/item&gt;&lt;item&gt;93&lt;/item&gt;&lt;item&gt;96&lt;/item&gt;&lt;item&gt;97&lt;/item&gt;&lt;item&gt;98&lt;/item&gt;&lt;item&gt;100&lt;/item&gt;&lt;item&gt;101&lt;/item&gt;&lt;item&gt;102&lt;/item&gt;&lt;item&gt;103&lt;/item&gt;&lt;item&gt;104&lt;/item&gt;&lt;item&gt;105&lt;/item&gt;&lt;item&gt;107&lt;/item&gt;&lt;item&gt;110&lt;/item&gt;&lt;item&gt;111&lt;/item&gt;&lt;item&gt;112&lt;/item&gt;&lt;item&gt;113&lt;/item&gt;&lt;/record-ids&gt;&lt;/item&gt;&lt;/Libraries&gt;"/>
  </w:docVars>
  <w:rsids>
    <w:rsidRoot w:val="00DC66D7"/>
    <w:rsid w:val="00012448"/>
    <w:rsid w:val="000145C0"/>
    <w:rsid w:val="0002196E"/>
    <w:rsid w:val="000456B4"/>
    <w:rsid w:val="00053E65"/>
    <w:rsid w:val="00072BD2"/>
    <w:rsid w:val="00074BA2"/>
    <w:rsid w:val="0008505F"/>
    <w:rsid w:val="000A25B6"/>
    <w:rsid w:val="000A6453"/>
    <w:rsid w:val="000B5B65"/>
    <w:rsid w:val="000B729C"/>
    <w:rsid w:val="000C270F"/>
    <w:rsid w:val="000D33A7"/>
    <w:rsid w:val="000E2824"/>
    <w:rsid w:val="000E4C44"/>
    <w:rsid w:val="001055AF"/>
    <w:rsid w:val="001122A2"/>
    <w:rsid w:val="001145BC"/>
    <w:rsid w:val="00116A41"/>
    <w:rsid w:val="00130B48"/>
    <w:rsid w:val="00130F75"/>
    <w:rsid w:val="00133BFD"/>
    <w:rsid w:val="00143F5D"/>
    <w:rsid w:val="00166891"/>
    <w:rsid w:val="00170C52"/>
    <w:rsid w:val="001723F0"/>
    <w:rsid w:val="001776CB"/>
    <w:rsid w:val="001A1164"/>
    <w:rsid w:val="001C3122"/>
    <w:rsid w:val="001E2AEB"/>
    <w:rsid w:val="001E50DD"/>
    <w:rsid w:val="00211961"/>
    <w:rsid w:val="00273A1A"/>
    <w:rsid w:val="00274C8E"/>
    <w:rsid w:val="00276371"/>
    <w:rsid w:val="00286482"/>
    <w:rsid w:val="00294F65"/>
    <w:rsid w:val="002A049E"/>
    <w:rsid w:val="002A06FE"/>
    <w:rsid w:val="002B4A5C"/>
    <w:rsid w:val="002C42B2"/>
    <w:rsid w:val="002F54FC"/>
    <w:rsid w:val="003213E5"/>
    <w:rsid w:val="003259ED"/>
    <w:rsid w:val="00326141"/>
    <w:rsid w:val="00334701"/>
    <w:rsid w:val="00335601"/>
    <w:rsid w:val="00340A68"/>
    <w:rsid w:val="003431DB"/>
    <w:rsid w:val="00347A3A"/>
    <w:rsid w:val="00347CE4"/>
    <w:rsid w:val="0037075C"/>
    <w:rsid w:val="003815ED"/>
    <w:rsid w:val="003841D4"/>
    <w:rsid w:val="00395906"/>
    <w:rsid w:val="003A004F"/>
    <w:rsid w:val="003C168D"/>
    <w:rsid w:val="003C3801"/>
    <w:rsid w:val="003C3A13"/>
    <w:rsid w:val="003C3CDB"/>
    <w:rsid w:val="003C74A6"/>
    <w:rsid w:val="003C767D"/>
    <w:rsid w:val="003D6B51"/>
    <w:rsid w:val="003E0936"/>
    <w:rsid w:val="003E748E"/>
    <w:rsid w:val="003E7996"/>
    <w:rsid w:val="003F200D"/>
    <w:rsid w:val="00401D30"/>
    <w:rsid w:val="00420B1E"/>
    <w:rsid w:val="00420BED"/>
    <w:rsid w:val="004659B1"/>
    <w:rsid w:val="00466FD6"/>
    <w:rsid w:val="0047776E"/>
    <w:rsid w:val="0048301F"/>
    <w:rsid w:val="00496C1F"/>
    <w:rsid w:val="004B6B6A"/>
    <w:rsid w:val="004C3726"/>
    <w:rsid w:val="004F2A97"/>
    <w:rsid w:val="004F4F69"/>
    <w:rsid w:val="00504604"/>
    <w:rsid w:val="0053005F"/>
    <w:rsid w:val="005364C7"/>
    <w:rsid w:val="00545BD2"/>
    <w:rsid w:val="00546FA7"/>
    <w:rsid w:val="005614C6"/>
    <w:rsid w:val="00564062"/>
    <w:rsid w:val="00567818"/>
    <w:rsid w:val="00593D38"/>
    <w:rsid w:val="00596F6C"/>
    <w:rsid w:val="005C697B"/>
    <w:rsid w:val="005C6A5F"/>
    <w:rsid w:val="005D68BB"/>
    <w:rsid w:val="005E3813"/>
    <w:rsid w:val="005E3C33"/>
    <w:rsid w:val="00601A67"/>
    <w:rsid w:val="006172A9"/>
    <w:rsid w:val="00622FB5"/>
    <w:rsid w:val="00623CE3"/>
    <w:rsid w:val="00627497"/>
    <w:rsid w:val="0062791A"/>
    <w:rsid w:val="006403E7"/>
    <w:rsid w:val="00642D3D"/>
    <w:rsid w:val="0065161A"/>
    <w:rsid w:val="00664DD4"/>
    <w:rsid w:val="0068160F"/>
    <w:rsid w:val="00683670"/>
    <w:rsid w:val="0068739F"/>
    <w:rsid w:val="00687494"/>
    <w:rsid w:val="00691EB6"/>
    <w:rsid w:val="00692393"/>
    <w:rsid w:val="00697FE9"/>
    <w:rsid w:val="006B5CE8"/>
    <w:rsid w:val="006C33C7"/>
    <w:rsid w:val="006D283E"/>
    <w:rsid w:val="006E037A"/>
    <w:rsid w:val="006E10E4"/>
    <w:rsid w:val="006E1DF5"/>
    <w:rsid w:val="006E2EE8"/>
    <w:rsid w:val="006E5E3C"/>
    <w:rsid w:val="007002D7"/>
    <w:rsid w:val="0072300D"/>
    <w:rsid w:val="0073026F"/>
    <w:rsid w:val="0077186A"/>
    <w:rsid w:val="00793FE4"/>
    <w:rsid w:val="007A5E79"/>
    <w:rsid w:val="007C055C"/>
    <w:rsid w:val="007D4A75"/>
    <w:rsid w:val="007E138A"/>
    <w:rsid w:val="00801074"/>
    <w:rsid w:val="0080340D"/>
    <w:rsid w:val="00804337"/>
    <w:rsid w:val="0081083C"/>
    <w:rsid w:val="00815404"/>
    <w:rsid w:val="00826A37"/>
    <w:rsid w:val="00857B04"/>
    <w:rsid w:val="00872FEE"/>
    <w:rsid w:val="00875479"/>
    <w:rsid w:val="008A2E76"/>
    <w:rsid w:val="008A6836"/>
    <w:rsid w:val="008B2904"/>
    <w:rsid w:val="008B6087"/>
    <w:rsid w:val="008C50A4"/>
    <w:rsid w:val="008E4108"/>
    <w:rsid w:val="008E583C"/>
    <w:rsid w:val="00902E40"/>
    <w:rsid w:val="009128EA"/>
    <w:rsid w:val="00922F05"/>
    <w:rsid w:val="009234E7"/>
    <w:rsid w:val="00927128"/>
    <w:rsid w:val="00941E15"/>
    <w:rsid w:val="00943EAB"/>
    <w:rsid w:val="00944DD1"/>
    <w:rsid w:val="009B7FBC"/>
    <w:rsid w:val="009C371B"/>
    <w:rsid w:val="009D053D"/>
    <w:rsid w:val="009D5E37"/>
    <w:rsid w:val="009E71D8"/>
    <w:rsid w:val="009F70E6"/>
    <w:rsid w:val="00A13380"/>
    <w:rsid w:val="00A13450"/>
    <w:rsid w:val="00A1411F"/>
    <w:rsid w:val="00A42ED3"/>
    <w:rsid w:val="00A439CF"/>
    <w:rsid w:val="00A64335"/>
    <w:rsid w:val="00A77038"/>
    <w:rsid w:val="00A97DCD"/>
    <w:rsid w:val="00AA42B9"/>
    <w:rsid w:val="00AB14A0"/>
    <w:rsid w:val="00AC1B50"/>
    <w:rsid w:val="00AE0D1F"/>
    <w:rsid w:val="00AF2330"/>
    <w:rsid w:val="00AF509E"/>
    <w:rsid w:val="00B04C7B"/>
    <w:rsid w:val="00B2098F"/>
    <w:rsid w:val="00B325CA"/>
    <w:rsid w:val="00B36F50"/>
    <w:rsid w:val="00B40F3A"/>
    <w:rsid w:val="00B46AB5"/>
    <w:rsid w:val="00B671FB"/>
    <w:rsid w:val="00B713C6"/>
    <w:rsid w:val="00B71D56"/>
    <w:rsid w:val="00B77070"/>
    <w:rsid w:val="00B912C3"/>
    <w:rsid w:val="00BA44A7"/>
    <w:rsid w:val="00BC6392"/>
    <w:rsid w:val="00BD07B0"/>
    <w:rsid w:val="00BD27E9"/>
    <w:rsid w:val="00BD4DEA"/>
    <w:rsid w:val="00BD7DEA"/>
    <w:rsid w:val="00BF0899"/>
    <w:rsid w:val="00C150F6"/>
    <w:rsid w:val="00C1777E"/>
    <w:rsid w:val="00C209C0"/>
    <w:rsid w:val="00C67651"/>
    <w:rsid w:val="00C9721D"/>
    <w:rsid w:val="00CC0A0D"/>
    <w:rsid w:val="00CC107A"/>
    <w:rsid w:val="00CE2597"/>
    <w:rsid w:val="00CF3A10"/>
    <w:rsid w:val="00D14A8B"/>
    <w:rsid w:val="00D2726B"/>
    <w:rsid w:val="00D31D84"/>
    <w:rsid w:val="00D47DFA"/>
    <w:rsid w:val="00D5082B"/>
    <w:rsid w:val="00D56266"/>
    <w:rsid w:val="00D76DBF"/>
    <w:rsid w:val="00D92DE7"/>
    <w:rsid w:val="00D9573C"/>
    <w:rsid w:val="00DA0673"/>
    <w:rsid w:val="00DC1D6B"/>
    <w:rsid w:val="00DC66D7"/>
    <w:rsid w:val="00DD2CDD"/>
    <w:rsid w:val="00DD30CC"/>
    <w:rsid w:val="00DF0A30"/>
    <w:rsid w:val="00E0564C"/>
    <w:rsid w:val="00E24DBB"/>
    <w:rsid w:val="00E46820"/>
    <w:rsid w:val="00E46E7B"/>
    <w:rsid w:val="00E61A77"/>
    <w:rsid w:val="00E70224"/>
    <w:rsid w:val="00E76873"/>
    <w:rsid w:val="00EB2F34"/>
    <w:rsid w:val="00EB4DCE"/>
    <w:rsid w:val="00EC38F2"/>
    <w:rsid w:val="00ED25B0"/>
    <w:rsid w:val="00ED4508"/>
    <w:rsid w:val="00EE32DE"/>
    <w:rsid w:val="00EF2E93"/>
    <w:rsid w:val="00F0493C"/>
    <w:rsid w:val="00F22628"/>
    <w:rsid w:val="00F3593B"/>
    <w:rsid w:val="00F35CDC"/>
    <w:rsid w:val="00F376D4"/>
    <w:rsid w:val="00F62508"/>
    <w:rsid w:val="00F817D8"/>
    <w:rsid w:val="00F863BF"/>
    <w:rsid w:val="00F868B0"/>
    <w:rsid w:val="00FA2D60"/>
    <w:rsid w:val="00FA5A45"/>
    <w:rsid w:val="00FB536D"/>
    <w:rsid w:val="00FD3E3A"/>
    <w:rsid w:val="00FD4E7F"/>
    <w:rsid w:val="00FD5281"/>
    <w:rsid w:val="00FE34F4"/>
    <w:rsid w:val="00FE4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8225B"/>
  <w15:chartTrackingRefBased/>
  <w15:docId w15:val="{0C8448F4-D77B-4332-BD24-0A4F5D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75"/>
    <w:pPr>
      <w:spacing w:line="340" w:lineRule="atLeast"/>
      <w:jc w:val="both"/>
    </w:pPr>
    <w:rPr>
      <w:rFonts w:ascii="Times New Roman" w:eastAsia="Times New Roman" w:hAnsi="Times New Roman"/>
      <w:color w:val="000000"/>
      <w:sz w:val="24"/>
      <w:lang w:val="en-US" w:eastAsia="de-DE"/>
    </w:rPr>
  </w:style>
  <w:style w:type="paragraph" w:styleId="Heading1">
    <w:name w:val="heading 1"/>
    <w:basedOn w:val="Normal"/>
    <w:next w:val="Normal"/>
    <w:link w:val="Heading1Char"/>
    <w:uiPriority w:val="9"/>
    <w:qFormat/>
    <w:rsid w:val="00593D38"/>
    <w:pPr>
      <w:keepNext/>
      <w:keepLines/>
      <w:spacing w:before="240" w:line="240" w:lineRule="auto"/>
      <w:jc w:val="left"/>
      <w:outlineLvl w:val="0"/>
    </w:pPr>
    <w:rPr>
      <w:rFonts w:asciiTheme="majorHAnsi" w:eastAsiaTheme="majorEastAsia" w:hAnsiTheme="majorHAnsi" w:cstheme="majorBidi"/>
      <w:color w:val="2E74B5" w:themeColor="accent1" w:themeShade="BF"/>
      <w:sz w:val="32"/>
      <w:szCs w:val="32"/>
      <w:lang w:val="en-GB" w:eastAsia="en-US"/>
    </w:rPr>
  </w:style>
  <w:style w:type="paragraph" w:styleId="Heading2">
    <w:name w:val="heading 2"/>
    <w:basedOn w:val="Normal"/>
    <w:next w:val="Normal"/>
    <w:link w:val="Heading2Char"/>
    <w:uiPriority w:val="9"/>
    <w:semiHidden/>
    <w:unhideWhenUsed/>
    <w:qFormat/>
    <w:rsid w:val="00593D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7D4A75"/>
    <w:pPr>
      <w:spacing w:before="240" w:line="240" w:lineRule="auto"/>
      <w:ind w:firstLine="0"/>
      <w:jc w:val="left"/>
    </w:pPr>
    <w:rPr>
      <w:i/>
    </w:rPr>
  </w:style>
  <w:style w:type="paragraph" w:customStyle="1" w:styleId="MDPI12title">
    <w:name w:val="MDPI_1.2_title"/>
    <w:next w:val="MDPI13authornames"/>
    <w:qFormat/>
    <w:rsid w:val="007D4A75"/>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7D4A75"/>
    <w:pPr>
      <w:spacing w:after="120"/>
      <w:ind w:firstLine="0"/>
      <w:jc w:val="left"/>
    </w:pPr>
    <w:rPr>
      <w:b/>
      <w:snapToGrid/>
    </w:rPr>
  </w:style>
  <w:style w:type="paragraph" w:customStyle="1" w:styleId="MDPI14history">
    <w:name w:val="MDPI_1.4_history"/>
    <w:basedOn w:val="MDPI62Acknowledgments"/>
    <w:next w:val="Normal"/>
    <w:qFormat/>
    <w:rsid w:val="007D4A75"/>
    <w:pPr>
      <w:ind w:left="113"/>
      <w:jc w:val="left"/>
    </w:pPr>
    <w:rPr>
      <w:snapToGrid/>
    </w:rPr>
  </w:style>
  <w:style w:type="paragraph" w:customStyle="1" w:styleId="MDPI16affiliation">
    <w:name w:val="MDPI_1.6_affiliation"/>
    <w:basedOn w:val="MDPI62Acknowledgments"/>
    <w:qFormat/>
    <w:rsid w:val="007D4A75"/>
    <w:pPr>
      <w:spacing w:before="0"/>
      <w:ind w:left="311" w:hanging="198"/>
      <w:jc w:val="left"/>
    </w:pPr>
    <w:rPr>
      <w:snapToGrid/>
      <w:szCs w:val="18"/>
    </w:rPr>
  </w:style>
  <w:style w:type="paragraph" w:customStyle="1" w:styleId="MDPI17abstract">
    <w:name w:val="MDPI_1.7_abstract"/>
    <w:basedOn w:val="MDPI31text"/>
    <w:next w:val="MDPI18keywords"/>
    <w:qFormat/>
    <w:rsid w:val="007D4A75"/>
    <w:pPr>
      <w:spacing w:before="240"/>
      <w:ind w:left="113" w:firstLine="0"/>
    </w:pPr>
    <w:rPr>
      <w:snapToGrid/>
    </w:rPr>
  </w:style>
  <w:style w:type="paragraph" w:customStyle="1" w:styleId="MDPI18keywords">
    <w:name w:val="MDPI_1.8_keywords"/>
    <w:basedOn w:val="MDPI31text"/>
    <w:next w:val="Normal"/>
    <w:qFormat/>
    <w:rsid w:val="007D4A75"/>
    <w:pPr>
      <w:spacing w:before="240"/>
      <w:ind w:left="113" w:firstLine="0"/>
    </w:pPr>
  </w:style>
  <w:style w:type="paragraph" w:customStyle="1" w:styleId="MDPI19line">
    <w:name w:val="MDPI_1.9_line"/>
    <w:basedOn w:val="MDPI31text"/>
    <w:qFormat/>
    <w:rsid w:val="007D4A75"/>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7D4A7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7D4A7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D4A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7D4A75"/>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7D4A75"/>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7D4A75"/>
    <w:pPr>
      <w:ind w:firstLine="0"/>
    </w:pPr>
  </w:style>
  <w:style w:type="paragraph" w:customStyle="1" w:styleId="MDPI33textspaceafter">
    <w:name w:val="MDPI_3.3_text_space_after"/>
    <w:basedOn w:val="MDPI31text"/>
    <w:qFormat/>
    <w:rsid w:val="007D4A75"/>
    <w:pPr>
      <w:spacing w:after="240"/>
    </w:pPr>
  </w:style>
  <w:style w:type="paragraph" w:customStyle="1" w:styleId="MDPI34textspacebefore">
    <w:name w:val="MDPI_3.4_text_space_before"/>
    <w:basedOn w:val="MDPI31text"/>
    <w:qFormat/>
    <w:rsid w:val="007D4A75"/>
    <w:pPr>
      <w:spacing w:before="240"/>
    </w:pPr>
  </w:style>
  <w:style w:type="paragraph" w:customStyle="1" w:styleId="MDPI35textbeforelist">
    <w:name w:val="MDPI_3.5_text_before_list"/>
    <w:basedOn w:val="MDPI31text"/>
    <w:qFormat/>
    <w:rsid w:val="007D4A75"/>
    <w:pPr>
      <w:spacing w:after="120"/>
    </w:pPr>
  </w:style>
  <w:style w:type="paragraph" w:customStyle="1" w:styleId="MDPI36textafterlist">
    <w:name w:val="MDPI_3.6_text_after_list"/>
    <w:basedOn w:val="MDPI31text"/>
    <w:qFormat/>
    <w:rsid w:val="007D4A75"/>
    <w:pPr>
      <w:spacing w:before="120"/>
    </w:pPr>
  </w:style>
  <w:style w:type="paragraph" w:customStyle="1" w:styleId="MDPI37itemize">
    <w:name w:val="MDPI_3.7_itemize"/>
    <w:basedOn w:val="MDPI31text"/>
    <w:qFormat/>
    <w:rsid w:val="007D4A75"/>
    <w:pPr>
      <w:numPr>
        <w:numId w:val="1"/>
      </w:numPr>
      <w:ind w:left="425" w:hanging="425"/>
    </w:pPr>
  </w:style>
  <w:style w:type="paragraph" w:customStyle="1" w:styleId="MDPI38bullet">
    <w:name w:val="MDPI_3.8_bullet"/>
    <w:basedOn w:val="MDPI31text"/>
    <w:qFormat/>
    <w:rsid w:val="007D4A75"/>
    <w:pPr>
      <w:numPr>
        <w:numId w:val="2"/>
      </w:numPr>
      <w:ind w:left="425" w:hanging="425"/>
    </w:pPr>
  </w:style>
  <w:style w:type="paragraph" w:customStyle="1" w:styleId="MDPI39equation">
    <w:name w:val="MDPI_3.9_equation"/>
    <w:basedOn w:val="MDPI31text"/>
    <w:qFormat/>
    <w:rsid w:val="007D4A75"/>
    <w:pPr>
      <w:spacing w:before="120" w:after="120"/>
      <w:ind w:left="709" w:firstLine="0"/>
      <w:jc w:val="center"/>
    </w:pPr>
  </w:style>
  <w:style w:type="paragraph" w:customStyle="1" w:styleId="MDPI3aequationnumber">
    <w:name w:val="MDPI_3.a_equation_number"/>
    <w:basedOn w:val="MDPI31text"/>
    <w:qFormat/>
    <w:rsid w:val="007D4A75"/>
    <w:pPr>
      <w:spacing w:before="120" w:after="120" w:line="240" w:lineRule="auto"/>
      <w:ind w:firstLine="0"/>
      <w:jc w:val="right"/>
    </w:pPr>
  </w:style>
  <w:style w:type="paragraph" w:customStyle="1" w:styleId="MDPI62Acknowledgments">
    <w:name w:val="MDPI_6.2_Acknowledgments"/>
    <w:qFormat/>
    <w:rsid w:val="007D4A75"/>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7D4A75"/>
    <w:pPr>
      <w:spacing w:before="240" w:after="120" w:line="260" w:lineRule="atLeast"/>
      <w:ind w:left="425" w:right="425"/>
    </w:pPr>
    <w:rPr>
      <w:snapToGrid/>
      <w:szCs w:val="22"/>
    </w:rPr>
  </w:style>
  <w:style w:type="paragraph" w:customStyle="1" w:styleId="MDPI42tablebody">
    <w:name w:val="MDPI_4.2_table_body"/>
    <w:qFormat/>
    <w:rsid w:val="00F62508"/>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7D4A75"/>
    <w:pPr>
      <w:spacing w:before="0"/>
      <w:ind w:left="0" w:right="0"/>
    </w:pPr>
  </w:style>
  <w:style w:type="paragraph" w:customStyle="1" w:styleId="MDPI51figurecaption">
    <w:name w:val="MDPI_5.1_figure_caption"/>
    <w:basedOn w:val="MDPI62Acknowledgments"/>
    <w:qFormat/>
    <w:rsid w:val="007D4A75"/>
    <w:pPr>
      <w:spacing w:after="240" w:line="260" w:lineRule="atLeast"/>
      <w:ind w:left="425" w:right="425"/>
    </w:pPr>
    <w:rPr>
      <w:snapToGrid/>
    </w:rPr>
  </w:style>
  <w:style w:type="paragraph" w:customStyle="1" w:styleId="MDPI52figure">
    <w:name w:val="MDPI_5.2_figure"/>
    <w:qFormat/>
    <w:rsid w:val="007D4A75"/>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7D4A75"/>
    <w:pPr>
      <w:spacing w:before="240"/>
    </w:pPr>
    <w:rPr>
      <w:lang w:eastAsia="en-US"/>
    </w:rPr>
  </w:style>
  <w:style w:type="paragraph" w:customStyle="1" w:styleId="MDPI63AuthorContributions">
    <w:name w:val="MDPI_6.3_AuthorContributions"/>
    <w:basedOn w:val="MDPI62Acknowledgments"/>
    <w:qFormat/>
    <w:rsid w:val="007D4A75"/>
    <w:rPr>
      <w:rFonts w:eastAsia="SimSun"/>
      <w:color w:val="auto"/>
      <w:lang w:eastAsia="en-US"/>
    </w:rPr>
  </w:style>
  <w:style w:type="paragraph" w:customStyle="1" w:styleId="MDPI64CoI">
    <w:name w:val="MDPI_6.4_CoI"/>
    <w:basedOn w:val="MDPI62Acknowledgments"/>
    <w:qFormat/>
    <w:rsid w:val="007D4A75"/>
  </w:style>
  <w:style w:type="paragraph" w:customStyle="1" w:styleId="MDPI81theorem">
    <w:name w:val="MDPI_8.1_theorem"/>
    <w:basedOn w:val="MDPI32textnoindent"/>
    <w:qFormat/>
    <w:rsid w:val="007D4A75"/>
    <w:rPr>
      <w:i/>
    </w:rPr>
  </w:style>
  <w:style w:type="paragraph" w:customStyle="1" w:styleId="MDPI82proof">
    <w:name w:val="MDPI_8.2_proof"/>
    <w:basedOn w:val="MDPI32textnoindent"/>
    <w:qFormat/>
    <w:rsid w:val="007D4A75"/>
  </w:style>
  <w:style w:type="paragraph" w:customStyle="1" w:styleId="MDPI31text">
    <w:name w:val="MDPI_3.1_text"/>
    <w:qFormat/>
    <w:rsid w:val="007D4A75"/>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7D4A75"/>
    <w:pPr>
      <w:spacing w:before="240" w:after="120"/>
      <w:ind w:firstLine="0"/>
      <w:jc w:val="left"/>
      <w:outlineLvl w:val="2"/>
    </w:pPr>
  </w:style>
  <w:style w:type="paragraph" w:customStyle="1" w:styleId="MDPI21heading1">
    <w:name w:val="MDPI_2.1_heading1"/>
    <w:basedOn w:val="MDPI23heading3"/>
    <w:qFormat/>
    <w:rsid w:val="007D4A75"/>
    <w:pPr>
      <w:outlineLvl w:val="0"/>
    </w:pPr>
    <w:rPr>
      <w:b/>
    </w:rPr>
  </w:style>
  <w:style w:type="paragraph" w:customStyle="1" w:styleId="MDPI22heading2">
    <w:name w:val="MDPI_2.2_heading2"/>
    <w:basedOn w:val="Normal"/>
    <w:qFormat/>
    <w:rsid w:val="007D4A75"/>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7D4A75"/>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7D4A75"/>
    <w:pPr>
      <w:spacing w:line="240" w:lineRule="auto"/>
    </w:pPr>
    <w:rPr>
      <w:sz w:val="18"/>
      <w:szCs w:val="18"/>
    </w:rPr>
  </w:style>
  <w:style w:type="character" w:customStyle="1" w:styleId="BalloonTextChar">
    <w:name w:val="Balloon Text Char"/>
    <w:link w:val="BalloonText"/>
    <w:uiPriority w:val="99"/>
    <w:semiHidden/>
    <w:rsid w:val="007D4A75"/>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7D4A75"/>
  </w:style>
  <w:style w:type="table" w:customStyle="1" w:styleId="MDPI41threelinetable">
    <w:name w:val="MDPI_4.1_three_line_table"/>
    <w:basedOn w:val="TableNormal"/>
    <w:uiPriority w:val="99"/>
    <w:rsid w:val="00F6250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9234E7"/>
    <w:rPr>
      <w:color w:val="0563C1"/>
      <w:u w:val="single"/>
    </w:rPr>
  </w:style>
  <w:style w:type="character" w:customStyle="1" w:styleId="UnresolvedMention1">
    <w:name w:val="Unresolved Mention1"/>
    <w:uiPriority w:val="99"/>
    <w:semiHidden/>
    <w:unhideWhenUsed/>
    <w:rsid w:val="00116A41"/>
    <w:rPr>
      <w:color w:val="605E5C"/>
      <w:shd w:val="clear" w:color="auto" w:fill="E1DFDD"/>
    </w:rPr>
  </w:style>
  <w:style w:type="paragraph" w:styleId="Footer">
    <w:name w:val="footer"/>
    <w:basedOn w:val="Normal"/>
    <w:link w:val="FooterChar"/>
    <w:uiPriority w:val="99"/>
    <w:unhideWhenUsed/>
    <w:rsid w:val="003E7996"/>
    <w:pPr>
      <w:tabs>
        <w:tab w:val="center" w:pos="4153"/>
        <w:tab w:val="right" w:pos="8306"/>
      </w:tabs>
    </w:pPr>
  </w:style>
  <w:style w:type="character" w:customStyle="1" w:styleId="FooterChar">
    <w:name w:val="Footer Char"/>
    <w:link w:val="Footer"/>
    <w:uiPriority w:val="99"/>
    <w:rsid w:val="003E7996"/>
    <w:rPr>
      <w:rFonts w:ascii="Times New Roman" w:eastAsia="Times New Roman" w:hAnsi="Times New Roman"/>
      <w:color w:val="000000"/>
      <w:sz w:val="24"/>
      <w:lang w:eastAsia="de-DE"/>
    </w:rPr>
  </w:style>
  <w:style w:type="table" w:styleId="PlainTable4">
    <w:name w:val="Plain Table 4"/>
    <w:basedOn w:val="TableNormal"/>
    <w:uiPriority w:val="44"/>
    <w:rsid w:val="003E79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orcid-id">
    <w:name w:val="orcid-id"/>
    <w:rsid w:val="00DC66D7"/>
  </w:style>
  <w:style w:type="character" w:customStyle="1" w:styleId="Heading1Char">
    <w:name w:val="Heading 1 Char"/>
    <w:basedOn w:val="DefaultParagraphFont"/>
    <w:link w:val="Heading1"/>
    <w:uiPriority w:val="9"/>
    <w:rsid w:val="00593D38"/>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semiHidden/>
    <w:rsid w:val="00593D38"/>
    <w:rPr>
      <w:rFonts w:asciiTheme="majorHAnsi" w:eastAsiaTheme="majorEastAsia" w:hAnsiTheme="majorHAnsi" w:cstheme="majorBidi"/>
      <w:color w:val="2E74B5" w:themeColor="accent1" w:themeShade="BF"/>
      <w:sz w:val="26"/>
      <w:szCs w:val="26"/>
      <w:lang w:val="en-US" w:eastAsia="de-DE"/>
    </w:rPr>
  </w:style>
  <w:style w:type="paragraph" w:customStyle="1" w:styleId="EndNoteBibliography">
    <w:name w:val="EndNote Bibliography"/>
    <w:basedOn w:val="Normal"/>
    <w:link w:val="EndNoteBibliographyChar"/>
    <w:rsid w:val="00593D38"/>
    <w:pPr>
      <w:spacing w:line="240" w:lineRule="auto"/>
      <w:jc w:val="left"/>
    </w:pPr>
    <w:rPr>
      <w:rFonts w:ascii="Calibri" w:eastAsiaTheme="minorHAnsi" w:hAnsi="Calibri" w:cs="Calibri"/>
      <w:noProof/>
      <w:color w:val="auto"/>
      <w:szCs w:val="24"/>
      <w:lang w:eastAsia="en-US"/>
    </w:rPr>
  </w:style>
  <w:style w:type="character" w:customStyle="1" w:styleId="EndNoteBibliographyChar">
    <w:name w:val="EndNote Bibliography Char"/>
    <w:basedOn w:val="DefaultParagraphFont"/>
    <w:link w:val="EndNoteBibliography"/>
    <w:rsid w:val="00593D38"/>
    <w:rPr>
      <w:rFonts w:eastAsiaTheme="minorHAnsi" w:cs="Calibri"/>
      <w:noProof/>
      <w:sz w:val="24"/>
      <w:szCs w:val="24"/>
      <w:lang w:val="en-US" w:eastAsia="en-US"/>
    </w:rPr>
  </w:style>
  <w:style w:type="paragraph" w:customStyle="1" w:styleId="EndNoteBibliographyTitle">
    <w:name w:val="EndNote Bibliography Title"/>
    <w:basedOn w:val="Normal"/>
    <w:link w:val="EndNoteBibliographyTitleChar"/>
    <w:rsid w:val="00593D38"/>
    <w:pPr>
      <w:jc w:val="center"/>
    </w:pPr>
    <w:rPr>
      <w:rFonts w:ascii="Calibri" w:hAnsi="Calibri" w:cs="Calibri"/>
      <w:noProof/>
      <w:lang w:val="de-DE"/>
    </w:rPr>
  </w:style>
  <w:style w:type="character" w:customStyle="1" w:styleId="EndNoteBibliographyTitleChar">
    <w:name w:val="EndNote Bibliography Title Char"/>
    <w:basedOn w:val="DefaultParagraphFont"/>
    <w:link w:val="EndNoteBibliographyTitle"/>
    <w:rsid w:val="00593D38"/>
    <w:rPr>
      <w:rFonts w:eastAsia="Times New Roman" w:cs="Calibri"/>
      <w:noProof/>
      <w:color w:val="000000"/>
      <w:sz w:val="24"/>
      <w:lang w:val="de-DE" w:eastAsia="de-DE"/>
    </w:rPr>
  </w:style>
  <w:style w:type="character" w:customStyle="1" w:styleId="UnresolvedMention2">
    <w:name w:val="Unresolved Mention2"/>
    <w:basedOn w:val="DefaultParagraphFont"/>
    <w:uiPriority w:val="99"/>
    <w:semiHidden/>
    <w:unhideWhenUsed/>
    <w:rsid w:val="00FA2D60"/>
    <w:rPr>
      <w:color w:val="605E5C"/>
      <w:shd w:val="clear" w:color="auto" w:fill="E1DFDD"/>
    </w:rPr>
  </w:style>
  <w:style w:type="character" w:styleId="CommentReference">
    <w:name w:val="annotation reference"/>
    <w:basedOn w:val="DefaultParagraphFont"/>
    <w:uiPriority w:val="99"/>
    <w:semiHidden/>
    <w:unhideWhenUsed/>
    <w:rsid w:val="00EB4DCE"/>
    <w:rPr>
      <w:sz w:val="16"/>
      <w:szCs w:val="16"/>
    </w:rPr>
  </w:style>
  <w:style w:type="paragraph" w:styleId="CommentText">
    <w:name w:val="annotation text"/>
    <w:basedOn w:val="Normal"/>
    <w:link w:val="CommentTextChar"/>
    <w:uiPriority w:val="99"/>
    <w:semiHidden/>
    <w:unhideWhenUsed/>
    <w:rsid w:val="00EB4DCE"/>
    <w:pPr>
      <w:spacing w:line="240" w:lineRule="auto"/>
    </w:pPr>
    <w:rPr>
      <w:sz w:val="20"/>
    </w:rPr>
  </w:style>
  <w:style w:type="character" w:customStyle="1" w:styleId="CommentTextChar">
    <w:name w:val="Comment Text Char"/>
    <w:basedOn w:val="DefaultParagraphFont"/>
    <w:link w:val="CommentText"/>
    <w:uiPriority w:val="99"/>
    <w:semiHidden/>
    <w:rsid w:val="00EB4DCE"/>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EB4DCE"/>
    <w:rPr>
      <w:b/>
      <w:bCs/>
    </w:rPr>
  </w:style>
  <w:style w:type="character" w:customStyle="1" w:styleId="CommentSubjectChar">
    <w:name w:val="Comment Subject Char"/>
    <w:basedOn w:val="CommentTextChar"/>
    <w:link w:val="CommentSubject"/>
    <w:uiPriority w:val="99"/>
    <w:semiHidden/>
    <w:rsid w:val="00EB4DCE"/>
    <w:rPr>
      <w:rFonts w:ascii="Times New Roman" w:eastAsia="Times New Roman" w:hAnsi="Times New Roman"/>
      <w:b/>
      <w:bCs/>
      <w:color w:val="000000"/>
      <w:lang w:val="en-US" w:eastAsia="de-DE"/>
    </w:rPr>
  </w:style>
  <w:style w:type="paragraph" w:styleId="Revision">
    <w:name w:val="Revision"/>
    <w:hidden/>
    <w:uiPriority w:val="99"/>
    <w:semiHidden/>
    <w:rsid w:val="00C209C0"/>
    <w:rPr>
      <w:rFonts w:ascii="Times New Roman" w:eastAsia="Times New Roman" w:hAnsi="Times New Roman"/>
      <w:color w:val="000000"/>
      <w:sz w:val="24"/>
      <w:lang w:val="en-US" w:eastAsia="de-DE"/>
    </w:rPr>
  </w:style>
  <w:style w:type="character" w:customStyle="1" w:styleId="UnresolvedMention3">
    <w:name w:val="Unresolved Mention3"/>
    <w:basedOn w:val="DefaultParagraphFont"/>
    <w:uiPriority w:val="99"/>
    <w:semiHidden/>
    <w:unhideWhenUsed/>
    <w:rsid w:val="0049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523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ce.org.uk/guidance/ktt18" TargetMode="External"/><Relationship Id="rId4" Type="http://schemas.openxmlformats.org/officeDocument/2006/relationships/webSettings" Target="webSettings.xml"/><Relationship Id="rId9" Type="http://schemas.openxmlformats.org/officeDocument/2006/relationships/hyperlink" Target="https://www.un.org/en/development/desa/population/publications/pdf/ageing/WPA2015_Report.pdf%20(assesse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NIS~1.PAT\AppData\Local\Temp\geriatr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geriatrics-template</Template>
  <TotalTime>19</TotalTime>
  <Pages>11</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35676</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Harnish Patel</dc:creator>
  <cp:keywords/>
  <dc:description/>
  <cp:lastModifiedBy>Karen Drake</cp:lastModifiedBy>
  <cp:revision>2</cp:revision>
  <cp:lastPrinted>2020-10-27T10:21:00Z</cp:lastPrinted>
  <dcterms:created xsi:type="dcterms:W3CDTF">2020-11-30T14:10:00Z</dcterms:created>
  <dcterms:modified xsi:type="dcterms:W3CDTF">2020-11-30T14:10:00Z</dcterms:modified>
</cp:coreProperties>
</file>