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5207A" w14:textId="58EF3EE8" w:rsidR="00464D1F" w:rsidRDefault="0080075E" w:rsidP="00E56BE0">
      <w:pPr>
        <w:spacing w:line="480" w:lineRule="auto"/>
        <w:rPr>
          <w:rFonts w:ascii="Times New Roman" w:hAnsi="Times New Roman" w:cs="Times New Roman"/>
          <w:b/>
          <w:sz w:val="24"/>
          <w:szCs w:val="24"/>
        </w:rPr>
      </w:pPr>
      <w:r w:rsidRPr="00E56BE0">
        <w:rPr>
          <w:rFonts w:ascii="Times New Roman" w:hAnsi="Times New Roman" w:cs="Times New Roman"/>
          <w:b/>
          <w:sz w:val="24"/>
          <w:szCs w:val="24"/>
        </w:rPr>
        <w:t xml:space="preserve">Management of </w:t>
      </w:r>
      <w:proofErr w:type="gramStart"/>
      <w:r w:rsidR="009E711C" w:rsidRPr="00E56BE0">
        <w:rPr>
          <w:rFonts w:ascii="Times New Roman" w:hAnsi="Times New Roman" w:cs="Times New Roman"/>
          <w:b/>
          <w:sz w:val="24"/>
          <w:szCs w:val="24"/>
        </w:rPr>
        <w:t>Newly</w:t>
      </w:r>
      <w:r w:rsidR="00417EF5" w:rsidRPr="00E56BE0">
        <w:rPr>
          <w:rFonts w:ascii="Times New Roman" w:hAnsi="Times New Roman" w:cs="Times New Roman"/>
          <w:b/>
          <w:sz w:val="24"/>
          <w:szCs w:val="24"/>
        </w:rPr>
        <w:t>-d</w:t>
      </w:r>
      <w:r w:rsidR="009E711C" w:rsidRPr="00E56BE0">
        <w:rPr>
          <w:rFonts w:ascii="Times New Roman" w:hAnsi="Times New Roman" w:cs="Times New Roman"/>
          <w:b/>
          <w:sz w:val="24"/>
          <w:szCs w:val="24"/>
        </w:rPr>
        <w:t>iagnosed</w:t>
      </w:r>
      <w:proofErr w:type="gramEnd"/>
      <w:r w:rsidR="009E711C" w:rsidRPr="00E56BE0">
        <w:rPr>
          <w:rFonts w:ascii="Times New Roman" w:hAnsi="Times New Roman" w:cs="Times New Roman"/>
          <w:b/>
          <w:sz w:val="24"/>
          <w:szCs w:val="24"/>
        </w:rPr>
        <w:t xml:space="preserve"> </w:t>
      </w:r>
      <w:r w:rsidR="00275C3C" w:rsidRPr="00E56BE0">
        <w:rPr>
          <w:rFonts w:ascii="Times New Roman" w:hAnsi="Times New Roman" w:cs="Times New Roman"/>
          <w:b/>
          <w:sz w:val="24"/>
          <w:szCs w:val="24"/>
        </w:rPr>
        <w:t xml:space="preserve">Metastatic </w:t>
      </w:r>
      <w:r w:rsidRPr="00E56BE0">
        <w:rPr>
          <w:rFonts w:ascii="Times New Roman" w:hAnsi="Times New Roman" w:cs="Times New Roman"/>
          <w:b/>
          <w:sz w:val="24"/>
          <w:szCs w:val="24"/>
        </w:rPr>
        <w:t xml:space="preserve">Hormone-sensitive Prostate Cancer: </w:t>
      </w:r>
      <w:r w:rsidR="00856BAE" w:rsidRPr="00E56BE0">
        <w:rPr>
          <w:rFonts w:ascii="Times New Roman" w:hAnsi="Times New Roman" w:cs="Times New Roman"/>
          <w:b/>
          <w:sz w:val="24"/>
          <w:szCs w:val="24"/>
        </w:rPr>
        <w:t xml:space="preserve">a </w:t>
      </w:r>
      <w:r w:rsidR="00676298" w:rsidRPr="00E56BE0">
        <w:rPr>
          <w:rFonts w:ascii="Times New Roman" w:hAnsi="Times New Roman" w:cs="Times New Roman"/>
          <w:b/>
          <w:sz w:val="24"/>
          <w:szCs w:val="24"/>
        </w:rPr>
        <w:t xml:space="preserve">Survey of </w:t>
      </w:r>
      <w:r w:rsidR="00856BAE" w:rsidRPr="00E56BE0">
        <w:rPr>
          <w:rFonts w:ascii="Times New Roman" w:hAnsi="Times New Roman" w:cs="Times New Roman"/>
          <w:b/>
          <w:sz w:val="24"/>
          <w:szCs w:val="24"/>
        </w:rPr>
        <w:t xml:space="preserve">UK </w:t>
      </w:r>
      <w:r w:rsidR="00676298" w:rsidRPr="00E56BE0">
        <w:rPr>
          <w:rFonts w:ascii="Times New Roman" w:hAnsi="Times New Roman" w:cs="Times New Roman"/>
          <w:b/>
          <w:sz w:val="24"/>
          <w:szCs w:val="24"/>
        </w:rPr>
        <w:t>Uro-oncologists</w:t>
      </w:r>
    </w:p>
    <w:p w14:paraId="6D4D346A" w14:textId="4F20BE43" w:rsidR="00883170" w:rsidRPr="00883170" w:rsidRDefault="00883170" w:rsidP="00E56BE0">
      <w:pPr>
        <w:spacing w:line="480" w:lineRule="auto"/>
        <w:rPr>
          <w:rFonts w:ascii="Times New Roman" w:hAnsi="Times New Roman" w:cs="Times New Roman"/>
          <w:bCs/>
          <w:sz w:val="24"/>
          <w:szCs w:val="24"/>
        </w:rPr>
      </w:pPr>
      <w:r>
        <w:rPr>
          <w:rFonts w:ascii="Times New Roman" w:hAnsi="Times New Roman" w:cs="Times New Roman"/>
          <w:b/>
          <w:sz w:val="24"/>
          <w:szCs w:val="24"/>
        </w:rPr>
        <w:t xml:space="preserve">Running title: </w:t>
      </w:r>
      <w:r w:rsidRPr="00883170">
        <w:rPr>
          <w:rFonts w:ascii="Times New Roman" w:hAnsi="Times New Roman" w:cs="Times New Roman"/>
          <w:bCs/>
          <w:sz w:val="24"/>
          <w:szCs w:val="24"/>
        </w:rPr>
        <w:t>management of</w:t>
      </w:r>
      <w:r>
        <w:rPr>
          <w:rFonts w:ascii="Times New Roman" w:hAnsi="Times New Roman" w:cs="Times New Roman"/>
          <w:b/>
          <w:sz w:val="24"/>
          <w:szCs w:val="24"/>
        </w:rPr>
        <w:t xml:space="preserve"> </w:t>
      </w:r>
      <w:r w:rsidRPr="00883170">
        <w:rPr>
          <w:rFonts w:ascii="Times New Roman" w:hAnsi="Times New Roman" w:cs="Times New Roman"/>
          <w:bCs/>
          <w:sz w:val="24"/>
          <w:szCs w:val="24"/>
        </w:rPr>
        <w:t>metastatic</w:t>
      </w:r>
      <w:r>
        <w:rPr>
          <w:rFonts w:ascii="Times New Roman" w:hAnsi="Times New Roman" w:cs="Times New Roman"/>
          <w:bCs/>
          <w:sz w:val="24"/>
          <w:szCs w:val="24"/>
        </w:rPr>
        <w:t xml:space="preserve"> hormone-sensitive prostate cancer</w:t>
      </w:r>
    </w:p>
    <w:p w14:paraId="47CA6412" w14:textId="6747852F" w:rsidR="00CB3DD4" w:rsidRPr="00E56BE0" w:rsidRDefault="004F514C" w:rsidP="00E56BE0">
      <w:pPr>
        <w:spacing w:line="480" w:lineRule="auto"/>
        <w:rPr>
          <w:rFonts w:ascii="Times New Roman" w:hAnsi="Times New Roman" w:cs="Times New Roman"/>
          <w:sz w:val="24"/>
          <w:szCs w:val="24"/>
        </w:rPr>
      </w:pPr>
      <w:r w:rsidRPr="00C23466">
        <w:rPr>
          <w:rFonts w:ascii="Times New Roman" w:hAnsi="Times New Roman" w:cs="Times New Roman"/>
          <w:sz w:val="24"/>
          <w:szCs w:val="24"/>
        </w:rPr>
        <w:t>Amit Bahl</w:t>
      </w:r>
      <w:r w:rsidR="00883170" w:rsidRPr="00883170">
        <w:rPr>
          <w:rFonts w:ascii="Times New Roman" w:hAnsi="Times New Roman" w:cs="Times New Roman"/>
          <w:sz w:val="24"/>
          <w:szCs w:val="24"/>
          <w:vertAlign w:val="superscript"/>
        </w:rPr>
        <w:t>1</w:t>
      </w:r>
      <w:r w:rsidRPr="00C23466">
        <w:rPr>
          <w:rFonts w:ascii="Times New Roman" w:hAnsi="Times New Roman" w:cs="Times New Roman"/>
          <w:sz w:val="24"/>
          <w:szCs w:val="24"/>
        </w:rPr>
        <w:t xml:space="preserve">, </w:t>
      </w:r>
      <w:r w:rsidRPr="00883170">
        <w:rPr>
          <w:rFonts w:ascii="Times New Roman" w:hAnsi="Times New Roman" w:cs="Times New Roman"/>
          <w:sz w:val="24"/>
          <w:szCs w:val="24"/>
        </w:rPr>
        <w:t>Simon Crabb</w:t>
      </w:r>
      <w:r w:rsidR="00883170" w:rsidRPr="00883170">
        <w:rPr>
          <w:rFonts w:ascii="Times New Roman" w:hAnsi="Times New Roman" w:cs="Times New Roman"/>
          <w:sz w:val="24"/>
          <w:szCs w:val="24"/>
          <w:vertAlign w:val="superscript"/>
        </w:rPr>
        <w:t>2</w:t>
      </w:r>
      <w:r w:rsidRPr="00883170">
        <w:rPr>
          <w:rFonts w:ascii="Times New Roman" w:hAnsi="Times New Roman" w:cs="Times New Roman"/>
          <w:sz w:val="24"/>
          <w:szCs w:val="24"/>
        </w:rPr>
        <w:t xml:space="preserve">, </w:t>
      </w:r>
      <w:r w:rsidR="009E711C" w:rsidRPr="00883170">
        <w:rPr>
          <w:rFonts w:ascii="Times New Roman" w:hAnsi="Times New Roman" w:cs="Times New Roman"/>
          <w:sz w:val="24"/>
          <w:szCs w:val="24"/>
        </w:rPr>
        <w:t>Dan Ford</w:t>
      </w:r>
      <w:r w:rsidR="00883170" w:rsidRPr="00883170">
        <w:rPr>
          <w:rFonts w:ascii="Times New Roman" w:hAnsi="Times New Roman" w:cs="Times New Roman"/>
          <w:sz w:val="24"/>
          <w:szCs w:val="24"/>
          <w:vertAlign w:val="superscript"/>
        </w:rPr>
        <w:t>3</w:t>
      </w:r>
      <w:r w:rsidR="009E711C" w:rsidRPr="00883170">
        <w:rPr>
          <w:rFonts w:ascii="Times New Roman" w:hAnsi="Times New Roman" w:cs="Times New Roman"/>
          <w:sz w:val="24"/>
          <w:szCs w:val="24"/>
        </w:rPr>
        <w:t>, Rob Jones</w:t>
      </w:r>
      <w:r w:rsidR="00883170" w:rsidRPr="00883170">
        <w:rPr>
          <w:rFonts w:ascii="Times New Roman" w:hAnsi="Times New Roman" w:cs="Times New Roman"/>
          <w:sz w:val="24"/>
          <w:szCs w:val="24"/>
          <w:vertAlign w:val="superscript"/>
        </w:rPr>
        <w:t>4</w:t>
      </w:r>
      <w:r w:rsidR="009E711C" w:rsidRPr="00883170">
        <w:rPr>
          <w:rFonts w:ascii="Times New Roman" w:hAnsi="Times New Roman" w:cs="Times New Roman"/>
          <w:sz w:val="24"/>
          <w:szCs w:val="24"/>
        </w:rPr>
        <w:t xml:space="preserve">, </w:t>
      </w:r>
      <w:r w:rsidR="001109A6" w:rsidRPr="00883170">
        <w:rPr>
          <w:rFonts w:ascii="Times New Roman" w:hAnsi="Times New Roman" w:cs="Times New Roman"/>
          <w:sz w:val="24"/>
          <w:szCs w:val="24"/>
        </w:rPr>
        <w:t>Zaf Malik</w:t>
      </w:r>
      <w:r w:rsidR="00883170" w:rsidRPr="00883170">
        <w:rPr>
          <w:rFonts w:ascii="Times New Roman" w:hAnsi="Times New Roman" w:cs="Times New Roman"/>
          <w:sz w:val="24"/>
          <w:szCs w:val="24"/>
          <w:vertAlign w:val="superscript"/>
        </w:rPr>
        <w:t>5</w:t>
      </w:r>
      <w:r w:rsidR="001109A6" w:rsidRPr="00883170">
        <w:rPr>
          <w:rFonts w:ascii="Times New Roman" w:hAnsi="Times New Roman" w:cs="Times New Roman"/>
          <w:sz w:val="24"/>
          <w:szCs w:val="24"/>
        </w:rPr>
        <w:t xml:space="preserve">, </w:t>
      </w:r>
      <w:r w:rsidR="009E711C" w:rsidRPr="00883170">
        <w:rPr>
          <w:rFonts w:ascii="Times New Roman" w:hAnsi="Times New Roman" w:cs="Times New Roman"/>
          <w:sz w:val="24"/>
          <w:szCs w:val="24"/>
        </w:rPr>
        <w:t>D</w:t>
      </w:r>
      <w:r w:rsidR="001109A6" w:rsidRPr="00883170">
        <w:rPr>
          <w:rFonts w:ascii="Times New Roman" w:hAnsi="Times New Roman" w:cs="Times New Roman"/>
          <w:sz w:val="24"/>
          <w:szCs w:val="24"/>
        </w:rPr>
        <w:t xml:space="preserve">anish </w:t>
      </w:r>
      <w:bookmarkStart w:id="0" w:name="_Hlk27324805"/>
      <w:r w:rsidR="009E711C" w:rsidRPr="00883170">
        <w:rPr>
          <w:rFonts w:ascii="Times New Roman" w:hAnsi="Times New Roman" w:cs="Times New Roman"/>
          <w:sz w:val="24"/>
          <w:szCs w:val="24"/>
        </w:rPr>
        <w:t>M</w:t>
      </w:r>
      <w:r w:rsidR="001109A6" w:rsidRPr="00883170">
        <w:rPr>
          <w:rFonts w:ascii="Times New Roman" w:hAnsi="Times New Roman" w:cs="Times New Roman"/>
          <w:sz w:val="24"/>
          <w:szCs w:val="24"/>
        </w:rPr>
        <w:t>azha</w:t>
      </w:r>
      <w:bookmarkEnd w:id="0"/>
      <w:r w:rsidR="001109A6" w:rsidRPr="00883170">
        <w:rPr>
          <w:rFonts w:ascii="Times New Roman" w:hAnsi="Times New Roman" w:cs="Times New Roman"/>
          <w:sz w:val="24"/>
          <w:szCs w:val="24"/>
        </w:rPr>
        <w:t>r</w:t>
      </w:r>
      <w:r w:rsidR="00883170" w:rsidRPr="00883170">
        <w:rPr>
          <w:rFonts w:ascii="Times New Roman" w:hAnsi="Times New Roman" w:cs="Times New Roman"/>
          <w:sz w:val="24"/>
          <w:szCs w:val="24"/>
          <w:vertAlign w:val="superscript"/>
        </w:rPr>
        <w:t>6</w:t>
      </w:r>
      <w:r w:rsidR="009E711C" w:rsidRPr="00883170">
        <w:rPr>
          <w:rFonts w:ascii="Times New Roman" w:hAnsi="Times New Roman" w:cs="Times New Roman"/>
          <w:sz w:val="24"/>
          <w:szCs w:val="24"/>
        </w:rPr>
        <w:t xml:space="preserve">, </w:t>
      </w:r>
      <w:r w:rsidRPr="00883170">
        <w:rPr>
          <w:rFonts w:ascii="Times New Roman" w:hAnsi="Times New Roman" w:cs="Times New Roman"/>
          <w:sz w:val="24"/>
          <w:szCs w:val="24"/>
        </w:rPr>
        <w:t>Joe O’Sullivan</w:t>
      </w:r>
      <w:r w:rsidR="00883170" w:rsidRPr="00883170">
        <w:rPr>
          <w:rFonts w:ascii="Times New Roman" w:hAnsi="Times New Roman" w:cs="Times New Roman"/>
          <w:sz w:val="24"/>
          <w:szCs w:val="24"/>
          <w:vertAlign w:val="superscript"/>
        </w:rPr>
        <w:t>7</w:t>
      </w:r>
      <w:r w:rsidRPr="00CA088A">
        <w:rPr>
          <w:rFonts w:ascii="Times New Roman" w:hAnsi="Times New Roman" w:cs="Times New Roman"/>
          <w:sz w:val="24"/>
          <w:szCs w:val="24"/>
        </w:rPr>
        <w:t xml:space="preserve">, </w:t>
      </w:r>
      <w:r w:rsidRPr="00C23466">
        <w:rPr>
          <w:rFonts w:ascii="Times New Roman" w:hAnsi="Times New Roman" w:cs="Times New Roman"/>
          <w:sz w:val="24"/>
          <w:szCs w:val="24"/>
        </w:rPr>
        <w:t>Heather Payne</w:t>
      </w:r>
      <w:r w:rsidR="00883170" w:rsidRPr="00883170">
        <w:rPr>
          <w:rFonts w:ascii="Times New Roman" w:hAnsi="Times New Roman" w:cs="Times New Roman"/>
          <w:sz w:val="24"/>
          <w:szCs w:val="24"/>
          <w:vertAlign w:val="superscript"/>
        </w:rPr>
        <w:t>8</w:t>
      </w:r>
    </w:p>
    <w:p w14:paraId="2EC271B5" w14:textId="77777777" w:rsidR="00CB3DD4" w:rsidRPr="00E56BE0" w:rsidRDefault="00CB3DD4" w:rsidP="00E56BE0">
      <w:pPr>
        <w:spacing w:line="480" w:lineRule="auto"/>
        <w:rPr>
          <w:rFonts w:ascii="Times New Roman" w:hAnsi="Times New Roman" w:cs="Times New Roman"/>
          <w:sz w:val="24"/>
          <w:szCs w:val="24"/>
        </w:rPr>
      </w:pPr>
    </w:p>
    <w:p w14:paraId="6380DBB6" w14:textId="3DCD3A8F" w:rsidR="00CB3DD4" w:rsidRPr="00E56BE0" w:rsidRDefault="00883170" w:rsidP="00E56BE0">
      <w:pPr>
        <w:spacing w:line="480" w:lineRule="auto"/>
        <w:rPr>
          <w:rFonts w:ascii="Times New Roman" w:hAnsi="Times New Roman" w:cs="Times New Roman"/>
          <w:sz w:val="24"/>
          <w:szCs w:val="24"/>
          <w:shd w:val="clear" w:color="auto" w:fill="FFFFFF"/>
        </w:rPr>
      </w:pPr>
      <w:r w:rsidRPr="00883170">
        <w:rPr>
          <w:rFonts w:ascii="Times New Roman" w:hAnsi="Times New Roman" w:cs="Times New Roman"/>
          <w:sz w:val="24"/>
          <w:szCs w:val="24"/>
          <w:vertAlign w:val="superscript"/>
        </w:rPr>
        <w:t>1</w:t>
      </w:r>
      <w:hyperlink r:id="rId7" w:history="1">
        <w:r w:rsidR="00CB3DD4" w:rsidRPr="00E56BE0">
          <w:rPr>
            <w:rFonts w:ascii="Times New Roman" w:hAnsi="Times New Roman" w:cs="Times New Roman"/>
            <w:sz w:val="24"/>
            <w:szCs w:val="24"/>
            <w:shd w:val="clear" w:color="auto" w:fill="FFFFFF"/>
          </w:rPr>
          <w:t>University Hospitals Bristol NHS Foundation Trust</w:t>
        </w:r>
      </w:hyperlink>
      <w:r w:rsidR="00CB3DD4" w:rsidRPr="00E56BE0">
        <w:rPr>
          <w:rFonts w:ascii="Times New Roman" w:hAnsi="Times New Roman" w:cs="Times New Roman"/>
          <w:sz w:val="24"/>
          <w:szCs w:val="24"/>
          <w:shd w:val="clear" w:color="auto" w:fill="FFFFFF"/>
        </w:rPr>
        <w:t xml:space="preserve">, </w:t>
      </w:r>
      <w:hyperlink r:id="rId8" w:history="1">
        <w:r w:rsidR="00CB3DD4" w:rsidRPr="00E56BE0">
          <w:rPr>
            <w:rFonts w:ascii="Times New Roman" w:hAnsi="Times New Roman" w:cs="Times New Roman"/>
            <w:sz w:val="24"/>
            <w:szCs w:val="24"/>
            <w:shd w:val="clear" w:color="auto" w:fill="FFFFFF"/>
          </w:rPr>
          <w:t>Bristol Haematology and Oncology Centre</w:t>
        </w:r>
      </w:hyperlink>
      <w:r w:rsidR="00CB3DD4" w:rsidRPr="00E56BE0">
        <w:rPr>
          <w:rFonts w:ascii="Times New Roman" w:hAnsi="Times New Roman" w:cs="Times New Roman"/>
          <w:sz w:val="24"/>
          <w:szCs w:val="24"/>
          <w:shd w:val="clear" w:color="auto" w:fill="FFFFFF"/>
        </w:rPr>
        <w:t>, Bristol, UK</w:t>
      </w:r>
    </w:p>
    <w:p w14:paraId="24E6B3AB" w14:textId="5FBEEAD6" w:rsidR="00CB3DD4" w:rsidRPr="00883170" w:rsidRDefault="00883170" w:rsidP="00E56BE0">
      <w:pPr>
        <w:spacing w:line="480" w:lineRule="auto"/>
        <w:rPr>
          <w:rFonts w:ascii="Times New Roman" w:hAnsi="Times New Roman" w:cs="Times New Roman"/>
          <w:sz w:val="24"/>
          <w:szCs w:val="24"/>
          <w:shd w:val="clear" w:color="auto" w:fill="FFFFFF"/>
        </w:rPr>
      </w:pPr>
      <w:r w:rsidRPr="00883170">
        <w:rPr>
          <w:rFonts w:ascii="Times New Roman" w:hAnsi="Times New Roman" w:cs="Times New Roman"/>
          <w:sz w:val="24"/>
          <w:szCs w:val="24"/>
          <w:shd w:val="clear" w:color="auto" w:fill="FFFFFF"/>
          <w:vertAlign w:val="superscript"/>
        </w:rPr>
        <w:t>2</w:t>
      </w:r>
      <w:r w:rsidR="00CB3DD4" w:rsidRPr="00883170">
        <w:rPr>
          <w:rFonts w:ascii="Times New Roman" w:hAnsi="Times New Roman" w:cs="Times New Roman"/>
          <w:sz w:val="24"/>
          <w:szCs w:val="24"/>
          <w:shd w:val="clear" w:color="auto" w:fill="FFFFFF"/>
        </w:rPr>
        <w:t>University of Southampton, Southampton, UK</w:t>
      </w:r>
    </w:p>
    <w:p w14:paraId="1F288D92" w14:textId="3A43F5AD" w:rsidR="00CB3DD4" w:rsidRPr="00883170" w:rsidRDefault="00883170" w:rsidP="00E56BE0">
      <w:pPr>
        <w:spacing w:line="480" w:lineRule="auto"/>
        <w:rPr>
          <w:rFonts w:ascii="Times New Roman" w:hAnsi="Times New Roman" w:cs="Times New Roman"/>
          <w:sz w:val="24"/>
          <w:szCs w:val="24"/>
          <w:shd w:val="clear" w:color="auto" w:fill="FFFFFF"/>
        </w:rPr>
      </w:pPr>
      <w:r w:rsidRPr="00883170">
        <w:rPr>
          <w:rFonts w:ascii="Times New Roman" w:hAnsi="Times New Roman" w:cs="Times New Roman"/>
          <w:sz w:val="24"/>
          <w:szCs w:val="24"/>
          <w:shd w:val="clear" w:color="auto" w:fill="FFFFFF"/>
          <w:vertAlign w:val="superscript"/>
        </w:rPr>
        <w:t>3</w:t>
      </w:r>
      <w:r w:rsidR="00CB3DD4" w:rsidRPr="00883170">
        <w:rPr>
          <w:rFonts w:ascii="Times New Roman" w:hAnsi="Times New Roman" w:cs="Times New Roman"/>
          <w:sz w:val="24"/>
          <w:szCs w:val="24"/>
          <w:shd w:val="clear" w:color="auto" w:fill="FFFFFF"/>
        </w:rPr>
        <w:t>University Hospitals Birmingham, Birmingham, UK</w:t>
      </w:r>
    </w:p>
    <w:p w14:paraId="6C08DB74" w14:textId="4C22E972" w:rsidR="003D5926" w:rsidRPr="00883170" w:rsidRDefault="00883170" w:rsidP="00E56BE0">
      <w:pPr>
        <w:spacing w:line="480" w:lineRule="auto"/>
        <w:rPr>
          <w:rFonts w:ascii="Times New Roman" w:hAnsi="Times New Roman" w:cs="Times New Roman"/>
          <w:sz w:val="24"/>
          <w:szCs w:val="24"/>
        </w:rPr>
      </w:pPr>
      <w:r w:rsidRPr="00883170">
        <w:rPr>
          <w:rFonts w:ascii="Times New Roman" w:hAnsi="Times New Roman" w:cs="Times New Roman"/>
          <w:sz w:val="24"/>
          <w:szCs w:val="24"/>
          <w:vertAlign w:val="superscript"/>
        </w:rPr>
        <w:t>4</w:t>
      </w:r>
      <w:r w:rsidR="003D5926" w:rsidRPr="00883170">
        <w:rPr>
          <w:rFonts w:ascii="Times New Roman" w:hAnsi="Times New Roman" w:cs="Times New Roman"/>
          <w:sz w:val="24"/>
          <w:szCs w:val="24"/>
        </w:rPr>
        <w:t>University of Glasgow</w:t>
      </w:r>
      <w:r w:rsidRPr="00883170">
        <w:rPr>
          <w:rFonts w:ascii="Times New Roman" w:hAnsi="Times New Roman" w:cs="Times New Roman"/>
          <w:sz w:val="24"/>
          <w:szCs w:val="24"/>
        </w:rPr>
        <w:t xml:space="preserve"> and Beatson West of Scotland Cancer Centre</w:t>
      </w:r>
      <w:r w:rsidR="003D5926" w:rsidRPr="00883170">
        <w:rPr>
          <w:rFonts w:ascii="Times New Roman" w:hAnsi="Times New Roman" w:cs="Times New Roman"/>
          <w:sz w:val="24"/>
          <w:szCs w:val="24"/>
        </w:rPr>
        <w:t>, Glasgow</w:t>
      </w:r>
      <w:r w:rsidR="005D24F4">
        <w:rPr>
          <w:rFonts w:ascii="Times New Roman" w:hAnsi="Times New Roman" w:cs="Times New Roman"/>
          <w:sz w:val="24"/>
          <w:szCs w:val="24"/>
        </w:rPr>
        <w:t>,</w:t>
      </w:r>
      <w:r w:rsidR="003D5926" w:rsidRPr="00883170">
        <w:rPr>
          <w:rFonts w:ascii="Times New Roman" w:hAnsi="Times New Roman" w:cs="Times New Roman"/>
          <w:sz w:val="24"/>
          <w:szCs w:val="24"/>
        </w:rPr>
        <w:t xml:space="preserve"> UK</w:t>
      </w:r>
    </w:p>
    <w:p w14:paraId="34ECEDE1" w14:textId="6C70C40D" w:rsidR="00CB3DD4" w:rsidRPr="00883170" w:rsidRDefault="00883170" w:rsidP="00E56BE0">
      <w:pPr>
        <w:spacing w:line="480" w:lineRule="auto"/>
        <w:rPr>
          <w:rFonts w:ascii="Times New Roman" w:hAnsi="Times New Roman" w:cs="Times New Roman"/>
          <w:sz w:val="24"/>
          <w:szCs w:val="24"/>
        </w:rPr>
      </w:pPr>
      <w:r w:rsidRPr="00883170">
        <w:rPr>
          <w:rFonts w:ascii="Times New Roman" w:hAnsi="Times New Roman" w:cs="Times New Roman"/>
          <w:sz w:val="24"/>
          <w:szCs w:val="24"/>
          <w:vertAlign w:val="superscript"/>
        </w:rPr>
        <w:t>5</w:t>
      </w:r>
      <w:r w:rsidR="00CB3DD4" w:rsidRPr="00883170">
        <w:rPr>
          <w:rFonts w:ascii="Times New Roman" w:hAnsi="Times New Roman" w:cs="Times New Roman"/>
          <w:sz w:val="24"/>
          <w:szCs w:val="24"/>
        </w:rPr>
        <w:t>The Clatterbridge Cancer Centre NHS Foundation Trust, Liverpool, UK</w:t>
      </w:r>
    </w:p>
    <w:p w14:paraId="1750B452" w14:textId="41164E12" w:rsidR="00CB3DD4" w:rsidRPr="00883170" w:rsidRDefault="00883170" w:rsidP="00E56BE0">
      <w:pPr>
        <w:spacing w:line="480" w:lineRule="auto"/>
        <w:rPr>
          <w:rFonts w:ascii="Times New Roman" w:hAnsi="Times New Roman" w:cs="Times New Roman"/>
          <w:sz w:val="24"/>
          <w:szCs w:val="24"/>
        </w:rPr>
      </w:pPr>
      <w:r w:rsidRPr="00883170">
        <w:rPr>
          <w:rFonts w:ascii="Times New Roman" w:hAnsi="Times New Roman" w:cs="Times New Roman"/>
          <w:sz w:val="24"/>
          <w:szCs w:val="24"/>
          <w:vertAlign w:val="superscript"/>
        </w:rPr>
        <w:t>6</w:t>
      </w:r>
      <w:r w:rsidR="00CB3DD4" w:rsidRPr="00883170">
        <w:rPr>
          <w:rFonts w:ascii="Times New Roman" w:hAnsi="Times New Roman" w:cs="Times New Roman"/>
          <w:sz w:val="24"/>
          <w:szCs w:val="24"/>
        </w:rPr>
        <w:t>Addenbrooke’s Hospital, Cambridge University Hospitals NHS Foundation Trust, Cambridge, UK</w:t>
      </w:r>
    </w:p>
    <w:p w14:paraId="4C1F841A" w14:textId="0FBDD69E" w:rsidR="00CB3DD4" w:rsidRPr="00E56BE0" w:rsidRDefault="00883170" w:rsidP="00E56BE0">
      <w:pPr>
        <w:spacing w:before="120" w:after="120" w:line="480" w:lineRule="auto"/>
        <w:rPr>
          <w:rFonts w:ascii="Times New Roman" w:hAnsi="Times New Roman" w:cs="Times New Roman"/>
          <w:sz w:val="24"/>
          <w:szCs w:val="24"/>
        </w:rPr>
      </w:pPr>
      <w:r w:rsidRPr="00883170">
        <w:rPr>
          <w:rFonts w:ascii="Times New Roman" w:hAnsi="Times New Roman" w:cs="Times New Roman"/>
          <w:sz w:val="24"/>
          <w:szCs w:val="24"/>
          <w:vertAlign w:val="superscript"/>
        </w:rPr>
        <w:t>7</w:t>
      </w:r>
      <w:r w:rsidR="00CB3DD4" w:rsidRPr="00883170">
        <w:rPr>
          <w:rFonts w:ascii="Times New Roman" w:hAnsi="Times New Roman" w:cs="Times New Roman"/>
          <w:sz w:val="24"/>
          <w:szCs w:val="24"/>
        </w:rPr>
        <w:t>Queen’s University Belfast and The Northern Ireland Cancer Centre, Belfast, Northern Ireland, UK</w:t>
      </w:r>
    </w:p>
    <w:p w14:paraId="4BFC4FD3" w14:textId="06C0F87D" w:rsidR="00CB3DD4" w:rsidRPr="00E56BE0" w:rsidRDefault="00883170" w:rsidP="00E56BE0">
      <w:pPr>
        <w:pStyle w:val="Heading1"/>
        <w:shd w:val="clear" w:color="auto" w:fill="FFFFFF"/>
        <w:spacing w:before="120" w:beforeAutospacing="0" w:after="120" w:afterAutospacing="0" w:line="480" w:lineRule="auto"/>
        <w:rPr>
          <w:b w:val="0"/>
          <w:sz w:val="24"/>
          <w:szCs w:val="24"/>
          <w:shd w:val="clear" w:color="auto" w:fill="FFFFFF"/>
        </w:rPr>
      </w:pPr>
      <w:r w:rsidRPr="00883170">
        <w:rPr>
          <w:b w:val="0"/>
          <w:sz w:val="24"/>
          <w:szCs w:val="24"/>
          <w:shd w:val="clear" w:color="auto" w:fill="FFFFFF"/>
          <w:vertAlign w:val="superscript"/>
        </w:rPr>
        <w:t>8</w:t>
      </w:r>
      <w:r w:rsidR="00CB3DD4" w:rsidRPr="00E56BE0">
        <w:rPr>
          <w:b w:val="0"/>
          <w:sz w:val="24"/>
          <w:szCs w:val="24"/>
          <w:shd w:val="clear" w:color="auto" w:fill="FFFFFF"/>
        </w:rPr>
        <w:t>University College London Hospitals, London, UK</w:t>
      </w:r>
    </w:p>
    <w:p w14:paraId="761F5FF3" w14:textId="7BC881AE" w:rsidR="00CB3DD4" w:rsidRPr="00E56BE0" w:rsidRDefault="00E56BE0" w:rsidP="00E56BE0">
      <w:pPr>
        <w:pStyle w:val="Heading1"/>
        <w:shd w:val="clear" w:color="auto" w:fill="FFFFFF"/>
        <w:spacing w:before="120" w:beforeAutospacing="0" w:after="120" w:afterAutospacing="0" w:line="480" w:lineRule="auto"/>
        <w:rPr>
          <w:bCs w:val="0"/>
          <w:sz w:val="24"/>
          <w:szCs w:val="24"/>
          <w:shd w:val="clear" w:color="auto" w:fill="FFFFFF"/>
        </w:rPr>
      </w:pPr>
      <w:r w:rsidRPr="00E56BE0">
        <w:rPr>
          <w:bCs w:val="0"/>
          <w:sz w:val="24"/>
          <w:szCs w:val="24"/>
          <w:shd w:val="clear" w:color="auto" w:fill="FFFFFF"/>
        </w:rPr>
        <w:t>C</w:t>
      </w:r>
      <w:r w:rsidR="00CB3DD4" w:rsidRPr="00E56BE0">
        <w:rPr>
          <w:bCs w:val="0"/>
          <w:sz w:val="24"/>
          <w:szCs w:val="24"/>
          <w:shd w:val="clear" w:color="auto" w:fill="FFFFFF"/>
        </w:rPr>
        <w:t>orrespond</w:t>
      </w:r>
      <w:r w:rsidRPr="00E56BE0">
        <w:rPr>
          <w:bCs w:val="0"/>
          <w:sz w:val="24"/>
          <w:szCs w:val="24"/>
          <w:shd w:val="clear" w:color="auto" w:fill="FFFFFF"/>
        </w:rPr>
        <w:t>ing author</w:t>
      </w:r>
    </w:p>
    <w:p w14:paraId="2FE4978B" w14:textId="09A69741" w:rsidR="00E56BE0" w:rsidRPr="00E56BE0" w:rsidRDefault="00E56BE0" w:rsidP="00E56BE0">
      <w:pPr>
        <w:spacing w:before="120" w:after="120" w:line="480" w:lineRule="auto"/>
        <w:rPr>
          <w:rFonts w:ascii="Times New Roman" w:hAnsi="Times New Roman" w:cs="Times New Roman"/>
          <w:sz w:val="24"/>
          <w:szCs w:val="24"/>
        </w:rPr>
      </w:pPr>
      <w:r w:rsidRPr="00E56BE0">
        <w:rPr>
          <w:rFonts w:ascii="Times New Roman" w:hAnsi="Times New Roman" w:cs="Times New Roman"/>
          <w:sz w:val="24"/>
          <w:szCs w:val="24"/>
        </w:rPr>
        <w:t xml:space="preserve">Professor </w:t>
      </w:r>
      <w:r w:rsidR="00C708DF">
        <w:rPr>
          <w:rFonts w:ascii="Times New Roman" w:hAnsi="Times New Roman" w:cs="Times New Roman"/>
          <w:sz w:val="24"/>
          <w:szCs w:val="24"/>
        </w:rPr>
        <w:t>Amit Bahl</w:t>
      </w:r>
    </w:p>
    <w:p w14:paraId="4B11137A" w14:textId="0C3CF734" w:rsidR="00CB3DD4" w:rsidRDefault="00C708DF" w:rsidP="00E56BE0">
      <w:pPr>
        <w:spacing w:line="480" w:lineRule="auto"/>
        <w:rPr>
          <w:rFonts w:ascii="Times New Roman" w:hAnsi="Times New Roman" w:cs="Times New Roman"/>
          <w:sz w:val="24"/>
          <w:szCs w:val="24"/>
        </w:rPr>
      </w:pPr>
      <w:r w:rsidRPr="00C708DF">
        <w:rPr>
          <w:rFonts w:ascii="Times New Roman" w:hAnsi="Times New Roman" w:cs="Times New Roman"/>
          <w:sz w:val="24"/>
          <w:szCs w:val="24"/>
        </w:rPr>
        <w:t>University Hospitals Bristol NHS Foundation Trust, Bristol Haematology and Oncology Centre, Bristol, UK</w:t>
      </w:r>
    </w:p>
    <w:p w14:paraId="19E43FAA" w14:textId="3E9C2B96" w:rsidR="00883170" w:rsidRDefault="00883170" w:rsidP="00E56BE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Email: </w:t>
      </w:r>
      <w:r w:rsidRPr="00883170">
        <w:rPr>
          <w:rFonts w:ascii="Times New Roman" w:hAnsi="Times New Roman" w:cs="Times New Roman"/>
          <w:sz w:val="24"/>
          <w:szCs w:val="24"/>
        </w:rPr>
        <w:t>Amit.Bahl@uhbw.nhs.uk</w:t>
      </w:r>
    </w:p>
    <w:p w14:paraId="7C55F8A4" w14:textId="5FF69AD1" w:rsidR="00883170" w:rsidRDefault="00883170" w:rsidP="00E56BE0">
      <w:pPr>
        <w:spacing w:line="480" w:lineRule="auto"/>
        <w:rPr>
          <w:rFonts w:ascii="Times New Roman" w:hAnsi="Times New Roman" w:cs="Times New Roman"/>
          <w:sz w:val="24"/>
          <w:szCs w:val="24"/>
        </w:rPr>
      </w:pPr>
      <w:r>
        <w:rPr>
          <w:rFonts w:ascii="Times New Roman" w:hAnsi="Times New Roman" w:cs="Times New Roman"/>
          <w:sz w:val="24"/>
          <w:szCs w:val="24"/>
        </w:rPr>
        <w:t>Telephone:</w:t>
      </w:r>
      <w:r w:rsidR="00782B3C">
        <w:rPr>
          <w:rFonts w:ascii="Times New Roman" w:hAnsi="Times New Roman" w:cs="Times New Roman"/>
          <w:sz w:val="24"/>
          <w:szCs w:val="24"/>
        </w:rPr>
        <w:t xml:space="preserve"> </w:t>
      </w:r>
      <w:r w:rsidR="00782B3C" w:rsidRPr="00782B3C">
        <w:rPr>
          <w:rFonts w:ascii="Times New Roman" w:hAnsi="Times New Roman" w:cs="Times New Roman"/>
          <w:sz w:val="24"/>
          <w:szCs w:val="24"/>
        </w:rPr>
        <w:t>0117 342 6297</w:t>
      </w:r>
      <w:bookmarkStart w:id="1" w:name="_GoBack"/>
      <w:bookmarkEnd w:id="1"/>
    </w:p>
    <w:p w14:paraId="0A9F0BC6" w14:textId="77777777" w:rsidR="00E56BE0" w:rsidRDefault="00E56BE0" w:rsidP="00E56BE0">
      <w:pPr>
        <w:pStyle w:val="ListParagraph"/>
        <w:spacing w:line="480" w:lineRule="auto"/>
        <w:ind w:left="-90"/>
        <w:rPr>
          <w:rFonts w:ascii="Times New Roman" w:hAnsi="Times New Roman"/>
          <w:b/>
          <w:sz w:val="24"/>
          <w:szCs w:val="24"/>
        </w:rPr>
      </w:pPr>
      <w:r>
        <w:rPr>
          <w:rFonts w:ascii="Times New Roman" w:hAnsi="Times New Roman"/>
          <w:b/>
          <w:sz w:val="24"/>
          <w:szCs w:val="24"/>
        </w:rPr>
        <w:t>Authorship</w:t>
      </w:r>
    </w:p>
    <w:p w14:paraId="33C43E84" w14:textId="3725AD61" w:rsidR="00E56BE0" w:rsidRPr="00EA7959" w:rsidRDefault="00EA7959" w:rsidP="00EA7959">
      <w:pPr>
        <w:pStyle w:val="ListParagraph"/>
        <w:spacing w:line="480" w:lineRule="auto"/>
        <w:ind w:left="-90"/>
        <w:rPr>
          <w:rFonts w:ascii="Times New Roman" w:hAnsi="Times New Roman"/>
          <w:sz w:val="24"/>
          <w:szCs w:val="24"/>
        </w:rPr>
      </w:pPr>
      <w:r>
        <w:rPr>
          <w:rFonts w:ascii="Times New Roman" w:hAnsi="Times New Roman"/>
          <w:sz w:val="24"/>
          <w:szCs w:val="24"/>
        </w:rPr>
        <w:t>The authors</w:t>
      </w:r>
      <w:r w:rsidR="00E56BE0" w:rsidRPr="00CA088A">
        <w:rPr>
          <w:rFonts w:ascii="Times New Roman" w:hAnsi="Times New Roman"/>
          <w:sz w:val="24"/>
          <w:szCs w:val="24"/>
        </w:rPr>
        <w:t xml:space="preserve"> led the design of the questionnaire,</w:t>
      </w:r>
      <w:r w:rsidR="00E56BE0">
        <w:rPr>
          <w:rFonts w:ascii="Times New Roman" w:hAnsi="Times New Roman"/>
          <w:sz w:val="24"/>
          <w:szCs w:val="24"/>
        </w:rPr>
        <w:t xml:space="preserve"> which was approved by the BUG Executive Committee; Right Angle (BUG Secretariat) collated the data for analysis by </w:t>
      </w:r>
      <w:r>
        <w:rPr>
          <w:rFonts w:ascii="Times New Roman" w:hAnsi="Times New Roman"/>
          <w:sz w:val="24"/>
          <w:szCs w:val="24"/>
        </w:rPr>
        <w:t>the Authors.</w:t>
      </w:r>
      <w:r w:rsidR="00E56BE0">
        <w:rPr>
          <w:rFonts w:ascii="Times New Roman" w:hAnsi="Times New Roman"/>
          <w:sz w:val="24"/>
          <w:szCs w:val="24"/>
        </w:rPr>
        <w:t xml:space="preserve"> All authors reviewed and commented on the manuscript.</w:t>
      </w:r>
    </w:p>
    <w:p w14:paraId="78DA5D2B" w14:textId="77777777" w:rsidR="00E56BE0" w:rsidRDefault="00E56BE0" w:rsidP="00E56BE0">
      <w:pPr>
        <w:pStyle w:val="ListParagraph"/>
        <w:spacing w:line="480" w:lineRule="auto"/>
        <w:ind w:left="-90"/>
        <w:rPr>
          <w:rFonts w:ascii="Times New Roman" w:hAnsi="Times New Roman"/>
          <w:b/>
          <w:sz w:val="24"/>
          <w:szCs w:val="24"/>
        </w:rPr>
      </w:pPr>
      <w:r>
        <w:rPr>
          <w:rFonts w:ascii="Times New Roman" w:hAnsi="Times New Roman"/>
          <w:b/>
          <w:sz w:val="24"/>
          <w:szCs w:val="24"/>
        </w:rPr>
        <w:t xml:space="preserve">Acknowledgements </w:t>
      </w:r>
    </w:p>
    <w:p w14:paraId="6C3544C9" w14:textId="77777777" w:rsidR="00E56BE0" w:rsidRDefault="00E56BE0" w:rsidP="00E56BE0">
      <w:pPr>
        <w:pStyle w:val="ListParagraph"/>
        <w:spacing w:line="480" w:lineRule="auto"/>
        <w:ind w:left="-90"/>
        <w:rPr>
          <w:rFonts w:ascii="Times New Roman" w:hAnsi="Times New Roman"/>
          <w:sz w:val="24"/>
          <w:szCs w:val="24"/>
        </w:rPr>
      </w:pPr>
      <w:r>
        <w:rPr>
          <w:rFonts w:ascii="Times New Roman" w:hAnsi="Times New Roman"/>
          <w:sz w:val="24"/>
          <w:szCs w:val="24"/>
        </w:rPr>
        <w:t>The authors would like to thank Right Angle (BUG Secretariat) for their editorial assistance in the preparation of this manuscript. Heather Payne’s work was supported by the UCLH/UCL Comprehensive Biomedical Research Centre.</w:t>
      </w:r>
    </w:p>
    <w:p w14:paraId="529CD11F" w14:textId="77777777" w:rsidR="00E56BE0" w:rsidRDefault="00E56BE0" w:rsidP="00E56BE0">
      <w:pPr>
        <w:pStyle w:val="ListParagraph"/>
        <w:spacing w:line="480" w:lineRule="auto"/>
        <w:ind w:left="-90"/>
        <w:rPr>
          <w:rFonts w:ascii="Times New Roman" w:hAnsi="Times New Roman"/>
          <w:sz w:val="24"/>
          <w:szCs w:val="24"/>
        </w:rPr>
      </w:pPr>
    </w:p>
    <w:p w14:paraId="5D8C4C63" w14:textId="77777777" w:rsidR="00EA7959" w:rsidRDefault="00EA7959" w:rsidP="00EA7959">
      <w:pPr>
        <w:pStyle w:val="ListParagraph"/>
        <w:spacing w:line="480" w:lineRule="auto"/>
        <w:ind w:left="-90"/>
        <w:rPr>
          <w:rFonts w:ascii="Verdana" w:hAnsi="Verdana"/>
          <w:sz w:val="20"/>
          <w:szCs w:val="20"/>
        </w:rPr>
      </w:pPr>
      <w:r>
        <w:rPr>
          <w:rFonts w:ascii="Times New Roman" w:hAnsi="Times New Roman"/>
          <w:b/>
          <w:sz w:val="24"/>
          <w:szCs w:val="24"/>
        </w:rPr>
        <w:t>Conflict of interests</w:t>
      </w:r>
      <w:r>
        <w:t xml:space="preserve"> </w:t>
      </w:r>
    </w:p>
    <w:p w14:paraId="6A5B5851" w14:textId="77777777" w:rsidR="00EA7959" w:rsidRDefault="00EA7959" w:rsidP="00EA7959">
      <w:pPr>
        <w:pStyle w:val="ListParagraph"/>
        <w:spacing w:line="480" w:lineRule="auto"/>
        <w:ind w:left="-90"/>
        <w:rPr>
          <w:rFonts w:ascii="Times New Roman" w:hAnsi="Times New Roman"/>
          <w:sz w:val="24"/>
          <w:szCs w:val="24"/>
        </w:rPr>
      </w:pPr>
      <w:r>
        <w:rPr>
          <w:rFonts w:ascii="Times New Roman" w:hAnsi="Times New Roman"/>
          <w:sz w:val="24"/>
          <w:szCs w:val="24"/>
        </w:rPr>
        <w:t>None of the authors have received any financial compensation for writing this publication.</w:t>
      </w:r>
    </w:p>
    <w:p w14:paraId="4E2A87ED" w14:textId="77777777" w:rsidR="00E56BE0" w:rsidRDefault="00E56BE0" w:rsidP="00E56BE0">
      <w:pPr>
        <w:pStyle w:val="ListParagraph"/>
        <w:spacing w:line="480" w:lineRule="auto"/>
        <w:ind w:left="-90"/>
        <w:rPr>
          <w:rFonts w:ascii="Times New Roman" w:hAnsi="Times New Roman"/>
          <w:b/>
          <w:sz w:val="24"/>
          <w:szCs w:val="24"/>
        </w:rPr>
      </w:pPr>
    </w:p>
    <w:p w14:paraId="50AD711A" w14:textId="77777777" w:rsidR="00E56BE0" w:rsidRDefault="00E56BE0" w:rsidP="00E56BE0">
      <w:pPr>
        <w:pStyle w:val="ListParagraph"/>
        <w:spacing w:line="480" w:lineRule="auto"/>
        <w:ind w:left="-90"/>
        <w:rPr>
          <w:rFonts w:ascii="Times New Roman" w:hAnsi="Times New Roman"/>
          <w:b/>
          <w:sz w:val="24"/>
          <w:szCs w:val="24"/>
        </w:rPr>
      </w:pPr>
      <w:r>
        <w:rPr>
          <w:rFonts w:ascii="Times New Roman" w:hAnsi="Times New Roman"/>
          <w:b/>
          <w:sz w:val="24"/>
          <w:szCs w:val="24"/>
        </w:rPr>
        <w:t xml:space="preserve">Funding </w:t>
      </w:r>
    </w:p>
    <w:p w14:paraId="28D8E2C4" w14:textId="18218354" w:rsidR="00E56BE0" w:rsidRDefault="00E56BE0" w:rsidP="00E56BE0">
      <w:pPr>
        <w:pStyle w:val="ListParagraph"/>
        <w:spacing w:line="480" w:lineRule="auto"/>
        <w:ind w:left="-90"/>
        <w:rPr>
          <w:rFonts w:ascii="Times New Roman" w:hAnsi="Times New Roman"/>
          <w:sz w:val="24"/>
          <w:szCs w:val="24"/>
        </w:rPr>
      </w:pPr>
      <w:r>
        <w:rPr>
          <w:rFonts w:ascii="Times New Roman" w:hAnsi="Times New Roman"/>
          <w:sz w:val="24"/>
          <w:szCs w:val="24"/>
        </w:rPr>
        <w:t xml:space="preserve">This is a BUG initiative, supported by an educational grant </w:t>
      </w:r>
      <w:r w:rsidRPr="00D056A7">
        <w:rPr>
          <w:rFonts w:ascii="Times New Roman" w:hAnsi="Times New Roman"/>
          <w:sz w:val="24"/>
          <w:szCs w:val="24"/>
        </w:rPr>
        <w:t>from</w:t>
      </w:r>
      <w:r w:rsidR="00D056A7" w:rsidRPr="00D056A7">
        <w:rPr>
          <w:rFonts w:ascii="Times New Roman" w:hAnsi="Times New Roman"/>
          <w:sz w:val="24"/>
          <w:szCs w:val="24"/>
        </w:rPr>
        <w:t xml:space="preserve"> Sanofi</w:t>
      </w:r>
      <w:r>
        <w:rPr>
          <w:rFonts w:ascii="Times New Roman" w:hAnsi="Times New Roman"/>
          <w:sz w:val="24"/>
          <w:szCs w:val="24"/>
        </w:rPr>
        <w:t xml:space="preserve">. The educational grant financed the implementation of the survey and editorial assistance. </w:t>
      </w:r>
      <w:r w:rsidR="003A01A2">
        <w:rPr>
          <w:rFonts w:ascii="Times New Roman" w:hAnsi="Times New Roman"/>
          <w:sz w:val="24"/>
          <w:szCs w:val="24"/>
        </w:rPr>
        <w:t>Sanofi</w:t>
      </w:r>
      <w:r>
        <w:rPr>
          <w:rFonts w:ascii="Times New Roman" w:hAnsi="Times New Roman"/>
          <w:sz w:val="24"/>
          <w:szCs w:val="24"/>
        </w:rPr>
        <w:t xml:space="preserve"> had no influence over the design of the survey, analysis of the data or resulting publication.</w:t>
      </w:r>
    </w:p>
    <w:p w14:paraId="6A69D341" w14:textId="77777777" w:rsidR="00E56BE0" w:rsidRDefault="00E56BE0" w:rsidP="00E56BE0">
      <w:pPr>
        <w:spacing w:line="480" w:lineRule="auto"/>
        <w:rPr>
          <w:rFonts w:ascii="Times New Roman" w:hAnsi="Times New Roman" w:cs="Times New Roman"/>
          <w:sz w:val="24"/>
          <w:szCs w:val="24"/>
        </w:rPr>
      </w:pPr>
    </w:p>
    <w:p w14:paraId="1D068FD5" w14:textId="77777777" w:rsidR="00EA7959" w:rsidRDefault="00EA7959">
      <w:pPr>
        <w:rPr>
          <w:rFonts w:ascii="Times New Roman" w:hAnsi="Times New Roman" w:cs="Times New Roman"/>
          <w:b/>
          <w:bCs/>
          <w:sz w:val="24"/>
          <w:szCs w:val="24"/>
        </w:rPr>
      </w:pPr>
      <w:r>
        <w:rPr>
          <w:rFonts w:ascii="Times New Roman" w:hAnsi="Times New Roman" w:cs="Times New Roman"/>
          <w:b/>
          <w:bCs/>
          <w:sz w:val="24"/>
          <w:szCs w:val="24"/>
        </w:rPr>
        <w:br w:type="page"/>
      </w:r>
    </w:p>
    <w:p w14:paraId="10275DAE" w14:textId="32706605" w:rsidR="00CB3DD4" w:rsidRPr="00E56BE0" w:rsidRDefault="00CB3DD4" w:rsidP="00E56BE0">
      <w:pPr>
        <w:spacing w:line="480" w:lineRule="auto"/>
        <w:rPr>
          <w:rFonts w:ascii="Times New Roman" w:hAnsi="Times New Roman" w:cs="Times New Roman"/>
          <w:b/>
          <w:bCs/>
          <w:sz w:val="24"/>
          <w:szCs w:val="24"/>
        </w:rPr>
      </w:pPr>
      <w:r w:rsidRPr="00E56BE0">
        <w:rPr>
          <w:rFonts w:ascii="Times New Roman" w:hAnsi="Times New Roman" w:cs="Times New Roman"/>
          <w:b/>
          <w:bCs/>
          <w:sz w:val="24"/>
          <w:szCs w:val="24"/>
        </w:rPr>
        <w:lastRenderedPageBreak/>
        <w:t>ABSTRACT</w:t>
      </w:r>
    </w:p>
    <w:p w14:paraId="0DD1199A" w14:textId="2B6BDDAE" w:rsidR="009C2BAF" w:rsidRPr="00E56BE0" w:rsidRDefault="00896CC9" w:rsidP="00E56BE0">
      <w:pPr>
        <w:spacing w:line="480" w:lineRule="auto"/>
        <w:rPr>
          <w:rFonts w:ascii="Times New Roman" w:hAnsi="Times New Roman" w:cs="Times New Roman"/>
          <w:sz w:val="24"/>
          <w:szCs w:val="24"/>
        </w:rPr>
      </w:pPr>
      <w:r w:rsidRPr="00A827E2">
        <w:rPr>
          <w:rFonts w:ascii="Times New Roman" w:hAnsi="Times New Roman" w:cs="Times New Roman"/>
          <w:b/>
          <w:bCs/>
          <w:sz w:val="24"/>
          <w:szCs w:val="24"/>
        </w:rPr>
        <w:t>Aim:</w:t>
      </w:r>
      <w:r w:rsidR="00A827E2">
        <w:rPr>
          <w:rFonts w:ascii="Times New Roman" w:hAnsi="Times New Roman" w:cs="Times New Roman"/>
          <w:sz w:val="24"/>
          <w:szCs w:val="24"/>
        </w:rPr>
        <w:t xml:space="preserve"> </w:t>
      </w:r>
      <w:r w:rsidR="00A827E2">
        <w:rPr>
          <w:rFonts w:ascii="Times New Roman" w:hAnsi="Times New Roman"/>
          <w:sz w:val="24"/>
          <w:szCs w:val="24"/>
        </w:rPr>
        <w:t xml:space="preserve">To explore the practice and views of uro-oncologists in the UK regarding their use of chemotherapy and androgen receptor-targeted agents (ARTAs) in patients with </w:t>
      </w:r>
      <w:proofErr w:type="gramStart"/>
      <w:r w:rsidR="00607C01">
        <w:rPr>
          <w:rFonts w:ascii="Times New Roman" w:hAnsi="Times New Roman"/>
          <w:sz w:val="24"/>
          <w:szCs w:val="24"/>
        </w:rPr>
        <w:t>newly-diagnosed</w:t>
      </w:r>
      <w:proofErr w:type="gramEnd"/>
      <w:r w:rsidR="00607C01">
        <w:rPr>
          <w:rFonts w:ascii="Times New Roman" w:hAnsi="Times New Roman"/>
          <w:sz w:val="24"/>
          <w:szCs w:val="24"/>
        </w:rPr>
        <w:t xml:space="preserve"> </w:t>
      </w:r>
      <w:r w:rsidR="00A827E2">
        <w:rPr>
          <w:rFonts w:ascii="Times New Roman" w:hAnsi="Times New Roman"/>
          <w:sz w:val="24"/>
          <w:szCs w:val="24"/>
        </w:rPr>
        <w:t>metastatic hormone-sensitive prostate cancer (mHSPC).</w:t>
      </w:r>
    </w:p>
    <w:p w14:paraId="6468FECC" w14:textId="6AFF9564" w:rsidR="00896CC9" w:rsidRPr="00E56BE0" w:rsidRDefault="00896CC9" w:rsidP="00E56BE0">
      <w:pPr>
        <w:spacing w:line="480" w:lineRule="auto"/>
        <w:rPr>
          <w:rFonts w:ascii="Times New Roman" w:hAnsi="Times New Roman" w:cs="Times New Roman"/>
          <w:sz w:val="24"/>
          <w:szCs w:val="24"/>
        </w:rPr>
      </w:pPr>
      <w:r w:rsidRPr="00A827E2">
        <w:rPr>
          <w:rFonts w:ascii="Times New Roman" w:hAnsi="Times New Roman" w:cs="Times New Roman"/>
          <w:b/>
          <w:bCs/>
          <w:sz w:val="24"/>
          <w:szCs w:val="24"/>
        </w:rPr>
        <w:t>Methods:</w:t>
      </w:r>
      <w:r w:rsidR="00A827E2" w:rsidRPr="00A827E2">
        <w:rPr>
          <w:rFonts w:ascii="Times New Roman" w:hAnsi="Times New Roman"/>
          <w:sz w:val="24"/>
          <w:szCs w:val="24"/>
        </w:rPr>
        <w:t xml:space="preserve"> </w:t>
      </w:r>
      <w:r w:rsidR="00A827E2">
        <w:rPr>
          <w:rFonts w:ascii="Times New Roman" w:hAnsi="Times New Roman"/>
          <w:sz w:val="24"/>
          <w:szCs w:val="24"/>
        </w:rPr>
        <w:t>An expert-devised paper or online questionnaire was completed by members of the British Uro-oncology Group.</w:t>
      </w:r>
    </w:p>
    <w:p w14:paraId="6A051875" w14:textId="4C6541B2" w:rsidR="00896CC9" w:rsidRPr="00E56BE0" w:rsidRDefault="00896CC9" w:rsidP="00E56BE0">
      <w:pPr>
        <w:spacing w:line="480" w:lineRule="auto"/>
        <w:rPr>
          <w:rFonts w:ascii="Times New Roman" w:hAnsi="Times New Roman" w:cs="Times New Roman"/>
          <w:sz w:val="24"/>
          <w:szCs w:val="24"/>
        </w:rPr>
      </w:pPr>
      <w:r w:rsidRPr="00607C01">
        <w:rPr>
          <w:rFonts w:ascii="Times New Roman" w:hAnsi="Times New Roman" w:cs="Times New Roman"/>
          <w:b/>
          <w:bCs/>
          <w:sz w:val="24"/>
          <w:szCs w:val="24"/>
        </w:rPr>
        <w:t>Results:</w:t>
      </w:r>
      <w:r w:rsidR="00607C01">
        <w:rPr>
          <w:rFonts w:ascii="Times New Roman" w:hAnsi="Times New Roman" w:cs="Times New Roman"/>
          <w:sz w:val="24"/>
          <w:szCs w:val="24"/>
        </w:rPr>
        <w:t xml:space="preserve"> </w:t>
      </w:r>
      <w:r w:rsidR="006024F1">
        <w:rPr>
          <w:rFonts w:ascii="Times New Roman" w:hAnsi="Times New Roman" w:cs="Times New Roman"/>
          <w:sz w:val="24"/>
          <w:szCs w:val="24"/>
        </w:rPr>
        <w:t>All</w:t>
      </w:r>
      <w:r w:rsidR="00607C01">
        <w:rPr>
          <w:rFonts w:ascii="Times New Roman" w:hAnsi="Times New Roman" w:cs="Times New Roman"/>
          <w:sz w:val="24"/>
          <w:szCs w:val="24"/>
        </w:rPr>
        <w:t xml:space="preserve"> respondents </w:t>
      </w:r>
      <w:r w:rsidR="00123F21">
        <w:rPr>
          <w:rFonts w:ascii="Times New Roman" w:hAnsi="Times New Roman" w:cs="Times New Roman"/>
          <w:sz w:val="24"/>
          <w:szCs w:val="24"/>
        </w:rPr>
        <w:t xml:space="preserve">stated that they </w:t>
      </w:r>
      <w:r w:rsidR="00607C01">
        <w:rPr>
          <w:rFonts w:ascii="Times New Roman" w:hAnsi="Times New Roman" w:cs="Times New Roman"/>
          <w:sz w:val="24"/>
          <w:szCs w:val="24"/>
        </w:rPr>
        <w:t xml:space="preserve">would offer patients with newly-diagnosed mHSPC docetaxel </w:t>
      </w:r>
      <w:r w:rsidR="006309E1">
        <w:rPr>
          <w:rFonts w:ascii="Times New Roman" w:hAnsi="Times New Roman" w:cs="Times New Roman"/>
          <w:sz w:val="24"/>
          <w:szCs w:val="24"/>
        </w:rPr>
        <w:t>and</w:t>
      </w:r>
      <w:r w:rsidR="00FC3B41">
        <w:rPr>
          <w:rFonts w:ascii="Times New Roman" w:hAnsi="Times New Roman" w:cs="Times New Roman"/>
          <w:sz w:val="24"/>
          <w:szCs w:val="24"/>
        </w:rPr>
        <w:t xml:space="preserve"> androgen deprivation therapy (ADT) </w:t>
      </w:r>
      <w:r w:rsidR="00607C01">
        <w:rPr>
          <w:rFonts w:ascii="Times New Roman" w:hAnsi="Times New Roman" w:cs="Times New Roman"/>
          <w:sz w:val="24"/>
          <w:szCs w:val="24"/>
        </w:rPr>
        <w:t>if they were sufficiently fit to receive chemotherapy</w:t>
      </w:r>
      <w:r w:rsidR="00123F21">
        <w:rPr>
          <w:rFonts w:ascii="Times New Roman" w:hAnsi="Times New Roman" w:cs="Times New Roman"/>
          <w:sz w:val="24"/>
          <w:szCs w:val="24"/>
        </w:rPr>
        <w:t xml:space="preserve"> (this was the only option available at the time of the survey)</w:t>
      </w:r>
      <w:r w:rsidR="006309E1">
        <w:rPr>
          <w:rFonts w:ascii="Times New Roman" w:hAnsi="Times New Roman" w:cs="Times New Roman"/>
          <w:sz w:val="24"/>
          <w:szCs w:val="24"/>
        </w:rPr>
        <w:t>;</w:t>
      </w:r>
      <w:r w:rsidR="006024F1">
        <w:rPr>
          <w:rFonts w:ascii="Times New Roman" w:hAnsi="Times New Roman" w:cs="Times New Roman"/>
          <w:sz w:val="24"/>
          <w:szCs w:val="24"/>
        </w:rPr>
        <w:t xml:space="preserve"> 64% would strongly recommend docetaxel for those with high-volume metastatic disease and 31% for those with low-volume disease</w:t>
      </w:r>
      <w:r w:rsidR="009A3540">
        <w:rPr>
          <w:rFonts w:ascii="Times New Roman" w:hAnsi="Times New Roman" w:cs="Times New Roman"/>
          <w:sz w:val="24"/>
          <w:szCs w:val="24"/>
        </w:rPr>
        <w:t>.</w:t>
      </w:r>
      <w:r w:rsidR="00FF49BC">
        <w:rPr>
          <w:rFonts w:ascii="Times New Roman" w:hAnsi="Times New Roman" w:cs="Times New Roman"/>
          <w:sz w:val="24"/>
          <w:szCs w:val="24"/>
        </w:rPr>
        <w:t xml:space="preserve"> </w:t>
      </w:r>
      <w:r w:rsidR="00123F21">
        <w:rPr>
          <w:rFonts w:ascii="Times New Roman" w:hAnsi="Times New Roman" w:cs="Times New Roman"/>
          <w:sz w:val="24"/>
          <w:szCs w:val="24"/>
        </w:rPr>
        <w:t>Hypothetically, i</w:t>
      </w:r>
      <w:r w:rsidR="00C708DF">
        <w:rPr>
          <w:rFonts w:ascii="Times New Roman" w:hAnsi="Times New Roman" w:cs="Times New Roman"/>
          <w:sz w:val="24"/>
          <w:szCs w:val="24"/>
        </w:rPr>
        <w:t>f both docetaxel and ARTA</w:t>
      </w:r>
      <w:r w:rsidR="005D24F4">
        <w:rPr>
          <w:rFonts w:ascii="Times New Roman" w:hAnsi="Times New Roman" w:cs="Times New Roman"/>
          <w:sz w:val="24"/>
          <w:szCs w:val="24"/>
        </w:rPr>
        <w:t>s</w:t>
      </w:r>
      <w:r w:rsidR="00C708DF">
        <w:rPr>
          <w:rFonts w:ascii="Times New Roman" w:hAnsi="Times New Roman" w:cs="Times New Roman"/>
          <w:sz w:val="24"/>
          <w:szCs w:val="24"/>
        </w:rPr>
        <w:t xml:space="preserve"> were available in the UK for mHSPC, a</w:t>
      </w:r>
      <w:r w:rsidR="00FF49BC">
        <w:rPr>
          <w:rFonts w:ascii="Times New Roman" w:hAnsi="Times New Roman" w:cs="Times New Roman"/>
          <w:sz w:val="24"/>
          <w:szCs w:val="24"/>
        </w:rPr>
        <w:t>lmost 65% of respondents would recommend an ARTA</w:t>
      </w:r>
      <w:r w:rsidR="00FC3B41">
        <w:rPr>
          <w:rFonts w:ascii="Times New Roman" w:hAnsi="Times New Roman" w:cs="Times New Roman"/>
          <w:sz w:val="24"/>
          <w:szCs w:val="24"/>
        </w:rPr>
        <w:t xml:space="preserve"> with ADT</w:t>
      </w:r>
      <w:r w:rsidR="00FF49BC">
        <w:rPr>
          <w:rFonts w:ascii="Times New Roman" w:hAnsi="Times New Roman" w:cs="Times New Roman"/>
          <w:sz w:val="24"/>
          <w:szCs w:val="24"/>
        </w:rPr>
        <w:t xml:space="preserve"> to </w:t>
      </w:r>
      <w:r w:rsidR="0092284F">
        <w:rPr>
          <w:rFonts w:ascii="Times New Roman" w:hAnsi="Times New Roman" w:cs="Times New Roman"/>
          <w:sz w:val="24"/>
          <w:szCs w:val="24"/>
        </w:rPr>
        <w:t>these</w:t>
      </w:r>
      <w:r w:rsidR="00FF49BC">
        <w:rPr>
          <w:rFonts w:ascii="Times New Roman" w:hAnsi="Times New Roman" w:cs="Times New Roman"/>
          <w:sz w:val="24"/>
          <w:szCs w:val="24"/>
        </w:rPr>
        <w:t xml:space="preserve"> patients</w:t>
      </w:r>
      <w:r w:rsidR="00FC3B41">
        <w:rPr>
          <w:rFonts w:ascii="Times New Roman" w:hAnsi="Times New Roman" w:cs="Times New Roman"/>
          <w:sz w:val="24"/>
          <w:szCs w:val="24"/>
        </w:rPr>
        <w:t xml:space="preserve"> in at least one-half of all cases, with the strongest recommendations to patients with high-risk disease. </w:t>
      </w:r>
      <w:r w:rsidR="00C708DF">
        <w:rPr>
          <w:rFonts w:ascii="Times New Roman" w:hAnsi="Times New Roman" w:cs="Times New Roman"/>
          <w:sz w:val="24"/>
          <w:szCs w:val="24"/>
        </w:rPr>
        <w:t>I</w:t>
      </w:r>
      <w:r w:rsidR="006309E1">
        <w:rPr>
          <w:rFonts w:ascii="Times New Roman" w:hAnsi="Times New Roman" w:cs="Times New Roman"/>
          <w:sz w:val="24"/>
          <w:szCs w:val="24"/>
        </w:rPr>
        <w:t xml:space="preserve">maging </w:t>
      </w:r>
      <w:r w:rsidR="00C708DF">
        <w:rPr>
          <w:rFonts w:ascii="Times New Roman" w:hAnsi="Times New Roman" w:cs="Times New Roman"/>
          <w:sz w:val="24"/>
          <w:szCs w:val="24"/>
        </w:rPr>
        <w:t xml:space="preserve">for response </w:t>
      </w:r>
      <w:r w:rsidR="006309E1">
        <w:rPr>
          <w:rFonts w:ascii="Times New Roman" w:hAnsi="Times New Roman" w:cs="Times New Roman"/>
          <w:sz w:val="24"/>
          <w:szCs w:val="24"/>
        </w:rPr>
        <w:t>was conducted according to suspicion of disease progression, regardless of treatment</w:t>
      </w:r>
      <w:r w:rsidR="005D24F4">
        <w:rPr>
          <w:rFonts w:ascii="Times New Roman" w:hAnsi="Times New Roman" w:cs="Times New Roman"/>
          <w:sz w:val="24"/>
          <w:szCs w:val="24"/>
        </w:rPr>
        <w:t>,</w:t>
      </w:r>
      <w:r w:rsidR="00C708DF">
        <w:rPr>
          <w:rFonts w:ascii="Times New Roman" w:hAnsi="Times New Roman" w:cs="Times New Roman"/>
          <w:sz w:val="24"/>
          <w:szCs w:val="24"/>
        </w:rPr>
        <w:t xml:space="preserve"> with the minority of clinicians recommending routine imaging</w:t>
      </w:r>
      <w:r w:rsidR="006309E1">
        <w:rPr>
          <w:rFonts w:ascii="Times New Roman" w:hAnsi="Times New Roman" w:cs="Times New Roman"/>
          <w:sz w:val="24"/>
          <w:szCs w:val="24"/>
        </w:rPr>
        <w:t>.</w:t>
      </w:r>
      <w:r w:rsidR="00C708DF">
        <w:rPr>
          <w:rFonts w:ascii="Times New Roman" w:hAnsi="Times New Roman" w:cs="Times New Roman"/>
          <w:sz w:val="24"/>
          <w:szCs w:val="24"/>
        </w:rPr>
        <w:t xml:space="preserve"> If a choice of therapy was available, d</w:t>
      </w:r>
      <w:r w:rsidR="00FC3B41">
        <w:rPr>
          <w:rFonts w:ascii="Times New Roman" w:hAnsi="Times New Roman" w:cs="Times New Roman"/>
          <w:sz w:val="24"/>
          <w:szCs w:val="24"/>
        </w:rPr>
        <w:t xml:space="preserve">ocetaxel </w:t>
      </w:r>
      <w:r w:rsidR="00C708DF">
        <w:rPr>
          <w:rFonts w:ascii="Times New Roman" w:hAnsi="Times New Roman" w:cs="Times New Roman"/>
          <w:sz w:val="24"/>
          <w:szCs w:val="24"/>
        </w:rPr>
        <w:t xml:space="preserve">would be </w:t>
      </w:r>
      <w:r w:rsidR="00FC3B41">
        <w:rPr>
          <w:rFonts w:ascii="Times New Roman" w:hAnsi="Times New Roman" w:cs="Times New Roman"/>
          <w:sz w:val="24"/>
          <w:szCs w:val="24"/>
        </w:rPr>
        <w:t xml:space="preserve">more likely to be offered to patients with liver or lung metastases, </w:t>
      </w:r>
      <w:r w:rsidR="006309E1">
        <w:rPr>
          <w:rFonts w:ascii="Times New Roman" w:hAnsi="Times New Roman" w:cs="Times New Roman"/>
          <w:sz w:val="24"/>
          <w:szCs w:val="24"/>
        </w:rPr>
        <w:t>and ARTAs to</w:t>
      </w:r>
      <w:r w:rsidR="00FC3B41">
        <w:rPr>
          <w:rFonts w:ascii="Times New Roman" w:hAnsi="Times New Roman" w:cs="Times New Roman"/>
          <w:sz w:val="24"/>
          <w:szCs w:val="24"/>
        </w:rPr>
        <w:t xml:space="preserve"> patients with bone or lymph node only metastases. Almost all respondents would offer local radiotherapy to the primary tumour in patients with low-volume disease.</w:t>
      </w:r>
    </w:p>
    <w:p w14:paraId="2BFF27CE" w14:textId="58B7E975" w:rsidR="00896CC9" w:rsidRPr="00E56BE0" w:rsidRDefault="00896CC9" w:rsidP="00E56BE0">
      <w:pPr>
        <w:spacing w:line="480" w:lineRule="auto"/>
        <w:rPr>
          <w:rFonts w:ascii="Times New Roman" w:hAnsi="Times New Roman" w:cs="Times New Roman"/>
          <w:sz w:val="24"/>
          <w:szCs w:val="24"/>
        </w:rPr>
      </w:pPr>
      <w:r w:rsidRPr="00FC3B41">
        <w:rPr>
          <w:rFonts w:ascii="Times New Roman" w:hAnsi="Times New Roman" w:cs="Times New Roman"/>
          <w:b/>
          <w:bCs/>
          <w:sz w:val="24"/>
          <w:szCs w:val="24"/>
        </w:rPr>
        <w:t>Conclusion:</w:t>
      </w:r>
      <w:r w:rsidR="00FC3B41">
        <w:rPr>
          <w:rFonts w:ascii="Times New Roman" w:hAnsi="Times New Roman" w:cs="Times New Roman"/>
          <w:sz w:val="24"/>
          <w:szCs w:val="24"/>
        </w:rPr>
        <w:t xml:space="preserve"> </w:t>
      </w:r>
      <w:r w:rsidR="009A5CBB">
        <w:rPr>
          <w:rFonts w:ascii="Times New Roman" w:hAnsi="Times New Roman" w:cs="Times New Roman"/>
          <w:sz w:val="24"/>
          <w:szCs w:val="24"/>
        </w:rPr>
        <w:t>A</w:t>
      </w:r>
      <w:r w:rsidR="00123F21">
        <w:rPr>
          <w:rFonts w:ascii="Times New Roman" w:hAnsi="Times New Roman" w:cs="Times New Roman"/>
          <w:sz w:val="24"/>
          <w:szCs w:val="24"/>
        </w:rPr>
        <w:t xml:space="preserve">ll the UK </w:t>
      </w:r>
      <w:proofErr w:type="spellStart"/>
      <w:r w:rsidR="00123F21">
        <w:rPr>
          <w:rFonts w:ascii="Times New Roman" w:hAnsi="Times New Roman" w:cs="Times New Roman"/>
          <w:sz w:val="24"/>
          <w:szCs w:val="24"/>
        </w:rPr>
        <w:t>uro</w:t>
      </w:r>
      <w:proofErr w:type="spellEnd"/>
      <w:r w:rsidR="00123F21">
        <w:rPr>
          <w:rFonts w:ascii="Times New Roman" w:hAnsi="Times New Roman" w:cs="Times New Roman"/>
          <w:sz w:val="24"/>
          <w:szCs w:val="24"/>
        </w:rPr>
        <w:t xml:space="preserve">-oncologists surveyed stated that they would </w:t>
      </w:r>
      <w:r w:rsidR="00FC3B41">
        <w:rPr>
          <w:rFonts w:ascii="Times New Roman" w:hAnsi="Times New Roman" w:cs="Times New Roman"/>
          <w:sz w:val="24"/>
          <w:szCs w:val="24"/>
        </w:rPr>
        <w:t xml:space="preserve">offer docetaxel in combination with ADT to all </w:t>
      </w:r>
      <w:proofErr w:type="gramStart"/>
      <w:r w:rsidR="00FC3B41">
        <w:rPr>
          <w:rFonts w:ascii="Times New Roman" w:hAnsi="Times New Roman" w:cs="Times New Roman"/>
          <w:sz w:val="24"/>
          <w:szCs w:val="24"/>
        </w:rPr>
        <w:t>newly-diagnosed</w:t>
      </w:r>
      <w:proofErr w:type="gramEnd"/>
      <w:r w:rsidR="00FC3B41">
        <w:rPr>
          <w:rFonts w:ascii="Times New Roman" w:hAnsi="Times New Roman" w:cs="Times New Roman"/>
          <w:sz w:val="24"/>
          <w:szCs w:val="24"/>
        </w:rPr>
        <w:t xml:space="preserve"> patients with mHSPC </w:t>
      </w:r>
      <w:r w:rsidR="001E4985">
        <w:rPr>
          <w:rFonts w:ascii="Times New Roman" w:hAnsi="Times New Roman" w:cs="Times New Roman"/>
          <w:sz w:val="24"/>
          <w:szCs w:val="24"/>
        </w:rPr>
        <w:t xml:space="preserve">if </w:t>
      </w:r>
      <w:r w:rsidR="00FC3B41">
        <w:rPr>
          <w:rFonts w:ascii="Times New Roman" w:hAnsi="Times New Roman" w:cs="Times New Roman"/>
          <w:sz w:val="24"/>
          <w:szCs w:val="24"/>
        </w:rPr>
        <w:t xml:space="preserve">fit enough for chemotherapy. ARTAs </w:t>
      </w:r>
      <w:r w:rsidR="001E4985">
        <w:rPr>
          <w:rFonts w:ascii="Times New Roman" w:hAnsi="Times New Roman" w:cs="Times New Roman"/>
          <w:sz w:val="24"/>
          <w:szCs w:val="24"/>
        </w:rPr>
        <w:t xml:space="preserve">would be </w:t>
      </w:r>
      <w:r w:rsidR="00FC3B41">
        <w:rPr>
          <w:rFonts w:ascii="Times New Roman" w:hAnsi="Times New Roman" w:cs="Times New Roman"/>
          <w:sz w:val="24"/>
          <w:szCs w:val="24"/>
        </w:rPr>
        <w:t>offered to many patients</w:t>
      </w:r>
      <w:r w:rsidR="001E4985">
        <w:rPr>
          <w:rFonts w:ascii="Times New Roman" w:hAnsi="Times New Roman" w:cs="Times New Roman"/>
          <w:sz w:val="24"/>
          <w:szCs w:val="24"/>
        </w:rPr>
        <w:t xml:space="preserve"> if available,</w:t>
      </w:r>
      <w:r w:rsidR="00FC3B41">
        <w:rPr>
          <w:rFonts w:ascii="Times New Roman" w:hAnsi="Times New Roman" w:cs="Times New Roman"/>
          <w:sz w:val="24"/>
          <w:szCs w:val="24"/>
        </w:rPr>
        <w:t xml:space="preserve"> especially those with high-risk disease or </w:t>
      </w:r>
      <w:r w:rsidR="006309E1">
        <w:rPr>
          <w:rFonts w:ascii="Times New Roman" w:hAnsi="Times New Roman" w:cs="Times New Roman"/>
          <w:sz w:val="24"/>
          <w:szCs w:val="24"/>
        </w:rPr>
        <w:t>those</w:t>
      </w:r>
      <w:r w:rsidR="00FC3B41">
        <w:rPr>
          <w:rFonts w:ascii="Times New Roman" w:hAnsi="Times New Roman" w:cs="Times New Roman"/>
          <w:sz w:val="24"/>
          <w:szCs w:val="24"/>
        </w:rPr>
        <w:t xml:space="preserve"> unfit to receive chemotherapy. Scanning </w:t>
      </w:r>
      <w:r w:rsidR="006309E1">
        <w:rPr>
          <w:rFonts w:ascii="Times New Roman" w:hAnsi="Times New Roman" w:cs="Times New Roman"/>
          <w:sz w:val="24"/>
          <w:szCs w:val="24"/>
        </w:rPr>
        <w:t>wa</w:t>
      </w:r>
      <w:r w:rsidR="00FC3B41">
        <w:rPr>
          <w:rFonts w:ascii="Times New Roman" w:hAnsi="Times New Roman" w:cs="Times New Roman"/>
          <w:sz w:val="24"/>
          <w:szCs w:val="24"/>
        </w:rPr>
        <w:t>s typically conducted following treatment only at suspicion of disease progression.</w:t>
      </w:r>
    </w:p>
    <w:p w14:paraId="31DF3868" w14:textId="5B83BB55" w:rsidR="00CB3DD4" w:rsidRPr="00E56BE0" w:rsidRDefault="00CB3DD4" w:rsidP="00E56BE0">
      <w:pPr>
        <w:spacing w:line="480" w:lineRule="auto"/>
        <w:rPr>
          <w:rFonts w:ascii="Times New Roman" w:hAnsi="Times New Roman" w:cs="Times New Roman"/>
          <w:b/>
          <w:bCs/>
          <w:sz w:val="24"/>
          <w:szCs w:val="24"/>
        </w:rPr>
      </w:pPr>
    </w:p>
    <w:p w14:paraId="67B685A4" w14:textId="503718B4" w:rsidR="00CB3DD4" w:rsidRPr="00E56BE0" w:rsidRDefault="00CB3DD4" w:rsidP="00E56BE0">
      <w:pPr>
        <w:spacing w:line="480" w:lineRule="auto"/>
        <w:rPr>
          <w:rFonts w:ascii="Times New Roman" w:hAnsi="Times New Roman" w:cs="Times New Roman"/>
          <w:sz w:val="24"/>
          <w:szCs w:val="24"/>
        </w:rPr>
      </w:pPr>
      <w:r w:rsidRPr="00E56BE0">
        <w:rPr>
          <w:rFonts w:ascii="Times New Roman" w:hAnsi="Times New Roman" w:cs="Times New Roman"/>
          <w:b/>
          <w:bCs/>
          <w:sz w:val="24"/>
          <w:szCs w:val="24"/>
        </w:rPr>
        <w:t>Key</w:t>
      </w:r>
      <w:r w:rsidR="000236FD">
        <w:rPr>
          <w:rFonts w:ascii="Times New Roman" w:hAnsi="Times New Roman" w:cs="Times New Roman"/>
          <w:b/>
          <w:bCs/>
          <w:sz w:val="24"/>
          <w:szCs w:val="24"/>
        </w:rPr>
        <w:t xml:space="preserve"> </w:t>
      </w:r>
      <w:r w:rsidRPr="00E56BE0">
        <w:rPr>
          <w:rFonts w:ascii="Times New Roman" w:hAnsi="Times New Roman" w:cs="Times New Roman"/>
          <w:b/>
          <w:bCs/>
          <w:sz w:val="24"/>
          <w:szCs w:val="24"/>
        </w:rPr>
        <w:t xml:space="preserve">words: </w:t>
      </w:r>
      <w:r w:rsidRPr="00E56BE0">
        <w:rPr>
          <w:rFonts w:ascii="Times New Roman" w:hAnsi="Times New Roman" w:cs="Times New Roman"/>
          <w:sz w:val="24"/>
          <w:szCs w:val="24"/>
        </w:rPr>
        <w:t xml:space="preserve">metastatic </w:t>
      </w:r>
      <w:r w:rsidR="00DF1E5F" w:rsidRPr="00E56BE0">
        <w:rPr>
          <w:rFonts w:ascii="Times New Roman" w:hAnsi="Times New Roman" w:cs="Times New Roman"/>
          <w:sz w:val="24"/>
          <w:szCs w:val="24"/>
        </w:rPr>
        <w:t xml:space="preserve">hormone-sensitive </w:t>
      </w:r>
      <w:r w:rsidRPr="00E56BE0">
        <w:rPr>
          <w:rFonts w:ascii="Times New Roman" w:hAnsi="Times New Roman" w:cs="Times New Roman"/>
          <w:sz w:val="24"/>
          <w:szCs w:val="24"/>
        </w:rPr>
        <w:t>prostate cancer, abiraterone, apalutamide, docetaxel, enzalutamide</w:t>
      </w:r>
      <w:r w:rsidR="00A827E2">
        <w:rPr>
          <w:rFonts w:ascii="Times New Roman" w:hAnsi="Times New Roman" w:cs="Times New Roman"/>
          <w:sz w:val="24"/>
          <w:szCs w:val="24"/>
        </w:rPr>
        <w:t xml:space="preserve">   </w:t>
      </w:r>
    </w:p>
    <w:p w14:paraId="644C00C1" w14:textId="52C5C5CD" w:rsidR="00896CC9" w:rsidRPr="00E56BE0" w:rsidRDefault="00896CC9" w:rsidP="00E56BE0">
      <w:pPr>
        <w:spacing w:line="480" w:lineRule="auto"/>
        <w:rPr>
          <w:rFonts w:ascii="Times New Roman" w:hAnsi="Times New Roman" w:cs="Times New Roman"/>
          <w:sz w:val="24"/>
          <w:szCs w:val="24"/>
        </w:rPr>
      </w:pPr>
    </w:p>
    <w:p w14:paraId="08423393" w14:textId="13330F5E" w:rsidR="00896CC9" w:rsidRDefault="00896CC9" w:rsidP="00E56BE0">
      <w:pPr>
        <w:spacing w:line="480" w:lineRule="auto"/>
        <w:rPr>
          <w:rFonts w:ascii="Times New Roman" w:hAnsi="Times New Roman" w:cs="Times New Roman"/>
          <w:b/>
          <w:bCs/>
          <w:sz w:val="24"/>
          <w:szCs w:val="24"/>
        </w:rPr>
      </w:pPr>
      <w:r w:rsidRPr="00E56BE0">
        <w:rPr>
          <w:rFonts w:ascii="Times New Roman" w:hAnsi="Times New Roman" w:cs="Times New Roman"/>
          <w:b/>
          <w:bCs/>
          <w:sz w:val="24"/>
          <w:szCs w:val="24"/>
        </w:rPr>
        <w:t>What’s know</w:t>
      </w:r>
      <w:r w:rsidR="00E56BE0" w:rsidRPr="00E56BE0">
        <w:rPr>
          <w:rFonts w:ascii="Times New Roman" w:hAnsi="Times New Roman" w:cs="Times New Roman"/>
          <w:b/>
          <w:bCs/>
          <w:sz w:val="24"/>
          <w:szCs w:val="24"/>
        </w:rPr>
        <w:t>n</w:t>
      </w:r>
      <w:r w:rsidRPr="00E56BE0">
        <w:rPr>
          <w:rFonts w:ascii="Times New Roman" w:hAnsi="Times New Roman" w:cs="Times New Roman"/>
          <w:b/>
          <w:bCs/>
          <w:sz w:val="24"/>
          <w:szCs w:val="24"/>
        </w:rPr>
        <w:t>?</w:t>
      </w:r>
    </w:p>
    <w:p w14:paraId="28E14E89" w14:textId="76102129" w:rsidR="00E56BE0" w:rsidRDefault="008771D8" w:rsidP="008771D8">
      <w:pPr>
        <w:pStyle w:val="ListParagraph"/>
        <w:numPr>
          <w:ilvl w:val="0"/>
          <w:numId w:val="15"/>
        </w:numPr>
        <w:spacing w:line="480" w:lineRule="auto"/>
        <w:rPr>
          <w:rFonts w:ascii="Times New Roman" w:hAnsi="Times New Roman" w:cs="Times New Roman"/>
          <w:sz w:val="24"/>
          <w:szCs w:val="24"/>
        </w:rPr>
      </w:pPr>
      <w:r w:rsidRPr="008771D8">
        <w:rPr>
          <w:rFonts w:ascii="Times New Roman" w:hAnsi="Times New Roman" w:cs="Times New Roman"/>
          <w:sz w:val="24"/>
          <w:szCs w:val="24"/>
        </w:rPr>
        <w:t>Several</w:t>
      </w:r>
      <w:r>
        <w:rPr>
          <w:rFonts w:ascii="Times New Roman" w:hAnsi="Times New Roman" w:cs="Times New Roman"/>
          <w:sz w:val="24"/>
          <w:szCs w:val="24"/>
        </w:rPr>
        <w:t xml:space="preserve"> high-quality randomised controlled trials have demonstrated survival benefits in patients with metastatic hormone-sensitive prostate cancer (mHSPC) with docetaxel and androgen receptor-targeted agents (ARTAs)</w:t>
      </w:r>
    </w:p>
    <w:p w14:paraId="63D527A4" w14:textId="266C3FD6" w:rsidR="008771D8" w:rsidRDefault="008771D8" w:rsidP="008771D8">
      <w:pPr>
        <w:pStyle w:val="ListParagraph"/>
        <w:numPr>
          <w:ilvl w:val="0"/>
          <w:numId w:val="15"/>
        </w:numPr>
        <w:spacing w:line="480" w:lineRule="auto"/>
        <w:rPr>
          <w:rFonts w:ascii="Times New Roman" w:hAnsi="Times New Roman" w:cs="Times New Roman"/>
          <w:sz w:val="24"/>
          <w:szCs w:val="24"/>
        </w:rPr>
      </w:pPr>
      <w:r>
        <w:rPr>
          <w:rFonts w:ascii="Times New Roman" w:hAnsi="Times New Roman" w:cs="Times New Roman"/>
          <w:sz w:val="24"/>
          <w:szCs w:val="24"/>
        </w:rPr>
        <w:t xml:space="preserve">It has been suggested that the greatest benefit of docetaxel added to </w:t>
      </w:r>
      <w:r w:rsidR="007F1A32">
        <w:rPr>
          <w:rFonts w:ascii="Times New Roman" w:hAnsi="Times New Roman" w:cs="Times New Roman"/>
          <w:sz w:val="24"/>
          <w:szCs w:val="24"/>
        </w:rPr>
        <w:t>androgen deprivation therapy (</w:t>
      </w:r>
      <w:r>
        <w:rPr>
          <w:rFonts w:ascii="Times New Roman" w:hAnsi="Times New Roman" w:cs="Times New Roman"/>
          <w:sz w:val="24"/>
          <w:szCs w:val="24"/>
        </w:rPr>
        <w:t>ADT</w:t>
      </w:r>
      <w:r w:rsidR="007F1A32">
        <w:rPr>
          <w:rFonts w:ascii="Times New Roman" w:hAnsi="Times New Roman" w:cs="Times New Roman"/>
          <w:sz w:val="24"/>
          <w:szCs w:val="24"/>
        </w:rPr>
        <w:t>)</w:t>
      </w:r>
      <w:r>
        <w:rPr>
          <w:rFonts w:ascii="Times New Roman" w:hAnsi="Times New Roman" w:cs="Times New Roman"/>
          <w:sz w:val="24"/>
          <w:szCs w:val="24"/>
        </w:rPr>
        <w:t xml:space="preserve"> is in patients with a high metastatic burden, although </w:t>
      </w:r>
      <w:r w:rsidR="00F01B27">
        <w:rPr>
          <w:rFonts w:ascii="Times New Roman" w:hAnsi="Times New Roman" w:cs="Times New Roman"/>
          <w:sz w:val="24"/>
          <w:szCs w:val="24"/>
        </w:rPr>
        <w:t xml:space="preserve">post-hoc </w:t>
      </w:r>
      <w:r>
        <w:rPr>
          <w:rFonts w:ascii="Times New Roman" w:hAnsi="Times New Roman" w:cs="Times New Roman"/>
          <w:sz w:val="24"/>
          <w:szCs w:val="24"/>
        </w:rPr>
        <w:t xml:space="preserve">data </w:t>
      </w:r>
      <w:r w:rsidR="00F01B27">
        <w:rPr>
          <w:rFonts w:ascii="Times New Roman" w:hAnsi="Times New Roman" w:cs="Times New Roman"/>
          <w:sz w:val="24"/>
          <w:szCs w:val="24"/>
        </w:rPr>
        <w:t xml:space="preserve">challenge this </w:t>
      </w:r>
    </w:p>
    <w:p w14:paraId="21609B38" w14:textId="78898777" w:rsidR="007F1A32" w:rsidRDefault="007F1A32" w:rsidP="008771D8">
      <w:pPr>
        <w:pStyle w:val="ListParagraph"/>
        <w:numPr>
          <w:ilvl w:val="0"/>
          <w:numId w:val="15"/>
        </w:numPr>
        <w:spacing w:line="480" w:lineRule="auto"/>
        <w:rPr>
          <w:rFonts w:ascii="Times New Roman" w:hAnsi="Times New Roman" w:cs="Times New Roman"/>
          <w:sz w:val="24"/>
          <w:szCs w:val="24"/>
        </w:rPr>
      </w:pPr>
      <w:r>
        <w:rPr>
          <w:rFonts w:ascii="Times New Roman" w:hAnsi="Times New Roman" w:cs="Times New Roman"/>
          <w:sz w:val="24"/>
          <w:szCs w:val="24"/>
        </w:rPr>
        <w:t>Post</w:t>
      </w:r>
      <w:r w:rsidR="00344387">
        <w:rPr>
          <w:rFonts w:ascii="Times New Roman" w:hAnsi="Times New Roman" w:cs="Times New Roman"/>
          <w:sz w:val="24"/>
          <w:szCs w:val="24"/>
        </w:rPr>
        <w:t>-</w:t>
      </w:r>
      <w:r>
        <w:rPr>
          <w:rFonts w:ascii="Times New Roman" w:hAnsi="Times New Roman" w:cs="Times New Roman"/>
          <w:sz w:val="24"/>
          <w:szCs w:val="24"/>
        </w:rPr>
        <w:t>hoc analyses have suggested that ARTAs are beneficial in patients with either high- or low-volume disease</w:t>
      </w:r>
    </w:p>
    <w:p w14:paraId="6F62173E" w14:textId="77777777" w:rsidR="008771D8" w:rsidRPr="008771D8" w:rsidRDefault="008771D8" w:rsidP="008771D8">
      <w:pPr>
        <w:pStyle w:val="ListParagraph"/>
        <w:spacing w:line="480" w:lineRule="auto"/>
        <w:rPr>
          <w:rFonts w:ascii="Times New Roman" w:hAnsi="Times New Roman" w:cs="Times New Roman"/>
          <w:sz w:val="24"/>
          <w:szCs w:val="24"/>
        </w:rPr>
      </w:pPr>
    </w:p>
    <w:p w14:paraId="023C28FF" w14:textId="35C4E877" w:rsidR="00896CC9" w:rsidRPr="00E56BE0" w:rsidRDefault="00896CC9" w:rsidP="00E56BE0">
      <w:pPr>
        <w:spacing w:line="480" w:lineRule="auto"/>
        <w:rPr>
          <w:rFonts w:ascii="Times New Roman" w:hAnsi="Times New Roman" w:cs="Times New Roman"/>
          <w:b/>
          <w:bCs/>
          <w:sz w:val="24"/>
          <w:szCs w:val="24"/>
        </w:rPr>
      </w:pPr>
      <w:r w:rsidRPr="00E56BE0">
        <w:rPr>
          <w:rFonts w:ascii="Times New Roman" w:hAnsi="Times New Roman" w:cs="Times New Roman"/>
          <w:b/>
          <w:bCs/>
          <w:sz w:val="24"/>
          <w:szCs w:val="24"/>
        </w:rPr>
        <w:t>What’s new?</w:t>
      </w:r>
    </w:p>
    <w:p w14:paraId="1BCD8FB7" w14:textId="40A1BA86" w:rsidR="0024632F" w:rsidRPr="0024632F" w:rsidRDefault="007F1A32" w:rsidP="0024632F">
      <w:pPr>
        <w:pStyle w:val="ListParagraph"/>
        <w:numPr>
          <w:ilvl w:val="0"/>
          <w:numId w:val="16"/>
        </w:numPr>
        <w:spacing w:line="480" w:lineRule="auto"/>
        <w:rPr>
          <w:rFonts w:ascii="Times New Roman" w:hAnsi="Times New Roman" w:cs="Times New Roman"/>
          <w:b/>
          <w:bCs/>
          <w:sz w:val="24"/>
          <w:szCs w:val="24"/>
        </w:rPr>
      </w:pPr>
      <w:r w:rsidRPr="007F1A32">
        <w:rPr>
          <w:rFonts w:ascii="Times New Roman" w:hAnsi="Times New Roman" w:cs="Times New Roman"/>
          <w:sz w:val="24"/>
          <w:szCs w:val="24"/>
        </w:rPr>
        <w:t xml:space="preserve">All </w:t>
      </w:r>
      <w:r>
        <w:rPr>
          <w:rFonts w:ascii="Times New Roman" w:hAnsi="Times New Roman" w:cs="Times New Roman"/>
          <w:sz w:val="24"/>
          <w:szCs w:val="24"/>
        </w:rPr>
        <w:t xml:space="preserve">UK uro-oncologists surveyed </w:t>
      </w:r>
      <w:r w:rsidRPr="007F1A32">
        <w:rPr>
          <w:rFonts w:ascii="Times New Roman" w:hAnsi="Times New Roman" w:cs="Times New Roman"/>
          <w:sz w:val="24"/>
          <w:szCs w:val="24"/>
        </w:rPr>
        <w:t xml:space="preserve">would </w:t>
      </w:r>
      <w:r w:rsidR="00F01B27">
        <w:rPr>
          <w:rFonts w:ascii="Times New Roman" w:hAnsi="Times New Roman" w:cs="Times New Roman"/>
          <w:sz w:val="24"/>
          <w:szCs w:val="24"/>
        </w:rPr>
        <w:t xml:space="preserve">currently </w:t>
      </w:r>
      <w:r w:rsidRPr="007F1A32">
        <w:rPr>
          <w:rFonts w:ascii="Times New Roman" w:hAnsi="Times New Roman" w:cs="Times New Roman"/>
          <w:sz w:val="24"/>
          <w:szCs w:val="24"/>
        </w:rPr>
        <w:t xml:space="preserve">offer patients with </w:t>
      </w:r>
      <w:proofErr w:type="gramStart"/>
      <w:r w:rsidRPr="007F1A32">
        <w:rPr>
          <w:rFonts w:ascii="Times New Roman" w:hAnsi="Times New Roman" w:cs="Times New Roman"/>
          <w:sz w:val="24"/>
          <w:szCs w:val="24"/>
        </w:rPr>
        <w:t>newly-diagnosed</w:t>
      </w:r>
      <w:proofErr w:type="gramEnd"/>
      <w:r w:rsidRPr="007F1A32">
        <w:rPr>
          <w:rFonts w:ascii="Times New Roman" w:hAnsi="Times New Roman" w:cs="Times New Roman"/>
          <w:sz w:val="24"/>
          <w:szCs w:val="24"/>
        </w:rPr>
        <w:t xml:space="preserve"> mHSPC docetaxel and ADT if they were fit to receive chemotherapy</w:t>
      </w:r>
    </w:p>
    <w:p w14:paraId="57C9D12F" w14:textId="10C2CA0A" w:rsidR="007F1A32" w:rsidRPr="0024632F" w:rsidRDefault="00F01B27" w:rsidP="0024632F">
      <w:pPr>
        <w:pStyle w:val="ListParagraph"/>
        <w:numPr>
          <w:ilvl w:val="0"/>
          <w:numId w:val="16"/>
        </w:numPr>
        <w:spacing w:line="480" w:lineRule="auto"/>
        <w:rPr>
          <w:rFonts w:ascii="Times New Roman" w:hAnsi="Times New Roman" w:cs="Times New Roman"/>
          <w:b/>
          <w:bCs/>
          <w:sz w:val="24"/>
          <w:szCs w:val="24"/>
        </w:rPr>
      </w:pPr>
      <w:r w:rsidRPr="0024632F">
        <w:rPr>
          <w:rFonts w:ascii="Times New Roman" w:hAnsi="Times New Roman" w:cs="Times New Roman"/>
          <w:sz w:val="24"/>
          <w:szCs w:val="24"/>
        </w:rPr>
        <w:t>If ARTAs were available in UK for mHSPC, a</w:t>
      </w:r>
      <w:r w:rsidR="007F1A32" w:rsidRPr="0024632F">
        <w:rPr>
          <w:rFonts w:ascii="Times New Roman" w:hAnsi="Times New Roman" w:cs="Times New Roman"/>
          <w:sz w:val="24"/>
          <w:szCs w:val="24"/>
        </w:rPr>
        <w:t>lmost two-thirds of respondents would recommend an ARTA with ADT</w:t>
      </w:r>
      <w:r w:rsidR="0024632F" w:rsidRPr="0024632F">
        <w:rPr>
          <w:rFonts w:ascii="Times New Roman" w:hAnsi="Times New Roman" w:cs="Times New Roman"/>
          <w:sz w:val="24"/>
          <w:szCs w:val="24"/>
        </w:rPr>
        <w:t xml:space="preserve"> in preference to chemotherapy with ADT</w:t>
      </w:r>
      <w:r w:rsidR="007F1A32" w:rsidRPr="0024632F">
        <w:rPr>
          <w:rFonts w:ascii="Times New Roman" w:hAnsi="Times New Roman" w:cs="Times New Roman"/>
          <w:sz w:val="24"/>
          <w:szCs w:val="24"/>
        </w:rPr>
        <w:t xml:space="preserve"> in at least one-half of all cases</w:t>
      </w:r>
      <w:r w:rsidR="0024632F" w:rsidRPr="0024632F">
        <w:rPr>
          <w:rFonts w:ascii="Times New Roman" w:hAnsi="Times New Roman" w:cs="Times New Roman"/>
          <w:sz w:val="24"/>
          <w:szCs w:val="24"/>
        </w:rPr>
        <w:t xml:space="preserve"> suitable for either treatment</w:t>
      </w:r>
      <w:r w:rsidR="007F1A32" w:rsidRPr="0024632F">
        <w:rPr>
          <w:rFonts w:ascii="Times New Roman" w:hAnsi="Times New Roman" w:cs="Times New Roman"/>
          <w:sz w:val="24"/>
          <w:szCs w:val="24"/>
        </w:rPr>
        <w:t>, with the strongest recommendations to patients with high-risk disease</w:t>
      </w:r>
    </w:p>
    <w:p w14:paraId="4CE57ABB" w14:textId="3E48AE62" w:rsidR="007F1A32" w:rsidRPr="007F1A32" w:rsidRDefault="007F1A32" w:rsidP="007F1A32">
      <w:pPr>
        <w:pStyle w:val="ListParagraph"/>
        <w:numPr>
          <w:ilvl w:val="0"/>
          <w:numId w:val="16"/>
        </w:numPr>
        <w:spacing w:line="480" w:lineRule="auto"/>
        <w:rPr>
          <w:rFonts w:ascii="Times New Roman" w:hAnsi="Times New Roman" w:cs="Times New Roman"/>
          <w:b/>
          <w:bCs/>
          <w:sz w:val="24"/>
          <w:szCs w:val="24"/>
        </w:rPr>
      </w:pPr>
      <w:r>
        <w:rPr>
          <w:rFonts w:ascii="Times New Roman" w:hAnsi="Times New Roman" w:cs="Times New Roman"/>
          <w:sz w:val="24"/>
          <w:szCs w:val="24"/>
        </w:rPr>
        <w:t>Scanning following treatment i</w:t>
      </w:r>
      <w:r w:rsidRPr="007F1A32">
        <w:rPr>
          <w:rFonts w:ascii="Times New Roman" w:hAnsi="Times New Roman" w:cs="Times New Roman"/>
          <w:sz w:val="24"/>
          <w:szCs w:val="24"/>
        </w:rPr>
        <w:t>s conducted according to suspicion of disease progression, regardless of treatment</w:t>
      </w:r>
    </w:p>
    <w:p w14:paraId="3430E9E5" w14:textId="380F2E28" w:rsidR="001B7BF2" w:rsidRPr="00E56BE0" w:rsidRDefault="00CB3DD4" w:rsidP="00E56BE0">
      <w:pPr>
        <w:spacing w:line="480" w:lineRule="auto"/>
        <w:rPr>
          <w:rFonts w:ascii="Times New Roman" w:hAnsi="Times New Roman" w:cs="Times New Roman"/>
          <w:b/>
          <w:bCs/>
          <w:sz w:val="24"/>
          <w:szCs w:val="24"/>
        </w:rPr>
      </w:pPr>
      <w:r w:rsidRPr="00E56BE0">
        <w:rPr>
          <w:rFonts w:ascii="Times New Roman" w:hAnsi="Times New Roman" w:cs="Times New Roman"/>
          <w:b/>
          <w:bCs/>
          <w:sz w:val="24"/>
          <w:szCs w:val="24"/>
        </w:rPr>
        <w:br w:type="page"/>
      </w:r>
      <w:r w:rsidR="00896CC9" w:rsidRPr="00E56BE0">
        <w:rPr>
          <w:rFonts w:ascii="Times New Roman" w:hAnsi="Times New Roman" w:cs="Times New Roman"/>
          <w:b/>
          <w:bCs/>
          <w:sz w:val="24"/>
          <w:szCs w:val="24"/>
        </w:rPr>
        <w:lastRenderedPageBreak/>
        <w:t xml:space="preserve">1 </w:t>
      </w:r>
      <w:r w:rsidR="001B7BF2" w:rsidRPr="00E56BE0">
        <w:rPr>
          <w:rFonts w:ascii="Times New Roman" w:hAnsi="Times New Roman" w:cs="Times New Roman"/>
          <w:b/>
          <w:bCs/>
          <w:sz w:val="24"/>
          <w:szCs w:val="24"/>
        </w:rPr>
        <w:t>INTRODUCTION</w:t>
      </w:r>
    </w:p>
    <w:p w14:paraId="5389BAAD" w14:textId="20C5F183" w:rsidR="008C11F8" w:rsidRPr="00E56BE0" w:rsidRDefault="0080075E" w:rsidP="00E56BE0">
      <w:pPr>
        <w:spacing w:line="480" w:lineRule="auto"/>
        <w:rPr>
          <w:rFonts w:ascii="Times New Roman" w:hAnsi="Times New Roman" w:cs="Times New Roman"/>
          <w:sz w:val="24"/>
          <w:szCs w:val="24"/>
        </w:rPr>
      </w:pPr>
      <w:r w:rsidRPr="00E56BE0">
        <w:rPr>
          <w:rFonts w:ascii="Times New Roman" w:hAnsi="Times New Roman" w:cs="Times New Roman"/>
          <w:sz w:val="24"/>
          <w:szCs w:val="24"/>
        </w:rPr>
        <w:t xml:space="preserve">Survival outcomes for men with </w:t>
      </w:r>
      <w:r w:rsidR="0098300B" w:rsidRPr="00E56BE0">
        <w:rPr>
          <w:rFonts w:ascii="Times New Roman" w:hAnsi="Times New Roman" w:cs="Times New Roman"/>
          <w:sz w:val="24"/>
          <w:szCs w:val="24"/>
        </w:rPr>
        <w:t>metastatic hormone-sensitive prostate cancer (mHSPC)</w:t>
      </w:r>
      <w:r w:rsidRPr="00E56BE0">
        <w:rPr>
          <w:rFonts w:ascii="Times New Roman" w:hAnsi="Times New Roman" w:cs="Times New Roman"/>
          <w:sz w:val="24"/>
          <w:szCs w:val="24"/>
        </w:rPr>
        <w:t xml:space="preserve"> remain poor</w:t>
      </w:r>
      <w:r w:rsidR="00346583" w:rsidRPr="00E56BE0">
        <w:rPr>
          <w:rFonts w:ascii="Times New Roman" w:hAnsi="Times New Roman" w:cs="Times New Roman"/>
          <w:sz w:val="24"/>
          <w:szCs w:val="24"/>
        </w:rPr>
        <w:t>,</w:t>
      </w:r>
      <w:r w:rsidRPr="00E56BE0">
        <w:rPr>
          <w:rFonts w:ascii="Times New Roman" w:hAnsi="Times New Roman" w:cs="Times New Roman"/>
          <w:sz w:val="24"/>
          <w:szCs w:val="24"/>
        </w:rPr>
        <w:t xml:space="preserve"> but particularly </w:t>
      </w:r>
      <w:r w:rsidR="00CD1D99" w:rsidRPr="00E56BE0">
        <w:rPr>
          <w:rFonts w:ascii="Times New Roman" w:hAnsi="Times New Roman" w:cs="Times New Roman"/>
          <w:sz w:val="24"/>
          <w:szCs w:val="24"/>
        </w:rPr>
        <w:t xml:space="preserve">so </w:t>
      </w:r>
      <w:r w:rsidR="0098300B" w:rsidRPr="00E56BE0">
        <w:rPr>
          <w:rFonts w:ascii="Times New Roman" w:hAnsi="Times New Roman" w:cs="Times New Roman"/>
          <w:sz w:val="24"/>
          <w:szCs w:val="24"/>
        </w:rPr>
        <w:t xml:space="preserve">in men </w:t>
      </w:r>
      <w:r w:rsidR="00CD1D99" w:rsidRPr="00E56BE0">
        <w:rPr>
          <w:rFonts w:ascii="Times New Roman" w:hAnsi="Times New Roman" w:cs="Times New Roman"/>
          <w:sz w:val="24"/>
          <w:szCs w:val="24"/>
        </w:rPr>
        <w:t>with a high metastatic burden</w:t>
      </w:r>
      <w:r w:rsidR="00A827E2">
        <w:rPr>
          <w:rFonts w:ascii="Times New Roman" w:hAnsi="Times New Roman" w:cs="Times New Roman"/>
          <w:sz w:val="24"/>
          <w:szCs w:val="24"/>
        </w:rPr>
        <w:t xml:space="preserve"> </w:t>
      </w:r>
      <w:r w:rsidR="00CD1D99" w:rsidRPr="00E56BE0">
        <w:rPr>
          <w:rFonts w:ascii="Times New Roman" w:hAnsi="Times New Roman" w:cs="Times New Roman"/>
          <w:sz w:val="24"/>
          <w:szCs w:val="24"/>
        </w:rPr>
        <w:t>at diagnosis</w:t>
      </w:r>
      <w:r w:rsidR="005A7651" w:rsidRPr="00E56BE0">
        <w:rPr>
          <w:rFonts w:ascii="Times New Roman" w:hAnsi="Times New Roman" w:cs="Times New Roman"/>
          <w:sz w:val="24"/>
          <w:szCs w:val="24"/>
        </w:rPr>
        <w:t>.</w:t>
      </w:r>
      <w:r w:rsidR="000236FD" w:rsidRPr="000236FD">
        <w:rPr>
          <w:rFonts w:ascii="Times New Roman" w:hAnsi="Times New Roman" w:cs="Times New Roman"/>
          <w:sz w:val="24"/>
          <w:szCs w:val="24"/>
          <w:vertAlign w:val="superscript"/>
        </w:rPr>
        <w:t>1</w:t>
      </w:r>
      <w:r w:rsidR="005A7651" w:rsidRPr="00E56BE0">
        <w:rPr>
          <w:rFonts w:ascii="Times New Roman" w:hAnsi="Times New Roman" w:cs="Times New Roman"/>
          <w:sz w:val="24"/>
          <w:szCs w:val="24"/>
        </w:rPr>
        <w:t xml:space="preserve"> </w:t>
      </w:r>
      <w:r w:rsidR="00D2422E" w:rsidRPr="00E56BE0">
        <w:rPr>
          <w:rFonts w:ascii="Times New Roman" w:hAnsi="Times New Roman" w:cs="Times New Roman"/>
          <w:sz w:val="24"/>
          <w:szCs w:val="24"/>
        </w:rPr>
        <w:t xml:space="preserve">In the CHAARTED study, </w:t>
      </w:r>
      <w:r w:rsidR="00E5053B" w:rsidRPr="00E56BE0">
        <w:rPr>
          <w:rFonts w:ascii="Times New Roman" w:hAnsi="Times New Roman" w:cs="Times New Roman"/>
          <w:sz w:val="24"/>
          <w:szCs w:val="24"/>
        </w:rPr>
        <w:t xml:space="preserve">of </w:t>
      </w:r>
      <w:r w:rsidR="004075AE">
        <w:rPr>
          <w:rFonts w:ascii="Times New Roman" w:hAnsi="Times New Roman" w:cs="Times New Roman"/>
          <w:sz w:val="24"/>
          <w:szCs w:val="24"/>
        </w:rPr>
        <w:t xml:space="preserve">the 393 </w:t>
      </w:r>
      <w:r w:rsidR="00E5053B" w:rsidRPr="00E56BE0">
        <w:rPr>
          <w:rFonts w:ascii="Times New Roman" w:hAnsi="Times New Roman" w:cs="Times New Roman"/>
          <w:sz w:val="24"/>
          <w:szCs w:val="24"/>
        </w:rPr>
        <w:t>patients who received androgen deprivation therapy (ADT)</w:t>
      </w:r>
      <w:r w:rsidR="005C06D4" w:rsidRPr="00E56BE0">
        <w:rPr>
          <w:rFonts w:ascii="Times New Roman" w:hAnsi="Times New Roman" w:cs="Times New Roman"/>
          <w:sz w:val="24"/>
          <w:szCs w:val="24"/>
        </w:rPr>
        <w:t xml:space="preserve"> alone</w:t>
      </w:r>
      <w:r w:rsidR="00E5053B" w:rsidRPr="00E56BE0">
        <w:rPr>
          <w:rFonts w:ascii="Times New Roman" w:hAnsi="Times New Roman" w:cs="Times New Roman"/>
          <w:sz w:val="24"/>
          <w:szCs w:val="24"/>
        </w:rPr>
        <w:t xml:space="preserve">, median overall survival was </w:t>
      </w:r>
      <w:r w:rsidR="005C06D4" w:rsidRPr="00E56BE0">
        <w:rPr>
          <w:rFonts w:ascii="Times New Roman" w:hAnsi="Times New Roman" w:cs="Times New Roman"/>
          <w:sz w:val="24"/>
          <w:szCs w:val="24"/>
        </w:rPr>
        <w:t>34.4</w:t>
      </w:r>
      <w:r w:rsidR="00E5053B" w:rsidRPr="00E56BE0">
        <w:rPr>
          <w:rFonts w:ascii="Times New Roman" w:hAnsi="Times New Roman" w:cs="Times New Roman"/>
          <w:sz w:val="24"/>
          <w:szCs w:val="24"/>
        </w:rPr>
        <w:t xml:space="preserve"> months in those with high-volume disease</w:t>
      </w:r>
      <w:r w:rsidR="007E2428">
        <w:rPr>
          <w:rFonts w:ascii="Times New Roman" w:hAnsi="Times New Roman" w:cs="Times New Roman"/>
          <w:sz w:val="24"/>
          <w:szCs w:val="24"/>
        </w:rPr>
        <w:t xml:space="preserve"> (defined as the presence of visceral metastases or ≥4 bone lesions with ≥1 beyond the vertebral bodies and pelvis)</w:t>
      </w:r>
      <w:r w:rsidR="00346583" w:rsidRPr="00E56BE0">
        <w:rPr>
          <w:rFonts w:ascii="Times New Roman" w:hAnsi="Times New Roman" w:cs="Times New Roman"/>
          <w:sz w:val="24"/>
          <w:szCs w:val="24"/>
        </w:rPr>
        <w:t>,</w:t>
      </w:r>
      <w:r w:rsidR="00E5053B" w:rsidRPr="00E56BE0">
        <w:rPr>
          <w:rFonts w:ascii="Times New Roman" w:hAnsi="Times New Roman" w:cs="Times New Roman"/>
          <w:sz w:val="24"/>
          <w:szCs w:val="24"/>
        </w:rPr>
        <w:t xml:space="preserve"> </w:t>
      </w:r>
      <w:r w:rsidR="005C06D4" w:rsidRPr="00E56BE0">
        <w:rPr>
          <w:rFonts w:ascii="Times New Roman" w:hAnsi="Times New Roman" w:cs="Times New Roman"/>
          <w:sz w:val="24"/>
          <w:szCs w:val="24"/>
        </w:rPr>
        <w:t>but not reached</w:t>
      </w:r>
      <w:r w:rsidR="00E5053B" w:rsidRPr="00E56BE0">
        <w:rPr>
          <w:rFonts w:ascii="Times New Roman" w:hAnsi="Times New Roman" w:cs="Times New Roman"/>
          <w:sz w:val="24"/>
          <w:szCs w:val="24"/>
        </w:rPr>
        <w:t xml:space="preserve"> in those with low-volume disease.</w:t>
      </w:r>
      <w:r w:rsidR="000236FD" w:rsidRPr="000236FD">
        <w:rPr>
          <w:rFonts w:ascii="Times New Roman" w:hAnsi="Times New Roman" w:cs="Times New Roman"/>
          <w:sz w:val="24"/>
          <w:szCs w:val="24"/>
          <w:vertAlign w:val="superscript"/>
        </w:rPr>
        <w:t>2</w:t>
      </w:r>
      <w:r w:rsidR="00E5053B" w:rsidRPr="00E56BE0">
        <w:rPr>
          <w:rFonts w:ascii="Times New Roman" w:hAnsi="Times New Roman" w:cs="Times New Roman"/>
          <w:sz w:val="24"/>
          <w:szCs w:val="24"/>
        </w:rPr>
        <w:t xml:space="preserve"> </w:t>
      </w:r>
      <w:r w:rsidR="00DE0FB4">
        <w:rPr>
          <w:rFonts w:ascii="Times New Roman" w:hAnsi="Times New Roman" w:cs="Times New Roman"/>
          <w:sz w:val="24"/>
          <w:szCs w:val="24"/>
        </w:rPr>
        <w:t>Furthermore,</w:t>
      </w:r>
      <w:r w:rsidR="003B368E">
        <w:rPr>
          <w:rFonts w:ascii="Times New Roman" w:hAnsi="Times New Roman" w:cs="Times New Roman"/>
          <w:sz w:val="24"/>
          <w:szCs w:val="24"/>
        </w:rPr>
        <w:t xml:space="preserve"> worse outcomes were observed for those patients with </w:t>
      </w:r>
      <w:r w:rsidR="003B368E" w:rsidRPr="00DE0FB4">
        <w:rPr>
          <w:rFonts w:ascii="Times New Roman" w:hAnsi="Times New Roman" w:cs="Times New Roman"/>
          <w:i/>
          <w:iCs/>
          <w:sz w:val="24"/>
          <w:szCs w:val="24"/>
        </w:rPr>
        <w:t>de novo</w:t>
      </w:r>
      <w:r w:rsidR="00DE0FB4">
        <w:rPr>
          <w:rFonts w:ascii="Times New Roman" w:hAnsi="Times New Roman" w:cs="Times New Roman"/>
          <w:sz w:val="24"/>
          <w:szCs w:val="24"/>
        </w:rPr>
        <w:t xml:space="preserve"> high-volume mHSPC relative to those with high-volume disease who had failed prior local therapy. </w:t>
      </w:r>
      <w:r w:rsidR="00E5053B" w:rsidRPr="00E56BE0">
        <w:rPr>
          <w:rFonts w:ascii="Times New Roman" w:hAnsi="Times New Roman" w:cs="Times New Roman"/>
          <w:sz w:val="24"/>
          <w:szCs w:val="24"/>
        </w:rPr>
        <w:t xml:space="preserve">Similarly, in the GETUG-AF15 trial median overall survival was </w:t>
      </w:r>
      <w:r w:rsidR="000A0E97" w:rsidRPr="00E56BE0">
        <w:rPr>
          <w:rFonts w:ascii="Times New Roman" w:hAnsi="Times New Roman" w:cs="Times New Roman"/>
          <w:sz w:val="24"/>
          <w:szCs w:val="24"/>
        </w:rPr>
        <w:t>83.4 months</w:t>
      </w:r>
      <w:r w:rsidR="00E5053B" w:rsidRPr="00E56BE0">
        <w:rPr>
          <w:rFonts w:ascii="Times New Roman" w:hAnsi="Times New Roman" w:cs="Times New Roman"/>
          <w:sz w:val="24"/>
          <w:szCs w:val="24"/>
        </w:rPr>
        <w:t xml:space="preserve"> in </w:t>
      </w:r>
      <w:r w:rsidR="00826CAB">
        <w:rPr>
          <w:rFonts w:ascii="Times New Roman" w:hAnsi="Times New Roman" w:cs="Times New Roman"/>
          <w:sz w:val="24"/>
          <w:szCs w:val="24"/>
        </w:rPr>
        <w:t xml:space="preserve">the 202 </w:t>
      </w:r>
      <w:r w:rsidR="00E5053B" w:rsidRPr="00E56BE0">
        <w:rPr>
          <w:rFonts w:ascii="Times New Roman" w:hAnsi="Times New Roman" w:cs="Times New Roman"/>
          <w:sz w:val="24"/>
          <w:szCs w:val="24"/>
        </w:rPr>
        <w:t xml:space="preserve">patients with low-volume disease receiving ADT </w:t>
      </w:r>
      <w:r w:rsidR="000A0E97" w:rsidRPr="00E56BE0">
        <w:rPr>
          <w:rFonts w:ascii="Times New Roman" w:hAnsi="Times New Roman" w:cs="Times New Roman"/>
          <w:sz w:val="24"/>
          <w:szCs w:val="24"/>
        </w:rPr>
        <w:t xml:space="preserve">alone </w:t>
      </w:r>
      <w:r w:rsidR="00E5053B" w:rsidRPr="00E56BE0">
        <w:rPr>
          <w:rFonts w:ascii="Times New Roman" w:hAnsi="Times New Roman" w:cs="Times New Roman"/>
          <w:sz w:val="24"/>
          <w:szCs w:val="24"/>
        </w:rPr>
        <w:t xml:space="preserve">compared with </w:t>
      </w:r>
      <w:r w:rsidR="000A0E97" w:rsidRPr="00E56BE0">
        <w:rPr>
          <w:rFonts w:ascii="Times New Roman" w:hAnsi="Times New Roman" w:cs="Times New Roman"/>
          <w:sz w:val="24"/>
          <w:szCs w:val="24"/>
        </w:rPr>
        <w:t>35.1</w:t>
      </w:r>
      <w:r w:rsidR="00E5053B" w:rsidRPr="00E56BE0">
        <w:rPr>
          <w:rFonts w:ascii="Times New Roman" w:hAnsi="Times New Roman" w:cs="Times New Roman"/>
          <w:sz w:val="24"/>
          <w:szCs w:val="24"/>
        </w:rPr>
        <w:t xml:space="preserve"> months in </w:t>
      </w:r>
      <w:r w:rsidR="00826CAB">
        <w:rPr>
          <w:rFonts w:ascii="Times New Roman" w:hAnsi="Times New Roman" w:cs="Times New Roman"/>
          <w:sz w:val="24"/>
          <w:szCs w:val="24"/>
        </w:rPr>
        <w:t xml:space="preserve">the 183 </w:t>
      </w:r>
      <w:r w:rsidR="00E5053B" w:rsidRPr="00E56BE0">
        <w:rPr>
          <w:rFonts w:ascii="Times New Roman" w:hAnsi="Times New Roman" w:cs="Times New Roman"/>
          <w:sz w:val="24"/>
          <w:szCs w:val="24"/>
        </w:rPr>
        <w:t>patients with high-volume disease</w:t>
      </w:r>
      <w:r w:rsidR="00DE0FB4">
        <w:rPr>
          <w:rFonts w:ascii="Times New Roman" w:hAnsi="Times New Roman" w:cs="Times New Roman"/>
          <w:sz w:val="24"/>
          <w:szCs w:val="24"/>
        </w:rPr>
        <w:t xml:space="preserve"> (CHAARTED definition)</w:t>
      </w:r>
      <w:r w:rsidR="00E5053B" w:rsidRPr="00E56BE0">
        <w:rPr>
          <w:rFonts w:ascii="Times New Roman" w:hAnsi="Times New Roman" w:cs="Times New Roman"/>
          <w:sz w:val="24"/>
          <w:szCs w:val="24"/>
        </w:rPr>
        <w:t>.</w:t>
      </w:r>
      <w:r w:rsidR="000236FD" w:rsidRPr="000236FD">
        <w:rPr>
          <w:rFonts w:ascii="Times New Roman" w:hAnsi="Times New Roman" w:cs="Times New Roman"/>
          <w:sz w:val="24"/>
          <w:szCs w:val="24"/>
          <w:vertAlign w:val="superscript"/>
        </w:rPr>
        <w:t>3</w:t>
      </w:r>
      <w:r w:rsidR="00E5053B" w:rsidRPr="00E56BE0">
        <w:rPr>
          <w:rFonts w:ascii="Times New Roman" w:hAnsi="Times New Roman" w:cs="Times New Roman"/>
          <w:sz w:val="24"/>
          <w:szCs w:val="24"/>
        </w:rPr>
        <w:t xml:space="preserve"> </w:t>
      </w:r>
      <w:r w:rsidR="00DE0FB4">
        <w:rPr>
          <w:rFonts w:ascii="Times New Roman" w:hAnsi="Times New Roman" w:cs="Times New Roman"/>
          <w:sz w:val="24"/>
          <w:szCs w:val="24"/>
        </w:rPr>
        <w:t>Again, patients with</w:t>
      </w:r>
      <w:r w:rsidR="00DE0FB4" w:rsidRPr="00E56BE0">
        <w:rPr>
          <w:rFonts w:ascii="Times New Roman" w:hAnsi="Times New Roman" w:cs="Times New Roman"/>
          <w:sz w:val="24"/>
          <w:szCs w:val="24"/>
        </w:rPr>
        <w:t xml:space="preserve"> </w:t>
      </w:r>
      <w:r w:rsidR="00DE0FB4" w:rsidRPr="00E56BE0">
        <w:rPr>
          <w:rFonts w:ascii="Times New Roman" w:hAnsi="Times New Roman" w:cs="Times New Roman"/>
          <w:i/>
          <w:iCs/>
          <w:sz w:val="24"/>
          <w:szCs w:val="24"/>
        </w:rPr>
        <w:t>de novo</w:t>
      </w:r>
      <w:r w:rsidR="00DE0FB4" w:rsidRPr="00E56BE0">
        <w:rPr>
          <w:rFonts w:ascii="Times New Roman" w:hAnsi="Times New Roman" w:cs="Times New Roman"/>
          <w:sz w:val="24"/>
          <w:szCs w:val="24"/>
        </w:rPr>
        <w:t xml:space="preserve"> metastatic prostate cancer </w:t>
      </w:r>
      <w:r w:rsidR="00DE0FB4">
        <w:rPr>
          <w:rFonts w:ascii="Times New Roman" w:hAnsi="Times New Roman" w:cs="Times New Roman"/>
          <w:sz w:val="24"/>
          <w:szCs w:val="24"/>
        </w:rPr>
        <w:t>had poorer overall survival</w:t>
      </w:r>
      <w:r w:rsidR="007E2428">
        <w:rPr>
          <w:rFonts w:ascii="Times New Roman" w:hAnsi="Times New Roman" w:cs="Times New Roman"/>
          <w:sz w:val="24"/>
          <w:szCs w:val="24"/>
        </w:rPr>
        <w:t xml:space="preserve">. </w:t>
      </w:r>
      <w:r w:rsidR="00FA5791" w:rsidRPr="00E56BE0">
        <w:rPr>
          <w:rFonts w:ascii="Times New Roman" w:hAnsi="Times New Roman" w:cs="Times New Roman"/>
          <w:sz w:val="24"/>
          <w:szCs w:val="24"/>
        </w:rPr>
        <w:t xml:space="preserve">A </w:t>
      </w:r>
      <w:r w:rsidR="007E2428">
        <w:rPr>
          <w:rFonts w:ascii="Times New Roman" w:hAnsi="Times New Roman" w:cs="Times New Roman"/>
          <w:sz w:val="24"/>
          <w:szCs w:val="24"/>
        </w:rPr>
        <w:t xml:space="preserve">single-centre </w:t>
      </w:r>
      <w:r w:rsidR="00FA5791" w:rsidRPr="00E56BE0">
        <w:rPr>
          <w:rFonts w:ascii="Times New Roman" w:hAnsi="Times New Roman" w:cs="Times New Roman"/>
          <w:sz w:val="24"/>
          <w:szCs w:val="24"/>
        </w:rPr>
        <w:t xml:space="preserve">study </w:t>
      </w:r>
      <w:r w:rsidR="00F63E46">
        <w:rPr>
          <w:rFonts w:ascii="Times New Roman" w:hAnsi="Times New Roman" w:cs="Times New Roman"/>
          <w:sz w:val="24"/>
          <w:szCs w:val="24"/>
        </w:rPr>
        <w:t xml:space="preserve">conducted at the Dana Farber Cancer Institute involving </w:t>
      </w:r>
      <w:r w:rsidR="00FA5791" w:rsidRPr="00E56BE0">
        <w:rPr>
          <w:rFonts w:ascii="Times New Roman" w:hAnsi="Times New Roman" w:cs="Times New Roman"/>
          <w:sz w:val="24"/>
          <w:szCs w:val="24"/>
        </w:rPr>
        <w:t xml:space="preserve">436 patients with mHSPC treated with ADT </w:t>
      </w:r>
      <w:r w:rsidR="000F7E17" w:rsidRPr="00E56BE0">
        <w:rPr>
          <w:rFonts w:ascii="Times New Roman" w:hAnsi="Times New Roman" w:cs="Times New Roman"/>
          <w:sz w:val="24"/>
          <w:szCs w:val="24"/>
        </w:rPr>
        <w:t>showed</w:t>
      </w:r>
      <w:r w:rsidR="002D22DF" w:rsidRPr="00E56BE0">
        <w:rPr>
          <w:rFonts w:ascii="Times New Roman" w:hAnsi="Times New Roman" w:cs="Times New Roman"/>
          <w:sz w:val="24"/>
          <w:szCs w:val="24"/>
        </w:rPr>
        <w:t xml:space="preserve"> that</w:t>
      </w:r>
      <w:r w:rsidR="00FA5791" w:rsidRPr="00E56BE0">
        <w:rPr>
          <w:rFonts w:ascii="Times New Roman" w:hAnsi="Times New Roman" w:cs="Times New Roman"/>
          <w:sz w:val="24"/>
          <w:szCs w:val="24"/>
        </w:rPr>
        <w:t xml:space="preserve"> the worst prognosis</w:t>
      </w:r>
      <w:r w:rsidR="002D22DF" w:rsidRPr="00E56BE0">
        <w:rPr>
          <w:rFonts w:ascii="Times New Roman" w:hAnsi="Times New Roman" w:cs="Times New Roman"/>
          <w:sz w:val="24"/>
          <w:szCs w:val="24"/>
        </w:rPr>
        <w:t xml:space="preserve"> was</w:t>
      </w:r>
      <w:r w:rsidR="00FA5791" w:rsidRPr="00E56BE0">
        <w:rPr>
          <w:rFonts w:ascii="Times New Roman" w:hAnsi="Times New Roman" w:cs="Times New Roman"/>
          <w:sz w:val="24"/>
          <w:szCs w:val="24"/>
        </w:rPr>
        <w:t xml:space="preserve"> for patients with </w:t>
      </w:r>
      <w:r w:rsidR="00FA5791" w:rsidRPr="00E56BE0">
        <w:rPr>
          <w:rFonts w:ascii="Times New Roman" w:hAnsi="Times New Roman" w:cs="Times New Roman"/>
          <w:i/>
          <w:iCs/>
          <w:sz w:val="24"/>
          <w:szCs w:val="24"/>
        </w:rPr>
        <w:t>de novo</w:t>
      </w:r>
      <w:r w:rsidR="00FA5791" w:rsidRPr="00E56BE0">
        <w:rPr>
          <w:rFonts w:ascii="Times New Roman" w:hAnsi="Times New Roman" w:cs="Times New Roman"/>
          <w:sz w:val="24"/>
          <w:szCs w:val="24"/>
        </w:rPr>
        <w:t xml:space="preserve"> metastatic disease </w:t>
      </w:r>
      <w:r w:rsidR="00747AC4" w:rsidRPr="00E56BE0">
        <w:rPr>
          <w:rFonts w:ascii="Times New Roman" w:hAnsi="Times New Roman" w:cs="Times New Roman"/>
          <w:sz w:val="24"/>
          <w:szCs w:val="24"/>
        </w:rPr>
        <w:t>and</w:t>
      </w:r>
      <w:r w:rsidR="00FA5791" w:rsidRPr="00E56BE0">
        <w:rPr>
          <w:rFonts w:ascii="Times New Roman" w:hAnsi="Times New Roman" w:cs="Times New Roman"/>
          <w:sz w:val="24"/>
          <w:szCs w:val="24"/>
        </w:rPr>
        <w:t xml:space="preserve"> high</w:t>
      </w:r>
      <w:r w:rsidR="0089596E">
        <w:rPr>
          <w:rFonts w:ascii="Times New Roman" w:hAnsi="Times New Roman" w:cs="Times New Roman"/>
          <w:sz w:val="24"/>
          <w:szCs w:val="24"/>
        </w:rPr>
        <w:t>-</w:t>
      </w:r>
      <w:r w:rsidR="00F63E46">
        <w:rPr>
          <w:rFonts w:ascii="Times New Roman" w:hAnsi="Times New Roman" w:cs="Times New Roman"/>
          <w:sz w:val="24"/>
          <w:szCs w:val="24"/>
        </w:rPr>
        <w:t>volume disease (</w:t>
      </w:r>
      <w:r w:rsidR="004075AE">
        <w:rPr>
          <w:rFonts w:ascii="Times New Roman" w:hAnsi="Times New Roman" w:cs="Times New Roman"/>
          <w:sz w:val="24"/>
          <w:szCs w:val="24"/>
        </w:rPr>
        <w:t xml:space="preserve">n=148; </w:t>
      </w:r>
      <w:r w:rsidR="00F63E46">
        <w:rPr>
          <w:rFonts w:ascii="Times New Roman" w:hAnsi="Times New Roman" w:cs="Times New Roman"/>
          <w:sz w:val="24"/>
          <w:szCs w:val="24"/>
        </w:rPr>
        <w:t>defined as above)</w:t>
      </w:r>
      <w:r w:rsidR="00FA5791" w:rsidRPr="00E56BE0">
        <w:rPr>
          <w:rFonts w:ascii="Times New Roman" w:hAnsi="Times New Roman" w:cs="Times New Roman"/>
          <w:sz w:val="24"/>
          <w:szCs w:val="24"/>
        </w:rPr>
        <w:t xml:space="preserve"> relative to those who had received prior local treatment and had low-volume disease (</w:t>
      </w:r>
      <w:r w:rsidR="004075AE">
        <w:rPr>
          <w:rFonts w:ascii="Times New Roman" w:hAnsi="Times New Roman" w:cs="Times New Roman"/>
          <w:sz w:val="24"/>
          <w:szCs w:val="24"/>
        </w:rPr>
        <w:t xml:space="preserve">n=125; </w:t>
      </w:r>
      <w:r w:rsidR="00FA5791" w:rsidRPr="00E56BE0">
        <w:rPr>
          <w:rFonts w:ascii="Times New Roman" w:hAnsi="Times New Roman" w:cs="Times New Roman"/>
          <w:sz w:val="24"/>
          <w:szCs w:val="24"/>
        </w:rPr>
        <w:t>median overall survival of 43.2 months vs 92.4 months)</w:t>
      </w:r>
      <w:r w:rsidR="002D22DF" w:rsidRPr="00E56BE0">
        <w:rPr>
          <w:rFonts w:ascii="Times New Roman" w:hAnsi="Times New Roman" w:cs="Times New Roman"/>
          <w:sz w:val="24"/>
          <w:szCs w:val="24"/>
        </w:rPr>
        <w:t>.</w:t>
      </w:r>
      <w:r w:rsidR="000236FD" w:rsidRPr="000236FD">
        <w:rPr>
          <w:rFonts w:ascii="Times New Roman" w:hAnsi="Times New Roman" w:cs="Times New Roman"/>
          <w:sz w:val="24"/>
          <w:szCs w:val="24"/>
          <w:vertAlign w:val="superscript"/>
        </w:rPr>
        <w:t>1</w:t>
      </w:r>
      <w:r w:rsidR="002D22DF" w:rsidRPr="00E56BE0">
        <w:rPr>
          <w:rFonts w:ascii="Times New Roman" w:hAnsi="Times New Roman" w:cs="Times New Roman"/>
          <w:sz w:val="24"/>
          <w:szCs w:val="24"/>
        </w:rPr>
        <w:t xml:space="preserve"> </w:t>
      </w:r>
    </w:p>
    <w:p w14:paraId="12A4FA85" w14:textId="18765C40" w:rsidR="009E2259" w:rsidRDefault="00AD5C10" w:rsidP="00EA0CC4">
      <w:pPr>
        <w:spacing w:line="480" w:lineRule="auto"/>
        <w:ind w:firstLine="720"/>
        <w:rPr>
          <w:rFonts w:ascii="Times New Roman" w:hAnsi="Times New Roman" w:cs="Times New Roman"/>
          <w:sz w:val="24"/>
          <w:szCs w:val="24"/>
        </w:rPr>
      </w:pPr>
      <w:r>
        <w:rPr>
          <w:rFonts w:ascii="Times New Roman" w:hAnsi="Times New Roman" w:cs="Times New Roman"/>
          <w:sz w:val="24"/>
          <w:szCs w:val="24"/>
        </w:rPr>
        <w:t>A</w:t>
      </w:r>
      <w:r w:rsidR="00AC4C09" w:rsidRPr="00E56BE0">
        <w:rPr>
          <w:rFonts w:ascii="Times New Roman" w:hAnsi="Times New Roman" w:cs="Times New Roman"/>
          <w:sz w:val="24"/>
          <w:szCs w:val="24"/>
        </w:rPr>
        <w:t>ddition of docetaxel to ADT offers a survival advantage relative to ADT alone in men with mHSPC</w:t>
      </w:r>
      <w:r w:rsidR="009E2259">
        <w:rPr>
          <w:rFonts w:ascii="Times New Roman" w:hAnsi="Times New Roman" w:cs="Times New Roman"/>
          <w:sz w:val="24"/>
          <w:szCs w:val="24"/>
        </w:rPr>
        <w:t xml:space="preserve">. </w:t>
      </w:r>
      <w:r w:rsidR="00DE0FB4">
        <w:rPr>
          <w:rFonts w:ascii="Times New Roman" w:hAnsi="Times New Roman" w:cs="Times New Roman"/>
          <w:sz w:val="24"/>
          <w:szCs w:val="24"/>
        </w:rPr>
        <w:t xml:space="preserve">Of the studies reporting data for these patients, </w:t>
      </w:r>
      <w:r w:rsidR="009E2259">
        <w:rPr>
          <w:rFonts w:ascii="Times New Roman" w:hAnsi="Times New Roman" w:cs="Times New Roman"/>
          <w:sz w:val="24"/>
          <w:szCs w:val="24"/>
        </w:rPr>
        <w:t>STAMPEDE is the largest randomised trial conducted to investigate treatment outcomes in men with high-risk localised or metastatic prostate cancer.</w:t>
      </w:r>
      <w:r w:rsidR="00D37197" w:rsidRPr="00D37197">
        <w:rPr>
          <w:rFonts w:ascii="Times New Roman" w:hAnsi="Times New Roman" w:cs="Times New Roman"/>
          <w:sz w:val="24"/>
          <w:szCs w:val="24"/>
          <w:vertAlign w:val="superscript"/>
        </w:rPr>
        <w:t>4</w:t>
      </w:r>
      <w:r w:rsidR="009E2259">
        <w:rPr>
          <w:rFonts w:ascii="Times New Roman" w:hAnsi="Times New Roman" w:cs="Times New Roman"/>
          <w:sz w:val="24"/>
          <w:szCs w:val="24"/>
        </w:rPr>
        <w:t xml:space="preserve"> Its multi-arm, multi-stage (MAMS) design permits the assessment of different treatments, in terms of overall survival, when added to long-term hormone therapy. The primary analysis from </w:t>
      </w:r>
      <w:r w:rsidR="00DE0FB4">
        <w:rPr>
          <w:rFonts w:ascii="Times New Roman" w:hAnsi="Times New Roman" w:cs="Times New Roman"/>
          <w:sz w:val="24"/>
          <w:szCs w:val="24"/>
        </w:rPr>
        <w:t>the study</w:t>
      </w:r>
      <w:r w:rsidR="009E2259">
        <w:rPr>
          <w:rFonts w:ascii="Times New Roman" w:hAnsi="Times New Roman" w:cs="Times New Roman"/>
          <w:sz w:val="24"/>
          <w:szCs w:val="24"/>
        </w:rPr>
        <w:t xml:space="preserve"> was the evaluation of docetaxel</w:t>
      </w:r>
      <w:r w:rsidR="009E2259" w:rsidRPr="00E56BE0">
        <w:rPr>
          <w:rFonts w:ascii="Times New Roman" w:hAnsi="Times New Roman" w:cs="Times New Roman"/>
          <w:sz w:val="24"/>
          <w:szCs w:val="24"/>
        </w:rPr>
        <w:t xml:space="preserve"> </w:t>
      </w:r>
      <w:r w:rsidR="009E2259">
        <w:rPr>
          <w:rFonts w:ascii="Times New Roman" w:hAnsi="Times New Roman" w:cs="Times New Roman"/>
          <w:sz w:val="24"/>
          <w:szCs w:val="24"/>
        </w:rPr>
        <w:t xml:space="preserve">added to long-term ADT </w:t>
      </w:r>
      <w:r w:rsidR="00593009">
        <w:rPr>
          <w:rFonts w:ascii="Times New Roman" w:hAnsi="Times New Roman" w:cs="Times New Roman"/>
          <w:sz w:val="24"/>
          <w:szCs w:val="24"/>
        </w:rPr>
        <w:t xml:space="preserve">(592 patients) </w:t>
      </w:r>
      <w:r w:rsidR="009E2259">
        <w:rPr>
          <w:rFonts w:ascii="Times New Roman" w:hAnsi="Times New Roman" w:cs="Times New Roman"/>
          <w:sz w:val="24"/>
          <w:szCs w:val="24"/>
        </w:rPr>
        <w:t xml:space="preserve">and in the overall population, a significant benefit </w:t>
      </w:r>
      <w:r w:rsidR="00593009">
        <w:rPr>
          <w:rFonts w:ascii="Times New Roman" w:hAnsi="Times New Roman" w:cs="Times New Roman"/>
          <w:sz w:val="24"/>
          <w:szCs w:val="24"/>
        </w:rPr>
        <w:t xml:space="preserve">was observed relative to the 1184 patients randomised to ADT alone </w:t>
      </w:r>
      <w:r w:rsidR="009E2259">
        <w:rPr>
          <w:rFonts w:ascii="Times New Roman" w:hAnsi="Times New Roman" w:cs="Times New Roman"/>
          <w:sz w:val="24"/>
          <w:szCs w:val="24"/>
        </w:rPr>
        <w:t xml:space="preserve">(median overall survival, 71 </w:t>
      </w:r>
      <w:r w:rsidR="009E2259">
        <w:rPr>
          <w:rFonts w:ascii="Times New Roman" w:hAnsi="Times New Roman" w:cs="Times New Roman"/>
          <w:sz w:val="24"/>
          <w:szCs w:val="24"/>
        </w:rPr>
        <w:lastRenderedPageBreak/>
        <w:t xml:space="preserve">vs 81 months; </w:t>
      </w:r>
      <w:r w:rsidR="00DE0FB4">
        <w:rPr>
          <w:rFonts w:ascii="Times New Roman" w:hAnsi="Times New Roman" w:cs="Times New Roman"/>
          <w:sz w:val="24"/>
          <w:szCs w:val="24"/>
        </w:rPr>
        <w:t>hazard ratio [</w:t>
      </w:r>
      <w:r w:rsidR="009E2259">
        <w:rPr>
          <w:rFonts w:ascii="Times New Roman" w:hAnsi="Times New Roman" w:cs="Times New Roman"/>
          <w:sz w:val="24"/>
          <w:szCs w:val="24"/>
        </w:rPr>
        <w:t>HR</w:t>
      </w:r>
      <w:r w:rsidR="00DE0FB4">
        <w:rPr>
          <w:rFonts w:ascii="Times New Roman" w:hAnsi="Times New Roman" w:cs="Times New Roman"/>
          <w:sz w:val="24"/>
          <w:szCs w:val="24"/>
        </w:rPr>
        <w:t>]</w:t>
      </w:r>
      <w:r w:rsidR="009E2259">
        <w:rPr>
          <w:rFonts w:ascii="Times New Roman" w:hAnsi="Times New Roman" w:cs="Times New Roman"/>
          <w:sz w:val="24"/>
          <w:szCs w:val="24"/>
        </w:rPr>
        <w:t xml:space="preserve">, 0.78; 95% </w:t>
      </w:r>
      <w:r w:rsidR="00DE0FB4">
        <w:rPr>
          <w:rFonts w:ascii="Times New Roman" w:hAnsi="Times New Roman" w:cs="Times New Roman"/>
          <w:sz w:val="24"/>
          <w:szCs w:val="24"/>
        </w:rPr>
        <w:t>confidence interval [</w:t>
      </w:r>
      <w:r w:rsidR="009E2259">
        <w:rPr>
          <w:rFonts w:ascii="Times New Roman" w:hAnsi="Times New Roman" w:cs="Times New Roman"/>
          <w:sz w:val="24"/>
          <w:szCs w:val="24"/>
        </w:rPr>
        <w:t>CI</w:t>
      </w:r>
      <w:r w:rsidR="00DE0FB4">
        <w:rPr>
          <w:rFonts w:ascii="Times New Roman" w:hAnsi="Times New Roman" w:cs="Times New Roman"/>
          <w:sz w:val="24"/>
          <w:szCs w:val="24"/>
        </w:rPr>
        <w:t>]</w:t>
      </w:r>
      <w:r w:rsidR="009E2259">
        <w:rPr>
          <w:rFonts w:ascii="Times New Roman" w:hAnsi="Times New Roman" w:cs="Times New Roman"/>
          <w:sz w:val="24"/>
          <w:szCs w:val="24"/>
        </w:rPr>
        <w:t xml:space="preserve">, 0.66-0.93; p=0.006). </w:t>
      </w:r>
      <w:r w:rsidR="0075566E">
        <w:rPr>
          <w:rFonts w:ascii="Times New Roman" w:hAnsi="Times New Roman" w:cs="Times New Roman"/>
          <w:sz w:val="24"/>
          <w:szCs w:val="24"/>
        </w:rPr>
        <w:t>Similar findings were reported in the CHAARTED study.</w:t>
      </w:r>
      <w:r w:rsidR="00D37197" w:rsidRPr="00D37197">
        <w:rPr>
          <w:rFonts w:ascii="Times New Roman" w:hAnsi="Times New Roman" w:cs="Times New Roman"/>
          <w:sz w:val="24"/>
          <w:szCs w:val="24"/>
          <w:vertAlign w:val="superscript"/>
        </w:rPr>
        <w:t>2, 5</w:t>
      </w:r>
      <w:r w:rsidR="0075566E">
        <w:rPr>
          <w:rFonts w:ascii="Times New Roman" w:hAnsi="Times New Roman" w:cs="Times New Roman"/>
          <w:sz w:val="24"/>
          <w:szCs w:val="24"/>
        </w:rPr>
        <w:t xml:space="preserve"> However, in the GET</w:t>
      </w:r>
      <w:r w:rsidR="00826CAB">
        <w:rPr>
          <w:rFonts w:ascii="Times New Roman" w:hAnsi="Times New Roman" w:cs="Times New Roman"/>
          <w:sz w:val="24"/>
          <w:szCs w:val="24"/>
        </w:rPr>
        <w:t>U</w:t>
      </w:r>
      <w:r w:rsidR="0075566E">
        <w:rPr>
          <w:rFonts w:ascii="Times New Roman" w:hAnsi="Times New Roman" w:cs="Times New Roman"/>
          <w:sz w:val="24"/>
          <w:szCs w:val="24"/>
        </w:rPr>
        <w:t>G-AF15 trial there was no difference between standard of care alone and the addition of docetaxel.</w:t>
      </w:r>
      <w:r w:rsidR="00D37197" w:rsidRPr="00D37197">
        <w:rPr>
          <w:rFonts w:ascii="Times New Roman" w:hAnsi="Times New Roman" w:cs="Times New Roman"/>
          <w:sz w:val="24"/>
          <w:szCs w:val="24"/>
          <w:vertAlign w:val="superscript"/>
        </w:rPr>
        <w:t>3</w:t>
      </w:r>
      <w:r w:rsidR="00EA0CC4">
        <w:rPr>
          <w:rFonts w:ascii="Times New Roman" w:hAnsi="Times New Roman" w:cs="Times New Roman"/>
          <w:sz w:val="24"/>
          <w:szCs w:val="24"/>
        </w:rPr>
        <w:t xml:space="preserve"> </w:t>
      </w:r>
      <w:r w:rsidR="00242ABB">
        <w:rPr>
          <w:rFonts w:ascii="Times New Roman" w:hAnsi="Times New Roman" w:cs="Times New Roman"/>
          <w:sz w:val="24"/>
          <w:szCs w:val="24"/>
        </w:rPr>
        <w:t xml:space="preserve">A </w:t>
      </w:r>
      <w:r w:rsidR="00DE0FB4">
        <w:rPr>
          <w:rFonts w:ascii="Times New Roman" w:hAnsi="Times New Roman" w:cs="Times New Roman"/>
          <w:sz w:val="24"/>
          <w:szCs w:val="24"/>
        </w:rPr>
        <w:t xml:space="preserve">subsequent </w:t>
      </w:r>
      <w:r w:rsidR="00242ABB">
        <w:rPr>
          <w:rFonts w:ascii="Times New Roman" w:hAnsi="Times New Roman" w:cs="Times New Roman"/>
          <w:sz w:val="24"/>
          <w:szCs w:val="24"/>
        </w:rPr>
        <w:t xml:space="preserve">meta-analysis of data from STAMPEDE, CHAARTED and GETUG-AF15 has shown that risk of death in men with M1 mHSPC was reduced by 23% with the addition of docetaxel to </w:t>
      </w:r>
      <w:r w:rsidR="00DE0FB4">
        <w:rPr>
          <w:rFonts w:ascii="Times New Roman" w:hAnsi="Times New Roman" w:cs="Times New Roman"/>
          <w:sz w:val="24"/>
          <w:szCs w:val="24"/>
        </w:rPr>
        <w:t>ADT</w:t>
      </w:r>
      <w:r w:rsidR="00242ABB">
        <w:rPr>
          <w:rFonts w:ascii="Times New Roman" w:hAnsi="Times New Roman" w:cs="Times New Roman"/>
          <w:sz w:val="24"/>
          <w:szCs w:val="24"/>
        </w:rPr>
        <w:t xml:space="preserve">, when assuming </w:t>
      </w:r>
      <w:r w:rsidR="0075566E">
        <w:rPr>
          <w:rFonts w:ascii="Times New Roman" w:hAnsi="Times New Roman" w:cs="Times New Roman"/>
          <w:sz w:val="24"/>
          <w:szCs w:val="24"/>
        </w:rPr>
        <w:t xml:space="preserve">a </w:t>
      </w:r>
      <w:r w:rsidR="00242ABB">
        <w:rPr>
          <w:rFonts w:ascii="Times New Roman" w:hAnsi="Times New Roman" w:cs="Times New Roman"/>
          <w:sz w:val="24"/>
          <w:szCs w:val="24"/>
        </w:rPr>
        <w:t xml:space="preserve">4-year survival </w:t>
      </w:r>
      <w:r w:rsidR="0075566E">
        <w:rPr>
          <w:rFonts w:ascii="Times New Roman" w:hAnsi="Times New Roman" w:cs="Times New Roman"/>
          <w:sz w:val="24"/>
          <w:szCs w:val="24"/>
        </w:rPr>
        <w:t xml:space="preserve">of 40% </w:t>
      </w:r>
      <w:r w:rsidR="00242ABB">
        <w:rPr>
          <w:rFonts w:ascii="Times New Roman" w:hAnsi="Times New Roman" w:cs="Times New Roman"/>
          <w:sz w:val="24"/>
          <w:szCs w:val="24"/>
        </w:rPr>
        <w:t xml:space="preserve">with </w:t>
      </w:r>
      <w:r w:rsidR="00DE0FB4">
        <w:rPr>
          <w:rFonts w:ascii="Times New Roman" w:hAnsi="Times New Roman" w:cs="Times New Roman"/>
          <w:sz w:val="24"/>
          <w:szCs w:val="24"/>
        </w:rPr>
        <w:t>ADT monotherapy</w:t>
      </w:r>
      <w:r w:rsidR="00242ABB">
        <w:rPr>
          <w:rFonts w:ascii="Times New Roman" w:hAnsi="Times New Roman" w:cs="Times New Roman"/>
          <w:sz w:val="24"/>
          <w:szCs w:val="24"/>
        </w:rPr>
        <w:t xml:space="preserve"> (HR, 0.77; 95% CI, 0.68-0.97).</w:t>
      </w:r>
      <w:r w:rsidR="00D37197" w:rsidRPr="00D37197">
        <w:rPr>
          <w:rFonts w:ascii="Times New Roman" w:hAnsi="Times New Roman" w:cs="Times New Roman"/>
          <w:sz w:val="24"/>
          <w:szCs w:val="24"/>
          <w:vertAlign w:val="superscript"/>
        </w:rPr>
        <w:t>6</w:t>
      </w:r>
      <w:r w:rsidR="00242ABB">
        <w:rPr>
          <w:rFonts w:ascii="Times New Roman" w:hAnsi="Times New Roman" w:cs="Times New Roman"/>
          <w:sz w:val="24"/>
          <w:szCs w:val="24"/>
        </w:rPr>
        <w:t xml:space="preserve"> </w:t>
      </w:r>
    </w:p>
    <w:p w14:paraId="1F23589C" w14:textId="7348AB70" w:rsidR="000C3FFE" w:rsidRDefault="009E2259" w:rsidP="00FA3214">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AC4C09" w:rsidRPr="00E56BE0">
        <w:rPr>
          <w:rFonts w:ascii="Times New Roman" w:hAnsi="Times New Roman" w:cs="Times New Roman"/>
          <w:sz w:val="24"/>
          <w:szCs w:val="24"/>
        </w:rPr>
        <w:t xml:space="preserve">he clinical trial data are </w:t>
      </w:r>
      <w:r w:rsidR="00826CAB">
        <w:rPr>
          <w:rFonts w:ascii="Times New Roman" w:hAnsi="Times New Roman" w:cs="Times New Roman"/>
          <w:sz w:val="24"/>
          <w:szCs w:val="24"/>
        </w:rPr>
        <w:t xml:space="preserve">also </w:t>
      </w:r>
      <w:r w:rsidR="00CA1895">
        <w:rPr>
          <w:rFonts w:ascii="Times New Roman" w:hAnsi="Times New Roman" w:cs="Times New Roman"/>
          <w:sz w:val="24"/>
          <w:szCs w:val="24"/>
        </w:rPr>
        <w:t>inconsistent</w:t>
      </w:r>
      <w:r w:rsidR="00AC4C09" w:rsidRPr="00E56BE0">
        <w:rPr>
          <w:rFonts w:ascii="Times New Roman" w:hAnsi="Times New Roman" w:cs="Times New Roman"/>
          <w:sz w:val="24"/>
          <w:szCs w:val="24"/>
        </w:rPr>
        <w:t xml:space="preserve"> with respect to</w:t>
      </w:r>
      <w:r w:rsidR="00826CAB">
        <w:rPr>
          <w:rFonts w:ascii="Times New Roman" w:hAnsi="Times New Roman" w:cs="Times New Roman"/>
          <w:sz w:val="24"/>
          <w:szCs w:val="24"/>
        </w:rPr>
        <w:t xml:space="preserve"> outcomes according to</w:t>
      </w:r>
      <w:r w:rsidR="00AC4C09" w:rsidRPr="00E56BE0">
        <w:rPr>
          <w:rFonts w:ascii="Times New Roman" w:hAnsi="Times New Roman" w:cs="Times New Roman"/>
          <w:sz w:val="24"/>
          <w:szCs w:val="24"/>
        </w:rPr>
        <w:t xml:space="preserve"> volume of disease. </w:t>
      </w:r>
      <w:r w:rsidR="00060DC5" w:rsidRPr="00E56BE0">
        <w:rPr>
          <w:rFonts w:ascii="Times New Roman" w:hAnsi="Times New Roman" w:cs="Times New Roman"/>
          <w:sz w:val="24"/>
          <w:szCs w:val="24"/>
        </w:rPr>
        <w:t xml:space="preserve">In the CHAARTED study, </w:t>
      </w:r>
      <w:r w:rsidR="00AC4C09" w:rsidRPr="00E56BE0">
        <w:rPr>
          <w:rFonts w:ascii="Times New Roman" w:hAnsi="Times New Roman" w:cs="Times New Roman"/>
          <w:sz w:val="24"/>
          <w:szCs w:val="24"/>
        </w:rPr>
        <w:t>for</w:t>
      </w:r>
      <w:r w:rsidR="00060DC5" w:rsidRPr="00E56BE0">
        <w:rPr>
          <w:rFonts w:ascii="Times New Roman" w:hAnsi="Times New Roman" w:cs="Times New Roman"/>
          <w:sz w:val="24"/>
          <w:szCs w:val="24"/>
        </w:rPr>
        <w:t xml:space="preserve"> </w:t>
      </w:r>
      <w:r w:rsidR="00826CAB">
        <w:rPr>
          <w:rFonts w:ascii="Times New Roman" w:hAnsi="Times New Roman" w:cs="Times New Roman"/>
          <w:sz w:val="24"/>
          <w:szCs w:val="24"/>
        </w:rPr>
        <w:t xml:space="preserve">the 263 </w:t>
      </w:r>
      <w:r w:rsidR="00060DC5" w:rsidRPr="00E56BE0">
        <w:rPr>
          <w:rFonts w:ascii="Times New Roman" w:hAnsi="Times New Roman" w:cs="Times New Roman"/>
          <w:sz w:val="24"/>
          <w:szCs w:val="24"/>
        </w:rPr>
        <w:t xml:space="preserve">patients </w:t>
      </w:r>
      <w:r w:rsidR="005C4F32" w:rsidRPr="00E56BE0">
        <w:rPr>
          <w:rFonts w:ascii="Times New Roman" w:hAnsi="Times New Roman" w:cs="Times New Roman"/>
          <w:sz w:val="24"/>
          <w:szCs w:val="24"/>
        </w:rPr>
        <w:t>with high-volume disease</w:t>
      </w:r>
      <w:r w:rsidR="00DE0FB4">
        <w:rPr>
          <w:rFonts w:ascii="Times New Roman" w:hAnsi="Times New Roman" w:cs="Times New Roman"/>
          <w:sz w:val="24"/>
          <w:szCs w:val="24"/>
        </w:rPr>
        <w:t xml:space="preserve"> (defined above)</w:t>
      </w:r>
      <w:r w:rsidR="005C4F32" w:rsidRPr="00E56BE0">
        <w:rPr>
          <w:rFonts w:ascii="Times New Roman" w:hAnsi="Times New Roman" w:cs="Times New Roman"/>
          <w:sz w:val="24"/>
          <w:szCs w:val="24"/>
        </w:rPr>
        <w:t xml:space="preserve"> </w:t>
      </w:r>
      <w:r w:rsidR="00060DC5" w:rsidRPr="00E56BE0">
        <w:rPr>
          <w:rFonts w:ascii="Times New Roman" w:hAnsi="Times New Roman" w:cs="Times New Roman"/>
          <w:sz w:val="24"/>
          <w:szCs w:val="24"/>
        </w:rPr>
        <w:t xml:space="preserve">who received the combination of ADT and docetaxel, </w:t>
      </w:r>
      <w:r w:rsidR="00DE0FB4">
        <w:rPr>
          <w:rFonts w:ascii="Times New Roman" w:hAnsi="Times New Roman" w:cs="Times New Roman"/>
          <w:sz w:val="24"/>
          <w:szCs w:val="24"/>
        </w:rPr>
        <w:t>overall survival was significantly improved</w:t>
      </w:r>
      <w:r w:rsidR="00E9206E" w:rsidRPr="00E56BE0">
        <w:rPr>
          <w:rFonts w:ascii="Times New Roman" w:hAnsi="Times New Roman" w:cs="Times New Roman"/>
          <w:sz w:val="24"/>
          <w:szCs w:val="24"/>
        </w:rPr>
        <w:t xml:space="preserve"> relative to </w:t>
      </w:r>
      <w:r w:rsidR="00060DC5" w:rsidRPr="00E56BE0">
        <w:rPr>
          <w:rFonts w:ascii="Times New Roman" w:hAnsi="Times New Roman" w:cs="Times New Roman"/>
          <w:sz w:val="24"/>
          <w:szCs w:val="24"/>
        </w:rPr>
        <w:t xml:space="preserve">ADT alone </w:t>
      </w:r>
      <w:r w:rsidR="00EA0CC4">
        <w:rPr>
          <w:rFonts w:ascii="Times New Roman" w:hAnsi="Times New Roman" w:cs="Times New Roman"/>
          <w:sz w:val="24"/>
          <w:szCs w:val="24"/>
        </w:rPr>
        <w:t xml:space="preserve">(HR, </w:t>
      </w:r>
      <w:r w:rsidR="005109A7">
        <w:rPr>
          <w:rFonts w:ascii="Times New Roman" w:hAnsi="Times New Roman" w:cs="Times New Roman"/>
          <w:sz w:val="24"/>
          <w:szCs w:val="24"/>
        </w:rPr>
        <w:t>0.63; 95% CI, 0.50-0.79; p&lt;0.001)</w:t>
      </w:r>
      <w:r w:rsidR="00060DC5" w:rsidRPr="00E56BE0">
        <w:rPr>
          <w:rFonts w:ascii="Times New Roman" w:hAnsi="Times New Roman" w:cs="Times New Roman"/>
          <w:sz w:val="24"/>
          <w:szCs w:val="24"/>
        </w:rPr>
        <w:t>.</w:t>
      </w:r>
      <w:r w:rsidR="00D37197" w:rsidRPr="00D37197">
        <w:rPr>
          <w:rFonts w:ascii="Times New Roman" w:hAnsi="Times New Roman" w:cs="Times New Roman"/>
          <w:sz w:val="24"/>
          <w:szCs w:val="24"/>
          <w:vertAlign w:val="superscript"/>
        </w:rPr>
        <w:t>2</w:t>
      </w:r>
      <w:r w:rsidR="00060DC5" w:rsidRPr="00E56BE0">
        <w:rPr>
          <w:rFonts w:ascii="Times New Roman" w:hAnsi="Times New Roman" w:cs="Times New Roman"/>
          <w:sz w:val="24"/>
          <w:szCs w:val="24"/>
        </w:rPr>
        <w:t xml:space="preserve"> </w:t>
      </w:r>
      <w:r w:rsidR="005109A7">
        <w:rPr>
          <w:rFonts w:ascii="Times New Roman" w:hAnsi="Times New Roman" w:cs="Times New Roman"/>
          <w:sz w:val="24"/>
          <w:szCs w:val="24"/>
        </w:rPr>
        <w:t xml:space="preserve">However, there was no apparent survival benefit with docetaxel in patients with low-volume mHSPC. </w:t>
      </w:r>
      <w:r w:rsidR="0092284F">
        <w:rPr>
          <w:rFonts w:ascii="Times New Roman" w:hAnsi="Times New Roman" w:cs="Times New Roman"/>
          <w:sz w:val="24"/>
          <w:szCs w:val="24"/>
        </w:rPr>
        <w:t xml:space="preserve">Notably, improved survival was evident in the subgroup of patients with high-volume </w:t>
      </w:r>
      <w:r w:rsidR="0092284F" w:rsidRPr="000F2D36">
        <w:rPr>
          <w:rFonts w:ascii="Times New Roman" w:hAnsi="Times New Roman" w:cs="Times New Roman"/>
          <w:i/>
          <w:iCs/>
          <w:sz w:val="24"/>
          <w:szCs w:val="24"/>
        </w:rPr>
        <w:t>de novo</w:t>
      </w:r>
      <w:r w:rsidR="000F2D36" w:rsidRPr="000F2D36">
        <w:rPr>
          <w:rFonts w:ascii="Times New Roman" w:hAnsi="Times New Roman" w:cs="Times New Roman"/>
          <w:i/>
          <w:iCs/>
          <w:sz w:val="24"/>
          <w:szCs w:val="24"/>
        </w:rPr>
        <w:t xml:space="preserve"> </w:t>
      </w:r>
      <w:r w:rsidR="000F2D36">
        <w:rPr>
          <w:rFonts w:ascii="Times New Roman" w:hAnsi="Times New Roman" w:cs="Times New Roman"/>
          <w:sz w:val="24"/>
          <w:szCs w:val="24"/>
        </w:rPr>
        <w:t>disease but not for patients with high-volume mHSPC and prior local therapy, although the numbers of patients in the latter group were small.</w:t>
      </w:r>
      <w:r w:rsidR="00CA1895">
        <w:rPr>
          <w:rFonts w:ascii="Times New Roman" w:hAnsi="Times New Roman" w:cs="Times New Roman"/>
          <w:sz w:val="24"/>
          <w:szCs w:val="24"/>
        </w:rPr>
        <w:t xml:space="preserve"> An analysis of data from STAMPEDE </w:t>
      </w:r>
      <w:r w:rsidR="00CA1895" w:rsidRPr="00E56BE0">
        <w:rPr>
          <w:rFonts w:ascii="Times New Roman" w:hAnsi="Times New Roman" w:cs="Times New Roman"/>
          <w:sz w:val="24"/>
          <w:szCs w:val="24"/>
        </w:rPr>
        <w:t xml:space="preserve">demonstrated </w:t>
      </w:r>
      <w:r w:rsidR="00CA1895">
        <w:rPr>
          <w:rFonts w:ascii="Times New Roman" w:hAnsi="Times New Roman" w:cs="Times New Roman"/>
          <w:sz w:val="24"/>
          <w:szCs w:val="24"/>
        </w:rPr>
        <w:t xml:space="preserve">that the observed survival </w:t>
      </w:r>
      <w:r w:rsidR="00CA1895" w:rsidRPr="00E56BE0">
        <w:rPr>
          <w:rFonts w:ascii="Times New Roman" w:hAnsi="Times New Roman" w:cs="Times New Roman"/>
          <w:sz w:val="24"/>
          <w:szCs w:val="24"/>
        </w:rPr>
        <w:t xml:space="preserve">benefit </w:t>
      </w:r>
      <w:r w:rsidR="00CA1895">
        <w:rPr>
          <w:rFonts w:ascii="Times New Roman" w:hAnsi="Times New Roman" w:cs="Times New Roman"/>
          <w:sz w:val="24"/>
          <w:szCs w:val="24"/>
        </w:rPr>
        <w:t>with</w:t>
      </w:r>
      <w:r w:rsidR="00CA1895" w:rsidRPr="00E56BE0">
        <w:rPr>
          <w:rFonts w:ascii="Times New Roman" w:hAnsi="Times New Roman" w:cs="Times New Roman"/>
          <w:sz w:val="24"/>
          <w:szCs w:val="24"/>
        </w:rPr>
        <w:t xml:space="preserve"> docetaxel</w:t>
      </w:r>
      <w:r w:rsidR="00CA1895">
        <w:rPr>
          <w:rFonts w:ascii="Times New Roman" w:hAnsi="Times New Roman" w:cs="Times New Roman"/>
          <w:sz w:val="24"/>
          <w:szCs w:val="24"/>
        </w:rPr>
        <w:t xml:space="preserve"> was apparent </w:t>
      </w:r>
      <w:r w:rsidR="00CA1895" w:rsidRPr="00E56BE0">
        <w:rPr>
          <w:rFonts w:ascii="Times New Roman" w:hAnsi="Times New Roman" w:cs="Times New Roman"/>
          <w:sz w:val="24"/>
          <w:szCs w:val="24"/>
        </w:rPr>
        <w:t xml:space="preserve">irrespective of disease </w:t>
      </w:r>
      <w:r w:rsidR="00CA1895">
        <w:rPr>
          <w:rFonts w:ascii="Times New Roman" w:hAnsi="Times New Roman" w:cs="Times New Roman"/>
          <w:sz w:val="24"/>
          <w:szCs w:val="24"/>
        </w:rPr>
        <w:t xml:space="preserve">volume (CHAARTED criteria; </w:t>
      </w:r>
      <w:r w:rsidR="00CA1895" w:rsidRPr="00E56BE0">
        <w:rPr>
          <w:rFonts w:ascii="Times New Roman" w:hAnsi="Times New Roman" w:cs="Times New Roman"/>
          <w:sz w:val="24"/>
          <w:szCs w:val="24"/>
        </w:rPr>
        <w:t>low-volume disease: HR, 0.76; 95% CI, 0.54-1.07; high-volume disease: HR, 0.81; 95% CI, 0.64-1.02).</w:t>
      </w:r>
      <w:r w:rsidR="00D37197" w:rsidRPr="00D37197">
        <w:rPr>
          <w:rFonts w:ascii="Times New Roman" w:hAnsi="Times New Roman" w:cs="Times New Roman"/>
          <w:sz w:val="24"/>
          <w:szCs w:val="24"/>
          <w:vertAlign w:val="superscript"/>
        </w:rPr>
        <w:t>7</w:t>
      </w:r>
      <w:r w:rsidR="00CA1895">
        <w:rPr>
          <w:rFonts w:ascii="Times New Roman" w:hAnsi="Times New Roman" w:cs="Times New Roman"/>
          <w:sz w:val="24"/>
          <w:szCs w:val="24"/>
        </w:rPr>
        <w:t xml:space="preserve"> Conversely, i</w:t>
      </w:r>
      <w:r w:rsidR="005109A7">
        <w:rPr>
          <w:rFonts w:ascii="Times New Roman" w:hAnsi="Times New Roman" w:cs="Times New Roman"/>
          <w:sz w:val="24"/>
          <w:szCs w:val="24"/>
        </w:rPr>
        <w:t>n GETUG-AF15 there were no significant differences between treatment arms for the subgroups of patients with either high- or low-volume disease.</w:t>
      </w:r>
      <w:r w:rsidR="00D37197" w:rsidRPr="00D37197">
        <w:rPr>
          <w:rFonts w:ascii="Times New Roman" w:hAnsi="Times New Roman" w:cs="Times New Roman"/>
          <w:sz w:val="24"/>
          <w:szCs w:val="24"/>
          <w:vertAlign w:val="superscript"/>
        </w:rPr>
        <w:t>3</w:t>
      </w:r>
      <w:r w:rsidR="005109A7">
        <w:rPr>
          <w:rFonts w:ascii="Times New Roman" w:hAnsi="Times New Roman" w:cs="Times New Roman"/>
          <w:sz w:val="24"/>
          <w:szCs w:val="24"/>
        </w:rPr>
        <w:t xml:space="preserve"> </w:t>
      </w:r>
    </w:p>
    <w:p w14:paraId="45C3CF4C" w14:textId="7AF940AC" w:rsidR="003F3D4E" w:rsidRPr="00E56BE0" w:rsidRDefault="00FA3214" w:rsidP="00FA3214">
      <w:pPr>
        <w:spacing w:line="480" w:lineRule="auto"/>
        <w:ind w:firstLine="720"/>
        <w:rPr>
          <w:rFonts w:ascii="Times New Roman" w:hAnsi="Times New Roman" w:cs="Times New Roman"/>
          <w:sz w:val="24"/>
          <w:szCs w:val="24"/>
        </w:rPr>
      </w:pPr>
      <w:r>
        <w:rPr>
          <w:rFonts w:ascii="Times New Roman" w:hAnsi="Times New Roman" w:cs="Times New Roman"/>
          <w:sz w:val="24"/>
          <w:szCs w:val="24"/>
        </w:rPr>
        <w:t>Positive outcomes have also been widely reported for the combin</w:t>
      </w:r>
      <w:r w:rsidR="00060DC5" w:rsidRPr="00E56BE0">
        <w:rPr>
          <w:rFonts w:ascii="Times New Roman" w:hAnsi="Times New Roman" w:cs="Times New Roman"/>
          <w:sz w:val="24"/>
          <w:szCs w:val="24"/>
        </w:rPr>
        <w:t xml:space="preserve">ation of ADT and </w:t>
      </w:r>
      <w:r w:rsidR="00DF6C7F" w:rsidRPr="00E56BE0">
        <w:rPr>
          <w:rFonts w:ascii="Times New Roman" w:hAnsi="Times New Roman" w:cs="Times New Roman"/>
          <w:sz w:val="24"/>
          <w:szCs w:val="24"/>
        </w:rPr>
        <w:t>androgen receptor-targeted agents (ARTA</w:t>
      </w:r>
      <w:r>
        <w:rPr>
          <w:rFonts w:ascii="Times New Roman" w:hAnsi="Times New Roman" w:cs="Times New Roman"/>
          <w:sz w:val="24"/>
          <w:szCs w:val="24"/>
        </w:rPr>
        <w:t>s</w:t>
      </w:r>
      <w:r w:rsidR="00DF6C7F" w:rsidRPr="00E56BE0">
        <w:rPr>
          <w:rFonts w:ascii="Times New Roman" w:hAnsi="Times New Roman" w:cs="Times New Roman"/>
          <w:sz w:val="24"/>
          <w:szCs w:val="24"/>
        </w:rPr>
        <w:t>)</w:t>
      </w:r>
      <w:r>
        <w:rPr>
          <w:rFonts w:ascii="Times New Roman" w:hAnsi="Times New Roman" w:cs="Times New Roman"/>
          <w:sz w:val="24"/>
          <w:szCs w:val="24"/>
        </w:rPr>
        <w:t>. LATITUDE compared</w:t>
      </w:r>
      <w:r w:rsidR="00DF6C7F" w:rsidRPr="00E56BE0">
        <w:rPr>
          <w:rFonts w:ascii="Times New Roman" w:hAnsi="Times New Roman" w:cs="Times New Roman"/>
          <w:sz w:val="24"/>
          <w:szCs w:val="24"/>
        </w:rPr>
        <w:t xml:space="preserve"> </w:t>
      </w:r>
      <w:r w:rsidR="00060DC5" w:rsidRPr="00E56BE0">
        <w:rPr>
          <w:rFonts w:ascii="Times New Roman" w:hAnsi="Times New Roman" w:cs="Times New Roman"/>
          <w:sz w:val="24"/>
          <w:szCs w:val="24"/>
        </w:rPr>
        <w:t xml:space="preserve">abiraterone acetate </w:t>
      </w:r>
      <w:r w:rsidR="002505AC">
        <w:rPr>
          <w:rFonts w:ascii="Times New Roman" w:hAnsi="Times New Roman" w:cs="Times New Roman"/>
          <w:sz w:val="24"/>
          <w:szCs w:val="24"/>
        </w:rPr>
        <w:t>(</w:t>
      </w:r>
      <w:r w:rsidR="004075AE">
        <w:rPr>
          <w:rFonts w:ascii="Times New Roman" w:hAnsi="Times New Roman" w:cs="Times New Roman"/>
          <w:sz w:val="24"/>
          <w:szCs w:val="24"/>
        </w:rPr>
        <w:t>c</w:t>
      </w:r>
      <w:r w:rsidR="002505AC" w:rsidRPr="002505AC">
        <w:rPr>
          <w:rFonts w:ascii="Times New Roman" w:hAnsi="Times New Roman" w:cs="Times New Roman"/>
          <w:sz w:val="24"/>
          <w:szCs w:val="24"/>
        </w:rPr>
        <w:t xml:space="preserve">ytochrome P450 17A1 </w:t>
      </w:r>
      <w:r w:rsidR="00CA1895">
        <w:rPr>
          <w:rFonts w:ascii="Times New Roman" w:hAnsi="Times New Roman" w:cs="Times New Roman"/>
          <w:sz w:val="24"/>
          <w:szCs w:val="24"/>
        </w:rPr>
        <w:t>i</w:t>
      </w:r>
      <w:r w:rsidR="002505AC" w:rsidRPr="002505AC">
        <w:rPr>
          <w:rFonts w:ascii="Times New Roman" w:hAnsi="Times New Roman" w:cs="Times New Roman"/>
          <w:sz w:val="24"/>
          <w:szCs w:val="24"/>
        </w:rPr>
        <w:t>nhibitor</w:t>
      </w:r>
      <w:r w:rsidR="002505AC">
        <w:rPr>
          <w:rFonts w:ascii="Times New Roman" w:hAnsi="Times New Roman" w:cs="Times New Roman"/>
          <w:sz w:val="24"/>
          <w:szCs w:val="24"/>
        </w:rPr>
        <w:t xml:space="preserve">) </w:t>
      </w:r>
      <w:r w:rsidR="00060DC5" w:rsidRPr="00E56BE0">
        <w:rPr>
          <w:rFonts w:ascii="Times New Roman" w:hAnsi="Times New Roman" w:cs="Times New Roman"/>
          <w:sz w:val="24"/>
          <w:szCs w:val="24"/>
        </w:rPr>
        <w:t>with prednisone (AAP)</w:t>
      </w:r>
      <w:r w:rsidR="00780DE0">
        <w:rPr>
          <w:rFonts w:ascii="Times New Roman" w:hAnsi="Times New Roman" w:cs="Times New Roman"/>
          <w:sz w:val="24"/>
          <w:szCs w:val="24"/>
        </w:rPr>
        <w:t xml:space="preserve"> in combination with ADT</w:t>
      </w:r>
      <w:r>
        <w:rPr>
          <w:rFonts w:ascii="Times New Roman" w:hAnsi="Times New Roman" w:cs="Times New Roman"/>
          <w:sz w:val="24"/>
          <w:szCs w:val="24"/>
        </w:rPr>
        <w:t xml:space="preserve"> </w:t>
      </w:r>
      <w:r w:rsidR="0089596E">
        <w:rPr>
          <w:rFonts w:ascii="Times New Roman" w:hAnsi="Times New Roman" w:cs="Times New Roman"/>
          <w:sz w:val="24"/>
          <w:szCs w:val="24"/>
        </w:rPr>
        <w:t>vs</w:t>
      </w:r>
      <w:r>
        <w:rPr>
          <w:rFonts w:ascii="Times New Roman" w:hAnsi="Times New Roman" w:cs="Times New Roman"/>
          <w:sz w:val="24"/>
          <w:szCs w:val="24"/>
        </w:rPr>
        <w:t xml:space="preserve"> ADT alone, in a pre-defined </w:t>
      </w:r>
      <w:r w:rsidR="00263CA2" w:rsidRPr="00E56BE0">
        <w:rPr>
          <w:rFonts w:ascii="Times New Roman" w:hAnsi="Times New Roman" w:cs="Times New Roman"/>
          <w:sz w:val="24"/>
          <w:szCs w:val="24"/>
        </w:rPr>
        <w:t xml:space="preserve">high-risk disease </w:t>
      </w:r>
      <w:r>
        <w:rPr>
          <w:rFonts w:ascii="Times New Roman" w:hAnsi="Times New Roman" w:cs="Times New Roman"/>
          <w:sz w:val="24"/>
          <w:szCs w:val="24"/>
        </w:rPr>
        <w:t xml:space="preserve">population: </w:t>
      </w:r>
      <w:r w:rsidR="00263CA2" w:rsidRPr="00E56BE0">
        <w:rPr>
          <w:rFonts w:ascii="Times New Roman" w:hAnsi="Times New Roman" w:cs="Times New Roman"/>
          <w:sz w:val="24"/>
          <w:szCs w:val="24"/>
        </w:rPr>
        <w:t xml:space="preserve">‘at least two of the three of the following high-risk factors associated with poor prognosis’: a Gleason score of 8 or more, at least three </w:t>
      </w:r>
      <w:r w:rsidR="00263CA2" w:rsidRPr="00E56BE0">
        <w:rPr>
          <w:rFonts w:ascii="Times New Roman" w:hAnsi="Times New Roman" w:cs="Times New Roman"/>
          <w:sz w:val="24"/>
          <w:szCs w:val="24"/>
        </w:rPr>
        <w:lastRenderedPageBreak/>
        <w:t>bone lesions, and the presence of measurable visceral metastasis.</w:t>
      </w:r>
      <w:r w:rsidR="00D37197" w:rsidRPr="00D37197">
        <w:rPr>
          <w:rFonts w:ascii="Times New Roman" w:hAnsi="Times New Roman" w:cs="Times New Roman"/>
          <w:sz w:val="24"/>
          <w:szCs w:val="24"/>
          <w:vertAlign w:val="superscript"/>
        </w:rPr>
        <w:t>8</w:t>
      </w:r>
      <w:r w:rsidR="00263CA2" w:rsidRPr="00E56BE0">
        <w:rPr>
          <w:rFonts w:ascii="Times New Roman" w:hAnsi="Times New Roman" w:cs="Times New Roman"/>
          <w:sz w:val="24"/>
          <w:szCs w:val="24"/>
        </w:rPr>
        <w:t xml:space="preserve"> </w:t>
      </w:r>
      <w:r w:rsidR="00060DC5" w:rsidRPr="00E56BE0">
        <w:rPr>
          <w:rFonts w:ascii="Times New Roman" w:hAnsi="Times New Roman" w:cs="Times New Roman"/>
          <w:sz w:val="24"/>
          <w:szCs w:val="24"/>
        </w:rPr>
        <w:t>T</w:t>
      </w:r>
      <w:r w:rsidR="00263CA2" w:rsidRPr="00E56BE0">
        <w:rPr>
          <w:rFonts w:ascii="Times New Roman" w:hAnsi="Times New Roman" w:cs="Times New Roman"/>
          <w:sz w:val="24"/>
          <w:szCs w:val="24"/>
        </w:rPr>
        <w:t>he relative risk of death was reduced by 38% with ADT and AAP vs ADT alone</w:t>
      </w:r>
      <w:r w:rsidR="005109A7">
        <w:rPr>
          <w:rFonts w:ascii="Times New Roman" w:hAnsi="Times New Roman" w:cs="Times New Roman"/>
          <w:sz w:val="24"/>
          <w:szCs w:val="24"/>
        </w:rPr>
        <w:t xml:space="preserve"> (HR, 0.62; 95% CI, 0.51-0.76; p&lt;0.001)</w:t>
      </w:r>
      <w:r w:rsidR="00263CA2" w:rsidRPr="00E56BE0">
        <w:rPr>
          <w:rFonts w:ascii="Times New Roman" w:hAnsi="Times New Roman" w:cs="Times New Roman"/>
          <w:sz w:val="24"/>
          <w:szCs w:val="24"/>
        </w:rPr>
        <w:t xml:space="preserve">. </w:t>
      </w:r>
      <w:r w:rsidR="003F3D4E" w:rsidRPr="00E56BE0">
        <w:rPr>
          <w:rFonts w:ascii="Times New Roman" w:hAnsi="Times New Roman" w:cs="Times New Roman"/>
          <w:sz w:val="24"/>
          <w:szCs w:val="24"/>
        </w:rPr>
        <w:t xml:space="preserve">Notably, in a post-hoc analysis of data from LATITUDE a subgroup </w:t>
      </w:r>
      <w:r w:rsidR="00593009">
        <w:rPr>
          <w:rFonts w:ascii="Times New Roman" w:hAnsi="Times New Roman" w:cs="Times New Roman"/>
          <w:sz w:val="24"/>
          <w:szCs w:val="24"/>
        </w:rPr>
        <w:t xml:space="preserve">of 955 patients </w:t>
      </w:r>
      <w:r w:rsidR="003F3D4E" w:rsidRPr="00E56BE0">
        <w:rPr>
          <w:rFonts w:ascii="Times New Roman" w:hAnsi="Times New Roman" w:cs="Times New Roman"/>
          <w:sz w:val="24"/>
          <w:szCs w:val="24"/>
        </w:rPr>
        <w:t>with high-volume disease was defined according to CHAARTED criteria.</w:t>
      </w:r>
      <w:r w:rsidR="00D37197" w:rsidRPr="00D37197">
        <w:rPr>
          <w:rFonts w:ascii="Times New Roman" w:hAnsi="Times New Roman" w:cs="Times New Roman"/>
          <w:sz w:val="24"/>
          <w:szCs w:val="24"/>
          <w:vertAlign w:val="superscript"/>
        </w:rPr>
        <w:t>9</w:t>
      </w:r>
      <w:r w:rsidR="003F3D4E" w:rsidRPr="00E56BE0">
        <w:rPr>
          <w:rFonts w:ascii="Times New Roman" w:hAnsi="Times New Roman" w:cs="Times New Roman"/>
          <w:sz w:val="24"/>
          <w:szCs w:val="24"/>
        </w:rPr>
        <w:t xml:space="preserve"> In </w:t>
      </w:r>
      <w:r w:rsidR="003F3D4E">
        <w:rPr>
          <w:rFonts w:ascii="Times New Roman" w:hAnsi="Times New Roman" w:cs="Times New Roman"/>
          <w:sz w:val="24"/>
          <w:szCs w:val="24"/>
        </w:rPr>
        <w:t>these patients</w:t>
      </w:r>
      <w:r w:rsidR="003F3D4E" w:rsidRPr="00E56BE0">
        <w:rPr>
          <w:rFonts w:ascii="Times New Roman" w:hAnsi="Times New Roman" w:cs="Times New Roman"/>
          <w:sz w:val="24"/>
          <w:szCs w:val="24"/>
        </w:rPr>
        <w:t>, median overall survival was 49.7 months with ADT and AAP vs 33.3 months with ADT alone (HR, 0.62; 95% CI, 0.52-0.74; p&lt;0.0001).</w:t>
      </w:r>
    </w:p>
    <w:p w14:paraId="31EECF68" w14:textId="67E5F6E1" w:rsidR="00374E9D" w:rsidRPr="00E56BE0" w:rsidRDefault="00263CA2" w:rsidP="00260081">
      <w:pPr>
        <w:spacing w:line="480" w:lineRule="auto"/>
        <w:ind w:firstLine="720"/>
        <w:rPr>
          <w:rFonts w:ascii="Times New Roman" w:hAnsi="Times New Roman" w:cs="Times New Roman"/>
          <w:sz w:val="24"/>
          <w:szCs w:val="24"/>
        </w:rPr>
      </w:pPr>
      <w:r w:rsidRPr="00E56BE0">
        <w:rPr>
          <w:rFonts w:ascii="Times New Roman" w:hAnsi="Times New Roman" w:cs="Times New Roman"/>
          <w:sz w:val="24"/>
          <w:szCs w:val="24"/>
        </w:rPr>
        <w:t xml:space="preserve">In </w:t>
      </w:r>
      <w:r w:rsidR="00CA1895">
        <w:rPr>
          <w:rFonts w:ascii="Times New Roman" w:hAnsi="Times New Roman" w:cs="Times New Roman"/>
          <w:sz w:val="24"/>
          <w:szCs w:val="24"/>
        </w:rPr>
        <w:t xml:space="preserve">the </w:t>
      </w:r>
      <w:r w:rsidRPr="00E56BE0">
        <w:rPr>
          <w:rFonts w:ascii="Times New Roman" w:hAnsi="Times New Roman" w:cs="Times New Roman"/>
          <w:sz w:val="24"/>
          <w:szCs w:val="24"/>
        </w:rPr>
        <w:t>STAMPEDE</w:t>
      </w:r>
      <w:r w:rsidR="00CA1895">
        <w:rPr>
          <w:rFonts w:ascii="Times New Roman" w:hAnsi="Times New Roman" w:cs="Times New Roman"/>
          <w:sz w:val="24"/>
          <w:szCs w:val="24"/>
        </w:rPr>
        <w:t xml:space="preserve"> trial</w:t>
      </w:r>
      <w:r w:rsidRPr="00E56BE0">
        <w:rPr>
          <w:rFonts w:ascii="Times New Roman" w:hAnsi="Times New Roman" w:cs="Times New Roman"/>
          <w:sz w:val="24"/>
          <w:szCs w:val="24"/>
        </w:rPr>
        <w:t>, 3-year survival with ADT and AAP was 83% compared with 75% for ADT alone (</w:t>
      </w:r>
      <w:r w:rsidR="00CA1895">
        <w:rPr>
          <w:rFonts w:ascii="Times New Roman" w:hAnsi="Times New Roman" w:cs="Times New Roman"/>
          <w:sz w:val="24"/>
          <w:szCs w:val="24"/>
        </w:rPr>
        <w:t>HR</w:t>
      </w:r>
      <w:r w:rsidRPr="00E56BE0">
        <w:rPr>
          <w:rFonts w:ascii="Times New Roman" w:hAnsi="Times New Roman" w:cs="Times New Roman"/>
          <w:sz w:val="24"/>
          <w:szCs w:val="24"/>
        </w:rPr>
        <w:t xml:space="preserve">, 0.63; 95% CI, 0.52-0.76; p&lt;0.001) </w:t>
      </w:r>
      <w:r w:rsidR="00780DE0">
        <w:rPr>
          <w:rFonts w:ascii="Times New Roman" w:hAnsi="Times New Roman" w:cs="Times New Roman"/>
          <w:sz w:val="24"/>
          <w:szCs w:val="24"/>
        </w:rPr>
        <w:t xml:space="preserve">for </w:t>
      </w:r>
      <w:r w:rsidR="004D4010">
        <w:rPr>
          <w:rFonts w:ascii="Times New Roman" w:hAnsi="Times New Roman" w:cs="Times New Roman"/>
          <w:sz w:val="24"/>
          <w:szCs w:val="24"/>
        </w:rPr>
        <w:t xml:space="preserve">the </w:t>
      </w:r>
      <w:r w:rsidR="0058212D">
        <w:rPr>
          <w:rFonts w:ascii="Times New Roman" w:hAnsi="Times New Roman" w:cs="Times New Roman"/>
          <w:sz w:val="24"/>
          <w:szCs w:val="24"/>
        </w:rPr>
        <w:t>whole study population</w:t>
      </w:r>
      <w:r w:rsidRPr="00E56BE0">
        <w:rPr>
          <w:rFonts w:ascii="Times New Roman" w:hAnsi="Times New Roman" w:cs="Times New Roman"/>
          <w:sz w:val="24"/>
          <w:szCs w:val="24"/>
        </w:rPr>
        <w:t>.</w:t>
      </w:r>
      <w:r w:rsidR="00D37197" w:rsidRPr="00D37197">
        <w:rPr>
          <w:rFonts w:ascii="Times New Roman" w:hAnsi="Times New Roman" w:cs="Times New Roman"/>
          <w:sz w:val="24"/>
          <w:szCs w:val="24"/>
          <w:vertAlign w:val="superscript"/>
        </w:rPr>
        <w:t>10</w:t>
      </w:r>
      <w:r w:rsidRPr="00E56BE0">
        <w:rPr>
          <w:rFonts w:ascii="Times New Roman" w:hAnsi="Times New Roman" w:cs="Times New Roman"/>
          <w:sz w:val="24"/>
          <w:szCs w:val="24"/>
        </w:rPr>
        <w:t xml:space="preserve"> </w:t>
      </w:r>
      <w:r w:rsidR="0058212D">
        <w:rPr>
          <w:rFonts w:ascii="Times New Roman" w:hAnsi="Times New Roman" w:cs="Times New Roman"/>
          <w:sz w:val="24"/>
          <w:szCs w:val="24"/>
        </w:rPr>
        <w:t xml:space="preserve">Similar results were observed for the subgroup of </w:t>
      </w:r>
      <w:r w:rsidR="00D17BC7">
        <w:rPr>
          <w:rFonts w:ascii="Times New Roman" w:hAnsi="Times New Roman" w:cs="Times New Roman"/>
          <w:sz w:val="24"/>
          <w:szCs w:val="24"/>
        </w:rPr>
        <w:t xml:space="preserve">1002 </w:t>
      </w:r>
      <w:r w:rsidR="0058212D">
        <w:rPr>
          <w:rFonts w:ascii="Times New Roman" w:hAnsi="Times New Roman" w:cs="Times New Roman"/>
          <w:sz w:val="24"/>
          <w:szCs w:val="24"/>
        </w:rPr>
        <w:t xml:space="preserve">men with metastatic disease (HR, 0.61; 95% CI, 0.49-0.75). </w:t>
      </w:r>
      <w:r w:rsidRPr="00E56BE0">
        <w:rPr>
          <w:rFonts w:ascii="Times New Roman" w:hAnsi="Times New Roman" w:cs="Times New Roman"/>
          <w:sz w:val="24"/>
          <w:szCs w:val="24"/>
        </w:rPr>
        <w:t xml:space="preserve">When data from STAMPEDE were analysed according to </w:t>
      </w:r>
      <w:r w:rsidR="00780DE0">
        <w:rPr>
          <w:rFonts w:ascii="Times New Roman" w:hAnsi="Times New Roman" w:cs="Times New Roman"/>
          <w:sz w:val="24"/>
          <w:szCs w:val="24"/>
        </w:rPr>
        <w:t>the high</w:t>
      </w:r>
      <w:r w:rsidR="0058212D">
        <w:rPr>
          <w:rFonts w:ascii="Times New Roman" w:hAnsi="Times New Roman" w:cs="Times New Roman"/>
          <w:sz w:val="24"/>
          <w:szCs w:val="24"/>
        </w:rPr>
        <w:t>-</w:t>
      </w:r>
      <w:r w:rsidR="00780DE0">
        <w:rPr>
          <w:rFonts w:ascii="Times New Roman" w:hAnsi="Times New Roman" w:cs="Times New Roman"/>
          <w:sz w:val="24"/>
          <w:szCs w:val="24"/>
        </w:rPr>
        <w:t xml:space="preserve">risk criteria used in </w:t>
      </w:r>
      <w:r w:rsidRPr="00E56BE0">
        <w:rPr>
          <w:rFonts w:ascii="Times New Roman" w:hAnsi="Times New Roman" w:cs="Times New Roman"/>
          <w:sz w:val="24"/>
          <w:szCs w:val="24"/>
        </w:rPr>
        <w:t>LATITUDE</w:t>
      </w:r>
      <w:r w:rsidR="0019758E">
        <w:rPr>
          <w:rFonts w:ascii="Times New Roman" w:hAnsi="Times New Roman" w:cs="Times New Roman"/>
          <w:sz w:val="24"/>
          <w:szCs w:val="24"/>
        </w:rPr>
        <w:t xml:space="preserve"> </w:t>
      </w:r>
      <w:r w:rsidR="00780DE0">
        <w:rPr>
          <w:rFonts w:ascii="Times New Roman" w:hAnsi="Times New Roman" w:cs="Times New Roman"/>
          <w:sz w:val="24"/>
          <w:szCs w:val="24"/>
        </w:rPr>
        <w:t>study</w:t>
      </w:r>
      <w:r w:rsidRPr="00E56BE0">
        <w:rPr>
          <w:rFonts w:ascii="Times New Roman" w:hAnsi="Times New Roman" w:cs="Times New Roman"/>
          <w:sz w:val="24"/>
          <w:szCs w:val="24"/>
        </w:rPr>
        <w:t>, a 46% reduction in mortality was observed with ADT and AAP vs ADT alone in patients with high-risk disease (HR, 0.54; 95% CI, 0.41-0.70; p&lt;0.001), and a 34% reduction in patients with low-risk disease (HR, 0.66; 95% CI, 0.44-0.98; p=0.041).</w:t>
      </w:r>
      <w:r w:rsidR="00D37197" w:rsidRPr="00D37197">
        <w:rPr>
          <w:rFonts w:ascii="Times New Roman" w:hAnsi="Times New Roman" w:cs="Times New Roman"/>
          <w:sz w:val="24"/>
          <w:szCs w:val="24"/>
          <w:vertAlign w:val="superscript"/>
        </w:rPr>
        <w:t>11</w:t>
      </w:r>
      <w:r w:rsidRPr="00E56BE0">
        <w:rPr>
          <w:rFonts w:ascii="Times New Roman" w:hAnsi="Times New Roman" w:cs="Times New Roman"/>
          <w:sz w:val="24"/>
          <w:szCs w:val="24"/>
        </w:rPr>
        <w:t xml:space="preserve"> </w:t>
      </w:r>
      <w:r w:rsidR="00260081">
        <w:rPr>
          <w:rFonts w:ascii="Times New Roman" w:hAnsi="Times New Roman" w:cs="Times New Roman"/>
          <w:sz w:val="24"/>
          <w:szCs w:val="24"/>
        </w:rPr>
        <w:t xml:space="preserve">There was also a survival benefit of AAP when the data were analysed according to the CHAARTED criteria for high- and low-volume disease. A benefit of AAP was observed in both </w:t>
      </w:r>
      <w:r w:rsidR="00260081" w:rsidRPr="00260081">
        <w:rPr>
          <w:rFonts w:ascii="Times New Roman" w:hAnsi="Times New Roman" w:cs="Times New Roman"/>
          <w:i/>
          <w:iCs/>
          <w:sz w:val="24"/>
          <w:szCs w:val="24"/>
        </w:rPr>
        <w:t>de novo</w:t>
      </w:r>
      <w:r w:rsidR="00260081">
        <w:rPr>
          <w:rFonts w:ascii="Times New Roman" w:hAnsi="Times New Roman" w:cs="Times New Roman"/>
          <w:sz w:val="24"/>
          <w:szCs w:val="24"/>
        </w:rPr>
        <w:t xml:space="preserve"> and previously treated mHSPC, regardless of disease volume or risk stratification.</w:t>
      </w:r>
    </w:p>
    <w:p w14:paraId="24B11F90" w14:textId="3A04A043" w:rsidR="0058212D" w:rsidRDefault="005109A7" w:rsidP="0019758E">
      <w:pPr>
        <w:spacing w:line="480" w:lineRule="auto"/>
        <w:ind w:firstLine="720"/>
        <w:rPr>
          <w:rFonts w:ascii="Times New Roman" w:hAnsi="Times New Roman" w:cs="Times New Roman"/>
          <w:sz w:val="24"/>
          <w:szCs w:val="24"/>
        </w:rPr>
      </w:pPr>
      <w:r w:rsidRPr="00E56BE0">
        <w:rPr>
          <w:rFonts w:ascii="Times New Roman" w:hAnsi="Times New Roman" w:cs="Times New Roman"/>
          <w:sz w:val="24"/>
          <w:szCs w:val="24"/>
        </w:rPr>
        <w:t xml:space="preserve">The addition of enzalutamide </w:t>
      </w:r>
      <w:r>
        <w:rPr>
          <w:rFonts w:ascii="Times New Roman" w:hAnsi="Times New Roman" w:cs="Times New Roman"/>
          <w:sz w:val="24"/>
          <w:szCs w:val="24"/>
        </w:rPr>
        <w:t>(</w:t>
      </w:r>
      <w:r w:rsidR="00CA1895">
        <w:rPr>
          <w:rFonts w:ascii="Times New Roman" w:hAnsi="Times New Roman" w:cs="Times New Roman"/>
          <w:sz w:val="24"/>
          <w:szCs w:val="24"/>
        </w:rPr>
        <w:t xml:space="preserve">a </w:t>
      </w:r>
      <w:r>
        <w:rPr>
          <w:rFonts w:ascii="Times New Roman" w:hAnsi="Times New Roman" w:cs="Times New Roman"/>
          <w:sz w:val="24"/>
          <w:szCs w:val="24"/>
        </w:rPr>
        <w:t xml:space="preserve">novel non-steroidal antiandrogen) </w:t>
      </w:r>
      <w:r w:rsidRPr="00E56BE0">
        <w:rPr>
          <w:rFonts w:ascii="Times New Roman" w:hAnsi="Times New Roman" w:cs="Times New Roman"/>
          <w:sz w:val="24"/>
          <w:szCs w:val="24"/>
        </w:rPr>
        <w:t xml:space="preserve">to ADT in patients with mHSPC was compared with ADT </w:t>
      </w:r>
      <w:r w:rsidR="00CA1895">
        <w:rPr>
          <w:rFonts w:ascii="Times New Roman" w:hAnsi="Times New Roman" w:cs="Times New Roman"/>
          <w:sz w:val="24"/>
          <w:szCs w:val="24"/>
        </w:rPr>
        <w:t>monotherapy</w:t>
      </w:r>
      <w:r w:rsidRPr="00E56BE0">
        <w:rPr>
          <w:rFonts w:ascii="Times New Roman" w:hAnsi="Times New Roman" w:cs="Times New Roman"/>
          <w:sz w:val="24"/>
          <w:szCs w:val="24"/>
        </w:rPr>
        <w:t xml:space="preserve"> in the ARCHES trial.</w:t>
      </w:r>
      <w:r w:rsidR="00DF616D" w:rsidRPr="00DF616D">
        <w:rPr>
          <w:rFonts w:ascii="Times New Roman" w:hAnsi="Times New Roman" w:cs="Times New Roman"/>
          <w:sz w:val="24"/>
          <w:szCs w:val="24"/>
          <w:vertAlign w:val="superscript"/>
        </w:rPr>
        <w:t>12</w:t>
      </w:r>
      <w:r w:rsidRPr="00E56BE0">
        <w:rPr>
          <w:rFonts w:ascii="Times New Roman" w:hAnsi="Times New Roman" w:cs="Times New Roman"/>
          <w:sz w:val="24"/>
          <w:szCs w:val="24"/>
        </w:rPr>
        <w:t xml:space="preserve"> At a median follow-up of 14.4 months, median radiographic progression-free survival was not reached in the ADT and enzalutamide group vs 19.0 months in the ADT group (HR, 0.39; 95% CI, 0.30-0.50; p&lt;0.001). </w:t>
      </w:r>
      <w:r>
        <w:rPr>
          <w:rFonts w:ascii="Times New Roman" w:hAnsi="Times New Roman" w:cs="Times New Roman"/>
          <w:sz w:val="24"/>
          <w:szCs w:val="24"/>
        </w:rPr>
        <w:t>However, o</w:t>
      </w:r>
      <w:r w:rsidRPr="00E56BE0">
        <w:rPr>
          <w:rFonts w:ascii="Times New Roman" w:hAnsi="Times New Roman" w:cs="Times New Roman"/>
          <w:sz w:val="24"/>
          <w:szCs w:val="24"/>
        </w:rPr>
        <w:t xml:space="preserve">verall survival data are yet to be reported. In the subgroup of patients with high-volume disease, there was a significant radiographic progression-free survival benefit with the addition of enzalutamide to ADT (HR, 0.43; 95% CI, 0.33-0.57), which was also observed in patients with low-volume disease (HR, 0.25; 95% CI, 0.14-0.46). </w:t>
      </w:r>
    </w:p>
    <w:p w14:paraId="51F118FE" w14:textId="4F00DF50" w:rsidR="009A6768" w:rsidRDefault="00F114C8" w:rsidP="005109A7">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combination of</w:t>
      </w:r>
      <w:r w:rsidRPr="00E56BE0">
        <w:rPr>
          <w:rFonts w:ascii="Times New Roman" w:hAnsi="Times New Roman" w:cs="Times New Roman"/>
          <w:sz w:val="24"/>
          <w:szCs w:val="24"/>
        </w:rPr>
        <w:t xml:space="preserve"> enzalutamide </w:t>
      </w:r>
      <w:r>
        <w:rPr>
          <w:rFonts w:ascii="Times New Roman" w:hAnsi="Times New Roman" w:cs="Times New Roman"/>
          <w:sz w:val="24"/>
          <w:szCs w:val="24"/>
        </w:rPr>
        <w:t>and</w:t>
      </w:r>
      <w:r w:rsidRPr="00E56BE0">
        <w:rPr>
          <w:rFonts w:ascii="Times New Roman" w:hAnsi="Times New Roman" w:cs="Times New Roman"/>
          <w:sz w:val="24"/>
          <w:szCs w:val="24"/>
        </w:rPr>
        <w:t xml:space="preserve"> ADT </w:t>
      </w:r>
      <w:r>
        <w:rPr>
          <w:rFonts w:ascii="Times New Roman" w:hAnsi="Times New Roman" w:cs="Times New Roman"/>
          <w:sz w:val="24"/>
          <w:szCs w:val="24"/>
        </w:rPr>
        <w:t xml:space="preserve">was compared with standard </w:t>
      </w:r>
      <w:r w:rsidRPr="00E56BE0">
        <w:rPr>
          <w:rFonts w:ascii="Times New Roman" w:hAnsi="Times New Roman" w:cs="Times New Roman"/>
          <w:sz w:val="24"/>
          <w:szCs w:val="24"/>
        </w:rPr>
        <w:t>non-steroidal antiandrogen therapy</w:t>
      </w:r>
      <w:r>
        <w:rPr>
          <w:rFonts w:ascii="Times New Roman" w:hAnsi="Times New Roman" w:cs="Times New Roman"/>
          <w:sz w:val="24"/>
          <w:szCs w:val="24"/>
        </w:rPr>
        <w:t xml:space="preserve"> in combination with ADT in ENZAMET</w:t>
      </w:r>
      <w:r w:rsidRPr="00E56BE0">
        <w:rPr>
          <w:rFonts w:ascii="Times New Roman" w:hAnsi="Times New Roman" w:cs="Times New Roman"/>
          <w:sz w:val="24"/>
          <w:szCs w:val="24"/>
        </w:rPr>
        <w:t xml:space="preserve"> and showed that it was associated with a significantly reduced risk of death (HR, 0.67; 95% CI, 0.52-0.86; p=0.002).</w:t>
      </w:r>
      <w:r w:rsidR="00DF616D" w:rsidRPr="00DF616D">
        <w:rPr>
          <w:rFonts w:ascii="Times New Roman" w:hAnsi="Times New Roman" w:cs="Times New Roman"/>
          <w:sz w:val="24"/>
          <w:szCs w:val="24"/>
          <w:vertAlign w:val="superscript"/>
        </w:rPr>
        <w:t>13</w:t>
      </w:r>
      <w:r w:rsidRPr="00E56BE0">
        <w:rPr>
          <w:rFonts w:ascii="Times New Roman" w:hAnsi="Times New Roman" w:cs="Times New Roman"/>
          <w:sz w:val="24"/>
          <w:szCs w:val="24"/>
        </w:rPr>
        <w:t xml:space="preserve"> At 3 years, clinical progression-free survival was 68% in the ADT and enzalutamide group vs 41% in the standard of care group (HR, 0.40; 95% CI, 0.33-0.49; p&lt;0.001). </w:t>
      </w:r>
      <w:r w:rsidR="009A6768">
        <w:rPr>
          <w:rFonts w:ascii="Times New Roman" w:hAnsi="Times New Roman" w:cs="Times New Roman"/>
          <w:sz w:val="24"/>
          <w:szCs w:val="24"/>
        </w:rPr>
        <w:t>Notably, t</w:t>
      </w:r>
      <w:r w:rsidR="009A6768" w:rsidRPr="009A6768">
        <w:rPr>
          <w:rFonts w:ascii="Times New Roman" w:hAnsi="Times New Roman" w:cs="Times New Roman"/>
          <w:sz w:val="24"/>
          <w:szCs w:val="24"/>
        </w:rPr>
        <w:t>he data do not support the concurrent use of docetaxel</w:t>
      </w:r>
      <w:r w:rsidR="00CA1895">
        <w:rPr>
          <w:rFonts w:ascii="Times New Roman" w:hAnsi="Times New Roman" w:cs="Times New Roman"/>
          <w:sz w:val="24"/>
          <w:szCs w:val="24"/>
        </w:rPr>
        <w:t>—in th</w:t>
      </w:r>
      <w:r w:rsidR="000F3F4E">
        <w:rPr>
          <w:rFonts w:ascii="Times New Roman" w:hAnsi="Times New Roman" w:cs="Times New Roman"/>
          <w:sz w:val="24"/>
          <w:szCs w:val="24"/>
        </w:rPr>
        <w:t>is</w:t>
      </w:r>
      <w:r w:rsidR="00CA1895">
        <w:rPr>
          <w:rFonts w:ascii="Times New Roman" w:hAnsi="Times New Roman" w:cs="Times New Roman"/>
          <w:sz w:val="24"/>
          <w:szCs w:val="24"/>
        </w:rPr>
        <w:t xml:space="preserve"> subgroup there was no benefit of enzalutamide in terms of overall survival </w:t>
      </w:r>
      <w:r w:rsidR="000F3F4E">
        <w:rPr>
          <w:rFonts w:ascii="Times New Roman" w:hAnsi="Times New Roman" w:cs="Times New Roman"/>
          <w:sz w:val="24"/>
          <w:szCs w:val="24"/>
        </w:rPr>
        <w:t xml:space="preserve">relative to ADT monotherapy </w:t>
      </w:r>
      <w:r w:rsidR="00CA1895">
        <w:rPr>
          <w:rFonts w:ascii="Times New Roman" w:hAnsi="Times New Roman" w:cs="Times New Roman"/>
          <w:sz w:val="24"/>
          <w:szCs w:val="24"/>
        </w:rPr>
        <w:t>(HR, 0.90; 95% CI, 0.62-1.31). Unsurprisingly, toxicities were more frequent in those patients who received both docetaxel and enzalutamide, including haematological toxicity, infections, sensory neuropathy and alopecia.</w:t>
      </w:r>
      <w:r w:rsidR="00DF616D" w:rsidRPr="00DF616D">
        <w:rPr>
          <w:rFonts w:ascii="Times New Roman" w:hAnsi="Times New Roman" w:cs="Times New Roman"/>
          <w:sz w:val="24"/>
          <w:szCs w:val="24"/>
          <w:vertAlign w:val="superscript"/>
        </w:rPr>
        <w:t>13</w:t>
      </w:r>
      <w:r w:rsidR="00CA1895">
        <w:rPr>
          <w:rFonts w:ascii="Times New Roman" w:hAnsi="Times New Roman" w:cs="Times New Roman"/>
          <w:sz w:val="24"/>
          <w:szCs w:val="24"/>
        </w:rPr>
        <w:t xml:space="preserve"> </w:t>
      </w:r>
    </w:p>
    <w:p w14:paraId="2CB29C5B" w14:textId="0984903A" w:rsidR="00263CA2" w:rsidRPr="00E56BE0" w:rsidRDefault="00F114C8" w:rsidP="003F3D4E">
      <w:pPr>
        <w:spacing w:line="480" w:lineRule="auto"/>
        <w:ind w:firstLine="720"/>
        <w:rPr>
          <w:rFonts w:ascii="Times New Roman" w:hAnsi="Times New Roman" w:cs="Times New Roman"/>
          <w:sz w:val="24"/>
          <w:szCs w:val="24"/>
        </w:rPr>
      </w:pPr>
      <w:r w:rsidRPr="00E56BE0">
        <w:rPr>
          <w:rFonts w:ascii="Times New Roman" w:hAnsi="Times New Roman" w:cs="Times New Roman"/>
          <w:sz w:val="24"/>
          <w:szCs w:val="24"/>
        </w:rPr>
        <w:t>Data supporting the use apalutamide</w:t>
      </w:r>
      <w:r w:rsidR="003F3D4E">
        <w:rPr>
          <w:rFonts w:ascii="Times New Roman" w:hAnsi="Times New Roman" w:cs="Times New Roman"/>
          <w:sz w:val="24"/>
          <w:szCs w:val="24"/>
        </w:rPr>
        <w:t xml:space="preserve"> (</w:t>
      </w:r>
      <w:r w:rsidR="000F3F4E">
        <w:rPr>
          <w:rFonts w:ascii="Times New Roman" w:hAnsi="Times New Roman" w:cs="Times New Roman"/>
          <w:sz w:val="24"/>
          <w:szCs w:val="24"/>
        </w:rPr>
        <w:t xml:space="preserve">another </w:t>
      </w:r>
      <w:r w:rsidR="003F3D4E">
        <w:rPr>
          <w:rFonts w:ascii="Times New Roman" w:hAnsi="Times New Roman" w:cs="Times New Roman"/>
          <w:sz w:val="24"/>
          <w:szCs w:val="24"/>
        </w:rPr>
        <w:t>novel non-steroidal antiandrogen)</w:t>
      </w:r>
      <w:r w:rsidRPr="00E56BE0">
        <w:rPr>
          <w:rFonts w:ascii="Times New Roman" w:hAnsi="Times New Roman" w:cs="Times New Roman"/>
          <w:sz w:val="24"/>
          <w:szCs w:val="24"/>
        </w:rPr>
        <w:t xml:space="preserve"> in combination with ADT in </w:t>
      </w:r>
      <w:r w:rsidR="005109A7">
        <w:rPr>
          <w:rFonts w:ascii="Times New Roman" w:hAnsi="Times New Roman" w:cs="Times New Roman"/>
          <w:sz w:val="24"/>
          <w:szCs w:val="24"/>
        </w:rPr>
        <w:t xml:space="preserve">men with newly-diagnosed </w:t>
      </w:r>
      <w:r w:rsidRPr="00E56BE0">
        <w:rPr>
          <w:rFonts w:ascii="Times New Roman" w:hAnsi="Times New Roman" w:cs="Times New Roman"/>
          <w:sz w:val="24"/>
          <w:szCs w:val="24"/>
        </w:rPr>
        <w:t>mHSPC are provided by the TITAN study.</w:t>
      </w:r>
      <w:r w:rsidR="00DF616D" w:rsidRPr="00DF616D">
        <w:rPr>
          <w:rFonts w:ascii="Times New Roman" w:hAnsi="Times New Roman" w:cs="Times New Roman"/>
          <w:sz w:val="24"/>
          <w:szCs w:val="24"/>
          <w:vertAlign w:val="superscript"/>
        </w:rPr>
        <w:t>14</w:t>
      </w:r>
      <w:r w:rsidRPr="00E56BE0">
        <w:rPr>
          <w:rFonts w:ascii="Times New Roman" w:hAnsi="Times New Roman" w:cs="Times New Roman"/>
          <w:sz w:val="24"/>
          <w:szCs w:val="24"/>
        </w:rPr>
        <w:t xml:space="preserve"> Like ARCHES, the primary endpoint was radiographic progression-free survival, and at a median follow-up of 22.7 months, a benefit was observed with apalutamide (HR, 0.48; 95% CI, 0.39-0.60; p&lt;0.001). There was also a 33% lower risk of death with ADT and apalutamide vs ADT alone (HR, 0.67; 95% CI, 0.51-0.89; p=0.005). </w:t>
      </w:r>
      <w:r w:rsidR="004A2DCB">
        <w:rPr>
          <w:rFonts w:ascii="Times New Roman" w:hAnsi="Times New Roman" w:cs="Times New Roman"/>
          <w:sz w:val="24"/>
          <w:szCs w:val="24"/>
        </w:rPr>
        <w:t xml:space="preserve">When the data </w:t>
      </w:r>
      <w:r w:rsidR="000F3F4E">
        <w:rPr>
          <w:rFonts w:ascii="Times New Roman" w:hAnsi="Times New Roman" w:cs="Times New Roman"/>
          <w:sz w:val="24"/>
          <w:szCs w:val="24"/>
        </w:rPr>
        <w:t xml:space="preserve">from TITAN </w:t>
      </w:r>
      <w:r w:rsidR="004A2DCB">
        <w:rPr>
          <w:rFonts w:ascii="Times New Roman" w:hAnsi="Times New Roman" w:cs="Times New Roman"/>
          <w:sz w:val="24"/>
          <w:szCs w:val="24"/>
        </w:rPr>
        <w:t>were analysed according to metastatic volume (CHAARTED criteria), there was a benefit of apalutamide in patients with high-volume disease (HR, 0.68; 95% CI, 0.50-0.92) but this was absent in patients with low-volume disease (HR, 0.67; 95% CI, 0.67-0.34-1.32).</w:t>
      </w:r>
    </w:p>
    <w:p w14:paraId="1F5CB0E7" w14:textId="166547F4" w:rsidR="005C4F32" w:rsidRPr="00E56BE0" w:rsidRDefault="005C4F32" w:rsidP="00FA3214">
      <w:pPr>
        <w:spacing w:line="480" w:lineRule="auto"/>
        <w:ind w:firstLine="720"/>
        <w:rPr>
          <w:rFonts w:ascii="Times New Roman" w:hAnsi="Times New Roman" w:cs="Times New Roman"/>
          <w:sz w:val="24"/>
          <w:szCs w:val="24"/>
        </w:rPr>
      </w:pPr>
      <w:r w:rsidRPr="00E56BE0">
        <w:rPr>
          <w:rFonts w:ascii="Times New Roman" w:hAnsi="Times New Roman" w:cs="Times New Roman"/>
          <w:sz w:val="24"/>
          <w:szCs w:val="24"/>
        </w:rPr>
        <w:t>Progression to metastatic castration-resistant prostate cancer (mCRPC) is associated with substantial reductions in quality of life due to an increase in disease-related symptoms such as fatigue and pain and a decline in vitality and mental health. In a UK-based survey of 132 men with mCRPC starting systemic therapy, quality of life had deteriorated significantly after 6 months of treatment and those who received ADT alone experienced worse outcomes than those on concomitant chemotherapy.</w:t>
      </w:r>
      <w:r w:rsidR="00DF616D" w:rsidRPr="00DF616D">
        <w:rPr>
          <w:rFonts w:ascii="Times New Roman" w:hAnsi="Times New Roman" w:cs="Times New Roman"/>
          <w:sz w:val="24"/>
          <w:szCs w:val="24"/>
          <w:vertAlign w:val="superscript"/>
        </w:rPr>
        <w:t>15</w:t>
      </w:r>
      <w:r w:rsidRPr="00E56BE0">
        <w:rPr>
          <w:rFonts w:ascii="Times New Roman" w:hAnsi="Times New Roman" w:cs="Times New Roman"/>
          <w:sz w:val="24"/>
          <w:szCs w:val="24"/>
        </w:rPr>
        <w:t xml:space="preserve"> For many of the patients, pain levels remained </w:t>
      </w:r>
      <w:r w:rsidRPr="00E56BE0">
        <w:rPr>
          <w:rFonts w:ascii="Times New Roman" w:hAnsi="Times New Roman" w:cs="Times New Roman"/>
          <w:sz w:val="24"/>
          <w:szCs w:val="24"/>
        </w:rPr>
        <w:lastRenderedPageBreak/>
        <w:t>the same as before treatment initiation or increased. A systematic review of randomised controlled trials in men with mCRPC reported cancer-related fatigue in up to 21% of patients, and in 18% this was severe.</w:t>
      </w:r>
      <w:r w:rsidR="00DF616D" w:rsidRPr="00DF616D">
        <w:rPr>
          <w:rFonts w:ascii="Times New Roman" w:hAnsi="Times New Roman" w:cs="Times New Roman"/>
          <w:sz w:val="24"/>
          <w:szCs w:val="24"/>
          <w:vertAlign w:val="superscript"/>
        </w:rPr>
        <w:t>16</w:t>
      </w:r>
      <w:r w:rsidRPr="00E56BE0">
        <w:rPr>
          <w:rFonts w:ascii="Times New Roman" w:hAnsi="Times New Roman" w:cs="Times New Roman"/>
          <w:sz w:val="24"/>
          <w:szCs w:val="24"/>
        </w:rPr>
        <w:t xml:space="preserve"> Delaying progression to castration resistance is therefore a key treatment objective in managing men with mHSPC. In CHAARTED, progression to mCRPC in patients receiving ADT alone was 8.6 months for those with high-volume disease compared to 22.7 months for those with low-volume disease.</w:t>
      </w:r>
      <w:r w:rsidR="00DF616D" w:rsidRPr="00DF616D">
        <w:rPr>
          <w:rFonts w:ascii="Times New Roman" w:hAnsi="Times New Roman" w:cs="Times New Roman"/>
          <w:sz w:val="24"/>
          <w:szCs w:val="24"/>
          <w:vertAlign w:val="superscript"/>
        </w:rPr>
        <w:t>2</w:t>
      </w:r>
      <w:r w:rsidRPr="00E56BE0">
        <w:rPr>
          <w:rFonts w:ascii="Times New Roman" w:hAnsi="Times New Roman" w:cs="Times New Roman"/>
          <w:sz w:val="24"/>
          <w:szCs w:val="24"/>
        </w:rPr>
        <w:t xml:space="preserve"> However, outcomes were significantly improved in the high-volume group with the addition of docetaxel. The STAMPEDE trial showed that the benefits of adding docetaxel improved th</w:t>
      </w:r>
      <w:r w:rsidR="000F3F4E">
        <w:rPr>
          <w:rFonts w:ascii="Times New Roman" w:hAnsi="Times New Roman" w:cs="Times New Roman"/>
          <w:sz w:val="24"/>
          <w:szCs w:val="24"/>
        </w:rPr>
        <w:t>is</w:t>
      </w:r>
      <w:r w:rsidRPr="00E56BE0">
        <w:rPr>
          <w:rFonts w:ascii="Times New Roman" w:hAnsi="Times New Roman" w:cs="Times New Roman"/>
          <w:sz w:val="24"/>
          <w:szCs w:val="24"/>
        </w:rPr>
        <w:t xml:space="preserve"> outcome irrespective of disease volume at study entry.</w:t>
      </w:r>
      <w:r w:rsidR="00DF616D" w:rsidRPr="00DF616D">
        <w:rPr>
          <w:rFonts w:ascii="Times New Roman" w:hAnsi="Times New Roman" w:cs="Times New Roman"/>
          <w:sz w:val="24"/>
          <w:szCs w:val="24"/>
          <w:vertAlign w:val="superscript"/>
        </w:rPr>
        <w:t>7</w:t>
      </w:r>
      <w:r w:rsidRPr="00E56BE0">
        <w:rPr>
          <w:rFonts w:ascii="Times New Roman" w:hAnsi="Times New Roman" w:cs="Times New Roman"/>
          <w:sz w:val="24"/>
          <w:szCs w:val="24"/>
        </w:rPr>
        <w:t xml:space="preserve"> </w:t>
      </w:r>
    </w:p>
    <w:p w14:paraId="4532E851" w14:textId="4E92B0C3" w:rsidR="0080075E" w:rsidRPr="00E56BE0" w:rsidRDefault="001B7BF2" w:rsidP="00FA3214">
      <w:pPr>
        <w:spacing w:line="480" w:lineRule="auto"/>
        <w:ind w:firstLine="720"/>
        <w:rPr>
          <w:rFonts w:ascii="Times New Roman" w:hAnsi="Times New Roman" w:cs="Times New Roman"/>
          <w:sz w:val="24"/>
          <w:szCs w:val="24"/>
        </w:rPr>
      </w:pPr>
      <w:r w:rsidRPr="00E56BE0">
        <w:rPr>
          <w:rFonts w:ascii="Times New Roman" w:hAnsi="Times New Roman" w:cs="Times New Roman"/>
          <w:sz w:val="24"/>
          <w:szCs w:val="24"/>
        </w:rPr>
        <w:t xml:space="preserve">In the UK, </w:t>
      </w:r>
      <w:r w:rsidR="00297D19">
        <w:rPr>
          <w:rFonts w:ascii="Times New Roman" w:hAnsi="Times New Roman" w:cs="Times New Roman"/>
          <w:sz w:val="24"/>
          <w:szCs w:val="24"/>
        </w:rPr>
        <w:t xml:space="preserve">the </w:t>
      </w:r>
      <w:r w:rsidR="001109A6" w:rsidRPr="00E56BE0">
        <w:rPr>
          <w:rFonts w:ascii="Times New Roman" w:hAnsi="Times New Roman" w:cs="Times New Roman"/>
          <w:sz w:val="24"/>
          <w:szCs w:val="24"/>
        </w:rPr>
        <w:t>National Institute for Health and Care Excellence (</w:t>
      </w:r>
      <w:r w:rsidR="0080075E" w:rsidRPr="00E56BE0">
        <w:rPr>
          <w:rFonts w:ascii="Times New Roman" w:hAnsi="Times New Roman" w:cs="Times New Roman"/>
          <w:sz w:val="24"/>
          <w:szCs w:val="24"/>
        </w:rPr>
        <w:t>NICE</w:t>
      </w:r>
      <w:r w:rsidR="001109A6" w:rsidRPr="00E56BE0">
        <w:rPr>
          <w:rFonts w:ascii="Times New Roman" w:hAnsi="Times New Roman" w:cs="Times New Roman"/>
          <w:sz w:val="24"/>
          <w:szCs w:val="24"/>
        </w:rPr>
        <w:t>)</w:t>
      </w:r>
      <w:r w:rsidR="005539FE" w:rsidRPr="00E56BE0">
        <w:rPr>
          <w:rFonts w:ascii="Times New Roman" w:hAnsi="Times New Roman" w:cs="Times New Roman"/>
          <w:sz w:val="24"/>
          <w:szCs w:val="24"/>
        </w:rPr>
        <w:t xml:space="preserve"> guidance</w:t>
      </w:r>
      <w:r w:rsidRPr="00E56BE0">
        <w:rPr>
          <w:rFonts w:ascii="Times New Roman" w:hAnsi="Times New Roman" w:cs="Times New Roman"/>
          <w:sz w:val="24"/>
          <w:szCs w:val="24"/>
        </w:rPr>
        <w:t xml:space="preserve"> for prostate cancer</w:t>
      </w:r>
      <w:r w:rsidR="005539FE" w:rsidRPr="00E56BE0">
        <w:rPr>
          <w:rFonts w:ascii="Times New Roman" w:hAnsi="Times New Roman" w:cs="Times New Roman"/>
          <w:sz w:val="24"/>
          <w:szCs w:val="24"/>
        </w:rPr>
        <w:t xml:space="preserve"> </w:t>
      </w:r>
      <w:r w:rsidR="00FA1E7A" w:rsidRPr="00E56BE0">
        <w:rPr>
          <w:rFonts w:ascii="Times New Roman" w:hAnsi="Times New Roman" w:cs="Times New Roman"/>
          <w:sz w:val="24"/>
          <w:szCs w:val="24"/>
        </w:rPr>
        <w:t xml:space="preserve">makes a </w:t>
      </w:r>
      <w:r w:rsidRPr="00E56BE0">
        <w:rPr>
          <w:rFonts w:ascii="Times New Roman" w:hAnsi="Times New Roman" w:cs="Times New Roman"/>
          <w:sz w:val="24"/>
          <w:szCs w:val="24"/>
        </w:rPr>
        <w:t>general</w:t>
      </w:r>
      <w:r w:rsidR="00FA1E7A" w:rsidRPr="00E56BE0">
        <w:rPr>
          <w:rFonts w:ascii="Times New Roman" w:hAnsi="Times New Roman" w:cs="Times New Roman"/>
          <w:sz w:val="24"/>
          <w:szCs w:val="24"/>
        </w:rPr>
        <w:t xml:space="preserve"> recommendation that patients with newly-diagnosed metastatic prostate cancer should be offered docetaxel in combination with ADT;</w:t>
      </w:r>
      <w:r w:rsidR="00272895" w:rsidRPr="00272895">
        <w:rPr>
          <w:rFonts w:ascii="Times New Roman" w:hAnsi="Times New Roman" w:cs="Times New Roman"/>
          <w:sz w:val="24"/>
          <w:szCs w:val="24"/>
          <w:vertAlign w:val="superscript"/>
        </w:rPr>
        <w:t>17</w:t>
      </w:r>
      <w:r w:rsidR="00FA1E7A" w:rsidRPr="00E56BE0">
        <w:rPr>
          <w:rFonts w:ascii="Times New Roman" w:hAnsi="Times New Roman" w:cs="Times New Roman"/>
          <w:sz w:val="24"/>
          <w:szCs w:val="24"/>
        </w:rPr>
        <w:t xml:space="preserve"> however, combined androgen blockade</w:t>
      </w:r>
      <w:r w:rsidR="0098300B" w:rsidRPr="00E56BE0">
        <w:rPr>
          <w:rFonts w:ascii="Times New Roman" w:hAnsi="Times New Roman" w:cs="Times New Roman"/>
          <w:sz w:val="24"/>
          <w:szCs w:val="24"/>
        </w:rPr>
        <w:t xml:space="preserve"> with ARTAs such as abiraterone acetate</w:t>
      </w:r>
      <w:r w:rsidR="001A4B16" w:rsidRPr="00E56BE0">
        <w:rPr>
          <w:rFonts w:ascii="Times New Roman" w:hAnsi="Times New Roman" w:cs="Times New Roman"/>
          <w:sz w:val="24"/>
          <w:szCs w:val="24"/>
        </w:rPr>
        <w:t>,</w:t>
      </w:r>
      <w:r w:rsidR="0098300B" w:rsidRPr="00E56BE0">
        <w:rPr>
          <w:rFonts w:ascii="Times New Roman" w:hAnsi="Times New Roman" w:cs="Times New Roman"/>
          <w:sz w:val="24"/>
          <w:szCs w:val="24"/>
        </w:rPr>
        <w:t xml:space="preserve"> enzalutamide</w:t>
      </w:r>
      <w:r w:rsidR="001A4B16" w:rsidRPr="00E56BE0">
        <w:rPr>
          <w:rFonts w:ascii="Times New Roman" w:hAnsi="Times New Roman" w:cs="Times New Roman"/>
          <w:sz w:val="24"/>
          <w:szCs w:val="24"/>
        </w:rPr>
        <w:t xml:space="preserve"> or apalutamide</w:t>
      </w:r>
      <w:r w:rsidR="00FA5791" w:rsidRPr="00E56BE0">
        <w:rPr>
          <w:rFonts w:ascii="Times New Roman" w:hAnsi="Times New Roman" w:cs="Times New Roman"/>
          <w:sz w:val="24"/>
          <w:szCs w:val="24"/>
        </w:rPr>
        <w:t xml:space="preserve"> </w:t>
      </w:r>
      <w:r w:rsidR="0071041F">
        <w:rPr>
          <w:rFonts w:ascii="Times New Roman" w:hAnsi="Times New Roman" w:cs="Times New Roman"/>
          <w:sz w:val="24"/>
          <w:szCs w:val="24"/>
        </w:rPr>
        <w:t xml:space="preserve">has </w:t>
      </w:r>
      <w:r w:rsidR="00FA5791" w:rsidRPr="00E56BE0">
        <w:rPr>
          <w:rFonts w:ascii="Times New Roman" w:hAnsi="Times New Roman" w:cs="Times New Roman"/>
          <w:sz w:val="24"/>
          <w:szCs w:val="24"/>
        </w:rPr>
        <w:t xml:space="preserve">currently </w:t>
      </w:r>
      <w:r w:rsidR="000F7E17" w:rsidRPr="00E56BE0">
        <w:rPr>
          <w:rFonts w:ascii="Times New Roman" w:hAnsi="Times New Roman" w:cs="Times New Roman"/>
          <w:sz w:val="24"/>
          <w:szCs w:val="24"/>
        </w:rPr>
        <w:t xml:space="preserve">not </w:t>
      </w:r>
      <w:r w:rsidR="0071041F">
        <w:rPr>
          <w:rFonts w:ascii="Times New Roman" w:hAnsi="Times New Roman" w:cs="Times New Roman"/>
          <w:sz w:val="24"/>
          <w:szCs w:val="24"/>
        </w:rPr>
        <w:t xml:space="preserve">been </w:t>
      </w:r>
      <w:r w:rsidR="000F7E17" w:rsidRPr="00C12222">
        <w:rPr>
          <w:rFonts w:ascii="Times New Roman" w:hAnsi="Times New Roman" w:cs="Times New Roman"/>
          <w:sz w:val="24"/>
          <w:szCs w:val="24"/>
        </w:rPr>
        <w:t>recommended</w:t>
      </w:r>
      <w:r w:rsidR="000F7E17" w:rsidRPr="00E56BE0">
        <w:rPr>
          <w:rFonts w:ascii="Times New Roman" w:hAnsi="Times New Roman" w:cs="Times New Roman"/>
          <w:sz w:val="24"/>
          <w:szCs w:val="24"/>
        </w:rPr>
        <w:t xml:space="preserve"> as a first-line treatment option</w:t>
      </w:r>
      <w:r w:rsidR="00C12222">
        <w:rPr>
          <w:rFonts w:ascii="Times New Roman" w:hAnsi="Times New Roman" w:cs="Times New Roman"/>
          <w:sz w:val="24"/>
          <w:szCs w:val="24"/>
        </w:rPr>
        <w:t xml:space="preserve"> (note: after completion of the survey, enzalutamide was made available via the Cancer Drugs Fund during the Covid-19 pandemic)</w:t>
      </w:r>
      <w:r w:rsidR="00FA5791" w:rsidRPr="00E56BE0">
        <w:rPr>
          <w:rFonts w:ascii="Times New Roman" w:hAnsi="Times New Roman" w:cs="Times New Roman"/>
          <w:sz w:val="24"/>
          <w:szCs w:val="24"/>
        </w:rPr>
        <w:t>.</w:t>
      </w:r>
      <w:r w:rsidR="00FA1E7A" w:rsidRPr="00E56BE0">
        <w:rPr>
          <w:rFonts w:ascii="Times New Roman" w:hAnsi="Times New Roman" w:cs="Times New Roman"/>
          <w:sz w:val="24"/>
          <w:szCs w:val="24"/>
        </w:rPr>
        <w:t xml:space="preserve"> </w:t>
      </w:r>
      <w:r w:rsidR="00FA5791" w:rsidRPr="00E56BE0">
        <w:rPr>
          <w:rFonts w:ascii="Times New Roman" w:hAnsi="Times New Roman" w:cs="Times New Roman"/>
          <w:sz w:val="24"/>
          <w:szCs w:val="24"/>
        </w:rPr>
        <w:t>Indeed, at present i</w:t>
      </w:r>
      <w:r w:rsidRPr="00E56BE0">
        <w:rPr>
          <w:rFonts w:ascii="Times New Roman" w:hAnsi="Times New Roman" w:cs="Times New Roman"/>
          <w:sz w:val="24"/>
          <w:szCs w:val="24"/>
        </w:rPr>
        <w:t xml:space="preserve">t is unclear as to how such therapies should be used in patients with </w:t>
      </w:r>
      <w:proofErr w:type="gramStart"/>
      <w:r w:rsidRPr="00E56BE0">
        <w:rPr>
          <w:rFonts w:ascii="Times New Roman" w:hAnsi="Times New Roman" w:cs="Times New Roman"/>
          <w:sz w:val="24"/>
          <w:szCs w:val="24"/>
        </w:rPr>
        <w:t>newly</w:t>
      </w:r>
      <w:r w:rsidR="00FA5791" w:rsidRPr="00E56BE0">
        <w:rPr>
          <w:rFonts w:ascii="Times New Roman" w:hAnsi="Times New Roman" w:cs="Times New Roman"/>
          <w:sz w:val="24"/>
          <w:szCs w:val="24"/>
        </w:rPr>
        <w:t>-</w:t>
      </w:r>
      <w:r w:rsidRPr="00E56BE0">
        <w:rPr>
          <w:rFonts w:ascii="Times New Roman" w:hAnsi="Times New Roman" w:cs="Times New Roman"/>
          <w:sz w:val="24"/>
          <w:szCs w:val="24"/>
        </w:rPr>
        <w:t>diagnosed</w:t>
      </w:r>
      <w:proofErr w:type="gramEnd"/>
      <w:r w:rsidRPr="00E56BE0">
        <w:rPr>
          <w:rFonts w:ascii="Times New Roman" w:hAnsi="Times New Roman" w:cs="Times New Roman"/>
          <w:sz w:val="24"/>
          <w:szCs w:val="24"/>
        </w:rPr>
        <w:t xml:space="preserve"> mHSPC, in terms of patient selection and treatment sequencing</w:t>
      </w:r>
      <w:r w:rsidR="00FA5791" w:rsidRPr="00E56BE0">
        <w:rPr>
          <w:rFonts w:ascii="Times New Roman" w:hAnsi="Times New Roman" w:cs="Times New Roman"/>
          <w:sz w:val="24"/>
          <w:szCs w:val="24"/>
        </w:rPr>
        <w:t>.</w:t>
      </w:r>
    </w:p>
    <w:p w14:paraId="520C2180" w14:textId="67141F82" w:rsidR="00DF6C7F" w:rsidRPr="00E56BE0" w:rsidRDefault="00DF6C7F" w:rsidP="00FA3214">
      <w:pPr>
        <w:spacing w:line="480" w:lineRule="auto"/>
        <w:ind w:firstLine="720"/>
        <w:rPr>
          <w:rFonts w:ascii="Times New Roman" w:hAnsi="Times New Roman" w:cs="Times New Roman"/>
          <w:sz w:val="24"/>
          <w:szCs w:val="24"/>
        </w:rPr>
      </w:pPr>
      <w:r w:rsidRPr="00E56BE0">
        <w:rPr>
          <w:rFonts w:ascii="Times New Roman" w:hAnsi="Times New Roman" w:cs="Times New Roman"/>
          <w:sz w:val="24"/>
          <w:szCs w:val="24"/>
        </w:rPr>
        <w:t>The purpose of this survey was therefore to explore the practice of uro-oncologists in the UK with respect to management of this group of patients</w:t>
      </w:r>
      <w:r w:rsidR="002505AC">
        <w:rPr>
          <w:rFonts w:ascii="Times New Roman" w:hAnsi="Times New Roman" w:cs="Times New Roman"/>
          <w:sz w:val="24"/>
          <w:szCs w:val="24"/>
        </w:rPr>
        <w:t xml:space="preserve"> </w:t>
      </w:r>
      <w:r w:rsidR="000F3F4E">
        <w:rPr>
          <w:rFonts w:ascii="Times New Roman" w:hAnsi="Times New Roman" w:cs="Times New Roman"/>
          <w:sz w:val="24"/>
          <w:szCs w:val="24"/>
        </w:rPr>
        <w:t>in</w:t>
      </w:r>
      <w:r w:rsidR="002505AC">
        <w:rPr>
          <w:rFonts w:ascii="Times New Roman" w:hAnsi="Times New Roman" w:cs="Times New Roman"/>
          <w:sz w:val="24"/>
          <w:szCs w:val="24"/>
        </w:rPr>
        <w:t xml:space="preserve"> current practice to determine the use of docetaxel in patient</w:t>
      </w:r>
      <w:r w:rsidR="000F3F4E">
        <w:rPr>
          <w:rFonts w:ascii="Times New Roman" w:hAnsi="Times New Roman" w:cs="Times New Roman"/>
          <w:sz w:val="24"/>
          <w:szCs w:val="24"/>
        </w:rPr>
        <w:t>s</w:t>
      </w:r>
      <w:r w:rsidR="002505AC">
        <w:rPr>
          <w:rFonts w:ascii="Times New Roman" w:hAnsi="Times New Roman" w:cs="Times New Roman"/>
          <w:sz w:val="24"/>
          <w:szCs w:val="24"/>
        </w:rPr>
        <w:t xml:space="preserve"> fit to receive </w:t>
      </w:r>
      <w:r w:rsidR="000F3F4E">
        <w:rPr>
          <w:rFonts w:ascii="Times New Roman" w:hAnsi="Times New Roman" w:cs="Times New Roman"/>
          <w:sz w:val="24"/>
          <w:szCs w:val="24"/>
        </w:rPr>
        <w:t>chemo</w:t>
      </w:r>
      <w:r w:rsidR="002505AC">
        <w:rPr>
          <w:rFonts w:ascii="Times New Roman" w:hAnsi="Times New Roman" w:cs="Times New Roman"/>
          <w:sz w:val="24"/>
          <w:szCs w:val="24"/>
        </w:rPr>
        <w:t>therapy and also how practice would change if ARTAs were available</w:t>
      </w:r>
      <w:r w:rsidRPr="00E56BE0">
        <w:rPr>
          <w:rFonts w:ascii="Times New Roman" w:hAnsi="Times New Roman" w:cs="Times New Roman"/>
          <w:sz w:val="24"/>
          <w:szCs w:val="24"/>
        </w:rPr>
        <w:t xml:space="preserve">. </w:t>
      </w:r>
    </w:p>
    <w:p w14:paraId="4CE921F2" w14:textId="26C813C9" w:rsidR="00DF6C7F" w:rsidRPr="00E56BE0" w:rsidRDefault="00DF6C7F" w:rsidP="00E56BE0">
      <w:pPr>
        <w:spacing w:line="480" w:lineRule="auto"/>
        <w:rPr>
          <w:rFonts w:ascii="Times New Roman" w:hAnsi="Times New Roman" w:cs="Times New Roman"/>
          <w:sz w:val="24"/>
          <w:szCs w:val="24"/>
        </w:rPr>
      </w:pPr>
    </w:p>
    <w:p w14:paraId="64ABDBCF" w14:textId="026EB19A" w:rsidR="00DF6C7F" w:rsidRPr="00E56BE0" w:rsidRDefault="00FA3214" w:rsidP="00E56BE0">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2 </w:t>
      </w:r>
      <w:r w:rsidR="00DF6C7F" w:rsidRPr="00E56BE0">
        <w:rPr>
          <w:rFonts w:ascii="Times New Roman" w:hAnsi="Times New Roman" w:cs="Times New Roman"/>
          <w:b/>
          <w:bCs/>
          <w:sz w:val="24"/>
          <w:szCs w:val="24"/>
        </w:rPr>
        <w:t>METHODS</w:t>
      </w:r>
    </w:p>
    <w:p w14:paraId="4D0741F8" w14:textId="4E5B8255" w:rsidR="002B5FAE" w:rsidRPr="00E56BE0" w:rsidRDefault="00DF6C7F" w:rsidP="00E56BE0">
      <w:pPr>
        <w:spacing w:line="480" w:lineRule="auto"/>
        <w:rPr>
          <w:rFonts w:ascii="Times New Roman" w:hAnsi="Times New Roman" w:cs="Times New Roman"/>
          <w:sz w:val="24"/>
          <w:szCs w:val="24"/>
        </w:rPr>
      </w:pPr>
      <w:r w:rsidRPr="00E56BE0">
        <w:rPr>
          <w:rFonts w:ascii="Times New Roman" w:hAnsi="Times New Roman" w:cs="Times New Roman"/>
          <w:sz w:val="24"/>
          <w:szCs w:val="24"/>
        </w:rPr>
        <w:lastRenderedPageBreak/>
        <w:t>A</w:t>
      </w:r>
      <w:r w:rsidR="002B5FAE" w:rsidRPr="00E56BE0">
        <w:rPr>
          <w:rFonts w:ascii="Times New Roman" w:hAnsi="Times New Roman" w:cs="Times New Roman"/>
          <w:sz w:val="24"/>
          <w:szCs w:val="24"/>
        </w:rPr>
        <w:t xml:space="preserve"> survey of uro-oncologists from around the UK</w:t>
      </w:r>
      <w:r w:rsidR="001109A6" w:rsidRPr="00E56BE0">
        <w:rPr>
          <w:rFonts w:ascii="Times New Roman" w:hAnsi="Times New Roman" w:cs="Times New Roman"/>
          <w:sz w:val="24"/>
          <w:szCs w:val="24"/>
        </w:rPr>
        <w:t xml:space="preserve"> </w:t>
      </w:r>
      <w:r w:rsidR="00676298" w:rsidRPr="00E56BE0">
        <w:rPr>
          <w:rFonts w:ascii="Times New Roman" w:hAnsi="Times New Roman" w:cs="Times New Roman"/>
          <w:sz w:val="24"/>
          <w:szCs w:val="24"/>
        </w:rPr>
        <w:t xml:space="preserve">was </w:t>
      </w:r>
      <w:r w:rsidR="001109A6" w:rsidRPr="00E56BE0">
        <w:rPr>
          <w:rFonts w:ascii="Times New Roman" w:hAnsi="Times New Roman" w:cs="Times New Roman"/>
          <w:sz w:val="24"/>
          <w:szCs w:val="24"/>
        </w:rPr>
        <w:t xml:space="preserve">conducted </w:t>
      </w:r>
      <w:r w:rsidR="00346583" w:rsidRPr="00E56BE0">
        <w:rPr>
          <w:rFonts w:ascii="Times New Roman" w:hAnsi="Times New Roman" w:cs="Times New Roman"/>
          <w:sz w:val="24"/>
          <w:szCs w:val="24"/>
        </w:rPr>
        <w:t xml:space="preserve">at the </w:t>
      </w:r>
      <w:r w:rsidR="00676298" w:rsidRPr="00E56BE0">
        <w:rPr>
          <w:rFonts w:ascii="Times New Roman" w:hAnsi="Times New Roman" w:cs="Times New Roman"/>
          <w:sz w:val="24"/>
          <w:szCs w:val="24"/>
        </w:rPr>
        <w:t>British Uro-oncology Group (BUG)</w:t>
      </w:r>
      <w:r w:rsidR="00346583" w:rsidRPr="00E56BE0">
        <w:rPr>
          <w:rFonts w:ascii="Times New Roman" w:hAnsi="Times New Roman" w:cs="Times New Roman"/>
          <w:sz w:val="24"/>
          <w:szCs w:val="24"/>
        </w:rPr>
        <w:t xml:space="preserve"> Annual Meeting </w:t>
      </w:r>
      <w:r w:rsidR="001109A6" w:rsidRPr="00E56BE0">
        <w:rPr>
          <w:rFonts w:ascii="Times New Roman" w:hAnsi="Times New Roman" w:cs="Times New Roman"/>
          <w:sz w:val="24"/>
          <w:szCs w:val="24"/>
        </w:rPr>
        <w:t>in September 2019</w:t>
      </w:r>
      <w:r w:rsidRPr="00E56BE0">
        <w:rPr>
          <w:rFonts w:ascii="Times New Roman" w:hAnsi="Times New Roman" w:cs="Times New Roman"/>
          <w:sz w:val="24"/>
          <w:szCs w:val="24"/>
        </w:rPr>
        <w:t xml:space="preserve">, </w:t>
      </w:r>
      <w:r w:rsidR="00C12222">
        <w:rPr>
          <w:rFonts w:ascii="Times New Roman" w:hAnsi="Times New Roman" w:cs="Times New Roman"/>
          <w:sz w:val="24"/>
          <w:szCs w:val="24"/>
        </w:rPr>
        <w:t xml:space="preserve">following presentations covering the latest results of studies evaluating all these agents. At the meeting, delegates completed </w:t>
      </w:r>
      <w:r w:rsidRPr="00E56BE0">
        <w:rPr>
          <w:rFonts w:ascii="Times New Roman" w:hAnsi="Times New Roman" w:cs="Times New Roman"/>
          <w:sz w:val="24"/>
          <w:szCs w:val="24"/>
        </w:rPr>
        <w:t xml:space="preserve">a paper questionnaire and </w:t>
      </w:r>
      <w:r w:rsidR="00C12222">
        <w:rPr>
          <w:rFonts w:ascii="Times New Roman" w:hAnsi="Times New Roman" w:cs="Times New Roman"/>
          <w:sz w:val="24"/>
          <w:szCs w:val="24"/>
        </w:rPr>
        <w:t xml:space="preserve">there was a subsequent opportunity to participate </w:t>
      </w:r>
      <w:r w:rsidR="00FA3214">
        <w:rPr>
          <w:rFonts w:ascii="Times New Roman" w:hAnsi="Times New Roman" w:cs="Times New Roman"/>
          <w:sz w:val="24"/>
          <w:szCs w:val="24"/>
        </w:rPr>
        <w:t>online</w:t>
      </w:r>
      <w:r w:rsidRPr="00E56BE0">
        <w:rPr>
          <w:rFonts w:ascii="Times New Roman" w:hAnsi="Times New Roman" w:cs="Times New Roman"/>
          <w:sz w:val="24"/>
          <w:szCs w:val="24"/>
        </w:rPr>
        <w:t xml:space="preserve"> via </w:t>
      </w:r>
      <w:r w:rsidR="00FA3214">
        <w:rPr>
          <w:rFonts w:ascii="Times New Roman" w:hAnsi="Times New Roman" w:cs="Times New Roman"/>
          <w:sz w:val="24"/>
          <w:szCs w:val="24"/>
        </w:rPr>
        <w:t>Survey Monkey</w:t>
      </w:r>
      <w:r w:rsidR="00FA5791" w:rsidRPr="00E56BE0">
        <w:rPr>
          <w:rFonts w:ascii="Times New Roman" w:hAnsi="Times New Roman" w:cs="Times New Roman"/>
          <w:sz w:val="24"/>
          <w:szCs w:val="24"/>
        </w:rPr>
        <w:t>.</w:t>
      </w:r>
      <w:r w:rsidR="00676298" w:rsidRPr="00E56BE0">
        <w:rPr>
          <w:rFonts w:ascii="Times New Roman" w:hAnsi="Times New Roman" w:cs="Times New Roman"/>
          <w:sz w:val="24"/>
          <w:szCs w:val="24"/>
        </w:rPr>
        <w:t xml:space="preserve"> </w:t>
      </w:r>
      <w:r w:rsidR="00FA3214" w:rsidRPr="00133D14">
        <w:rPr>
          <w:rFonts w:ascii="Times New Roman" w:hAnsi="Times New Roman" w:cs="Times New Roman"/>
          <w:sz w:val="24"/>
          <w:szCs w:val="24"/>
        </w:rPr>
        <w:t xml:space="preserve">The questionnaire was devised by </w:t>
      </w:r>
      <w:r w:rsidR="003A01A2">
        <w:rPr>
          <w:rFonts w:ascii="Times New Roman" w:hAnsi="Times New Roman" w:cs="Times New Roman"/>
          <w:sz w:val="24"/>
          <w:szCs w:val="24"/>
        </w:rPr>
        <w:t>a steering group</w:t>
      </w:r>
      <w:r w:rsidR="00FA3214" w:rsidRPr="00133D14">
        <w:rPr>
          <w:rFonts w:ascii="Times New Roman" w:hAnsi="Times New Roman" w:cs="Times New Roman"/>
          <w:sz w:val="24"/>
          <w:szCs w:val="24"/>
        </w:rPr>
        <w:t xml:space="preserve"> of BUG</w:t>
      </w:r>
      <w:r w:rsidR="003A01A2">
        <w:rPr>
          <w:rFonts w:ascii="Times New Roman" w:hAnsi="Times New Roman" w:cs="Times New Roman"/>
          <w:sz w:val="24"/>
          <w:szCs w:val="24"/>
        </w:rPr>
        <w:t xml:space="preserve"> members</w:t>
      </w:r>
      <w:r w:rsidR="00FA3214" w:rsidRPr="00133D14">
        <w:rPr>
          <w:rFonts w:ascii="Times New Roman" w:hAnsi="Times New Roman" w:cs="Times New Roman"/>
          <w:sz w:val="24"/>
          <w:szCs w:val="24"/>
        </w:rPr>
        <w:t>. No formal statistical testing was performed on the data collected; the number of respon</w:t>
      </w:r>
      <w:r w:rsidR="00FA3214">
        <w:rPr>
          <w:rFonts w:ascii="Times New Roman" w:hAnsi="Times New Roman" w:cs="Times New Roman"/>
          <w:sz w:val="24"/>
          <w:szCs w:val="24"/>
        </w:rPr>
        <w:t>ses</w:t>
      </w:r>
      <w:r w:rsidR="00FA3214" w:rsidRPr="00133D14">
        <w:rPr>
          <w:rFonts w:ascii="Times New Roman" w:hAnsi="Times New Roman" w:cs="Times New Roman"/>
          <w:sz w:val="24"/>
          <w:szCs w:val="24"/>
        </w:rPr>
        <w:t xml:space="preserve"> and percentages are presented.</w:t>
      </w:r>
    </w:p>
    <w:p w14:paraId="2A7A9911" w14:textId="77777777" w:rsidR="00240C54" w:rsidRPr="00E56BE0" w:rsidRDefault="00240C54" w:rsidP="00E56BE0">
      <w:pPr>
        <w:spacing w:line="480" w:lineRule="auto"/>
        <w:rPr>
          <w:rFonts w:ascii="Times New Roman" w:hAnsi="Times New Roman" w:cs="Times New Roman"/>
          <w:sz w:val="24"/>
          <w:szCs w:val="24"/>
        </w:rPr>
      </w:pPr>
    </w:p>
    <w:p w14:paraId="3C4EF013" w14:textId="025E5CF7" w:rsidR="00240C54" w:rsidRPr="00E56BE0" w:rsidRDefault="00FA3214" w:rsidP="00E56BE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3 </w:t>
      </w:r>
      <w:r w:rsidR="00896CC9" w:rsidRPr="00E56BE0">
        <w:rPr>
          <w:rFonts w:ascii="Times New Roman" w:hAnsi="Times New Roman" w:cs="Times New Roman"/>
          <w:b/>
          <w:sz w:val="24"/>
          <w:szCs w:val="24"/>
        </w:rPr>
        <w:t>RESULTS</w:t>
      </w:r>
    </w:p>
    <w:p w14:paraId="1C1F55DA" w14:textId="1BD46BAE" w:rsidR="00DF6C7F" w:rsidRPr="00E56BE0" w:rsidRDefault="00DF6C7F" w:rsidP="00E56BE0">
      <w:pPr>
        <w:spacing w:line="480" w:lineRule="auto"/>
        <w:rPr>
          <w:rFonts w:ascii="Times New Roman" w:hAnsi="Times New Roman" w:cs="Times New Roman"/>
          <w:bCs/>
          <w:sz w:val="24"/>
          <w:szCs w:val="24"/>
        </w:rPr>
      </w:pPr>
      <w:r w:rsidRPr="00E56BE0">
        <w:rPr>
          <w:rFonts w:ascii="Times New Roman" w:hAnsi="Times New Roman" w:cs="Times New Roman"/>
          <w:bCs/>
          <w:sz w:val="24"/>
          <w:szCs w:val="24"/>
        </w:rPr>
        <w:t xml:space="preserve">The questionnaire was distributed to </w:t>
      </w:r>
      <w:r w:rsidR="00EE2154" w:rsidRPr="00187BA7">
        <w:rPr>
          <w:rFonts w:ascii="Times New Roman" w:hAnsi="Times New Roman" w:cs="Times New Roman"/>
          <w:bCs/>
          <w:sz w:val="24"/>
          <w:szCs w:val="24"/>
        </w:rPr>
        <w:t>150</w:t>
      </w:r>
      <w:r w:rsidRPr="00E56BE0">
        <w:rPr>
          <w:rFonts w:ascii="Times New Roman" w:hAnsi="Times New Roman" w:cs="Times New Roman"/>
          <w:bCs/>
          <w:sz w:val="24"/>
          <w:szCs w:val="24"/>
        </w:rPr>
        <w:t xml:space="preserve"> members of BUG and 103 completed the survey (</w:t>
      </w:r>
      <w:r w:rsidR="00EE2154" w:rsidRPr="00E56BE0">
        <w:rPr>
          <w:rFonts w:ascii="Times New Roman" w:hAnsi="Times New Roman" w:cs="Times New Roman"/>
          <w:bCs/>
          <w:sz w:val="24"/>
          <w:szCs w:val="24"/>
        </w:rPr>
        <w:t>69</w:t>
      </w:r>
      <w:r w:rsidRPr="00E56BE0">
        <w:rPr>
          <w:rFonts w:ascii="Times New Roman" w:hAnsi="Times New Roman" w:cs="Times New Roman"/>
          <w:bCs/>
          <w:sz w:val="24"/>
          <w:szCs w:val="24"/>
        </w:rPr>
        <w:t xml:space="preserve">%). The majority were either clinical oncologists </w:t>
      </w:r>
      <w:r w:rsidR="00C4298D" w:rsidRPr="00E56BE0">
        <w:rPr>
          <w:rFonts w:ascii="Times New Roman" w:hAnsi="Times New Roman" w:cs="Times New Roman"/>
          <w:bCs/>
          <w:sz w:val="24"/>
          <w:szCs w:val="24"/>
        </w:rPr>
        <w:t xml:space="preserve">(77%) </w:t>
      </w:r>
      <w:r w:rsidRPr="00E56BE0">
        <w:rPr>
          <w:rFonts w:ascii="Times New Roman" w:hAnsi="Times New Roman" w:cs="Times New Roman"/>
          <w:bCs/>
          <w:sz w:val="24"/>
          <w:szCs w:val="24"/>
        </w:rPr>
        <w:t>or medical oncologists</w:t>
      </w:r>
      <w:r w:rsidR="00C4298D" w:rsidRPr="00E56BE0">
        <w:rPr>
          <w:rFonts w:ascii="Times New Roman" w:hAnsi="Times New Roman" w:cs="Times New Roman"/>
          <w:bCs/>
          <w:sz w:val="24"/>
          <w:szCs w:val="24"/>
        </w:rPr>
        <w:t xml:space="preserve"> (12%)</w:t>
      </w:r>
      <w:r w:rsidRPr="00E56BE0">
        <w:rPr>
          <w:rFonts w:ascii="Times New Roman" w:hAnsi="Times New Roman" w:cs="Times New Roman"/>
          <w:bCs/>
          <w:sz w:val="24"/>
          <w:szCs w:val="24"/>
        </w:rPr>
        <w:t>.</w:t>
      </w:r>
      <w:r w:rsidR="00DD1778" w:rsidRPr="00E56BE0">
        <w:rPr>
          <w:rFonts w:ascii="Times New Roman" w:hAnsi="Times New Roman" w:cs="Times New Roman"/>
          <w:bCs/>
          <w:sz w:val="24"/>
          <w:szCs w:val="24"/>
        </w:rPr>
        <w:t xml:space="preserve"> Of these, 96 respondents currently managed patients with advanced prostate cancer and 77 were recruiting patients into </w:t>
      </w:r>
      <w:r w:rsidR="002505AC">
        <w:rPr>
          <w:rFonts w:ascii="Times New Roman" w:hAnsi="Times New Roman" w:cs="Times New Roman"/>
          <w:bCs/>
          <w:sz w:val="24"/>
          <w:szCs w:val="24"/>
        </w:rPr>
        <w:t xml:space="preserve">the </w:t>
      </w:r>
      <w:r w:rsidR="00DD1778" w:rsidRPr="00E56BE0">
        <w:rPr>
          <w:rFonts w:ascii="Times New Roman" w:hAnsi="Times New Roman" w:cs="Times New Roman"/>
          <w:bCs/>
          <w:sz w:val="24"/>
          <w:szCs w:val="24"/>
        </w:rPr>
        <w:t>STAMPEDE</w:t>
      </w:r>
      <w:r w:rsidR="002505AC">
        <w:rPr>
          <w:rFonts w:ascii="Times New Roman" w:hAnsi="Times New Roman" w:cs="Times New Roman"/>
          <w:bCs/>
          <w:sz w:val="24"/>
          <w:szCs w:val="24"/>
        </w:rPr>
        <w:t xml:space="preserve"> study</w:t>
      </w:r>
      <w:r w:rsidR="00DD1778" w:rsidRPr="00E56BE0">
        <w:rPr>
          <w:rFonts w:ascii="Times New Roman" w:hAnsi="Times New Roman" w:cs="Times New Roman"/>
          <w:bCs/>
          <w:sz w:val="24"/>
          <w:szCs w:val="24"/>
        </w:rPr>
        <w:t>.</w:t>
      </w:r>
    </w:p>
    <w:p w14:paraId="18C75277" w14:textId="3AAA6AD2" w:rsidR="00DD1778" w:rsidRPr="00E56BE0" w:rsidRDefault="00DD1778" w:rsidP="00187BA7">
      <w:pPr>
        <w:spacing w:line="480" w:lineRule="auto"/>
        <w:ind w:firstLine="720"/>
        <w:rPr>
          <w:rFonts w:ascii="Times New Roman" w:hAnsi="Times New Roman" w:cs="Times New Roman"/>
          <w:bCs/>
          <w:sz w:val="24"/>
          <w:szCs w:val="24"/>
        </w:rPr>
      </w:pPr>
      <w:r w:rsidRPr="00E56BE0">
        <w:rPr>
          <w:rFonts w:ascii="Times New Roman" w:hAnsi="Times New Roman" w:cs="Times New Roman"/>
          <w:bCs/>
          <w:sz w:val="24"/>
          <w:szCs w:val="24"/>
        </w:rPr>
        <w:t xml:space="preserve">The members were firstly asked about their use of ADT alone in patients with </w:t>
      </w:r>
      <w:proofErr w:type="gramStart"/>
      <w:r w:rsidRPr="00E56BE0">
        <w:rPr>
          <w:rFonts w:ascii="Times New Roman" w:hAnsi="Times New Roman" w:cs="Times New Roman"/>
          <w:bCs/>
          <w:sz w:val="24"/>
          <w:szCs w:val="24"/>
        </w:rPr>
        <w:t>newly-diagnosed</w:t>
      </w:r>
      <w:proofErr w:type="gramEnd"/>
      <w:r w:rsidRPr="00E56BE0">
        <w:rPr>
          <w:rFonts w:ascii="Times New Roman" w:hAnsi="Times New Roman" w:cs="Times New Roman"/>
          <w:bCs/>
          <w:sz w:val="24"/>
          <w:szCs w:val="24"/>
        </w:rPr>
        <w:t xml:space="preserve"> mHPSC; 56.8% used ADT </w:t>
      </w:r>
      <w:r w:rsidR="002505AC">
        <w:rPr>
          <w:rFonts w:ascii="Times New Roman" w:hAnsi="Times New Roman" w:cs="Times New Roman"/>
          <w:bCs/>
          <w:sz w:val="24"/>
          <w:szCs w:val="24"/>
        </w:rPr>
        <w:t xml:space="preserve">monotherapy </w:t>
      </w:r>
      <w:r w:rsidRPr="00E56BE0">
        <w:rPr>
          <w:rFonts w:ascii="Times New Roman" w:hAnsi="Times New Roman" w:cs="Times New Roman"/>
          <w:bCs/>
          <w:sz w:val="24"/>
          <w:szCs w:val="24"/>
        </w:rPr>
        <w:t>in fewer than 25% of these patients and an additional 39.0% in 25-50% of these patients. Multiple reasons were cited for use of ADT monotherapy (Table 1), most commonly</w:t>
      </w:r>
      <w:r w:rsidR="00ED694D">
        <w:rPr>
          <w:rFonts w:ascii="Times New Roman" w:hAnsi="Times New Roman" w:cs="Times New Roman"/>
          <w:bCs/>
          <w:sz w:val="24"/>
          <w:szCs w:val="24"/>
        </w:rPr>
        <w:t xml:space="preserve"> poor</w:t>
      </w:r>
      <w:r w:rsidRPr="00E56BE0">
        <w:rPr>
          <w:rFonts w:ascii="Times New Roman" w:hAnsi="Times New Roman" w:cs="Times New Roman"/>
          <w:bCs/>
          <w:sz w:val="24"/>
          <w:szCs w:val="24"/>
        </w:rPr>
        <w:t xml:space="preserve"> performance status, comorbidities, frailty and patients</w:t>
      </w:r>
      <w:r w:rsidR="00BF2DD6" w:rsidRPr="00E56BE0">
        <w:rPr>
          <w:rFonts w:ascii="Times New Roman" w:hAnsi="Times New Roman" w:cs="Times New Roman"/>
          <w:bCs/>
          <w:sz w:val="24"/>
          <w:szCs w:val="24"/>
        </w:rPr>
        <w:t>’</w:t>
      </w:r>
      <w:r w:rsidRPr="00E56BE0">
        <w:rPr>
          <w:rFonts w:ascii="Times New Roman" w:hAnsi="Times New Roman" w:cs="Times New Roman"/>
          <w:bCs/>
          <w:sz w:val="24"/>
          <w:szCs w:val="24"/>
        </w:rPr>
        <w:t xml:space="preserve"> preference not to receive chemotherapy</w:t>
      </w:r>
      <w:r w:rsidR="00BF2DD6" w:rsidRPr="00E56BE0">
        <w:rPr>
          <w:rFonts w:ascii="Times New Roman" w:hAnsi="Times New Roman" w:cs="Times New Roman"/>
          <w:bCs/>
          <w:sz w:val="24"/>
          <w:szCs w:val="24"/>
        </w:rPr>
        <w:t xml:space="preserve"> even if they were sufficiently fit</w:t>
      </w:r>
      <w:r w:rsidRPr="00E56BE0">
        <w:rPr>
          <w:rFonts w:ascii="Times New Roman" w:hAnsi="Times New Roman" w:cs="Times New Roman"/>
          <w:bCs/>
          <w:sz w:val="24"/>
          <w:szCs w:val="24"/>
        </w:rPr>
        <w:t>.</w:t>
      </w:r>
    </w:p>
    <w:p w14:paraId="4BCC8612" w14:textId="5AE3F40E" w:rsidR="00EE2154" w:rsidRPr="00E56BE0" w:rsidRDefault="00235B35" w:rsidP="00187BA7">
      <w:pPr>
        <w:spacing w:line="480" w:lineRule="auto"/>
        <w:ind w:firstLine="720"/>
        <w:rPr>
          <w:rFonts w:ascii="Times New Roman" w:hAnsi="Times New Roman" w:cs="Times New Roman"/>
          <w:sz w:val="24"/>
          <w:szCs w:val="24"/>
        </w:rPr>
      </w:pPr>
      <w:r w:rsidRPr="00E56BE0">
        <w:rPr>
          <w:rFonts w:ascii="Times New Roman" w:hAnsi="Times New Roman" w:cs="Times New Roman"/>
          <w:sz w:val="24"/>
          <w:szCs w:val="24"/>
        </w:rPr>
        <w:t xml:space="preserve">Two-thirds of the </w:t>
      </w:r>
      <w:r w:rsidR="00187BA7">
        <w:rPr>
          <w:rFonts w:ascii="Times New Roman" w:hAnsi="Times New Roman" w:cs="Times New Roman"/>
          <w:sz w:val="24"/>
          <w:szCs w:val="24"/>
        </w:rPr>
        <w:t>respondents</w:t>
      </w:r>
      <w:r w:rsidRPr="00E56BE0">
        <w:rPr>
          <w:rFonts w:ascii="Times New Roman" w:hAnsi="Times New Roman" w:cs="Times New Roman"/>
          <w:sz w:val="24"/>
          <w:szCs w:val="24"/>
        </w:rPr>
        <w:t xml:space="preserve"> said that they treat</w:t>
      </w:r>
      <w:r w:rsidR="00187BA7">
        <w:rPr>
          <w:rFonts w:ascii="Times New Roman" w:hAnsi="Times New Roman" w:cs="Times New Roman"/>
          <w:sz w:val="24"/>
          <w:szCs w:val="24"/>
        </w:rPr>
        <w:t>ed</w:t>
      </w:r>
      <w:r w:rsidRPr="00E56BE0">
        <w:rPr>
          <w:rFonts w:ascii="Times New Roman" w:hAnsi="Times New Roman" w:cs="Times New Roman"/>
          <w:sz w:val="24"/>
          <w:szCs w:val="24"/>
        </w:rPr>
        <w:t xml:space="preserve"> more than 50% of their </w:t>
      </w:r>
      <w:proofErr w:type="gramStart"/>
      <w:r w:rsidRPr="00E56BE0">
        <w:rPr>
          <w:rFonts w:ascii="Times New Roman" w:hAnsi="Times New Roman" w:cs="Times New Roman"/>
          <w:sz w:val="24"/>
          <w:szCs w:val="24"/>
        </w:rPr>
        <w:t>newly-diagnosed</w:t>
      </w:r>
      <w:proofErr w:type="gramEnd"/>
      <w:r w:rsidRPr="00E56BE0">
        <w:rPr>
          <w:rFonts w:ascii="Times New Roman" w:hAnsi="Times New Roman" w:cs="Times New Roman"/>
          <w:sz w:val="24"/>
          <w:szCs w:val="24"/>
        </w:rPr>
        <w:t xml:space="preserve"> mHSPC patients with ADT and docetaxel</w:t>
      </w:r>
      <w:r w:rsidR="00967160">
        <w:rPr>
          <w:rFonts w:ascii="Times New Roman" w:hAnsi="Times New Roman" w:cs="Times New Roman"/>
          <w:sz w:val="24"/>
          <w:szCs w:val="24"/>
        </w:rPr>
        <w:t xml:space="preserve"> and a</w:t>
      </w:r>
      <w:r w:rsidR="0071658C" w:rsidRPr="00E56BE0">
        <w:rPr>
          <w:rFonts w:ascii="Times New Roman" w:hAnsi="Times New Roman" w:cs="Times New Roman"/>
          <w:sz w:val="24"/>
          <w:szCs w:val="24"/>
        </w:rPr>
        <w:t xml:space="preserve">ll stated that they would offer docetaxel to </w:t>
      </w:r>
      <w:r w:rsidRPr="00E56BE0">
        <w:rPr>
          <w:rFonts w:ascii="Times New Roman" w:hAnsi="Times New Roman" w:cs="Times New Roman"/>
          <w:sz w:val="24"/>
          <w:szCs w:val="24"/>
        </w:rPr>
        <w:t>such patients</w:t>
      </w:r>
      <w:r w:rsidR="0071658C" w:rsidRPr="00E56BE0">
        <w:rPr>
          <w:rFonts w:ascii="Times New Roman" w:hAnsi="Times New Roman" w:cs="Times New Roman"/>
          <w:sz w:val="24"/>
          <w:szCs w:val="24"/>
        </w:rPr>
        <w:t xml:space="preserve"> who are fit for chemotherapy. </w:t>
      </w:r>
      <w:r w:rsidR="00055C24">
        <w:rPr>
          <w:rFonts w:ascii="Times New Roman" w:hAnsi="Times New Roman" w:cs="Times New Roman"/>
          <w:sz w:val="24"/>
          <w:szCs w:val="24"/>
        </w:rPr>
        <w:t>Almost all (97.9%)</w:t>
      </w:r>
      <w:r w:rsidR="0071658C" w:rsidRPr="00E56BE0">
        <w:rPr>
          <w:rFonts w:ascii="Times New Roman" w:hAnsi="Times New Roman" w:cs="Times New Roman"/>
          <w:sz w:val="24"/>
          <w:szCs w:val="24"/>
        </w:rPr>
        <w:t xml:space="preserve"> would </w:t>
      </w:r>
      <w:r w:rsidR="00055C24">
        <w:rPr>
          <w:rFonts w:ascii="Times New Roman" w:hAnsi="Times New Roman" w:cs="Times New Roman"/>
          <w:sz w:val="24"/>
          <w:szCs w:val="24"/>
        </w:rPr>
        <w:t xml:space="preserve">highly or </w:t>
      </w:r>
      <w:r w:rsidR="0071658C" w:rsidRPr="00E56BE0">
        <w:rPr>
          <w:rFonts w:ascii="Times New Roman" w:hAnsi="Times New Roman" w:cs="Times New Roman"/>
          <w:sz w:val="24"/>
          <w:szCs w:val="24"/>
        </w:rPr>
        <w:t xml:space="preserve">strongly recommend docetaxel to </w:t>
      </w:r>
      <w:r w:rsidR="00BF2DD6" w:rsidRPr="00E56BE0">
        <w:rPr>
          <w:rFonts w:ascii="Times New Roman" w:hAnsi="Times New Roman" w:cs="Times New Roman"/>
          <w:sz w:val="24"/>
          <w:szCs w:val="24"/>
        </w:rPr>
        <w:t>these</w:t>
      </w:r>
      <w:r w:rsidR="0071658C" w:rsidRPr="00E56BE0">
        <w:rPr>
          <w:rFonts w:ascii="Times New Roman" w:hAnsi="Times New Roman" w:cs="Times New Roman"/>
          <w:sz w:val="24"/>
          <w:szCs w:val="24"/>
        </w:rPr>
        <w:t xml:space="preserve"> patients </w:t>
      </w:r>
      <w:r w:rsidR="00BF2DD6" w:rsidRPr="00E56BE0">
        <w:rPr>
          <w:rFonts w:ascii="Times New Roman" w:hAnsi="Times New Roman" w:cs="Times New Roman"/>
          <w:sz w:val="24"/>
          <w:szCs w:val="24"/>
        </w:rPr>
        <w:t xml:space="preserve">who have </w:t>
      </w:r>
      <w:r w:rsidR="0071658C" w:rsidRPr="00E56BE0">
        <w:rPr>
          <w:rFonts w:ascii="Times New Roman" w:hAnsi="Times New Roman" w:cs="Times New Roman"/>
          <w:sz w:val="24"/>
          <w:szCs w:val="24"/>
        </w:rPr>
        <w:t xml:space="preserve">high-volume disease </w:t>
      </w:r>
      <w:r w:rsidR="00055C24">
        <w:rPr>
          <w:rFonts w:ascii="Times New Roman" w:hAnsi="Times New Roman" w:cs="Times New Roman"/>
          <w:sz w:val="24"/>
          <w:szCs w:val="24"/>
        </w:rPr>
        <w:t>but</w:t>
      </w:r>
      <w:r w:rsidR="0071658C" w:rsidRPr="00E56BE0">
        <w:rPr>
          <w:rFonts w:ascii="Times New Roman" w:hAnsi="Times New Roman" w:cs="Times New Roman"/>
          <w:sz w:val="24"/>
          <w:szCs w:val="24"/>
        </w:rPr>
        <w:t xml:space="preserve"> </w:t>
      </w:r>
      <w:r w:rsidR="00967160">
        <w:rPr>
          <w:rFonts w:ascii="Times New Roman" w:hAnsi="Times New Roman" w:cs="Times New Roman"/>
          <w:sz w:val="24"/>
          <w:szCs w:val="24"/>
        </w:rPr>
        <w:t xml:space="preserve">this </w:t>
      </w:r>
      <w:r w:rsidR="0071658C" w:rsidRPr="00E56BE0">
        <w:rPr>
          <w:rFonts w:ascii="Times New Roman" w:hAnsi="Times New Roman" w:cs="Times New Roman"/>
          <w:sz w:val="24"/>
          <w:szCs w:val="24"/>
        </w:rPr>
        <w:t xml:space="preserve">decreased to </w:t>
      </w:r>
      <w:r w:rsidR="00055C24">
        <w:rPr>
          <w:rFonts w:ascii="Times New Roman" w:hAnsi="Times New Roman" w:cs="Times New Roman"/>
          <w:sz w:val="24"/>
          <w:szCs w:val="24"/>
        </w:rPr>
        <w:t>62.1%</w:t>
      </w:r>
      <w:r w:rsidR="0071658C" w:rsidRPr="00E56BE0">
        <w:rPr>
          <w:rFonts w:ascii="Times New Roman" w:hAnsi="Times New Roman" w:cs="Times New Roman"/>
          <w:sz w:val="24"/>
          <w:szCs w:val="24"/>
        </w:rPr>
        <w:t xml:space="preserve"> for patients with low-volume disease</w:t>
      </w:r>
      <w:r w:rsidR="00BF2DD6" w:rsidRPr="00E56BE0">
        <w:rPr>
          <w:rFonts w:ascii="Times New Roman" w:hAnsi="Times New Roman" w:cs="Times New Roman"/>
          <w:sz w:val="24"/>
          <w:szCs w:val="24"/>
        </w:rPr>
        <w:t xml:space="preserve"> (Figure 1)</w:t>
      </w:r>
      <w:r w:rsidR="00967160">
        <w:rPr>
          <w:rFonts w:ascii="Times New Roman" w:hAnsi="Times New Roman" w:cs="Times New Roman"/>
          <w:sz w:val="24"/>
          <w:szCs w:val="24"/>
        </w:rPr>
        <w:t>, and f</w:t>
      </w:r>
      <w:r w:rsidR="00055C24">
        <w:rPr>
          <w:rFonts w:ascii="Times New Roman" w:hAnsi="Times New Roman" w:cs="Times New Roman"/>
          <w:sz w:val="24"/>
          <w:szCs w:val="24"/>
        </w:rPr>
        <w:t>ewer than 5%</w:t>
      </w:r>
      <w:r w:rsidR="0071658C" w:rsidRPr="00E56BE0">
        <w:rPr>
          <w:rFonts w:ascii="Times New Roman" w:hAnsi="Times New Roman" w:cs="Times New Roman"/>
          <w:sz w:val="24"/>
          <w:szCs w:val="24"/>
        </w:rPr>
        <w:t xml:space="preserve"> would strongly recommend against docetaxel treatment for </w:t>
      </w:r>
      <w:r w:rsidR="00967160">
        <w:rPr>
          <w:rFonts w:ascii="Times New Roman" w:hAnsi="Times New Roman" w:cs="Times New Roman"/>
          <w:sz w:val="24"/>
          <w:szCs w:val="24"/>
        </w:rPr>
        <w:t>this group</w:t>
      </w:r>
      <w:r w:rsidR="0071658C" w:rsidRPr="00E56BE0">
        <w:rPr>
          <w:rFonts w:ascii="Times New Roman" w:hAnsi="Times New Roman" w:cs="Times New Roman"/>
          <w:sz w:val="24"/>
          <w:szCs w:val="24"/>
        </w:rPr>
        <w:t xml:space="preserve">. </w:t>
      </w:r>
      <w:r w:rsidR="00EE2154" w:rsidRPr="00E56BE0">
        <w:rPr>
          <w:rFonts w:ascii="Times New Roman" w:hAnsi="Times New Roman" w:cs="Times New Roman"/>
          <w:sz w:val="24"/>
          <w:szCs w:val="24"/>
        </w:rPr>
        <w:t xml:space="preserve">Regarding the </w:t>
      </w:r>
      <w:r w:rsidR="00EE2154" w:rsidRPr="00E56BE0">
        <w:rPr>
          <w:rFonts w:ascii="Times New Roman" w:hAnsi="Times New Roman" w:cs="Times New Roman"/>
          <w:sz w:val="24"/>
          <w:szCs w:val="24"/>
        </w:rPr>
        <w:lastRenderedPageBreak/>
        <w:t xml:space="preserve">prescription of docetaxel, although more than 70% of respondents had access to a pharmacy or nurse prescriber, in 85% of cases these were used </w:t>
      </w:r>
      <w:r w:rsidR="004C6C15">
        <w:rPr>
          <w:rFonts w:ascii="Times New Roman" w:hAnsi="Times New Roman" w:cs="Times New Roman"/>
          <w:sz w:val="24"/>
          <w:szCs w:val="24"/>
        </w:rPr>
        <w:t>for</w:t>
      </w:r>
      <w:r w:rsidR="00EE2154" w:rsidRPr="00E56BE0">
        <w:rPr>
          <w:rFonts w:ascii="Times New Roman" w:hAnsi="Times New Roman" w:cs="Times New Roman"/>
          <w:sz w:val="24"/>
          <w:szCs w:val="24"/>
        </w:rPr>
        <w:t xml:space="preserve"> fewer than 25% of patients. </w:t>
      </w:r>
    </w:p>
    <w:p w14:paraId="43278A68" w14:textId="26FF4AEA" w:rsidR="00235B35" w:rsidRPr="00E56BE0" w:rsidRDefault="00235B35" w:rsidP="00187BA7">
      <w:pPr>
        <w:spacing w:line="480" w:lineRule="auto"/>
        <w:ind w:firstLine="720"/>
        <w:rPr>
          <w:rFonts w:ascii="Times New Roman" w:hAnsi="Times New Roman" w:cs="Times New Roman"/>
          <w:bCs/>
          <w:sz w:val="24"/>
          <w:szCs w:val="24"/>
        </w:rPr>
      </w:pPr>
      <w:r w:rsidRPr="00E56BE0">
        <w:rPr>
          <w:rFonts w:ascii="Times New Roman" w:hAnsi="Times New Roman" w:cs="Times New Roman"/>
          <w:sz w:val="24"/>
          <w:szCs w:val="24"/>
        </w:rPr>
        <w:t xml:space="preserve">There was a wide range of opinion regarding imaging after </w:t>
      </w:r>
      <w:r w:rsidR="00187BA7">
        <w:rPr>
          <w:rFonts w:ascii="Times New Roman" w:hAnsi="Times New Roman" w:cs="Times New Roman"/>
          <w:sz w:val="24"/>
          <w:szCs w:val="24"/>
        </w:rPr>
        <w:t xml:space="preserve">completion of </w:t>
      </w:r>
      <w:r w:rsidRPr="00E56BE0">
        <w:rPr>
          <w:rFonts w:ascii="Times New Roman" w:hAnsi="Times New Roman" w:cs="Times New Roman"/>
          <w:sz w:val="24"/>
          <w:szCs w:val="24"/>
        </w:rPr>
        <w:t>docetaxel</w:t>
      </w:r>
      <w:r w:rsidR="00187BA7">
        <w:rPr>
          <w:rFonts w:ascii="Times New Roman" w:hAnsi="Times New Roman" w:cs="Times New Roman"/>
          <w:sz w:val="24"/>
          <w:szCs w:val="24"/>
        </w:rPr>
        <w:t xml:space="preserve"> treatment</w:t>
      </w:r>
      <w:r w:rsidRPr="00E56BE0">
        <w:rPr>
          <w:rFonts w:ascii="Times New Roman" w:hAnsi="Times New Roman" w:cs="Times New Roman"/>
          <w:sz w:val="24"/>
          <w:szCs w:val="24"/>
        </w:rPr>
        <w:t xml:space="preserve">: </w:t>
      </w:r>
      <w:r w:rsidR="00485CE5">
        <w:rPr>
          <w:rFonts w:ascii="Times New Roman" w:hAnsi="Times New Roman" w:cs="Times New Roman"/>
          <w:sz w:val="24"/>
          <w:szCs w:val="24"/>
        </w:rPr>
        <w:t>47</w:t>
      </w:r>
      <w:r w:rsidRPr="00E56BE0">
        <w:rPr>
          <w:rFonts w:ascii="Times New Roman" w:hAnsi="Times New Roman" w:cs="Times New Roman"/>
          <w:sz w:val="24"/>
          <w:szCs w:val="24"/>
        </w:rPr>
        <w:t xml:space="preserve">% </w:t>
      </w:r>
      <w:r w:rsidR="00485CE5">
        <w:rPr>
          <w:rFonts w:ascii="Times New Roman" w:hAnsi="Times New Roman" w:cs="Times New Roman"/>
          <w:sz w:val="24"/>
          <w:szCs w:val="24"/>
        </w:rPr>
        <w:t xml:space="preserve">highly or </w:t>
      </w:r>
      <w:r w:rsidRPr="00E56BE0">
        <w:rPr>
          <w:rFonts w:ascii="Times New Roman" w:hAnsi="Times New Roman" w:cs="Times New Roman"/>
          <w:sz w:val="24"/>
          <w:szCs w:val="24"/>
        </w:rPr>
        <w:t xml:space="preserve">strongly </w:t>
      </w:r>
      <w:r w:rsidR="00485CE5">
        <w:rPr>
          <w:rFonts w:ascii="Times New Roman" w:hAnsi="Times New Roman" w:cs="Times New Roman"/>
          <w:sz w:val="24"/>
          <w:szCs w:val="24"/>
        </w:rPr>
        <w:t>recommended</w:t>
      </w:r>
      <w:r w:rsidRPr="00E56BE0">
        <w:rPr>
          <w:rFonts w:ascii="Times New Roman" w:hAnsi="Times New Roman" w:cs="Times New Roman"/>
          <w:sz w:val="24"/>
          <w:szCs w:val="24"/>
        </w:rPr>
        <w:t xml:space="preserve"> imaging at this point (estimated </w:t>
      </w:r>
      <w:r w:rsidR="00187BA7">
        <w:rPr>
          <w:rFonts w:ascii="Times New Roman" w:hAnsi="Times New Roman" w:cs="Times New Roman"/>
          <w:sz w:val="24"/>
          <w:szCs w:val="24"/>
        </w:rPr>
        <w:t>prostate-specific antigen [</w:t>
      </w:r>
      <w:r w:rsidRPr="00E56BE0">
        <w:rPr>
          <w:rFonts w:ascii="Times New Roman" w:hAnsi="Times New Roman" w:cs="Times New Roman"/>
          <w:sz w:val="24"/>
          <w:szCs w:val="24"/>
        </w:rPr>
        <w:t>PSA</w:t>
      </w:r>
      <w:r w:rsidR="00187BA7">
        <w:rPr>
          <w:rFonts w:ascii="Times New Roman" w:hAnsi="Times New Roman" w:cs="Times New Roman"/>
          <w:sz w:val="24"/>
          <w:szCs w:val="24"/>
        </w:rPr>
        <w:t>]</w:t>
      </w:r>
      <w:r w:rsidRPr="00E56BE0">
        <w:rPr>
          <w:rFonts w:ascii="Times New Roman" w:hAnsi="Times New Roman" w:cs="Times New Roman"/>
          <w:sz w:val="24"/>
          <w:szCs w:val="24"/>
        </w:rPr>
        <w:t xml:space="preserve"> nadir); </w:t>
      </w:r>
      <w:r w:rsidR="00507DE9">
        <w:rPr>
          <w:rFonts w:ascii="Times New Roman" w:hAnsi="Times New Roman" w:cs="Times New Roman"/>
          <w:sz w:val="24"/>
          <w:szCs w:val="24"/>
        </w:rPr>
        <w:t>28%</w:t>
      </w:r>
      <w:r w:rsidRPr="00E56BE0">
        <w:rPr>
          <w:rFonts w:ascii="Times New Roman" w:hAnsi="Times New Roman" w:cs="Times New Roman"/>
          <w:sz w:val="24"/>
          <w:szCs w:val="24"/>
        </w:rPr>
        <w:t xml:space="preserve"> </w:t>
      </w:r>
      <w:r w:rsidR="00507DE9">
        <w:rPr>
          <w:rFonts w:ascii="Times New Roman" w:hAnsi="Times New Roman" w:cs="Times New Roman"/>
          <w:sz w:val="24"/>
          <w:szCs w:val="24"/>
        </w:rPr>
        <w:t xml:space="preserve">rarely or </w:t>
      </w:r>
      <w:r w:rsidRPr="00E56BE0">
        <w:rPr>
          <w:rFonts w:ascii="Times New Roman" w:hAnsi="Times New Roman" w:cs="Times New Roman"/>
          <w:sz w:val="24"/>
          <w:szCs w:val="24"/>
        </w:rPr>
        <w:t>d</w:t>
      </w:r>
      <w:r w:rsidR="0076326B">
        <w:rPr>
          <w:rFonts w:ascii="Times New Roman" w:hAnsi="Times New Roman" w:cs="Times New Roman"/>
          <w:sz w:val="24"/>
          <w:szCs w:val="24"/>
        </w:rPr>
        <w:t>id</w:t>
      </w:r>
      <w:r w:rsidRPr="00E56BE0">
        <w:rPr>
          <w:rFonts w:ascii="Times New Roman" w:hAnsi="Times New Roman" w:cs="Times New Roman"/>
          <w:sz w:val="24"/>
          <w:szCs w:val="24"/>
        </w:rPr>
        <w:t xml:space="preserve"> not </w:t>
      </w:r>
      <w:r w:rsidR="00507DE9">
        <w:rPr>
          <w:rFonts w:ascii="Times New Roman" w:hAnsi="Times New Roman" w:cs="Times New Roman"/>
          <w:sz w:val="24"/>
          <w:szCs w:val="24"/>
        </w:rPr>
        <w:t xml:space="preserve">at all </w:t>
      </w:r>
      <w:r w:rsidRPr="00E56BE0">
        <w:rPr>
          <w:rFonts w:ascii="Times New Roman" w:hAnsi="Times New Roman" w:cs="Times New Roman"/>
          <w:sz w:val="24"/>
          <w:szCs w:val="24"/>
        </w:rPr>
        <w:t xml:space="preserve">routinely scan their patients. With respect to </w:t>
      </w:r>
      <w:r w:rsidR="0076326B">
        <w:rPr>
          <w:rFonts w:ascii="Times New Roman" w:hAnsi="Times New Roman" w:cs="Times New Roman"/>
          <w:sz w:val="24"/>
          <w:szCs w:val="24"/>
        </w:rPr>
        <w:t>further</w:t>
      </w:r>
      <w:r w:rsidRPr="00E56BE0">
        <w:rPr>
          <w:rFonts w:ascii="Times New Roman" w:hAnsi="Times New Roman" w:cs="Times New Roman"/>
          <w:sz w:val="24"/>
          <w:szCs w:val="24"/>
        </w:rPr>
        <w:t xml:space="preserve"> imaging after completion of docetaxel treatment, the majority (82%) stated that this would be guided by clinical or biochemical progression rather than fixed points in time.</w:t>
      </w:r>
    </w:p>
    <w:p w14:paraId="35C60EA6" w14:textId="13A9F803" w:rsidR="00896CC9" w:rsidRPr="00E56BE0" w:rsidRDefault="0076326B" w:rsidP="0076326B">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A total of </w:t>
      </w:r>
      <w:r w:rsidR="00055C24">
        <w:rPr>
          <w:rFonts w:ascii="Times New Roman" w:hAnsi="Times New Roman" w:cs="Times New Roman"/>
          <w:sz w:val="24"/>
          <w:szCs w:val="24"/>
        </w:rPr>
        <w:t>78.9</w:t>
      </w:r>
      <w:r w:rsidR="0071658C" w:rsidRPr="00E56BE0">
        <w:rPr>
          <w:rFonts w:ascii="Times New Roman" w:hAnsi="Times New Roman" w:cs="Times New Roman"/>
          <w:sz w:val="24"/>
          <w:szCs w:val="24"/>
        </w:rPr>
        <w:t xml:space="preserve">% </w:t>
      </w:r>
      <w:r>
        <w:rPr>
          <w:rFonts w:ascii="Times New Roman" w:hAnsi="Times New Roman" w:cs="Times New Roman"/>
          <w:sz w:val="24"/>
          <w:szCs w:val="24"/>
        </w:rPr>
        <w:t xml:space="preserve">of respondents </w:t>
      </w:r>
      <w:r w:rsidR="0071658C" w:rsidRPr="00E56BE0">
        <w:rPr>
          <w:rFonts w:ascii="Times New Roman" w:hAnsi="Times New Roman" w:cs="Times New Roman"/>
          <w:sz w:val="24"/>
          <w:szCs w:val="24"/>
        </w:rPr>
        <w:t xml:space="preserve">would </w:t>
      </w:r>
      <w:r w:rsidR="00055C24">
        <w:rPr>
          <w:rFonts w:ascii="Times New Roman" w:hAnsi="Times New Roman" w:cs="Times New Roman"/>
          <w:sz w:val="24"/>
          <w:szCs w:val="24"/>
        </w:rPr>
        <w:t xml:space="preserve">highly or </w:t>
      </w:r>
      <w:r w:rsidR="0071658C" w:rsidRPr="00E56BE0">
        <w:rPr>
          <w:rFonts w:ascii="Times New Roman" w:hAnsi="Times New Roman" w:cs="Times New Roman"/>
          <w:sz w:val="24"/>
          <w:szCs w:val="24"/>
        </w:rPr>
        <w:t xml:space="preserve">strongly recommend an ARTA in combination with ADT in patients with high-risk </w:t>
      </w:r>
      <w:r w:rsidR="00CF2924">
        <w:rPr>
          <w:rFonts w:ascii="Times New Roman" w:hAnsi="Times New Roman" w:cs="Times New Roman"/>
          <w:sz w:val="24"/>
          <w:szCs w:val="24"/>
        </w:rPr>
        <w:t>newly-diagnosed mHSPC</w:t>
      </w:r>
      <w:r w:rsidR="0071658C" w:rsidRPr="00E56BE0">
        <w:rPr>
          <w:rFonts w:ascii="Times New Roman" w:hAnsi="Times New Roman" w:cs="Times New Roman"/>
          <w:sz w:val="24"/>
          <w:szCs w:val="24"/>
        </w:rPr>
        <w:t xml:space="preserve"> </w:t>
      </w:r>
      <w:r w:rsidR="00ED694D">
        <w:rPr>
          <w:rFonts w:ascii="Times New Roman" w:hAnsi="Times New Roman" w:cs="Times New Roman"/>
          <w:sz w:val="24"/>
          <w:szCs w:val="24"/>
        </w:rPr>
        <w:t xml:space="preserve">if this </w:t>
      </w:r>
      <w:r w:rsidR="004C6C15">
        <w:rPr>
          <w:rFonts w:ascii="Times New Roman" w:hAnsi="Times New Roman" w:cs="Times New Roman"/>
          <w:sz w:val="24"/>
          <w:szCs w:val="24"/>
        </w:rPr>
        <w:t xml:space="preserve">option </w:t>
      </w:r>
      <w:r w:rsidR="00ED694D">
        <w:rPr>
          <w:rFonts w:ascii="Times New Roman" w:hAnsi="Times New Roman" w:cs="Times New Roman"/>
          <w:sz w:val="24"/>
          <w:szCs w:val="24"/>
        </w:rPr>
        <w:t xml:space="preserve">was available </w:t>
      </w:r>
      <w:r w:rsidR="0071658C" w:rsidRPr="00E56BE0">
        <w:rPr>
          <w:rFonts w:ascii="Times New Roman" w:hAnsi="Times New Roman" w:cs="Times New Roman"/>
          <w:sz w:val="24"/>
          <w:szCs w:val="24"/>
        </w:rPr>
        <w:t xml:space="preserve">and </w:t>
      </w:r>
      <w:r w:rsidR="00055C24">
        <w:rPr>
          <w:rFonts w:ascii="Times New Roman" w:hAnsi="Times New Roman" w:cs="Times New Roman"/>
          <w:sz w:val="24"/>
          <w:szCs w:val="24"/>
        </w:rPr>
        <w:t>70.0</w:t>
      </w:r>
      <w:r w:rsidR="0071658C" w:rsidRPr="00E56BE0">
        <w:rPr>
          <w:rFonts w:ascii="Times New Roman" w:hAnsi="Times New Roman" w:cs="Times New Roman"/>
          <w:sz w:val="24"/>
          <w:szCs w:val="24"/>
        </w:rPr>
        <w:t xml:space="preserve">% </w:t>
      </w:r>
      <w:r w:rsidR="00ED694D">
        <w:rPr>
          <w:rFonts w:ascii="Times New Roman" w:hAnsi="Times New Roman" w:cs="Times New Roman"/>
          <w:sz w:val="24"/>
          <w:szCs w:val="24"/>
        </w:rPr>
        <w:t xml:space="preserve">would </w:t>
      </w:r>
      <w:r w:rsidR="00C12222">
        <w:rPr>
          <w:rFonts w:ascii="Times New Roman" w:hAnsi="Times New Roman" w:cs="Times New Roman"/>
          <w:sz w:val="24"/>
          <w:szCs w:val="24"/>
        </w:rPr>
        <w:t xml:space="preserve">highly or strongly </w:t>
      </w:r>
      <w:r w:rsidR="00ED694D">
        <w:rPr>
          <w:rFonts w:ascii="Times New Roman" w:hAnsi="Times New Roman" w:cs="Times New Roman"/>
          <w:sz w:val="24"/>
          <w:szCs w:val="24"/>
        </w:rPr>
        <w:t xml:space="preserve">recommend </w:t>
      </w:r>
      <w:r w:rsidR="00C12222">
        <w:rPr>
          <w:rFonts w:ascii="Times New Roman" w:hAnsi="Times New Roman" w:cs="Times New Roman"/>
          <w:sz w:val="24"/>
          <w:szCs w:val="24"/>
        </w:rPr>
        <w:t>in</w:t>
      </w:r>
      <w:r w:rsidR="0071658C" w:rsidRPr="00E56BE0">
        <w:rPr>
          <w:rFonts w:ascii="Times New Roman" w:hAnsi="Times New Roman" w:cs="Times New Roman"/>
          <w:sz w:val="24"/>
          <w:szCs w:val="24"/>
        </w:rPr>
        <w:t xml:space="preserve"> patients with low-risk disease if there were no restrictions to their use</w:t>
      </w:r>
      <w:r w:rsidR="00235B35" w:rsidRPr="00E56BE0">
        <w:rPr>
          <w:rFonts w:ascii="Times New Roman" w:hAnsi="Times New Roman" w:cs="Times New Roman"/>
          <w:sz w:val="24"/>
          <w:szCs w:val="24"/>
        </w:rPr>
        <w:t xml:space="preserve"> (Figure 2)</w:t>
      </w:r>
      <w:r w:rsidR="0071658C" w:rsidRPr="00E56BE0">
        <w:rPr>
          <w:rFonts w:ascii="Times New Roman" w:hAnsi="Times New Roman" w:cs="Times New Roman"/>
          <w:sz w:val="24"/>
          <w:szCs w:val="24"/>
        </w:rPr>
        <w:t>. Abiraterone was the most frequent choice of ARTA (57%) followed by enzalutamide (34%).</w:t>
      </w:r>
      <w:r w:rsidR="007D219F" w:rsidRPr="00E56BE0">
        <w:rPr>
          <w:rFonts w:ascii="Times New Roman" w:hAnsi="Times New Roman" w:cs="Times New Roman"/>
          <w:sz w:val="24"/>
          <w:szCs w:val="24"/>
        </w:rPr>
        <w:t xml:space="preserve"> </w:t>
      </w:r>
      <w:r w:rsidR="0071658C" w:rsidRPr="00E56BE0">
        <w:rPr>
          <w:rFonts w:ascii="Times New Roman" w:hAnsi="Times New Roman" w:cs="Times New Roman"/>
          <w:sz w:val="24"/>
          <w:szCs w:val="24"/>
        </w:rPr>
        <w:t xml:space="preserve">Approximately 59% of </w:t>
      </w:r>
      <w:r w:rsidR="00CF2924">
        <w:rPr>
          <w:rFonts w:ascii="Times New Roman" w:hAnsi="Times New Roman" w:cs="Times New Roman"/>
          <w:sz w:val="24"/>
          <w:szCs w:val="24"/>
        </w:rPr>
        <w:t>those surveyed</w:t>
      </w:r>
      <w:r w:rsidR="0071658C" w:rsidRPr="00E56BE0">
        <w:rPr>
          <w:rFonts w:ascii="Times New Roman" w:hAnsi="Times New Roman" w:cs="Times New Roman"/>
          <w:sz w:val="24"/>
          <w:szCs w:val="24"/>
        </w:rPr>
        <w:t xml:space="preserve"> scan</w:t>
      </w:r>
      <w:r w:rsidR="00CF2924">
        <w:rPr>
          <w:rFonts w:ascii="Times New Roman" w:hAnsi="Times New Roman" w:cs="Times New Roman"/>
          <w:sz w:val="24"/>
          <w:szCs w:val="24"/>
        </w:rPr>
        <w:t>ned</w:t>
      </w:r>
      <w:r w:rsidR="0071658C" w:rsidRPr="00E56BE0">
        <w:rPr>
          <w:rFonts w:ascii="Times New Roman" w:hAnsi="Times New Roman" w:cs="Times New Roman"/>
          <w:sz w:val="24"/>
          <w:szCs w:val="24"/>
        </w:rPr>
        <w:t xml:space="preserve"> at PSA nadir during ARTA treatment</w:t>
      </w:r>
      <w:r w:rsidR="00CF2924">
        <w:rPr>
          <w:rFonts w:ascii="Times New Roman" w:hAnsi="Times New Roman" w:cs="Times New Roman"/>
          <w:sz w:val="24"/>
          <w:szCs w:val="24"/>
        </w:rPr>
        <w:t xml:space="preserve"> and </w:t>
      </w:r>
      <w:r w:rsidR="00CF2924" w:rsidRPr="00E56BE0">
        <w:rPr>
          <w:rFonts w:ascii="Times New Roman" w:hAnsi="Times New Roman" w:cs="Times New Roman"/>
          <w:sz w:val="24"/>
          <w:szCs w:val="24"/>
        </w:rPr>
        <w:t xml:space="preserve">77% </w:t>
      </w:r>
      <w:r w:rsidR="00CF2924">
        <w:rPr>
          <w:rFonts w:ascii="Times New Roman" w:hAnsi="Times New Roman" w:cs="Times New Roman"/>
          <w:sz w:val="24"/>
          <w:szCs w:val="24"/>
        </w:rPr>
        <w:t xml:space="preserve">would scan again </w:t>
      </w:r>
      <w:r w:rsidR="00CF2924" w:rsidRPr="00E56BE0">
        <w:rPr>
          <w:rFonts w:ascii="Times New Roman" w:hAnsi="Times New Roman" w:cs="Times New Roman"/>
          <w:sz w:val="24"/>
          <w:szCs w:val="24"/>
        </w:rPr>
        <w:t>only on suspicion of clinical or biochemical progression</w:t>
      </w:r>
      <w:r w:rsidR="00CF2924">
        <w:rPr>
          <w:rFonts w:ascii="Times New Roman" w:hAnsi="Times New Roman" w:cs="Times New Roman"/>
          <w:sz w:val="24"/>
          <w:szCs w:val="24"/>
        </w:rPr>
        <w:t>.</w:t>
      </w:r>
      <w:r w:rsidR="0071658C" w:rsidRPr="00E56BE0">
        <w:rPr>
          <w:rFonts w:ascii="Times New Roman" w:hAnsi="Times New Roman" w:cs="Times New Roman"/>
          <w:sz w:val="24"/>
          <w:szCs w:val="24"/>
        </w:rPr>
        <w:t xml:space="preserve"> </w:t>
      </w:r>
    </w:p>
    <w:p w14:paraId="1E93053E" w14:textId="309754FC" w:rsidR="00031AE6" w:rsidRPr="00E56BE0" w:rsidRDefault="007D219F" w:rsidP="00CF2924">
      <w:pPr>
        <w:spacing w:line="480" w:lineRule="auto"/>
        <w:ind w:firstLine="720"/>
        <w:rPr>
          <w:rFonts w:ascii="Times New Roman" w:hAnsi="Times New Roman" w:cs="Times New Roman"/>
          <w:sz w:val="24"/>
          <w:szCs w:val="24"/>
        </w:rPr>
      </w:pPr>
      <w:r w:rsidRPr="00E56BE0">
        <w:rPr>
          <w:rFonts w:ascii="Times New Roman" w:hAnsi="Times New Roman" w:cs="Times New Roman"/>
          <w:sz w:val="24"/>
          <w:szCs w:val="24"/>
        </w:rPr>
        <w:t xml:space="preserve">The uro-oncologists were then asked specific questions regarding treatment decisions </w:t>
      </w:r>
      <w:r w:rsidR="00ED694D">
        <w:rPr>
          <w:rFonts w:ascii="Times New Roman" w:hAnsi="Times New Roman" w:cs="Times New Roman"/>
          <w:sz w:val="24"/>
          <w:szCs w:val="24"/>
        </w:rPr>
        <w:t>if docetaxel and ARTA</w:t>
      </w:r>
      <w:r w:rsidR="004C6C15">
        <w:rPr>
          <w:rFonts w:ascii="Times New Roman" w:hAnsi="Times New Roman" w:cs="Times New Roman"/>
          <w:sz w:val="24"/>
          <w:szCs w:val="24"/>
        </w:rPr>
        <w:t>s</w:t>
      </w:r>
      <w:r w:rsidR="00ED694D">
        <w:rPr>
          <w:rFonts w:ascii="Times New Roman" w:hAnsi="Times New Roman" w:cs="Times New Roman"/>
          <w:sz w:val="24"/>
          <w:szCs w:val="24"/>
        </w:rPr>
        <w:t xml:space="preserve"> were </w:t>
      </w:r>
      <w:r w:rsidR="004C6C15">
        <w:rPr>
          <w:rFonts w:ascii="Times New Roman" w:hAnsi="Times New Roman" w:cs="Times New Roman"/>
          <w:sz w:val="24"/>
          <w:szCs w:val="24"/>
        </w:rPr>
        <w:t xml:space="preserve">both </w:t>
      </w:r>
      <w:r w:rsidR="00ED694D">
        <w:rPr>
          <w:rFonts w:ascii="Times New Roman" w:hAnsi="Times New Roman" w:cs="Times New Roman"/>
          <w:sz w:val="24"/>
          <w:szCs w:val="24"/>
        </w:rPr>
        <w:t xml:space="preserve">available, </w:t>
      </w:r>
      <w:r w:rsidRPr="00E56BE0">
        <w:rPr>
          <w:rFonts w:ascii="Times New Roman" w:hAnsi="Times New Roman" w:cs="Times New Roman"/>
          <w:sz w:val="24"/>
          <w:szCs w:val="24"/>
        </w:rPr>
        <w:t>in the context of the type and extent of metastases</w:t>
      </w:r>
      <w:r w:rsidR="00F60B9A">
        <w:rPr>
          <w:rFonts w:ascii="Times New Roman" w:hAnsi="Times New Roman" w:cs="Times New Roman"/>
          <w:sz w:val="24"/>
          <w:szCs w:val="24"/>
        </w:rPr>
        <w:t xml:space="preserve"> (Table 2)</w:t>
      </w:r>
      <w:r w:rsidRPr="00E56BE0">
        <w:rPr>
          <w:rFonts w:ascii="Times New Roman" w:hAnsi="Times New Roman" w:cs="Times New Roman"/>
          <w:sz w:val="24"/>
          <w:szCs w:val="24"/>
        </w:rPr>
        <w:t xml:space="preserve">. With regards to patients with liver metastases, </w:t>
      </w:r>
      <w:r w:rsidR="0070566E">
        <w:rPr>
          <w:rFonts w:ascii="Times New Roman" w:hAnsi="Times New Roman" w:cs="Times New Roman"/>
          <w:sz w:val="24"/>
          <w:szCs w:val="24"/>
        </w:rPr>
        <w:t>88.7</w:t>
      </w:r>
      <w:r w:rsidRPr="00E56BE0">
        <w:rPr>
          <w:rFonts w:ascii="Times New Roman" w:hAnsi="Times New Roman" w:cs="Times New Roman"/>
          <w:sz w:val="24"/>
          <w:szCs w:val="24"/>
        </w:rPr>
        <w:t>% would be highly likely to recommend treatment with docetaxel, compared with ART</w:t>
      </w:r>
      <w:r w:rsidR="00F60B9A">
        <w:rPr>
          <w:rFonts w:ascii="Times New Roman" w:hAnsi="Times New Roman" w:cs="Times New Roman"/>
          <w:sz w:val="24"/>
          <w:szCs w:val="24"/>
        </w:rPr>
        <w:t>A</w:t>
      </w:r>
      <w:r w:rsidRPr="00E56BE0">
        <w:rPr>
          <w:rFonts w:ascii="Times New Roman" w:hAnsi="Times New Roman" w:cs="Times New Roman"/>
          <w:sz w:val="24"/>
          <w:szCs w:val="24"/>
        </w:rPr>
        <w:t xml:space="preserve"> recommendation in only </w:t>
      </w:r>
      <w:r w:rsidR="0070566E">
        <w:rPr>
          <w:rFonts w:ascii="Times New Roman" w:hAnsi="Times New Roman" w:cs="Times New Roman"/>
          <w:sz w:val="24"/>
          <w:szCs w:val="24"/>
        </w:rPr>
        <w:t>23.9%</w:t>
      </w:r>
      <w:r w:rsidRPr="00E56BE0">
        <w:rPr>
          <w:rFonts w:ascii="Times New Roman" w:hAnsi="Times New Roman" w:cs="Times New Roman"/>
          <w:sz w:val="24"/>
          <w:szCs w:val="24"/>
        </w:rPr>
        <w:t xml:space="preserve"> of such patients. </w:t>
      </w:r>
      <w:r w:rsidR="0070566E">
        <w:rPr>
          <w:rFonts w:ascii="Times New Roman" w:hAnsi="Times New Roman" w:cs="Times New Roman"/>
          <w:sz w:val="24"/>
          <w:szCs w:val="24"/>
        </w:rPr>
        <w:t xml:space="preserve">Approximately three-quarters </w:t>
      </w:r>
      <w:r w:rsidRPr="00E56BE0">
        <w:rPr>
          <w:rFonts w:ascii="Times New Roman" w:hAnsi="Times New Roman" w:cs="Times New Roman"/>
          <w:sz w:val="24"/>
          <w:szCs w:val="24"/>
        </w:rPr>
        <w:t xml:space="preserve">of respondents stated that for their patients with lung metastases they </w:t>
      </w:r>
      <w:r w:rsidR="0070566E">
        <w:rPr>
          <w:rFonts w:ascii="Times New Roman" w:hAnsi="Times New Roman" w:cs="Times New Roman"/>
          <w:sz w:val="24"/>
          <w:szCs w:val="24"/>
        </w:rPr>
        <w:t>would</w:t>
      </w:r>
      <w:r w:rsidRPr="00E56BE0">
        <w:rPr>
          <w:rFonts w:ascii="Times New Roman" w:hAnsi="Times New Roman" w:cs="Times New Roman"/>
          <w:sz w:val="24"/>
          <w:szCs w:val="24"/>
        </w:rPr>
        <w:t xml:space="preserve"> highly recommend docetaxel </w:t>
      </w:r>
      <w:r w:rsidR="0070566E">
        <w:rPr>
          <w:rFonts w:ascii="Times New Roman" w:hAnsi="Times New Roman" w:cs="Times New Roman"/>
          <w:sz w:val="24"/>
          <w:szCs w:val="24"/>
        </w:rPr>
        <w:t>but an</w:t>
      </w:r>
      <w:r w:rsidRPr="00E56BE0">
        <w:rPr>
          <w:rFonts w:ascii="Times New Roman" w:hAnsi="Times New Roman" w:cs="Times New Roman"/>
          <w:sz w:val="24"/>
          <w:szCs w:val="24"/>
        </w:rPr>
        <w:t xml:space="preserve"> ARTA in </w:t>
      </w:r>
      <w:r w:rsidR="0070566E">
        <w:rPr>
          <w:rFonts w:ascii="Times New Roman" w:hAnsi="Times New Roman" w:cs="Times New Roman"/>
          <w:sz w:val="24"/>
          <w:szCs w:val="24"/>
        </w:rPr>
        <w:t>fewer than one-third</w:t>
      </w:r>
      <w:r w:rsidRPr="00E56BE0">
        <w:rPr>
          <w:rFonts w:ascii="Times New Roman" w:hAnsi="Times New Roman" w:cs="Times New Roman"/>
          <w:sz w:val="24"/>
          <w:szCs w:val="24"/>
        </w:rPr>
        <w:t xml:space="preserve">. A </w:t>
      </w:r>
      <w:r w:rsidR="0070566E">
        <w:rPr>
          <w:rFonts w:ascii="Times New Roman" w:hAnsi="Times New Roman" w:cs="Times New Roman"/>
          <w:sz w:val="24"/>
          <w:szCs w:val="24"/>
        </w:rPr>
        <w:t>higher</w:t>
      </w:r>
      <w:r w:rsidRPr="00E56BE0">
        <w:rPr>
          <w:rFonts w:ascii="Times New Roman" w:hAnsi="Times New Roman" w:cs="Times New Roman"/>
          <w:sz w:val="24"/>
          <w:szCs w:val="24"/>
        </w:rPr>
        <w:t xml:space="preserve"> proportion of those surveyed reported that they were highly likely to recommend treatment with </w:t>
      </w:r>
      <w:r w:rsidR="0070566E" w:rsidRPr="00E56BE0">
        <w:rPr>
          <w:rFonts w:ascii="Times New Roman" w:hAnsi="Times New Roman" w:cs="Times New Roman"/>
          <w:sz w:val="24"/>
          <w:szCs w:val="24"/>
        </w:rPr>
        <w:t>an ARTA (</w:t>
      </w:r>
      <w:r w:rsidR="0070566E">
        <w:rPr>
          <w:rFonts w:ascii="Times New Roman" w:hAnsi="Times New Roman" w:cs="Times New Roman"/>
          <w:sz w:val="24"/>
          <w:szCs w:val="24"/>
        </w:rPr>
        <w:t>74.4</w:t>
      </w:r>
      <w:r w:rsidR="0070566E" w:rsidRPr="00E56BE0">
        <w:rPr>
          <w:rFonts w:ascii="Times New Roman" w:hAnsi="Times New Roman" w:cs="Times New Roman"/>
          <w:sz w:val="24"/>
          <w:szCs w:val="24"/>
        </w:rPr>
        <w:t xml:space="preserve">%) </w:t>
      </w:r>
      <w:r w:rsidR="0070566E">
        <w:rPr>
          <w:rFonts w:ascii="Times New Roman" w:hAnsi="Times New Roman" w:cs="Times New Roman"/>
          <w:sz w:val="24"/>
          <w:szCs w:val="24"/>
        </w:rPr>
        <w:t xml:space="preserve">rather than docetaxel </w:t>
      </w:r>
      <w:r w:rsidRPr="00E56BE0">
        <w:rPr>
          <w:rFonts w:ascii="Times New Roman" w:hAnsi="Times New Roman" w:cs="Times New Roman"/>
          <w:sz w:val="24"/>
          <w:szCs w:val="24"/>
        </w:rPr>
        <w:t>(</w:t>
      </w:r>
      <w:r w:rsidR="0070566E">
        <w:rPr>
          <w:rFonts w:ascii="Times New Roman" w:hAnsi="Times New Roman" w:cs="Times New Roman"/>
          <w:sz w:val="24"/>
          <w:szCs w:val="24"/>
        </w:rPr>
        <w:t>50.0</w:t>
      </w:r>
      <w:r w:rsidRPr="00E56BE0">
        <w:rPr>
          <w:rFonts w:ascii="Times New Roman" w:hAnsi="Times New Roman" w:cs="Times New Roman"/>
          <w:sz w:val="24"/>
          <w:szCs w:val="24"/>
        </w:rPr>
        <w:t>%) in patients with bone metastases</w:t>
      </w:r>
      <w:r w:rsidR="004C6C15">
        <w:rPr>
          <w:rFonts w:ascii="Times New Roman" w:hAnsi="Times New Roman" w:cs="Times New Roman"/>
          <w:sz w:val="24"/>
          <w:szCs w:val="24"/>
        </w:rPr>
        <w:t xml:space="preserve"> only</w:t>
      </w:r>
      <w:r w:rsidRPr="00E56BE0">
        <w:rPr>
          <w:rFonts w:ascii="Times New Roman" w:hAnsi="Times New Roman" w:cs="Times New Roman"/>
          <w:sz w:val="24"/>
          <w:szCs w:val="24"/>
        </w:rPr>
        <w:t xml:space="preserve">. </w:t>
      </w:r>
      <w:r w:rsidR="0070566E">
        <w:rPr>
          <w:rFonts w:ascii="Times New Roman" w:hAnsi="Times New Roman" w:cs="Times New Roman"/>
          <w:sz w:val="24"/>
          <w:szCs w:val="24"/>
        </w:rPr>
        <w:t xml:space="preserve">Similarly, </w:t>
      </w:r>
      <w:r w:rsidRPr="00E56BE0">
        <w:rPr>
          <w:rFonts w:ascii="Times New Roman" w:hAnsi="Times New Roman" w:cs="Times New Roman"/>
          <w:sz w:val="24"/>
          <w:szCs w:val="24"/>
        </w:rPr>
        <w:t>more were likely to highly recommend an ARTA (</w:t>
      </w:r>
      <w:r w:rsidR="0070566E">
        <w:rPr>
          <w:rFonts w:ascii="Times New Roman" w:hAnsi="Times New Roman" w:cs="Times New Roman"/>
          <w:sz w:val="24"/>
          <w:szCs w:val="24"/>
        </w:rPr>
        <w:t>54.6</w:t>
      </w:r>
      <w:r w:rsidRPr="00E56BE0">
        <w:rPr>
          <w:rFonts w:ascii="Times New Roman" w:hAnsi="Times New Roman" w:cs="Times New Roman"/>
          <w:sz w:val="24"/>
          <w:szCs w:val="24"/>
        </w:rPr>
        <w:t xml:space="preserve">%) </w:t>
      </w:r>
      <w:r w:rsidRPr="00E56BE0">
        <w:rPr>
          <w:rFonts w:ascii="Times New Roman" w:hAnsi="Times New Roman" w:cs="Times New Roman"/>
          <w:sz w:val="24"/>
          <w:szCs w:val="24"/>
        </w:rPr>
        <w:lastRenderedPageBreak/>
        <w:t>than docetaxel (</w:t>
      </w:r>
      <w:r w:rsidR="0070566E">
        <w:rPr>
          <w:rFonts w:ascii="Times New Roman" w:hAnsi="Times New Roman" w:cs="Times New Roman"/>
          <w:sz w:val="24"/>
          <w:szCs w:val="24"/>
        </w:rPr>
        <w:t>39.5</w:t>
      </w:r>
      <w:r w:rsidRPr="00E56BE0">
        <w:rPr>
          <w:rFonts w:ascii="Times New Roman" w:hAnsi="Times New Roman" w:cs="Times New Roman"/>
          <w:sz w:val="24"/>
          <w:szCs w:val="24"/>
        </w:rPr>
        <w:t>%) for patients with only nodal d</w:t>
      </w:r>
      <w:r w:rsidR="00A10943" w:rsidRPr="00E56BE0">
        <w:rPr>
          <w:rFonts w:ascii="Times New Roman" w:hAnsi="Times New Roman" w:cs="Times New Roman"/>
          <w:sz w:val="24"/>
          <w:szCs w:val="24"/>
        </w:rPr>
        <w:t xml:space="preserve">isease, but the reverse was true for patients with both bone and nodal metastases (docetaxel, </w:t>
      </w:r>
      <w:r w:rsidR="0070566E">
        <w:rPr>
          <w:rFonts w:ascii="Times New Roman" w:hAnsi="Times New Roman" w:cs="Times New Roman"/>
          <w:sz w:val="24"/>
          <w:szCs w:val="24"/>
        </w:rPr>
        <w:t>64.4</w:t>
      </w:r>
      <w:r w:rsidR="00A10943" w:rsidRPr="00E56BE0">
        <w:rPr>
          <w:rFonts w:ascii="Times New Roman" w:hAnsi="Times New Roman" w:cs="Times New Roman"/>
          <w:sz w:val="24"/>
          <w:szCs w:val="24"/>
        </w:rPr>
        <w:t xml:space="preserve">%; ARTA, </w:t>
      </w:r>
      <w:r w:rsidR="0070566E">
        <w:rPr>
          <w:rFonts w:ascii="Times New Roman" w:hAnsi="Times New Roman" w:cs="Times New Roman"/>
          <w:sz w:val="24"/>
          <w:szCs w:val="24"/>
        </w:rPr>
        <w:t>59.8</w:t>
      </w:r>
      <w:r w:rsidR="00A10943" w:rsidRPr="00E56BE0">
        <w:rPr>
          <w:rFonts w:ascii="Times New Roman" w:hAnsi="Times New Roman" w:cs="Times New Roman"/>
          <w:sz w:val="24"/>
          <w:szCs w:val="24"/>
        </w:rPr>
        <w:t xml:space="preserve">%). For patients with BRCA-positive mHPSC, </w:t>
      </w:r>
      <w:r w:rsidR="0070566E">
        <w:rPr>
          <w:rFonts w:ascii="Times New Roman" w:hAnsi="Times New Roman" w:cs="Times New Roman"/>
          <w:sz w:val="24"/>
          <w:szCs w:val="24"/>
        </w:rPr>
        <w:t>60.5%</w:t>
      </w:r>
      <w:r w:rsidR="00A10943" w:rsidRPr="00E56BE0">
        <w:rPr>
          <w:rFonts w:ascii="Times New Roman" w:hAnsi="Times New Roman" w:cs="Times New Roman"/>
          <w:sz w:val="24"/>
          <w:szCs w:val="24"/>
        </w:rPr>
        <w:t xml:space="preserve"> and </w:t>
      </w:r>
      <w:r w:rsidR="0070566E">
        <w:rPr>
          <w:rFonts w:ascii="Times New Roman" w:hAnsi="Times New Roman" w:cs="Times New Roman"/>
          <w:sz w:val="24"/>
          <w:szCs w:val="24"/>
        </w:rPr>
        <w:t>29.7</w:t>
      </w:r>
      <w:r w:rsidR="00A10943" w:rsidRPr="00E56BE0">
        <w:rPr>
          <w:rFonts w:ascii="Times New Roman" w:hAnsi="Times New Roman" w:cs="Times New Roman"/>
          <w:sz w:val="24"/>
          <w:szCs w:val="24"/>
        </w:rPr>
        <w:t>% of respondents were highly likely to recommend docetaxel or an ARTA, respectively.</w:t>
      </w:r>
    </w:p>
    <w:p w14:paraId="2F924675" w14:textId="1EA6FC33" w:rsidR="00AE5FF1" w:rsidRPr="00E56BE0" w:rsidRDefault="00C12222" w:rsidP="00F60B9A">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agreement with STAMPEDE (Parker et al, 2018), a</w:t>
      </w:r>
      <w:r w:rsidR="00AE5FF1" w:rsidRPr="00E56BE0">
        <w:rPr>
          <w:rFonts w:ascii="Times New Roman" w:hAnsi="Times New Roman" w:cs="Times New Roman"/>
          <w:sz w:val="24"/>
          <w:szCs w:val="24"/>
        </w:rPr>
        <w:t xml:space="preserve">lmost </w:t>
      </w:r>
      <w:proofErr w:type="gramStart"/>
      <w:r w:rsidR="00AE5FF1" w:rsidRPr="00E56BE0">
        <w:rPr>
          <w:rFonts w:ascii="Times New Roman" w:hAnsi="Times New Roman" w:cs="Times New Roman"/>
          <w:sz w:val="24"/>
          <w:szCs w:val="24"/>
        </w:rPr>
        <w:t>all of</w:t>
      </w:r>
      <w:proofErr w:type="gramEnd"/>
      <w:r w:rsidR="00AE5FF1" w:rsidRPr="00E56BE0">
        <w:rPr>
          <w:rFonts w:ascii="Times New Roman" w:hAnsi="Times New Roman" w:cs="Times New Roman"/>
          <w:sz w:val="24"/>
          <w:szCs w:val="24"/>
        </w:rPr>
        <w:t xml:space="preserve"> the uro-oncologists (96%) would offer local radiotherapy to their patients with </w:t>
      </w:r>
      <w:r w:rsidR="005B75FC" w:rsidRPr="005B75FC">
        <w:rPr>
          <w:rFonts w:ascii="Times New Roman" w:hAnsi="Times New Roman" w:cs="Times New Roman"/>
          <w:sz w:val="24"/>
          <w:szCs w:val="24"/>
        </w:rPr>
        <w:t>low metastatic burden</w:t>
      </w:r>
      <w:r w:rsidR="005B75FC">
        <w:rPr>
          <w:rFonts w:ascii="Times New Roman" w:hAnsi="Times New Roman" w:cs="Times New Roman"/>
          <w:sz w:val="24"/>
          <w:szCs w:val="24"/>
        </w:rPr>
        <w:t xml:space="preserve"> </w:t>
      </w:r>
      <w:r w:rsidR="00AE5FF1" w:rsidRPr="00E56BE0">
        <w:rPr>
          <w:rFonts w:ascii="Times New Roman" w:hAnsi="Times New Roman" w:cs="Times New Roman"/>
          <w:sz w:val="24"/>
          <w:szCs w:val="24"/>
        </w:rPr>
        <w:t>mHSPC but only 12% would offer it to patients with high-volume disease.</w:t>
      </w:r>
    </w:p>
    <w:p w14:paraId="682CA231" w14:textId="77777777" w:rsidR="008C031C" w:rsidRPr="00E56BE0" w:rsidRDefault="008C031C" w:rsidP="00E56BE0">
      <w:pPr>
        <w:spacing w:line="480" w:lineRule="auto"/>
        <w:rPr>
          <w:rFonts w:ascii="Times New Roman" w:hAnsi="Times New Roman" w:cs="Times New Roman"/>
          <w:b/>
          <w:bCs/>
          <w:sz w:val="24"/>
          <w:szCs w:val="24"/>
        </w:rPr>
      </w:pPr>
    </w:p>
    <w:p w14:paraId="0E5021E4" w14:textId="2D0A3941" w:rsidR="004A5D80" w:rsidRPr="00E56BE0" w:rsidRDefault="003D11C0" w:rsidP="00E56BE0">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4 </w:t>
      </w:r>
      <w:r w:rsidR="0071658C" w:rsidRPr="00E56BE0">
        <w:rPr>
          <w:rFonts w:ascii="Times New Roman" w:hAnsi="Times New Roman" w:cs="Times New Roman"/>
          <w:b/>
          <w:bCs/>
          <w:sz w:val="24"/>
          <w:szCs w:val="24"/>
        </w:rPr>
        <w:t>DISCUSSION</w:t>
      </w:r>
    </w:p>
    <w:p w14:paraId="47F652F3" w14:textId="2C8160B4" w:rsidR="003038C7" w:rsidRPr="00E56BE0" w:rsidRDefault="00AE5FF1" w:rsidP="00E56BE0">
      <w:pPr>
        <w:spacing w:line="480" w:lineRule="auto"/>
        <w:rPr>
          <w:rFonts w:ascii="Times New Roman" w:hAnsi="Times New Roman" w:cs="Times New Roman"/>
          <w:sz w:val="24"/>
          <w:szCs w:val="24"/>
        </w:rPr>
      </w:pPr>
      <w:r w:rsidRPr="00E56BE0">
        <w:rPr>
          <w:rFonts w:ascii="Times New Roman" w:hAnsi="Times New Roman" w:cs="Times New Roman"/>
          <w:sz w:val="24"/>
          <w:szCs w:val="24"/>
        </w:rPr>
        <w:t xml:space="preserve">The survey reported here provides a snapshot of </w:t>
      </w:r>
      <w:proofErr w:type="gramStart"/>
      <w:r w:rsidR="003D11C0">
        <w:rPr>
          <w:rFonts w:ascii="Times New Roman" w:hAnsi="Times New Roman" w:cs="Times New Roman"/>
          <w:sz w:val="24"/>
          <w:szCs w:val="24"/>
        </w:rPr>
        <w:t>newly-diagnosed</w:t>
      </w:r>
      <w:proofErr w:type="gramEnd"/>
      <w:r w:rsidR="003D11C0">
        <w:rPr>
          <w:rFonts w:ascii="Times New Roman" w:hAnsi="Times New Roman" w:cs="Times New Roman"/>
          <w:sz w:val="24"/>
          <w:szCs w:val="24"/>
        </w:rPr>
        <w:t xml:space="preserve"> </w:t>
      </w:r>
      <w:r w:rsidRPr="00E56BE0">
        <w:rPr>
          <w:rFonts w:ascii="Times New Roman" w:hAnsi="Times New Roman" w:cs="Times New Roman"/>
          <w:sz w:val="24"/>
          <w:szCs w:val="24"/>
        </w:rPr>
        <w:t>mHSPC management by uro-oncologists in the UK.</w:t>
      </w:r>
      <w:r w:rsidR="003D11C0">
        <w:rPr>
          <w:rFonts w:ascii="Times New Roman" w:hAnsi="Times New Roman" w:cs="Times New Roman"/>
          <w:sz w:val="24"/>
          <w:szCs w:val="24"/>
        </w:rPr>
        <w:t xml:space="preserve"> </w:t>
      </w:r>
      <w:r w:rsidRPr="00E56BE0">
        <w:rPr>
          <w:rFonts w:ascii="Times New Roman" w:hAnsi="Times New Roman" w:cs="Times New Roman"/>
          <w:sz w:val="24"/>
          <w:szCs w:val="24"/>
        </w:rPr>
        <w:t xml:space="preserve">Perhaps unsurprisingly, </w:t>
      </w:r>
      <w:r w:rsidR="009C0B6E" w:rsidRPr="00E56BE0">
        <w:rPr>
          <w:rFonts w:ascii="Times New Roman" w:hAnsi="Times New Roman" w:cs="Times New Roman"/>
          <w:sz w:val="24"/>
          <w:szCs w:val="24"/>
        </w:rPr>
        <w:t xml:space="preserve">among respondents, </w:t>
      </w:r>
      <w:r w:rsidRPr="00E56BE0">
        <w:rPr>
          <w:rFonts w:ascii="Times New Roman" w:hAnsi="Times New Roman" w:cs="Times New Roman"/>
          <w:sz w:val="24"/>
          <w:szCs w:val="24"/>
        </w:rPr>
        <w:t xml:space="preserve">treatment with ADT alone </w:t>
      </w:r>
      <w:r w:rsidR="009C0B6E" w:rsidRPr="00E56BE0">
        <w:rPr>
          <w:rFonts w:ascii="Times New Roman" w:hAnsi="Times New Roman" w:cs="Times New Roman"/>
          <w:sz w:val="24"/>
          <w:szCs w:val="24"/>
        </w:rPr>
        <w:t>wa</w:t>
      </w:r>
      <w:r w:rsidRPr="00E56BE0">
        <w:rPr>
          <w:rFonts w:ascii="Times New Roman" w:hAnsi="Times New Roman" w:cs="Times New Roman"/>
          <w:sz w:val="24"/>
          <w:szCs w:val="24"/>
        </w:rPr>
        <w:t>s uncommon in patients who are considered fit for</w:t>
      </w:r>
      <w:r w:rsidR="0030359B">
        <w:rPr>
          <w:rFonts w:ascii="Times New Roman" w:hAnsi="Times New Roman" w:cs="Times New Roman"/>
          <w:sz w:val="24"/>
          <w:szCs w:val="24"/>
        </w:rPr>
        <w:t xml:space="preserve"> </w:t>
      </w:r>
      <w:r w:rsidR="005B75FC">
        <w:rPr>
          <w:rFonts w:ascii="Times New Roman" w:hAnsi="Times New Roman" w:cs="Times New Roman"/>
          <w:sz w:val="24"/>
          <w:szCs w:val="24"/>
        </w:rPr>
        <w:t xml:space="preserve">docetaxel which is the only additional therapy available in the UK at the </w:t>
      </w:r>
      <w:r w:rsidR="0019758E">
        <w:rPr>
          <w:rFonts w:ascii="Times New Roman" w:hAnsi="Times New Roman" w:cs="Times New Roman"/>
          <w:sz w:val="24"/>
          <w:szCs w:val="24"/>
        </w:rPr>
        <w:t>time of the survey</w:t>
      </w:r>
      <w:r w:rsidR="005B75FC">
        <w:rPr>
          <w:rFonts w:ascii="Times New Roman" w:hAnsi="Times New Roman" w:cs="Times New Roman"/>
          <w:sz w:val="24"/>
          <w:szCs w:val="24"/>
        </w:rPr>
        <w:t xml:space="preserve">. </w:t>
      </w:r>
      <w:r w:rsidRPr="00E56BE0">
        <w:rPr>
          <w:rFonts w:ascii="Times New Roman" w:hAnsi="Times New Roman" w:cs="Times New Roman"/>
          <w:sz w:val="24"/>
          <w:szCs w:val="24"/>
        </w:rPr>
        <w:t>Indeed, the reasons for offering ADT alone</w:t>
      </w:r>
      <w:r w:rsidR="009C0B6E" w:rsidRPr="00E56BE0">
        <w:rPr>
          <w:rFonts w:ascii="Times New Roman" w:hAnsi="Times New Roman" w:cs="Times New Roman"/>
          <w:sz w:val="24"/>
          <w:szCs w:val="24"/>
        </w:rPr>
        <w:t xml:space="preserve"> were largely based on frailty and comorbidities. A key consideration is quality of life, in the context of that although the addition of docetaxel to ADT unquestionably prolongs survival,</w:t>
      </w:r>
      <w:r w:rsidR="00272895" w:rsidRPr="00272895">
        <w:rPr>
          <w:rFonts w:ascii="Times New Roman" w:hAnsi="Times New Roman" w:cs="Times New Roman"/>
          <w:sz w:val="24"/>
          <w:szCs w:val="24"/>
          <w:vertAlign w:val="superscript"/>
        </w:rPr>
        <w:t>2, 4, 5, 7</w:t>
      </w:r>
      <w:r w:rsidR="009C0B6E" w:rsidRPr="00E56BE0">
        <w:rPr>
          <w:rFonts w:ascii="Times New Roman" w:hAnsi="Times New Roman" w:cs="Times New Roman"/>
          <w:sz w:val="24"/>
          <w:szCs w:val="24"/>
        </w:rPr>
        <w:t xml:space="preserve"> the toxicity associated with chemotherapy may outweigh the benefits of treatment</w:t>
      </w:r>
      <w:r w:rsidR="005B75FC">
        <w:rPr>
          <w:rFonts w:ascii="Times New Roman" w:hAnsi="Times New Roman" w:cs="Times New Roman"/>
          <w:sz w:val="24"/>
          <w:szCs w:val="24"/>
        </w:rPr>
        <w:t xml:space="preserve"> for these individual men</w:t>
      </w:r>
      <w:r w:rsidR="009C0B6E" w:rsidRPr="00E56BE0">
        <w:rPr>
          <w:rFonts w:ascii="Times New Roman" w:hAnsi="Times New Roman" w:cs="Times New Roman"/>
          <w:sz w:val="24"/>
          <w:szCs w:val="24"/>
        </w:rPr>
        <w:t>.</w:t>
      </w:r>
      <w:r w:rsidR="00594DD6" w:rsidRPr="00E56BE0">
        <w:rPr>
          <w:rFonts w:ascii="Times New Roman" w:hAnsi="Times New Roman" w:cs="Times New Roman"/>
          <w:sz w:val="24"/>
          <w:szCs w:val="24"/>
        </w:rPr>
        <w:t xml:space="preserve"> </w:t>
      </w:r>
      <w:r w:rsidR="00BE4357">
        <w:rPr>
          <w:rFonts w:ascii="Times New Roman" w:hAnsi="Times New Roman" w:cs="Times New Roman"/>
          <w:sz w:val="24"/>
          <w:szCs w:val="24"/>
        </w:rPr>
        <w:t>Consideration must also be given to the cost-effectiveness of chemotherapy in the mHSPC setting relative to patients with castration-resistant disease.</w:t>
      </w:r>
    </w:p>
    <w:p w14:paraId="58926D8F" w14:textId="44EE9AE3" w:rsidR="009C0B6E" w:rsidRPr="00E56BE0" w:rsidRDefault="009C0B6E" w:rsidP="00300E79">
      <w:pPr>
        <w:spacing w:line="480" w:lineRule="auto"/>
        <w:ind w:firstLine="720"/>
        <w:rPr>
          <w:rFonts w:ascii="Times New Roman" w:hAnsi="Times New Roman" w:cs="Times New Roman"/>
          <w:sz w:val="24"/>
          <w:szCs w:val="24"/>
        </w:rPr>
      </w:pPr>
      <w:r w:rsidRPr="00E56BE0">
        <w:rPr>
          <w:rFonts w:ascii="Times New Roman" w:hAnsi="Times New Roman" w:cs="Times New Roman"/>
          <w:sz w:val="24"/>
          <w:szCs w:val="24"/>
        </w:rPr>
        <w:t>It should be remembered that the adverse effects of docetaxel that matter most to patients may not be obvious from clinical trial data; in a real-life survey of men with mHSPC the most troublesome effects associated with docetaxel treatment included fatigue, nausea, vomiting, anaemia, diarrhoea, mouth ulcers, rash and bone pain.</w:t>
      </w:r>
      <w:r w:rsidR="00272895" w:rsidRPr="00272895">
        <w:rPr>
          <w:rFonts w:ascii="Times New Roman" w:hAnsi="Times New Roman" w:cs="Times New Roman"/>
          <w:sz w:val="24"/>
          <w:szCs w:val="24"/>
          <w:vertAlign w:val="superscript"/>
        </w:rPr>
        <w:t>18</w:t>
      </w:r>
      <w:r w:rsidRPr="00E56BE0">
        <w:rPr>
          <w:rFonts w:ascii="Times New Roman" w:hAnsi="Times New Roman" w:cs="Times New Roman"/>
          <w:sz w:val="24"/>
          <w:szCs w:val="24"/>
        </w:rPr>
        <w:t xml:space="preserve"> Notably, an impact on daily activities was also reported, e.g. limits to ambulatory capacity and psychological </w:t>
      </w:r>
      <w:r w:rsidRPr="00E56BE0">
        <w:rPr>
          <w:rFonts w:ascii="Times New Roman" w:hAnsi="Times New Roman" w:cs="Times New Roman"/>
          <w:sz w:val="24"/>
          <w:szCs w:val="24"/>
        </w:rPr>
        <w:lastRenderedPageBreak/>
        <w:t>effects. In an analysis of data from GETUG-AF15 all cumulative toxicity measures (i.e., all grades/severity of adverse events) were associated with reduced quality of life.</w:t>
      </w:r>
      <w:r w:rsidR="00272895" w:rsidRPr="00272895">
        <w:rPr>
          <w:rFonts w:ascii="Times New Roman" w:hAnsi="Times New Roman" w:cs="Times New Roman"/>
          <w:sz w:val="24"/>
          <w:szCs w:val="24"/>
          <w:vertAlign w:val="superscript"/>
        </w:rPr>
        <w:t>19</w:t>
      </w:r>
      <w:r w:rsidR="00640DD6" w:rsidRPr="00E56BE0">
        <w:rPr>
          <w:rFonts w:ascii="Times New Roman" w:hAnsi="Times New Roman" w:cs="Times New Roman"/>
          <w:sz w:val="24"/>
          <w:szCs w:val="24"/>
        </w:rPr>
        <w:t xml:space="preserve"> </w:t>
      </w:r>
      <w:r w:rsidRPr="00E56BE0">
        <w:rPr>
          <w:rFonts w:ascii="Times New Roman" w:hAnsi="Times New Roman" w:cs="Times New Roman"/>
          <w:sz w:val="24"/>
          <w:szCs w:val="24"/>
        </w:rPr>
        <w:t xml:space="preserve">However, the negative impact of docetaxel on quality of life is associated with treatment toxicity within the first 3 months but </w:t>
      </w:r>
      <w:r w:rsidR="003D11C0">
        <w:rPr>
          <w:rFonts w:ascii="Times New Roman" w:hAnsi="Times New Roman" w:cs="Times New Roman"/>
          <w:sz w:val="24"/>
          <w:szCs w:val="24"/>
        </w:rPr>
        <w:t xml:space="preserve">typically </w:t>
      </w:r>
      <w:r w:rsidRPr="00E56BE0">
        <w:rPr>
          <w:rFonts w:ascii="Times New Roman" w:hAnsi="Times New Roman" w:cs="Times New Roman"/>
          <w:sz w:val="24"/>
          <w:szCs w:val="24"/>
        </w:rPr>
        <w:t>recover</w:t>
      </w:r>
      <w:r w:rsidR="003D11C0">
        <w:rPr>
          <w:rFonts w:ascii="Times New Roman" w:hAnsi="Times New Roman" w:cs="Times New Roman"/>
          <w:sz w:val="24"/>
          <w:szCs w:val="24"/>
        </w:rPr>
        <w:t>s</w:t>
      </w:r>
      <w:r w:rsidRPr="00E56BE0">
        <w:rPr>
          <w:rFonts w:ascii="Times New Roman" w:hAnsi="Times New Roman" w:cs="Times New Roman"/>
          <w:sz w:val="24"/>
          <w:szCs w:val="24"/>
        </w:rPr>
        <w:t xml:space="preserve"> after c</w:t>
      </w:r>
      <w:r w:rsidR="003D11C0">
        <w:rPr>
          <w:rFonts w:ascii="Times New Roman" w:hAnsi="Times New Roman" w:cs="Times New Roman"/>
          <w:sz w:val="24"/>
          <w:szCs w:val="24"/>
        </w:rPr>
        <w:t>essation</w:t>
      </w:r>
      <w:r w:rsidRPr="00E56BE0">
        <w:rPr>
          <w:rFonts w:ascii="Times New Roman" w:hAnsi="Times New Roman" w:cs="Times New Roman"/>
          <w:sz w:val="24"/>
          <w:szCs w:val="24"/>
        </w:rPr>
        <w:t xml:space="preserve"> of treatment. </w:t>
      </w:r>
      <w:r w:rsidR="00C451FC">
        <w:rPr>
          <w:rFonts w:ascii="Times New Roman" w:hAnsi="Times New Roman" w:cs="Times New Roman"/>
          <w:sz w:val="24"/>
          <w:szCs w:val="24"/>
        </w:rPr>
        <w:t>Indeed, f</w:t>
      </w:r>
      <w:r w:rsidR="003D11C0">
        <w:rPr>
          <w:rFonts w:ascii="Times New Roman" w:hAnsi="Times New Roman" w:cs="Times New Roman"/>
          <w:sz w:val="24"/>
          <w:szCs w:val="24"/>
        </w:rPr>
        <w:t>unction</w:t>
      </w:r>
      <w:r w:rsidRPr="00E56BE0">
        <w:rPr>
          <w:rFonts w:ascii="Times New Roman" w:hAnsi="Times New Roman" w:cs="Times New Roman"/>
          <w:sz w:val="24"/>
          <w:szCs w:val="24"/>
        </w:rPr>
        <w:t xml:space="preserve"> was reduced in patients on ADT and docetaxel in CHAARTED relative to ADT alone at 3 months; at 12 months this had returned to baseline value</w:t>
      </w:r>
      <w:r w:rsidR="00297D19">
        <w:rPr>
          <w:rFonts w:ascii="Times New Roman" w:hAnsi="Times New Roman" w:cs="Times New Roman"/>
          <w:sz w:val="24"/>
          <w:szCs w:val="24"/>
        </w:rPr>
        <w:t>s</w:t>
      </w:r>
      <w:r w:rsidRPr="00E56BE0">
        <w:rPr>
          <w:rFonts w:ascii="Times New Roman" w:hAnsi="Times New Roman" w:cs="Times New Roman"/>
          <w:sz w:val="24"/>
          <w:szCs w:val="24"/>
        </w:rPr>
        <w:t xml:space="preserve"> in patients receiving chemotherapy but had deteriorated in those on ADT.</w:t>
      </w:r>
      <w:r w:rsidR="00272895" w:rsidRPr="00272895">
        <w:rPr>
          <w:rFonts w:ascii="Times New Roman" w:hAnsi="Times New Roman" w:cs="Times New Roman"/>
          <w:sz w:val="24"/>
          <w:szCs w:val="24"/>
          <w:vertAlign w:val="superscript"/>
        </w:rPr>
        <w:t>20</w:t>
      </w:r>
      <w:r w:rsidRPr="00E56BE0">
        <w:rPr>
          <w:rFonts w:ascii="Times New Roman" w:hAnsi="Times New Roman" w:cs="Times New Roman"/>
          <w:sz w:val="24"/>
          <w:szCs w:val="24"/>
        </w:rPr>
        <w:t xml:space="preserve"> In the GETUG-AF15 trial, only appetite loss and constipation remained an issue after docetaxel treatment cessation when compared with patients receiving ADT </w:t>
      </w:r>
      <w:r w:rsidR="00C451FC">
        <w:rPr>
          <w:rFonts w:ascii="Times New Roman" w:hAnsi="Times New Roman" w:cs="Times New Roman"/>
          <w:sz w:val="24"/>
          <w:szCs w:val="24"/>
        </w:rPr>
        <w:t>monotherapy</w:t>
      </w:r>
      <w:r w:rsidRPr="00E56BE0">
        <w:rPr>
          <w:rFonts w:ascii="Times New Roman" w:hAnsi="Times New Roman" w:cs="Times New Roman"/>
          <w:sz w:val="24"/>
          <w:szCs w:val="24"/>
        </w:rPr>
        <w:t>.</w:t>
      </w:r>
      <w:r w:rsidR="00272895" w:rsidRPr="00272895">
        <w:rPr>
          <w:rFonts w:ascii="Times New Roman" w:hAnsi="Times New Roman" w:cs="Times New Roman"/>
          <w:sz w:val="24"/>
          <w:szCs w:val="24"/>
          <w:vertAlign w:val="superscript"/>
        </w:rPr>
        <w:t>21</w:t>
      </w:r>
      <w:r w:rsidRPr="00E56BE0">
        <w:rPr>
          <w:rFonts w:ascii="Times New Roman" w:hAnsi="Times New Roman" w:cs="Times New Roman"/>
          <w:sz w:val="24"/>
          <w:szCs w:val="24"/>
        </w:rPr>
        <w:t xml:space="preserve"> </w:t>
      </w:r>
    </w:p>
    <w:p w14:paraId="0F794D95" w14:textId="468AD136" w:rsidR="0060300D" w:rsidRDefault="00E9206E" w:rsidP="00300E79">
      <w:pPr>
        <w:spacing w:line="480" w:lineRule="auto"/>
        <w:ind w:firstLine="720"/>
        <w:rPr>
          <w:rFonts w:ascii="Times New Roman" w:hAnsi="Times New Roman" w:cs="Times New Roman"/>
          <w:sz w:val="24"/>
          <w:szCs w:val="24"/>
        </w:rPr>
      </w:pPr>
      <w:r w:rsidRPr="00E56BE0">
        <w:rPr>
          <w:rFonts w:ascii="Times New Roman" w:hAnsi="Times New Roman" w:cs="Times New Roman"/>
          <w:sz w:val="24"/>
          <w:szCs w:val="24"/>
        </w:rPr>
        <w:t xml:space="preserve">Without exception, the respondents surveyed agreed that they would offer docetaxel in addition to ADT to their patients with </w:t>
      </w:r>
      <w:proofErr w:type="gramStart"/>
      <w:r w:rsidRPr="00E56BE0">
        <w:rPr>
          <w:rFonts w:ascii="Times New Roman" w:hAnsi="Times New Roman" w:cs="Times New Roman"/>
          <w:sz w:val="24"/>
          <w:szCs w:val="24"/>
        </w:rPr>
        <w:t>newly-diagnosed</w:t>
      </w:r>
      <w:proofErr w:type="gramEnd"/>
      <w:r w:rsidRPr="00E56BE0">
        <w:rPr>
          <w:rFonts w:ascii="Times New Roman" w:hAnsi="Times New Roman" w:cs="Times New Roman"/>
          <w:sz w:val="24"/>
          <w:szCs w:val="24"/>
        </w:rPr>
        <w:t xml:space="preserve"> mHSPC who were considered fit enough for chemotherapy. </w:t>
      </w:r>
      <w:r w:rsidR="0060300D">
        <w:rPr>
          <w:rFonts w:ascii="Times New Roman" w:hAnsi="Times New Roman" w:cs="Times New Roman"/>
          <w:sz w:val="24"/>
          <w:szCs w:val="24"/>
        </w:rPr>
        <w:t>However, this does not reflect real life clinical practice</w:t>
      </w:r>
      <w:r w:rsidR="00C451FC">
        <w:rPr>
          <w:rFonts w:ascii="Times New Roman" w:hAnsi="Times New Roman" w:cs="Times New Roman"/>
          <w:sz w:val="24"/>
          <w:szCs w:val="24"/>
        </w:rPr>
        <w:t>—</w:t>
      </w:r>
      <w:r w:rsidR="0060300D">
        <w:rPr>
          <w:rFonts w:ascii="Times New Roman" w:hAnsi="Times New Roman" w:cs="Times New Roman"/>
          <w:sz w:val="24"/>
          <w:szCs w:val="24"/>
        </w:rPr>
        <w:t xml:space="preserve">in the </w:t>
      </w:r>
      <w:r w:rsidR="00C451FC">
        <w:rPr>
          <w:rFonts w:ascii="Times New Roman" w:hAnsi="Times New Roman" w:cs="Times New Roman"/>
          <w:sz w:val="24"/>
          <w:szCs w:val="24"/>
        </w:rPr>
        <w:t xml:space="preserve">latest </w:t>
      </w:r>
      <w:r w:rsidR="0060300D">
        <w:rPr>
          <w:rFonts w:ascii="Times New Roman" w:hAnsi="Times New Roman" w:cs="Times New Roman"/>
          <w:sz w:val="24"/>
          <w:szCs w:val="24"/>
        </w:rPr>
        <w:t>National Prostate Cancer Audit</w:t>
      </w:r>
      <w:r w:rsidR="00C451FC">
        <w:rPr>
          <w:rFonts w:ascii="Times New Roman" w:hAnsi="Times New Roman" w:cs="Times New Roman"/>
          <w:sz w:val="24"/>
          <w:szCs w:val="24"/>
        </w:rPr>
        <w:t>,</w:t>
      </w:r>
      <w:r w:rsidR="0060300D">
        <w:rPr>
          <w:rFonts w:ascii="Times New Roman" w:hAnsi="Times New Roman" w:cs="Times New Roman"/>
          <w:sz w:val="24"/>
          <w:szCs w:val="24"/>
        </w:rPr>
        <w:t xml:space="preserve"> only 27% of men within this group received ADT </w:t>
      </w:r>
      <w:r w:rsidR="00C451FC">
        <w:rPr>
          <w:rFonts w:ascii="Times New Roman" w:hAnsi="Times New Roman" w:cs="Times New Roman"/>
          <w:sz w:val="24"/>
          <w:szCs w:val="24"/>
        </w:rPr>
        <w:t>and</w:t>
      </w:r>
      <w:r w:rsidR="0060300D">
        <w:rPr>
          <w:rFonts w:ascii="Times New Roman" w:hAnsi="Times New Roman" w:cs="Times New Roman"/>
          <w:sz w:val="24"/>
          <w:szCs w:val="24"/>
        </w:rPr>
        <w:t xml:space="preserve"> docetaxel between 2017 and 2018 in England and Wales.</w:t>
      </w:r>
      <w:r w:rsidR="00272895" w:rsidRPr="00272895">
        <w:rPr>
          <w:rFonts w:ascii="Times New Roman" w:hAnsi="Times New Roman" w:cs="Times New Roman"/>
          <w:sz w:val="24"/>
          <w:szCs w:val="24"/>
          <w:vertAlign w:val="superscript"/>
        </w:rPr>
        <w:t>22</w:t>
      </w:r>
      <w:r w:rsidR="0060300D">
        <w:rPr>
          <w:rFonts w:ascii="Times New Roman" w:hAnsi="Times New Roman" w:cs="Times New Roman"/>
          <w:sz w:val="24"/>
          <w:szCs w:val="24"/>
        </w:rPr>
        <w:t xml:space="preserve"> </w:t>
      </w:r>
      <w:r w:rsidR="00C451FC">
        <w:rPr>
          <w:rFonts w:ascii="Times New Roman" w:hAnsi="Times New Roman" w:cs="Times New Roman"/>
          <w:sz w:val="24"/>
          <w:szCs w:val="24"/>
        </w:rPr>
        <w:t>The results of the survey therefore likely reflect intent rather than practice.</w:t>
      </w:r>
    </w:p>
    <w:p w14:paraId="3066F8E1" w14:textId="1ED3DE39" w:rsidR="00E9206E" w:rsidRPr="00E56BE0" w:rsidRDefault="00E9206E" w:rsidP="00300E79">
      <w:pPr>
        <w:spacing w:line="480" w:lineRule="auto"/>
        <w:ind w:firstLine="720"/>
        <w:rPr>
          <w:rFonts w:ascii="Times New Roman" w:hAnsi="Times New Roman" w:cs="Times New Roman"/>
          <w:sz w:val="24"/>
          <w:szCs w:val="24"/>
        </w:rPr>
      </w:pPr>
      <w:r w:rsidRPr="00E56BE0">
        <w:rPr>
          <w:rFonts w:ascii="Times New Roman" w:hAnsi="Times New Roman" w:cs="Times New Roman"/>
          <w:sz w:val="24"/>
          <w:szCs w:val="24"/>
        </w:rPr>
        <w:t>However, there were differences with respect to metastatic burden</w:t>
      </w:r>
      <w:r w:rsidR="00297D19">
        <w:rPr>
          <w:rFonts w:ascii="Times New Roman" w:hAnsi="Times New Roman" w:cs="Times New Roman"/>
          <w:sz w:val="24"/>
          <w:szCs w:val="24"/>
        </w:rPr>
        <w:t>—</w:t>
      </w:r>
      <w:r w:rsidRPr="00E56BE0">
        <w:rPr>
          <w:rFonts w:ascii="Times New Roman" w:hAnsi="Times New Roman" w:cs="Times New Roman"/>
          <w:sz w:val="24"/>
          <w:szCs w:val="24"/>
        </w:rPr>
        <w:t xml:space="preserve">a strong recommendation in 64% of patients with high-volume disease compared with </w:t>
      </w:r>
      <w:r w:rsidR="003038C7" w:rsidRPr="00E56BE0">
        <w:rPr>
          <w:rFonts w:ascii="Times New Roman" w:hAnsi="Times New Roman" w:cs="Times New Roman"/>
          <w:sz w:val="24"/>
          <w:szCs w:val="24"/>
        </w:rPr>
        <w:t xml:space="preserve">only </w:t>
      </w:r>
      <w:r w:rsidRPr="00E56BE0">
        <w:rPr>
          <w:rFonts w:ascii="Times New Roman" w:hAnsi="Times New Roman" w:cs="Times New Roman"/>
          <w:sz w:val="24"/>
          <w:szCs w:val="24"/>
        </w:rPr>
        <w:t xml:space="preserve">31% of patients with low-volume disease. </w:t>
      </w:r>
      <w:r w:rsidR="003038C7" w:rsidRPr="00E56BE0">
        <w:rPr>
          <w:rFonts w:ascii="Times New Roman" w:hAnsi="Times New Roman" w:cs="Times New Roman"/>
          <w:sz w:val="24"/>
          <w:szCs w:val="24"/>
        </w:rPr>
        <w:t xml:space="preserve">This reflects </w:t>
      </w:r>
      <w:r w:rsidR="00FF0D6A" w:rsidRPr="00E56BE0">
        <w:rPr>
          <w:rFonts w:ascii="Times New Roman" w:hAnsi="Times New Roman" w:cs="Times New Roman"/>
          <w:sz w:val="24"/>
          <w:szCs w:val="24"/>
        </w:rPr>
        <w:t xml:space="preserve">the findings </w:t>
      </w:r>
      <w:r w:rsidR="003038C7" w:rsidRPr="00E56BE0">
        <w:rPr>
          <w:rFonts w:ascii="Times New Roman" w:hAnsi="Times New Roman" w:cs="Times New Roman"/>
          <w:sz w:val="24"/>
          <w:szCs w:val="24"/>
        </w:rPr>
        <w:t>from CHAARTED</w:t>
      </w:r>
      <w:r w:rsidR="00E26161">
        <w:rPr>
          <w:rFonts w:ascii="Times New Roman" w:hAnsi="Times New Roman" w:cs="Times New Roman"/>
          <w:sz w:val="24"/>
          <w:szCs w:val="24"/>
        </w:rPr>
        <w:t xml:space="preserve">, where </w:t>
      </w:r>
      <w:r w:rsidR="00374E9D" w:rsidRPr="00E56BE0">
        <w:rPr>
          <w:rFonts w:ascii="Times New Roman" w:hAnsi="Times New Roman" w:cs="Times New Roman"/>
          <w:sz w:val="24"/>
          <w:szCs w:val="24"/>
        </w:rPr>
        <w:t xml:space="preserve">overall survival </w:t>
      </w:r>
      <w:r w:rsidR="003038C7" w:rsidRPr="00E56BE0">
        <w:rPr>
          <w:rFonts w:ascii="Times New Roman" w:hAnsi="Times New Roman" w:cs="Times New Roman"/>
          <w:sz w:val="24"/>
          <w:szCs w:val="24"/>
        </w:rPr>
        <w:t xml:space="preserve">in patients with high-volume disease </w:t>
      </w:r>
      <w:r w:rsidR="00374E9D" w:rsidRPr="00E56BE0">
        <w:rPr>
          <w:rFonts w:ascii="Times New Roman" w:hAnsi="Times New Roman" w:cs="Times New Roman"/>
          <w:sz w:val="24"/>
          <w:szCs w:val="24"/>
        </w:rPr>
        <w:t xml:space="preserve">was </w:t>
      </w:r>
      <w:r w:rsidR="00E26161">
        <w:rPr>
          <w:rFonts w:ascii="Times New Roman" w:hAnsi="Times New Roman" w:cs="Times New Roman"/>
          <w:sz w:val="24"/>
          <w:szCs w:val="24"/>
        </w:rPr>
        <w:t>superior with docetaxel</w:t>
      </w:r>
      <w:r w:rsidR="00BE4357">
        <w:rPr>
          <w:rFonts w:ascii="Times New Roman" w:hAnsi="Times New Roman" w:cs="Times New Roman"/>
          <w:sz w:val="24"/>
          <w:szCs w:val="24"/>
        </w:rPr>
        <w:t>, but no benefit was observed in patients with low-volume disease</w:t>
      </w:r>
      <w:r w:rsidR="00374E9D" w:rsidRPr="00E56BE0">
        <w:rPr>
          <w:rFonts w:ascii="Times New Roman" w:hAnsi="Times New Roman" w:cs="Times New Roman"/>
          <w:sz w:val="24"/>
          <w:szCs w:val="24"/>
        </w:rPr>
        <w:t>.</w:t>
      </w:r>
      <w:r w:rsidR="00272895" w:rsidRPr="00272895">
        <w:rPr>
          <w:rFonts w:ascii="Times New Roman" w:hAnsi="Times New Roman" w:cs="Times New Roman"/>
          <w:sz w:val="24"/>
          <w:szCs w:val="24"/>
          <w:vertAlign w:val="superscript"/>
        </w:rPr>
        <w:t>2</w:t>
      </w:r>
      <w:r w:rsidR="00374E9D" w:rsidRPr="00E56BE0">
        <w:rPr>
          <w:rFonts w:ascii="Times New Roman" w:hAnsi="Times New Roman" w:cs="Times New Roman"/>
          <w:sz w:val="24"/>
          <w:szCs w:val="24"/>
        </w:rPr>
        <w:t xml:space="preserve"> </w:t>
      </w:r>
      <w:r w:rsidR="00E26161">
        <w:rPr>
          <w:rFonts w:ascii="Times New Roman" w:hAnsi="Times New Roman" w:cs="Times New Roman"/>
          <w:sz w:val="24"/>
          <w:szCs w:val="24"/>
        </w:rPr>
        <w:t>However, a</w:t>
      </w:r>
      <w:r w:rsidR="00374E9D" w:rsidRPr="00E56BE0">
        <w:rPr>
          <w:rFonts w:ascii="Times New Roman" w:hAnsi="Times New Roman" w:cs="Times New Roman"/>
          <w:sz w:val="24"/>
          <w:szCs w:val="24"/>
        </w:rPr>
        <w:t xml:space="preserve"> </w:t>
      </w:r>
      <w:r w:rsidR="00AC0349" w:rsidRPr="00E56BE0">
        <w:rPr>
          <w:rFonts w:ascii="Times New Roman" w:hAnsi="Times New Roman" w:cs="Times New Roman"/>
          <w:sz w:val="24"/>
          <w:szCs w:val="24"/>
        </w:rPr>
        <w:t xml:space="preserve">recent </w:t>
      </w:r>
      <w:r w:rsidR="00374E9D" w:rsidRPr="00E56BE0">
        <w:rPr>
          <w:rFonts w:ascii="Times New Roman" w:hAnsi="Times New Roman" w:cs="Times New Roman"/>
          <w:sz w:val="24"/>
          <w:szCs w:val="24"/>
        </w:rPr>
        <w:t xml:space="preserve">analysis </w:t>
      </w:r>
      <w:r w:rsidR="00AC0349" w:rsidRPr="00E56BE0">
        <w:rPr>
          <w:rFonts w:ascii="Times New Roman" w:hAnsi="Times New Roman" w:cs="Times New Roman"/>
          <w:sz w:val="24"/>
          <w:szCs w:val="24"/>
        </w:rPr>
        <w:t xml:space="preserve">of data </w:t>
      </w:r>
      <w:r w:rsidR="00374E9D" w:rsidRPr="00E56BE0">
        <w:rPr>
          <w:rFonts w:ascii="Times New Roman" w:hAnsi="Times New Roman" w:cs="Times New Roman"/>
          <w:sz w:val="24"/>
          <w:szCs w:val="24"/>
        </w:rPr>
        <w:t xml:space="preserve">from </w:t>
      </w:r>
      <w:r w:rsidR="005B75FC">
        <w:rPr>
          <w:rFonts w:ascii="Times New Roman" w:hAnsi="Times New Roman" w:cs="Times New Roman"/>
          <w:sz w:val="24"/>
          <w:szCs w:val="24"/>
        </w:rPr>
        <w:t xml:space="preserve">the </w:t>
      </w:r>
      <w:r w:rsidR="00374E9D" w:rsidRPr="00E56BE0">
        <w:rPr>
          <w:rFonts w:ascii="Times New Roman" w:hAnsi="Times New Roman" w:cs="Times New Roman"/>
          <w:sz w:val="24"/>
          <w:szCs w:val="24"/>
        </w:rPr>
        <w:t>STAMPEDE</w:t>
      </w:r>
      <w:r w:rsidR="005B75FC">
        <w:rPr>
          <w:rFonts w:ascii="Times New Roman" w:hAnsi="Times New Roman" w:cs="Times New Roman"/>
          <w:sz w:val="24"/>
          <w:szCs w:val="24"/>
        </w:rPr>
        <w:t xml:space="preserve"> study</w:t>
      </w:r>
      <w:r w:rsidR="00374E9D" w:rsidRPr="00E56BE0">
        <w:rPr>
          <w:rFonts w:ascii="Times New Roman" w:hAnsi="Times New Roman" w:cs="Times New Roman"/>
          <w:sz w:val="24"/>
          <w:szCs w:val="24"/>
        </w:rPr>
        <w:t xml:space="preserve"> demonstrated benefit from docetaxel, irrespective of disease burden when applying the same criteria </w:t>
      </w:r>
      <w:r w:rsidR="005B75FC">
        <w:rPr>
          <w:rFonts w:ascii="Times New Roman" w:hAnsi="Times New Roman" w:cs="Times New Roman"/>
          <w:sz w:val="24"/>
          <w:szCs w:val="24"/>
        </w:rPr>
        <w:t xml:space="preserve">for disease volume </w:t>
      </w:r>
      <w:r w:rsidR="00374E9D" w:rsidRPr="00E56BE0">
        <w:rPr>
          <w:rFonts w:ascii="Times New Roman" w:hAnsi="Times New Roman" w:cs="Times New Roman"/>
          <w:sz w:val="24"/>
          <w:szCs w:val="24"/>
        </w:rPr>
        <w:t>that were used in CHAARTED. These conflicting results concerning patients with low</w:t>
      </w:r>
      <w:r w:rsidR="003D11C0">
        <w:rPr>
          <w:rFonts w:ascii="Times New Roman" w:hAnsi="Times New Roman" w:cs="Times New Roman"/>
          <w:sz w:val="24"/>
          <w:szCs w:val="24"/>
        </w:rPr>
        <w:t>-</w:t>
      </w:r>
      <w:r w:rsidR="00374E9D" w:rsidRPr="00E56BE0">
        <w:rPr>
          <w:rFonts w:ascii="Times New Roman" w:hAnsi="Times New Roman" w:cs="Times New Roman"/>
          <w:sz w:val="24"/>
          <w:szCs w:val="24"/>
        </w:rPr>
        <w:t>volume metastatic disease cannot be fully explained</w:t>
      </w:r>
      <w:r w:rsidR="00BE4357">
        <w:rPr>
          <w:rFonts w:ascii="Times New Roman" w:hAnsi="Times New Roman" w:cs="Times New Roman"/>
          <w:sz w:val="24"/>
          <w:szCs w:val="24"/>
        </w:rPr>
        <w:t xml:space="preserve">, although the number of patients in this group included in CHAARTED was </w:t>
      </w:r>
      <w:r w:rsidR="00BE4357">
        <w:rPr>
          <w:rFonts w:ascii="Times New Roman" w:hAnsi="Times New Roman" w:cs="Times New Roman"/>
          <w:sz w:val="24"/>
          <w:szCs w:val="24"/>
        </w:rPr>
        <w:lastRenderedPageBreak/>
        <w:t>small and the study was statistically underpowered for such an analysis.</w:t>
      </w:r>
      <w:r w:rsidR="00C451FC">
        <w:rPr>
          <w:rFonts w:ascii="Times New Roman" w:hAnsi="Times New Roman" w:cs="Times New Roman"/>
          <w:sz w:val="24"/>
          <w:szCs w:val="24"/>
        </w:rPr>
        <w:t xml:space="preserve"> Such inconsistency may impact clinical practice.</w:t>
      </w:r>
    </w:p>
    <w:p w14:paraId="3EB1A795" w14:textId="3C3A95B6" w:rsidR="00193AA3" w:rsidRPr="00E56BE0" w:rsidRDefault="00293E9F" w:rsidP="00300E79">
      <w:pPr>
        <w:spacing w:line="480" w:lineRule="auto"/>
        <w:ind w:firstLine="720"/>
        <w:rPr>
          <w:rFonts w:ascii="Times New Roman" w:hAnsi="Times New Roman" w:cs="Times New Roman"/>
          <w:sz w:val="24"/>
          <w:szCs w:val="24"/>
        </w:rPr>
      </w:pPr>
      <w:r w:rsidRPr="00E56BE0">
        <w:rPr>
          <w:rFonts w:ascii="Times New Roman" w:hAnsi="Times New Roman" w:cs="Times New Roman"/>
          <w:sz w:val="24"/>
          <w:szCs w:val="24"/>
        </w:rPr>
        <w:t>Approximately one</w:t>
      </w:r>
      <w:r w:rsidR="00FF0D6A" w:rsidRPr="00E56BE0">
        <w:rPr>
          <w:rFonts w:ascii="Times New Roman" w:hAnsi="Times New Roman" w:cs="Times New Roman"/>
          <w:sz w:val="24"/>
          <w:szCs w:val="24"/>
        </w:rPr>
        <w:t>-</w:t>
      </w:r>
      <w:r w:rsidRPr="00E56BE0">
        <w:rPr>
          <w:rFonts w:ascii="Times New Roman" w:hAnsi="Times New Roman" w:cs="Times New Roman"/>
          <w:sz w:val="24"/>
          <w:szCs w:val="24"/>
        </w:rPr>
        <w:t xml:space="preserve">third of respondents stated that they would treat more than one-half of their patients with </w:t>
      </w:r>
      <w:r w:rsidR="003D11C0">
        <w:rPr>
          <w:rFonts w:ascii="Times New Roman" w:hAnsi="Times New Roman" w:cs="Times New Roman"/>
          <w:sz w:val="24"/>
          <w:szCs w:val="24"/>
        </w:rPr>
        <w:t xml:space="preserve">newly-diagnosed </w:t>
      </w:r>
      <w:r w:rsidRPr="00E56BE0">
        <w:rPr>
          <w:rFonts w:ascii="Times New Roman" w:hAnsi="Times New Roman" w:cs="Times New Roman"/>
          <w:sz w:val="24"/>
          <w:szCs w:val="24"/>
        </w:rPr>
        <w:t>mHSPC with an ARTA if there were no restrictions on prescribing</w:t>
      </w:r>
      <w:r w:rsidR="00DE2E5A">
        <w:rPr>
          <w:rFonts w:ascii="Times New Roman" w:hAnsi="Times New Roman" w:cs="Times New Roman"/>
          <w:sz w:val="24"/>
          <w:szCs w:val="24"/>
        </w:rPr>
        <w:t xml:space="preserve"> and these were available in the UK</w:t>
      </w:r>
      <w:r w:rsidR="00C451FC">
        <w:rPr>
          <w:rFonts w:ascii="Times New Roman" w:hAnsi="Times New Roman" w:cs="Times New Roman"/>
          <w:sz w:val="24"/>
          <w:szCs w:val="24"/>
        </w:rPr>
        <w:t>,</w:t>
      </w:r>
      <w:r w:rsidR="00DE2E5A">
        <w:rPr>
          <w:rFonts w:ascii="Times New Roman" w:hAnsi="Times New Roman" w:cs="Times New Roman"/>
          <w:sz w:val="24"/>
          <w:szCs w:val="24"/>
        </w:rPr>
        <w:t xml:space="preserve"> </w:t>
      </w:r>
      <w:r w:rsidR="00272E3A" w:rsidRPr="00E56BE0">
        <w:rPr>
          <w:rFonts w:ascii="Times New Roman" w:hAnsi="Times New Roman" w:cs="Times New Roman"/>
          <w:sz w:val="24"/>
          <w:szCs w:val="24"/>
        </w:rPr>
        <w:t xml:space="preserve">and that the most frequent option would be </w:t>
      </w:r>
      <w:r w:rsidR="00C451FC">
        <w:rPr>
          <w:rFonts w:ascii="Times New Roman" w:hAnsi="Times New Roman" w:cs="Times New Roman"/>
          <w:sz w:val="24"/>
          <w:szCs w:val="24"/>
        </w:rPr>
        <w:t>AAP</w:t>
      </w:r>
      <w:r w:rsidRPr="00E56BE0">
        <w:rPr>
          <w:rFonts w:ascii="Times New Roman" w:hAnsi="Times New Roman" w:cs="Times New Roman"/>
          <w:sz w:val="24"/>
          <w:szCs w:val="24"/>
        </w:rPr>
        <w:t>. When considering the high</w:t>
      </w:r>
      <w:r w:rsidR="003D11C0">
        <w:rPr>
          <w:rFonts w:ascii="Times New Roman" w:hAnsi="Times New Roman" w:cs="Times New Roman"/>
          <w:sz w:val="24"/>
          <w:szCs w:val="24"/>
        </w:rPr>
        <w:t>-</w:t>
      </w:r>
      <w:r w:rsidRPr="00E56BE0">
        <w:rPr>
          <w:rFonts w:ascii="Times New Roman" w:hAnsi="Times New Roman" w:cs="Times New Roman"/>
          <w:sz w:val="24"/>
          <w:szCs w:val="24"/>
        </w:rPr>
        <w:t xml:space="preserve">risk definition employed in LATITUDE, 46% would recommend </w:t>
      </w:r>
      <w:r w:rsidR="00272E3A" w:rsidRPr="00E56BE0">
        <w:rPr>
          <w:rFonts w:ascii="Times New Roman" w:hAnsi="Times New Roman" w:cs="Times New Roman"/>
          <w:sz w:val="24"/>
          <w:szCs w:val="24"/>
        </w:rPr>
        <w:t>ARTA</w:t>
      </w:r>
      <w:r w:rsidRPr="00E56BE0">
        <w:rPr>
          <w:rFonts w:ascii="Times New Roman" w:hAnsi="Times New Roman" w:cs="Times New Roman"/>
          <w:sz w:val="24"/>
          <w:szCs w:val="24"/>
        </w:rPr>
        <w:t xml:space="preserve"> use in </w:t>
      </w:r>
      <w:r w:rsidR="00272E3A" w:rsidRPr="00E56BE0">
        <w:rPr>
          <w:rFonts w:ascii="Times New Roman" w:hAnsi="Times New Roman" w:cs="Times New Roman"/>
          <w:sz w:val="24"/>
          <w:szCs w:val="24"/>
        </w:rPr>
        <w:t>such</w:t>
      </w:r>
      <w:r w:rsidRPr="00E56BE0">
        <w:rPr>
          <w:rFonts w:ascii="Times New Roman" w:hAnsi="Times New Roman" w:cs="Times New Roman"/>
          <w:sz w:val="24"/>
          <w:szCs w:val="24"/>
        </w:rPr>
        <w:t xml:space="preserve"> patients but only 36% in low-risk patients. </w:t>
      </w:r>
      <w:r w:rsidR="00301CDA" w:rsidRPr="00E56BE0">
        <w:rPr>
          <w:rFonts w:ascii="Times New Roman" w:hAnsi="Times New Roman" w:cs="Times New Roman"/>
          <w:sz w:val="24"/>
          <w:szCs w:val="24"/>
        </w:rPr>
        <w:t xml:space="preserve">In this study, the relative risk of death in </w:t>
      </w:r>
      <w:r w:rsidR="00272E3A" w:rsidRPr="00E56BE0">
        <w:rPr>
          <w:rFonts w:ascii="Times New Roman" w:hAnsi="Times New Roman" w:cs="Times New Roman"/>
          <w:sz w:val="24"/>
          <w:szCs w:val="24"/>
        </w:rPr>
        <w:t>this population</w:t>
      </w:r>
      <w:r w:rsidR="00301CDA" w:rsidRPr="00E56BE0">
        <w:rPr>
          <w:rFonts w:ascii="Times New Roman" w:hAnsi="Times New Roman" w:cs="Times New Roman"/>
          <w:sz w:val="24"/>
          <w:szCs w:val="24"/>
        </w:rPr>
        <w:t xml:space="preserve"> was significantly reduced with ADT and AAP relative to ADT alone and risk of radiographic progression or death was also significantly reduced.</w:t>
      </w:r>
      <w:r w:rsidR="00272895" w:rsidRPr="00272895">
        <w:rPr>
          <w:rFonts w:ascii="Times New Roman" w:hAnsi="Times New Roman" w:cs="Times New Roman"/>
          <w:sz w:val="24"/>
          <w:szCs w:val="24"/>
          <w:vertAlign w:val="superscript"/>
        </w:rPr>
        <w:t>8</w:t>
      </w:r>
      <w:r w:rsidR="00301CDA" w:rsidRPr="00E56BE0">
        <w:rPr>
          <w:rFonts w:ascii="Times New Roman" w:hAnsi="Times New Roman" w:cs="Times New Roman"/>
          <w:sz w:val="24"/>
          <w:szCs w:val="24"/>
        </w:rPr>
        <w:t xml:space="preserve"> </w:t>
      </w:r>
      <w:r w:rsidR="003F3D4E">
        <w:rPr>
          <w:rFonts w:ascii="Times New Roman" w:hAnsi="Times New Roman" w:cs="Times New Roman"/>
          <w:sz w:val="24"/>
          <w:szCs w:val="24"/>
        </w:rPr>
        <w:t>Additionally</w:t>
      </w:r>
      <w:r w:rsidR="00272E3A" w:rsidRPr="00E56BE0">
        <w:rPr>
          <w:rFonts w:ascii="Times New Roman" w:hAnsi="Times New Roman" w:cs="Times New Roman"/>
          <w:sz w:val="24"/>
          <w:szCs w:val="24"/>
        </w:rPr>
        <w:t xml:space="preserve">, a post-hoc analysis of data from LATITUDE </w:t>
      </w:r>
      <w:r w:rsidR="003F3D4E">
        <w:rPr>
          <w:rFonts w:ascii="Times New Roman" w:hAnsi="Times New Roman" w:cs="Times New Roman"/>
          <w:sz w:val="24"/>
          <w:szCs w:val="24"/>
        </w:rPr>
        <w:t xml:space="preserve">has shown that in the </w:t>
      </w:r>
      <w:r w:rsidR="00272E3A" w:rsidRPr="00E56BE0">
        <w:rPr>
          <w:rFonts w:ascii="Times New Roman" w:hAnsi="Times New Roman" w:cs="Times New Roman"/>
          <w:sz w:val="24"/>
          <w:szCs w:val="24"/>
        </w:rPr>
        <w:t>subgroup with high-volume disease</w:t>
      </w:r>
      <w:r w:rsidR="003F3D4E">
        <w:rPr>
          <w:rFonts w:ascii="Times New Roman" w:hAnsi="Times New Roman" w:cs="Times New Roman"/>
          <w:sz w:val="24"/>
          <w:szCs w:val="24"/>
        </w:rPr>
        <w:t xml:space="preserve"> (</w:t>
      </w:r>
      <w:r w:rsidR="00272E3A" w:rsidRPr="00E56BE0">
        <w:rPr>
          <w:rFonts w:ascii="Times New Roman" w:hAnsi="Times New Roman" w:cs="Times New Roman"/>
          <w:sz w:val="24"/>
          <w:szCs w:val="24"/>
        </w:rPr>
        <w:t>CHAARTED criteria</w:t>
      </w:r>
      <w:r w:rsidR="003F3D4E">
        <w:rPr>
          <w:rFonts w:ascii="Times New Roman" w:hAnsi="Times New Roman" w:cs="Times New Roman"/>
          <w:sz w:val="24"/>
          <w:szCs w:val="24"/>
        </w:rPr>
        <w:t xml:space="preserve">) there was also a significant </w:t>
      </w:r>
      <w:r w:rsidR="005839CD">
        <w:rPr>
          <w:rFonts w:ascii="Times New Roman" w:hAnsi="Times New Roman" w:cs="Times New Roman"/>
          <w:sz w:val="24"/>
          <w:szCs w:val="24"/>
        </w:rPr>
        <w:t xml:space="preserve">overall </w:t>
      </w:r>
      <w:r w:rsidR="003F3D4E">
        <w:rPr>
          <w:rFonts w:ascii="Times New Roman" w:hAnsi="Times New Roman" w:cs="Times New Roman"/>
          <w:sz w:val="24"/>
          <w:szCs w:val="24"/>
        </w:rPr>
        <w:t>survival benefit</w:t>
      </w:r>
      <w:r w:rsidR="00C451FC">
        <w:rPr>
          <w:rFonts w:ascii="Times New Roman" w:hAnsi="Times New Roman" w:cs="Times New Roman"/>
          <w:sz w:val="24"/>
          <w:szCs w:val="24"/>
        </w:rPr>
        <w:t>,</w:t>
      </w:r>
      <w:r w:rsidR="00272895" w:rsidRPr="00272895">
        <w:rPr>
          <w:rFonts w:ascii="Times New Roman" w:hAnsi="Times New Roman" w:cs="Times New Roman"/>
          <w:sz w:val="24"/>
          <w:szCs w:val="24"/>
          <w:vertAlign w:val="superscript"/>
        </w:rPr>
        <w:t>9</w:t>
      </w:r>
      <w:r w:rsidR="00C451FC">
        <w:rPr>
          <w:rFonts w:ascii="Times New Roman" w:hAnsi="Times New Roman" w:cs="Times New Roman"/>
          <w:sz w:val="24"/>
          <w:szCs w:val="24"/>
        </w:rPr>
        <w:t xml:space="preserve"> and similar outcomes </w:t>
      </w:r>
      <w:r w:rsidR="005839CD">
        <w:rPr>
          <w:rFonts w:ascii="Times New Roman" w:hAnsi="Times New Roman" w:cs="Times New Roman"/>
          <w:sz w:val="24"/>
          <w:szCs w:val="24"/>
        </w:rPr>
        <w:t xml:space="preserve">with AAP </w:t>
      </w:r>
      <w:r w:rsidR="00C451FC">
        <w:rPr>
          <w:rFonts w:ascii="Times New Roman" w:hAnsi="Times New Roman" w:cs="Times New Roman"/>
          <w:sz w:val="24"/>
          <w:szCs w:val="24"/>
        </w:rPr>
        <w:t xml:space="preserve">have been reported </w:t>
      </w:r>
      <w:r w:rsidR="005839CD">
        <w:rPr>
          <w:rFonts w:ascii="Times New Roman" w:hAnsi="Times New Roman" w:cs="Times New Roman"/>
          <w:sz w:val="24"/>
          <w:szCs w:val="24"/>
        </w:rPr>
        <w:t>from STAMPEDE.</w:t>
      </w:r>
      <w:r w:rsidR="00272895" w:rsidRPr="00272895">
        <w:rPr>
          <w:rFonts w:ascii="Times New Roman" w:hAnsi="Times New Roman" w:cs="Times New Roman"/>
          <w:sz w:val="24"/>
          <w:szCs w:val="24"/>
          <w:vertAlign w:val="superscript"/>
        </w:rPr>
        <w:t>11</w:t>
      </w:r>
      <w:r w:rsidR="005839CD">
        <w:rPr>
          <w:rFonts w:ascii="Times New Roman" w:hAnsi="Times New Roman" w:cs="Times New Roman"/>
          <w:sz w:val="24"/>
          <w:szCs w:val="24"/>
        </w:rPr>
        <w:t xml:space="preserve"> In ARCHES, enzalutamide treatment was associated with improved radiographic progression-free survival in both high- and low-volume disease,</w:t>
      </w:r>
      <w:r w:rsidR="00272895" w:rsidRPr="00272895">
        <w:rPr>
          <w:rFonts w:ascii="Times New Roman" w:hAnsi="Times New Roman" w:cs="Times New Roman"/>
          <w:sz w:val="24"/>
          <w:szCs w:val="24"/>
          <w:vertAlign w:val="superscript"/>
        </w:rPr>
        <w:t>12</w:t>
      </w:r>
      <w:r w:rsidR="005839CD">
        <w:rPr>
          <w:rFonts w:ascii="Times New Roman" w:hAnsi="Times New Roman" w:cs="Times New Roman"/>
          <w:sz w:val="24"/>
          <w:szCs w:val="24"/>
        </w:rPr>
        <w:t xml:space="preserve"> but there was no apparent benefit with apalutamide in patients with low-volume mHSPC in TITAN.</w:t>
      </w:r>
      <w:r w:rsidR="00272895" w:rsidRPr="00272895">
        <w:rPr>
          <w:rFonts w:ascii="Times New Roman" w:hAnsi="Times New Roman" w:cs="Times New Roman"/>
          <w:sz w:val="24"/>
          <w:szCs w:val="24"/>
          <w:vertAlign w:val="superscript"/>
        </w:rPr>
        <w:t>14</w:t>
      </w:r>
      <w:r w:rsidR="00F114C8">
        <w:rPr>
          <w:rFonts w:ascii="Times New Roman" w:hAnsi="Times New Roman" w:cs="Times New Roman"/>
          <w:sz w:val="24"/>
          <w:szCs w:val="24"/>
        </w:rPr>
        <w:t xml:space="preserve"> </w:t>
      </w:r>
    </w:p>
    <w:p w14:paraId="6353E91B" w14:textId="0F351DD6" w:rsidR="00D26B7A" w:rsidRDefault="00D26B7A" w:rsidP="00D26B7A">
      <w:pPr>
        <w:spacing w:line="480" w:lineRule="auto"/>
        <w:ind w:firstLine="720"/>
        <w:rPr>
          <w:rFonts w:ascii="Times New Roman" w:hAnsi="Times New Roman" w:cs="Times New Roman"/>
          <w:sz w:val="24"/>
          <w:szCs w:val="24"/>
        </w:rPr>
      </w:pPr>
      <w:r w:rsidRPr="00E56BE0">
        <w:rPr>
          <w:rFonts w:ascii="Times New Roman" w:hAnsi="Times New Roman" w:cs="Times New Roman"/>
          <w:sz w:val="24"/>
          <w:szCs w:val="24"/>
        </w:rPr>
        <w:t>ARTAs may be suitable for patients not sufficiently fit for chemotherapy due to frailty, comorbidities, a high risk of infection with chemotherapy or pre-existing neuropathy that could be exacerbated by docetaxel. However, these agents are not without side effects themselves</w:t>
      </w:r>
      <w:r>
        <w:rPr>
          <w:rFonts w:ascii="Times New Roman" w:hAnsi="Times New Roman" w:cs="Times New Roman"/>
          <w:sz w:val="24"/>
          <w:szCs w:val="24"/>
        </w:rPr>
        <w:t xml:space="preserve"> </w:t>
      </w:r>
      <w:r w:rsidR="001D541A">
        <w:rPr>
          <w:rFonts w:ascii="Times New Roman" w:hAnsi="Times New Roman" w:cs="Times New Roman"/>
          <w:sz w:val="24"/>
          <w:szCs w:val="24"/>
        </w:rPr>
        <w:t xml:space="preserve">that can influence selection of a </w:t>
      </w:r>
      <w:proofErr w:type="gramStart"/>
      <w:r w:rsidR="001D541A">
        <w:rPr>
          <w:rFonts w:ascii="Times New Roman" w:hAnsi="Times New Roman" w:cs="Times New Roman"/>
          <w:sz w:val="24"/>
          <w:szCs w:val="24"/>
        </w:rPr>
        <w:t>particular agent</w:t>
      </w:r>
      <w:proofErr w:type="gramEnd"/>
      <w:r w:rsidRPr="00E56BE0">
        <w:rPr>
          <w:rFonts w:ascii="Times New Roman" w:hAnsi="Times New Roman" w:cs="Times New Roman"/>
          <w:sz w:val="24"/>
          <w:szCs w:val="24"/>
        </w:rPr>
        <w:t>.</w:t>
      </w:r>
      <w:r w:rsidR="005865D5" w:rsidRPr="005865D5">
        <w:rPr>
          <w:rFonts w:ascii="Times New Roman" w:hAnsi="Times New Roman" w:cs="Times New Roman"/>
          <w:sz w:val="24"/>
          <w:szCs w:val="24"/>
          <w:vertAlign w:val="superscript"/>
        </w:rPr>
        <w:t>12, 14</w:t>
      </w:r>
      <w:r w:rsidRPr="00E56BE0">
        <w:rPr>
          <w:rFonts w:ascii="Times New Roman" w:hAnsi="Times New Roman" w:cs="Times New Roman"/>
          <w:sz w:val="24"/>
          <w:szCs w:val="24"/>
        </w:rPr>
        <w:t xml:space="preserve"> </w:t>
      </w:r>
    </w:p>
    <w:p w14:paraId="7D841946" w14:textId="2D11D8EA" w:rsidR="00373469" w:rsidRDefault="00D60466" w:rsidP="00A344E6">
      <w:pPr>
        <w:spacing w:line="480" w:lineRule="auto"/>
        <w:ind w:firstLine="720"/>
        <w:rPr>
          <w:rFonts w:ascii="Times New Roman" w:hAnsi="Times New Roman" w:cs="Times New Roman"/>
          <w:sz w:val="24"/>
          <w:szCs w:val="24"/>
        </w:rPr>
      </w:pPr>
      <w:r>
        <w:rPr>
          <w:rFonts w:ascii="Times New Roman" w:hAnsi="Times New Roman" w:cs="Times New Roman"/>
          <w:sz w:val="24"/>
          <w:szCs w:val="24"/>
        </w:rPr>
        <w:t>Treatment with a</w:t>
      </w:r>
      <w:r w:rsidR="00D26B7A">
        <w:rPr>
          <w:rFonts w:ascii="Times New Roman" w:hAnsi="Times New Roman" w:cs="Times New Roman"/>
          <w:sz w:val="24"/>
          <w:szCs w:val="24"/>
        </w:rPr>
        <w:t>biraterone</w:t>
      </w:r>
      <w:r w:rsidR="00945E51">
        <w:rPr>
          <w:rFonts w:ascii="Times New Roman" w:hAnsi="Times New Roman" w:cs="Times New Roman"/>
          <w:sz w:val="24"/>
          <w:szCs w:val="24"/>
        </w:rPr>
        <w:t xml:space="preserve"> is</w:t>
      </w:r>
      <w:r w:rsidR="00D26B7A">
        <w:rPr>
          <w:rFonts w:ascii="Times New Roman" w:hAnsi="Times New Roman" w:cs="Times New Roman"/>
          <w:sz w:val="24"/>
          <w:szCs w:val="24"/>
        </w:rPr>
        <w:t xml:space="preserve"> associated with </w:t>
      </w:r>
      <w:r w:rsidR="00945E51">
        <w:rPr>
          <w:rFonts w:ascii="Times New Roman" w:hAnsi="Times New Roman" w:cs="Times New Roman"/>
          <w:sz w:val="24"/>
          <w:szCs w:val="24"/>
        </w:rPr>
        <w:t xml:space="preserve">an increased frequency </w:t>
      </w:r>
      <w:r>
        <w:rPr>
          <w:rFonts w:ascii="Times New Roman" w:hAnsi="Times New Roman" w:cs="Times New Roman"/>
          <w:sz w:val="24"/>
          <w:szCs w:val="24"/>
        </w:rPr>
        <w:t xml:space="preserve">of </w:t>
      </w:r>
      <w:r w:rsidR="00D26B7A">
        <w:rPr>
          <w:rFonts w:ascii="Times New Roman" w:hAnsi="Times New Roman" w:cs="Times New Roman"/>
          <w:sz w:val="24"/>
          <w:szCs w:val="24"/>
        </w:rPr>
        <w:t>hypertension</w:t>
      </w:r>
      <w:r>
        <w:rPr>
          <w:rFonts w:ascii="Times New Roman" w:hAnsi="Times New Roman" w:cs="Times New Roman"/>
          <w:sz w:val="24"/>
          <w:szCs w:val="24"/>
        </w:rPr>
        <w:t>, hypokalaemia and fluid retention,</w:t>
      </w:r>
      <w:r w:rsidR="005865D5" w:rsidRPr="005865D5">
        <w:rPr>
          <w:rFonts w:ascii="Times New Roman" w:hAnsi="Times New Roman" w:cs="Times New Roman"/>
          <w:sz w:val="24"/>
          <w:szCs w:val="24"/>
          <w:vertAlign w:val="superscript"/>
        </w:rPr>
        <w:t>8</w:t>
      </w:r>
      <w:r>
        <w:rPr>
          <w:rFonts w:ascii="Times New Roman" w:hAnsi="Times New Roman" w:cs="Times New Roman"/>
          <w:sz w:val="24"/>
          <w:szCs w:val="24"/>
        </w:rPr>
        <w:t xml:space="preserve"> likely</w:t>
      </w:r>
      <w:r w:rsidR="00945E51">
        <w:rPr>
          <w:rFonts w:ascii="Times New Roman" w:hAnsi="Times New Roman" w:cs="Times New Roman"/>
          <w:sz w:val="24"/>
          <w:szCs w:val="24"/>
        </w:rPr>
        <w:t xml:space="preserve"> due to increased mineralocorticoid levels resulting from CYP17 inhibition. Therefore,</w:t>
      </w:r>
      <w:r w:rsidR="00D26B7A">
        <w:rPr>
          <w:rFonts w:ascii="Times New Roman" w:hAnsi="Times New Roman" w:cs="Times New Roman"/>
          <w:sz w:val="24"/>
          <w:szCs w:val="24"/>
        </w:rPr>
        <w:t xml:space="preserve"> caution is recommended when considering treatment in men </w:t>
      </w:r>
      <w:r>
        <w:rPr>
          <w:rFonts w:ascii="Times New Roman" w:hAnsi="Times New Roman" w:cs="Times New Roman"/>
          <w:sz w:val="24"/>
          <w:szCs w:val="24"/>
        </w:rPr>
        <w:t xml:space="preserve">at risk of, or </w:t>
      </w:r>
      <w:r w:rsidR="00D26B7A">
        <w:rPr>
          <w:rFonts w:ascii="Times New Roman" w:hAnsi="Times New Roman" w:cs="Times New Roman"/>
          <w:sz w:val="24"/>
          <w:szCs w:val="24"/>
        </w:rPr>
        <w:t>w</w:t>
      </w:r>
      <w:r w:rsidR="00945E51">
        <w:rPr>
          <w:rFonts w:ascii="Times New Roman" w:hAnsi="Times New Roman" w:cs="Times New Roman"/>
          <w:sz w:val="24"/>
          <w:szCs w:val="24"/>
        </w:rPr>
        <w:t xml:space="preserve">ith </w:t>
      </w:r>
      <w:r>
        <w:rPr>
          <w:rFonts w:ascii="Times New Roman" w:hAnsi="Times New Roman" w:cs="Times New Roman"/>
          <w:sz w:val="24"/>
          <w:szCs w:val="24"/>
        </w:rPr>
        <w:t xml:space="preserve">established </w:t>
      </w:r>
      <w:r w:rsidR="00945E51">
        <w:rPr>
          <w:rFonts w:ascii="Times New Roman" w:hAnsi="Times New Roman" w:cs="Times New Roman"/>
          <w:sz w:val="24"/>
          <w:szCs w:val="24"/>
        </w:rPr>
        <w:t>cardiovascular disease</w:t>
      </w:r>
      <w:r>
        <w:rPr>
          <w:rFonts w:ascii="Times New Roman" w:hAnsi="Times New Roman" w:cs="Times New Roman"/>
          <w:sz w:val="24"/>
          <w:szCs w:val="24"/>
        </w:rPr>
        <w:t xml:space="preserve">, and intensive monitoring </w:t>
      </w:r>
      <w:r w:rsidR="00E53347">
        <w:rPr>
          <w:rFonts w:ascii="Times New Roman" w:hAnsi="Times New Roman" w:cs="Times New Roman"/>
          <w:sz w:val="24"/>
          <w:szCs w:val="24"/>
        </w:rPr>
        <w:t xml:space="preserve">of blood pressure, serum potassium and fluid retention </w:t>
      </w:r>
      <w:r>
        <w:rPr>
          <w:rFonts w:ascii="Times New Roman" w:hAnsi="Times New Roman" w:cs="Times New Roman"/>
          <w:sz w:val="24"/>
          <w:szCs w:val="24"/>
        </w:rPr>
        <w:t>is required</w:t>
      </w:r>
      <w:r w:rsidR="00945E51">
        <w:rPr>
          <w:rFonts w:ascii="Times New Roman" w:hAnsi="Times New Roman" w:cs="Times New Roman"/>
          <w:sz w:val="24"/>
          <w:szCs w:val="24"/>
        </w:rPr>
        <w:t>.</w:t>
      </w:r>
      <w:r w:rsidR="005865D5" w:rsidRPr="005865D5">
        <w:rPr>
          <w:rFonts w:ascii="Times New Roman" w:hAnsi="Times New Roman" w:cs="Times New Roman"/>
          <w:sz w:val="24"/>
          <w:szCs w:val="24"/>
          <w:vertAlign w:val="superscript"/>
        </w:rPr>
        <w:t>23</w:t>
      </w:r>
      <w:r>
        <w:rPr>
          <w:rFonts w:ascii="Times New Roman" w:hAnsi="Times New Roman" w:cs="Times New Roman"/>
          <w:sz w:val="24"/>
          <w:szCs w:val="24"/>
        </w:rPr>
        <w:t xml:space="preserve"> The combination with prednisone </w:t>
      </w:r>
      <w:r>
        <w:rPr>
          <w:rFonts w:ascii="Times New Roman" w:hAnsi="Times New Roman" w:cs="Times New Roman"/>
          <w:sz w:val="24"/>
          <w:szCs w:val="24"/>
        </w:rPr>
        <w:lastRenderedPageBreak/>
        <w:t>also necessitates frequent blood sugar monitoring in patients with diabetes.</w:t>
      </w:r>
      <w:r w:rsidR="00B373FB">
        <w:rPr>
          <w:rFonts w:ascii="Times New Roman" w:hAnsi="Times New Roman" w:cs="Times New Roman"/>
          <w:sz w:val="24"/>
          <w:szCs w:val="24"/>
        </w:rPr>
        <w:t xml:space="preserve"> </w:t>
      </w:r>
      <w:r w:rsidR="00373469">
        <w:rPr>
          <w:rFonts w:ascii="Times New Roman" w:hAnsi="Times New Roman" w:cs="Times New Roman"/>
          <w:sz w:val="24"/>
          <w:szCs w:val="24"/>
        </w:rPr>
        <w:t>Hypertension also occurs with both enzalutamide and apalutamide</w:t>
      </w:r>
      <w:r w:rsidR="005865D5" w:rsidRPr="005865D5">
        <w:rPr>
          <w:rFonts w:ascii="Times New Roman" w:hAnsi="Times New Roman" w:cs="Times New Roman"/>
          <w:sz w:val="24"/>
          <w:szCs w:val="24"/>
          <w:vertAlign w:val="superscript"/>
        </w:rPr>
        <w:t>12-14</w:t>
      </w:r>
      <w:r w:rsidR="00B373FB">
        <w:rPr>
          <w:rFonts w:ascii="Times New Roman" w:hAnsi="Times New Roman" w:cs="Times New Roman"/>
          <w:sz w:val="24"/>
          <w:szCs w:val="24"/>
        </w:rPr>
        <w:t xml:space="preserve"> </w:t>
      </w:r>
      <w:r w:rsidR="00373469">
        <w:rPr>
          <w:rFonts w:ascii="Times New Roman" w:hAnsi="Times New Roman" w:cs="Times New Roman"/>
          <w:sz w:val="24"/>
          <w:szCs w:val="24"/>
        </w:rPr>
        <w:t>and monitoring is advised</w:t>
      </w:r>
      <w:r w:rsidR="00B373FB">
        <w:rPr>
          <w:rFonts w:ascii="Times New Roman" w:hAnsi="Times New Roman" w:cs="Times New Roman"/>
          <w:sz w:val="24"/>
          <w:szCs w:val="24"/>
        </w:rPr>
        <w:t>, especially in those with known cardiovascular risk factors.</w:t>
      </w:r>
      <w:r w:rsidR="005865D5" w:rsidRPr="005865D5">
        <w:rPr>
          <w:rFonts w:ascii="Times New Roman" w:hAnsi="Times New Roman" w:cs="Times New Roman"/>
          <w:sz w:val="24"/>
          <w:szCs w:val="24"/>
          <w:vertAlign w:val="superscript"/>
        </w:rPr>
        <w:t>24, 25</w:t>
      </w:r>
      <w:r w:rsidR="00373469">
        <w:rPr>
          <w:rFonts w:ascii="Times New Roman" w:hAnsi="Times New Roman" w:cs="Times New Roman"/>
          <w:sz w:val="24"/>
          <w:szCs w:val="24"/>
        </w:rPr>
        <w:t xml:space="preserve"> </w:t>
      </w:r>
    </w:p>
    <w:p w14:paraId="185AC831" w14:textId="124AD45E" w:rsidR="00373469" w:rsidRDefault="00D60466" w:rsidP="00E53347">
      <w:pPr>
        <w:spacing w:line="480" w:lineRule="auto"/>
        <w:ind w:firstLine="720"/>
        <w:rPr>
          <w:rFonts w:ascii="Times New Roman" w:hAnsi="Times New Roman" w:cs="Times New Roman"/>
          <w:sz w:val="24"/>
          <w:szCs w:val="24"/>
        </w:rPr>
      </w:pPr>
      <w:r>
        <w:rPr>
          <w:rFonts w:ascii="Times New Roman" w:hAnsi="Times New Roman" w:cs="Times New Roman"/>
          <w:sz w:val="24"/>
          <w:szCs w:val="24"/>
        </w:rPr>
        <w:t>An increased percentage of patients receiving ADT and enzalutamide in clinical trials experienced cognitive impairment relative to ADT alone</w:t>
      </w:r>
      <w:r w:rsidR="005865D5" w:rsidRPr="005865D5">
        <w:rPr>
          <w:rFonts w:ascii="Times New Roman" w:hAnsi="Times New Roman" w:cs="Times New Roman"/>
          <w:sz w:val="24"/>
          <w:szCs w:val="24"/>
          <w:vertAlign w:val="superscript"/>
        </w:rPr>
        <w:t>12, 13</w:t>
      </w:r>
      <w:r w:rsidR="005839CD">
        <w:rPr>
          <w:rFonts w:ascii="Times New Roman" w:hAnsi="Times New Roman" w:cs="Times New Roman"/>
          <w:sz w:val="24"/>
          <w:szCs w:val="24"/>
        </w:rPr>
        <w:t xml:space="preserve"> and th</w:t>
      </w:r>
      <w:r w:rsidR="00B373FB">
        <w:rPr>
          <w:rFonts w:ascii="Times New Roman" w:hAnsi="Times New Roman" w:cs="Times New Roman"/>
          <w:sz w:val="24"/>
          <w:szCs w:val="24"/>
        </w:rPr>
        <w:t>is</w:t>
      </w:r>
      <w:r w:rsidR="005839CD">
        <w:rPr>
          <w:rFonts w:ascii="Times New Roman" w:hAnsi="Times New Roman" w:cs="Times New Roman"/>
          <w:sz w:val="24"/>
          <w:szCs w:val="24"/>
        </w:rPr>
        <w:t xml:space="preserve"> must be taken into consideration when selecting treatment</w:t>
      </w:r>
      <w:r>
        <w:rPr>
          <w:rFonts w:ascii="Times New Roman" w:hAnsi="Times New Roman" w:cs="Times New Roman"/>
          <w:sz w:val="24"/>
          <w:szCs w:val="24"/>
        </w:rPr>
        <w:t>.</w:t>
      </w:r>
      <w:r w:rsidR="001D541A">
        <w:rPr>
          <w:rFonts w:ascii="Times New Roman" w:hAnsi="Times New Roman" w:cs="Times New Roman"/>
          <w:sz w:val="24"/>
          <w:szCs w:val="24"/>
        </w:rPr>
        <w:t xml:space="preserve"> </w:t>
      </w:r>
      <w:r w:rsidR="00B373FB">
        <w:rPr>
          <w:rFonts w:ascii="Times New Roman" w:hAnsi="Times New Roman" w:cs="Times New Roman"/>
          <w:sz w:val="24"/>
          <w:szCs w:val="24"/>
        </w:rPr>
        <w:t>A</w:t>
      </w:r>
      <w:r w:rsidR="0000386A">
        <w:rPr>
          <w:rFonts w:ascii="Times New Roman" w:hAnsi="Times New Roman" w:cs="Times New Roman"/>
          <w:sz w:val="24"/>
          <w:szCs w:val="24"/>
        </w:rPr>
        <w:t xml:space="preserve">palutamide treatment is associated with </w:t>
      </w:r>
      <w:r w:rsidR="001D541A">
        <w:rPr>
          <w:rFonts w:ascii="Times New Roman" w:hAnsi="Times New Roman" w:cs="Times New Roman"/>
          <w:sz w:val="24"/>
          <w:szCs w:val="24"/>
        </w:rPr>
        <w:t>an increased frequency of falls and fractures, skin rash and thyroid function abnormalities, all impacting patient selection.</w:t>
      </w:r>
      <w:r w:rsidR="005865D5" w:rsidRPr="005865D5">
        <w:rPr>
          <w:rFonts w:ascii="Times New Roman" w:hAnsi="Times New Roman" w:cs="Times New Roman"/>
          <w:sz w:val="24"/>
          <w:szCs w:val="24"/>
          <w:vertAlign w:val="superscript"/>
        </w:rPr>
        <w:t>14</w:t>
      </w:r>
      <w:r w:rsidR="001D541A">
        <w:rPr>
          <w:rFonts w:ascii="Times New Roman" w:hAnsi="Times New Roman" w:cs="Times New Roman"/>
          <w:sz w:val="24"/>
          <w:szCs w:val="24"/>
        </w:rPr>
        <w:t xml:space="preserve"> </w:t>
      </w:r>
      <w:r w:rsidR="00373469">
        <w:rPr>
          <w:rFonts w:ascii="Times New Roman" w:hAnsi="Times New Roman" w:cs="Times New Roman"/>
          <w:sz w:val="24"/>
          <w:szCs w:val="24"/>
        </w:rPr>
        <w:t>There is also a need to monitor metabolic parameters in patients due to an increased risk of ischaemic heart disease.</w:t>
      </w:r>
      <w:r w:rsidR="005865D5" w:rsidRPr="005865D5">
        <w:rPr>
          <w:rFonts w:ascii="Times New Roman" w:hAnsi="Times New Roman" w:cs="Times New Roman"/>
          <w:sz w:val="24"/>
          <w:szCs w:val="24"/>
          <w:vertAlign w:val="superscript"/>
        </w:rPr>
        <w:t>25</w:t>
      </w:r>
      <w:r w:rsidR="00373469" w:rsidRPr="005865D5">
        <w:rPr>
          <w:rFonts w:ascii="Times New Roman" w:hAnsi="Times New Roman" w:cs="Times New Roman"/>
          <w:sz w:val="24"/>
          <w:szCs w:val="24"/>
          <w:vertAlign w:val="superscript"/>
        </w:rPr>
        <w:t xml:space="preserve"> </w:t>
      </w:r>
    </w:p>
    <w:p w14:paraId="3EC73962" w14:textId="6E5A4F68" w:rsidR="00E53347" w:rsidRDefault="00D60466" w:rsidP="00E5334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Fatigue is a key concern with </w:t>
      </w:r>
      <w:r w:rsidR="00E53347">
        <w:rPr>
          <w:rFonts w:ascii="Times New Roman" w:hAnsi="Times New Roman" w:cs="Times New Roman"/>
          <w:sz w:val="24"/>
          <w:szCs w:val="24"/>
        </w:rPr>
        <w:t xml:space="preserve">all </w:t>
      </w:r>
      <w:r>
        <w:rPr>
          <w:rFonts w:ascii="Times New Roman" w:hAnsi="Times New Roman" w:cs="Times New Roman"/>
          <w:sz w:val="24"/>
          <w:szCs w:val="24"/>
        </w:rPr>
        <w:t>ARTA</w:t>
      </w:r>
      <w:r w:rsidR="00E53347">
        <w:rPr>
          <w:rFonts w:ascii="Times New Roman" w:hAnsi="Times New Roman" w:cs="Times New Roman"/>
          <w:sz w:val="24"/>
          <w:szCs w:val="24"/>
        </w:rPr>
        <w:t>s</w:t>
      </w:r>
      <w:r w:rsidR="001D541A">
        <w:rPr>
          <w:rFonts w:ascii="Times New Roman" w:hAnsi="Times New Roman" w:cs="Times New Roman"/>
          <w:sz w:val="24"/>
          <w:szCs w:val="24"/>
        </w:rPr>
        <w:t>,</w:t>
      </w:r>
      <w:r w:rsidR="0000386A">
        <w:rPr>
          <w:rFonts w:ascii="Times New Roman" w:hAnsi="Times New Roman" w:cs="Times New Roman"/>
          <w:sz w:val="24"/>
          <w:szCs w:val="24"/>
        </w:rPr>
        <w:t xml:space="preserve"> and as </w:t>
      </w:r>
      <w:r w:rsidR="00E53347">
        <w:rPr>
          <w:rFonts w:ascii="Times New Roman" w:hAnsi="Times New Roman" w:cs="Times New Roman"/>
          <w:sz w:val="24"/>
          <w:szCs w:val="24"/>
        </w:rPr>
        <w:t>a small number of seizures were observed in the clinical trials</w:t>
      </w:r>
      <w:r w:rsidR="0000386A">
        <w:rPr>
          <w:rFonts w:ascii="Times New Roman" w:hAnsi="Times New Roman" w:cs="Times New Roman"/>
          <w:sz w:val="24"/>
          <w:szCs w:val="24"/>
        </w:rPr>
        <w:t xml:space="preserve">, caution is needed when considering treatment in men at increased risk or those with existing </w:t>
      </w:r>
      <w:r w:rsidR="00B373FB">
        <w:rPr>
          <w:rFonts w:ascii="Times New Roman" w:hAnsi="Times New Roman" w:cs="Times New Roman"/>
          <w:sz w:val="24"/>
          <w:szCs w:val="24"/>
        </w:rPr>
        <w:t>seizure disorder</w:t>
      </w:r>
      <w:r w:rsidR="00E53347">
        <w:rPr>
          <w:rFonts w:ascii="Times New Roman" w:hAnsi="Times New Roman" w:cs="Times New Roman"/>
          <w:sz w:val="24"/>
          <w:szCs w:val="24"/>
        </w:rPr>
        <w:t>.</w:t>
      </w:r>
      <w:r w:rsidR="005865D5" w:rsidRPr="005865D5">
        <w:rPr>
          <w:rFonts w:ascii="Times New Roman" w:hAnsi="Times New Roman" w:cs="Times New Roman"/>
          <w:sz w:val="24"/>
          <w:szCs w:val="24"/>
          <w:vertAlign w:val="superscript"/>
        </w:rPr>
        <w:t>8, 12, 14</w:t>
      </w:r>
      <w:r w:rsidR="00E53347">
        <w:rPr>
          <w:rFonts w:ascii="Times New Roman" w:hAnsi="Times New Roman" w:cs="Times New Roman"/>
          <w:sz w:val="24"/>
          <w:szCs w:val="24"/>
        </w:rPr>
        <w:t xml:space="preserve"> </w:t>
      </w:r>
    </w:p>
    <w:p w14:paraId="432911EF" w14:textId="42BFAF0A" w:rsidR="009D451A" w:rsidRDefault="00297D19" w:rsidP="00E53347">
      <w:pPr>
        <w:spacing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The m</w:t>
      </w:r>
      <w:r w:rsidR="009D451A">
        <w:rPr>
          <w:rFonts w:ascii="Times New Roman" w:hAnsi="Times New Roman" w:cs="Times New Roman"/>
          <w:sz w:val="24"/>
          <w:szCs w:val="24"/>
        </w:rPr>
        <w:t>ajority of</w:t>
      </w:r>
      <w:proofErr w:type="gramEnd"/>
      <w:r w:rsidR="009D451A">
        <w:rPr>
          <w:rFonts w:ascii="Times New Roman" w:hAnsi="Times New Roman" w:cs="Times New Roman"/>
          <w:sz w:val="24"/>
          <w:szCs w:val="24"/>
        </w:rPr>
        <w:t xml:space="preserve"> uro-oncologists would select abiraterone as their first choice ARTA, followed by enzalutamide. Although there was no specific question regarding reasons</w:t>
      </w:r>
      <w:r w:rsidR="00485CE5">
        <w:rPr>
          <w:rFonts w:ascii="Times New Roman" w:hAnsi="Times New Roman" w:cs="Times New Roman"/>
          <w:sz w:val="24"/>
          <w:szCs w:val="24"/>
        </w:rPr>
        <w:t xml:space="preserve"> for this choice</w:t>
      </w:r>
      <w:r w:rsidR="009D451A">
        <w:rPr>
          <w:rFonts w:ascii="Times New Roman" w:hAnsi="Times New Roman" w:cs="Times New Roman"/>
          <w:sz w:val="24"/>
          <w:szCs w:val="24"/>
        </w:rPr>
        <w:t xml:space="preserve">, it may be reasonable to argue that as these </w:t>
      </w:r>
      <w:r w:rsidR="00485CE5">
        <w:rPr>
          <w:rFonts w:ascii="Times New Roman" w:hAnsi="Times New Roman" w:cs="Times New Roman"/>
          <w:sz w:val="24"/>
          <w:szCs w:val="24"/>
        </w:rPr>
        <w:t xml:space="preserve">two </w:t>
      </w:r>
      <w:r w:rsidR="009D451A">
        <w:rPr>
          <w:rFonts w:ascii="Times New Roman" w:hAnsi="Times New Roman" w:cs="Times New Roman"/>
          <w:sz w:val="24"/>
          <w:szCs w:val="24"/>
        </w:rPr>
        <w:t xml:space="preserve">agents have been approved for a number of years and </w:t>
      </w:r>
      <w:r w:rsidR="00485CE5">
        <w:rPr>
          <w:rFonts w:ascii="Times New Roman" w:hAnsi="Times New Roman" w:cs="Times New Roman"/>
          <w:sz w:val="24"/>
          <w:szCs w:val="24"/>
        </w:rPr>
        <w:t xml:space="preserve">are </w:t>
      </w:r>
      <w:r w:rsidR="009D451A">
        <w:rPr>
          <w:rFonts w:ascii="Times New Roman" w:hAnsi="Times New Roman" w:cs="Times New Roman"/>
          <w:sz w:val="24"/>
          <w:szCs w:val="24"/>
        </w:rPr>
        <w:t xml:space="preserve">recommended by NICE as </w:t>
      </w:r>
      <w:r w:rsidR="00485CE5">
        <w:rPr>
          <w:rFonts w:ascii="Times New Roman" w:hAnsi="Times New Roman" w:cs="Times New Roman"/>
          <w:sz w:val="24"/>
          <w:szCs w:val="24"/>
        </w:rPr>
        <w:t>second-line</w:t>
      </w:r>
      <w:r w:rsidR="009D451A">
        <w:rPr>
          <w:rFonts w:ascii="Times New Roman" w:hAnsi="Times New Roman" w:cs="Times New Roman"/>
          <w:sz w:val="24"/>
          <w:szCs w:val="24"/>
        </w:rPr>
        <w:t xml:space="preserve"> option</w:t>
      </w:r>
      <w:r w:rsidR="00485CE5">
        <w:rPr>
          <w:rFonts w:ascii="Times New Roman" w:hAnsi="Times New Roman" w:cs="Times New Roman"/>
          <w:sz w:val="24"/>
          <w:szCs w:val="24"/>
        </w:rPr>
        <w:t>s</w:t>
      </w:r>
      <w:r w:rsidR="009D451A">
        <w:rPr>
          <w:rFonts w:ascii="Times New Roman" w:hAnsi="Times New Roman" w:cs="Times New Roman"/>
          <w:sz w:val="24"/>
          <w:szCs w:val="24"/>
        </w:rPr>
        <w:t xml:space="preserve"> for the treatment of mCRPC following previous treatment with docetaxe</w:t>
      </w:r>
      <w:r w:rsidR="005865D5">
        <w:rPr>
          <w:rFonts w:ascii="Times New Roman" w:hAnsi="Times New Roman" w:cs="Times New Roman"/>
          <w:sz w:val="24"/>
          <w:szCs w:val="24"/>
        </w:rPr>
        <w:t>l</w:t>
      </w:r>
      <w:r w:rsidR="00AD5C10">
        <w:rPr>
          <w:rFonts w:ascii="Times New Roman" w:hAnsi="Times New Roman" w:cs="Times New Roman"/>
          <w:sz w:val="24"/>
          <w:szCs w:val="24"/>
        </w:rPr>
        <w:t>,</w:t>
      </w:r>
      <w:r w:rsidR="005865D5" w:rsidRPr="005865D5">
        <w:rPr>
          <w:rFonts w:ascii="Times New Roman" w:hAnsi="Times New Roman" w:cs="Times New Roman"/>
          <w:sz w:val="24"/>
          <w:szCs w:val="24"/>
          <w:vertAlign w:val="superscript"/>
        </w:rPr>
        <w:t>26, 27</w:t>
      </w:r>
      <w:r w:rsidR="00AD5C10">
        <w:rPr>
          <w:rFonts w:ascii="Times New Roman" w:hAnsi="Times New Roman" w:cs="Times New Roman"/>
          <w:sz w:val="24"/>
          <w:szCs w:val="24"/>
        </w:rPr>
        <w:t xml:space="preserve"> t</w:t>
      </w:r>
      <w:r w:rsidR="009D451A">
        <w:rPr>
          <w:rFonts w:ascii="Times New Roman" w:hAnsi="Times New Roman" w:cs="Times New Roman"/>
          <w:sz w:val="24"/>
          <w:szCs w:val="24"/>
        </w:rPr>
        <w:t>his would suggest a longer period of clinical experience</w:t>
      </w:r>
      <w:r w:rsidR="00AD5C10">
        <w:rPr>
          <w:rFonts w:ascii="Times New Roman" w:hAnsi="Times New Roman" w:cs="Times New Roman"/>
          <w:sz w:val="24"/>
          <w:szCs w:val="24"/>
        </w:rPr>
        <w:t xml:space="preserve"> and established treatment pathways and monitoring regimens.</w:t>
      </w:r>
    </w:p>
    <w:p w14:paraId="64241305" w14:textId="5472A2B3" w:rsidR="00272E3A" w:rsidRPr="00E56BE0" w:rsidRDefault="00272E3A" w:rsidP="00487955">
      <w:pPr>
        <w:spacing w:line="480" w:lineRule="auto"/>
        <w:ind w:firstLine="720"/>
        <w:rPr>
          <w:rFonts w:ascii="Times New Roman" w:hAnsi="Times New Roman" w:cs="Times New Roman"/>
          <w:sz w:val="24"/>
          <w:szCs w:val="24"/>
        </w:rPr>
      </w:pPr>
      <w:r w:rsidRPr="00E56BE0">
        <w:rPr>
          <w:rFonts w:ascii="Times New Roman" w:hAnsi="Times New Roman" w:cs="Times New Roman"/>
          <w:sz w:val="24"/>
          <w:szCs w:val="24"/>
        </w:rPr>
        <w:t xml:space="preserve">In patients receiving ADT and docetaxel, </w:t>
      </w:r>
      <w:r w:rsidR="00AB6054">
        <w:rPr>
          <w:rFonts w:ascii="Times New Roman" w:hAnsi="Times New Roman" w:cs="Times New Roman"/>
          <w:sz w:val="24"/>
          <w:szCs w:val="24"/>
        </w:rPr>
        <w:t>47</w:t>
      </w:r>
      <w:r w:rsidRPr="00E56BE0">
        <w:rPr>
          <w:rFonts w:ascii="Times New Roman" w:hAnsi="Times New Roman" w:cs="Times New Roman"/>
          <w:sz w:val="24"/>
          <w:szCs w:val="24"/>
        </w:rPr>
        <w:t xml:space="preserve">% of respondents stated that they would </w:t>
      </w:r>
      <w:r w:rsidR="00AB6054">
        <w:rPr>
          <w:rFonts w:ascii="Times New Roman" w:hAnsi="Times New Roman" w:cs="Times New Roman"/>
          <w:sz w:val="24"/>
          <w:szCs w:val="24"/>
        </w:rPr>
        <w:t xml:space="preserve">highly or strongly recommend </w:t>
      </w:r>
      <w:r w:rsidRPr="00E56BE0">
        <w:rPr>
          <w:rFonts w:ascii="Times New Roman" w:hAnsi="Times New Roman" w:cs="Times New Roman"/>
          <w:sz w:val="24"/>
          <w:szCs w:val="24"/>
        </w:rPr>
        <w:t>scan</w:t>
      </w:r>
      <w:r w:rsidR="00AB6054">
        <w:rPr>
          <w:rFonts w:ascii="Times New Roman" w:hAnsi="Times New Roman" w:cs="Times New Roman"/>
          <w:sz w:val="24"/>
          <w:szCs w:val="24"/>
        </w:rPr>
        <w:t>ning</w:t>
      </w:r>
      <w:r w:rsidRPr="00E56BE0">
        <w:rPr>
          <w:rFonts w:ascii="Times New Roman" w:hAnsi="Times New Roman" w:cs="Times New Roman"/>
          <w:sz w:val="24"/>
          <w:szCs w:val="24"/>
        </w:rPr>
        <w:t xml:space="preserve"> patients at the nadir of PSA, the same percentage would not. </w:t>
      </w:r>
      <w:r w:rsidR="00AB6054">
        <w:rPr>
          <w:rFonts w:ascii="Times New Roman" w:hAnsi="Times New Roman" w:cs="Times New Roman"/>
          <w:sz w:val="24"/>
          <w:szCs w:val="24"/>
        </w:rPr>
        <w:t>F</w:t>
      </w:r>
      <w:r w:rsidRPr="00E56BE0">
        <w:rPr>
          <w:rFonts w:ascii="Times New Roman" w:hAnsi="Times New Roman" w:cs="Times New Roman"/>
          <w:sz w:val="24"/>
          <w:szCs w:val="24"/>
        </w:rPr>
        <w:t>or patients receiving ARTAs, approximately 60% of respondents would scan their patients at the approximate PSA nadir</w:t>
      </w:r>
      <w:r w:rsidR="00485CE5">
        <w:rPr>
          <w:rFonts w:ascii="Times New Roman" w:hAnsi="Times New Roman" w:cs="Times New Roman"/>
          <w:sz w:val="24"/>
          <w:szCs w:val="24"/>
        </w:rPr>
        <w:t xml:space="preserve"> and the remainder would not</w:t>
      </w:r>
      <w:r w:rsidRPr="00E56BE0">
        <w:rPr>
          <w:rFonts w:ascii="Times New Roman" w:hAnsi="Times New Roman" w:cs="Times New Roman"/>
          <w:sz w:val="24"/>
          <w:szCs w:val="24"/>
        </w:rPr>
        <w:t xml:space="preserve">. In the opinion of the </w:t>
      </w:r>
      <w:r w:rsidR="00DC0091">
        <w:rPr>
          <w:rFonts w:ascii="Times New Roman" w:hAnsi="Times New Roman" w:cs="Times New Roman"/>
          <w:sz w:val="24"/>
          <w:szCs w:val="24"/>
        </w:rPr>
        <w:t xml:space="preserve">UK </w:t>
      </w:r>
      <w:r w:rsidRPr="00E56BE0">
        <w:rPr>
          <w:rFonts w:ascii="Times New Roman" w:hAnsi="Times New Roman" w:cs="Times New Roman"/>
          <w:sz w:val="24"/>
          <w:szCs w:val="24"/>
        </w:rPr>
        <w:t xml:space="preserve">uro-oncologists, further scanning is </w:t>
      </w:r>
      <w:r w:rsidR="009063BB">
        <w:rPr>
          <w:rFonts w:ascii="Times New Roman" w:hAnsi="Times New Roman" w:cs="Times New Roman"/>
          <w:sz w:val="24"/>
          <w:szCs w:val="24"/>
        </w:rPr>
        <w:t xml:space="preserve">generally </w:t>
      </w:r>
      <w:r w:rsidRPr="00E56BE0">
        <w:rPr>
          <w:rFonts w:ascii="Times New Roman" w:hAnsi="Times New Roman" w:cs="Times New Roman"/>
          <w:sz w:val="24"/>
          <w:szCs w:val="24"/>
        </w:rPr>
        <w:t xml:space="preserve">conducted </w:t>
      </w:r>
      <w:r w:rsidR="00AD5C10" w:rsidRPr="00E56BE0">
        <w:rPr>
          <w:rFonts w:ascii="Times New Roman" w:hAnsi="Times New Roman" w:cs="Times New Roman"/>
          <w:sz w:val="24"/>
          <w:szCs w:val="24"/>
        </w:rPr>
        <w:t>based on</w:t>
      </w:r>
      <w:r w:rsidRPr="00E56BE0">
        <w:rPr>
          <w:rFonts w:ascii="Times New Roman" w:hAnsi="Times New Roman" w:cs="Times New Roman"/>
          <w:sz w:val="24"/>
          <w:szCs w:val="24"/>
        </w:rPr>
        <w:t xml:space="preserve"> clinical or biochemical progression, rather than a</w:t>
      </w:r>
      <w:r w:rsidR="009063BB">
        <w:rPr>
          <w:rFonts w:ascii="Times New Roman" w:hAnsi="Times New Roman" w:cs="Times New Roman"/>
          <w:sz w:val="24"/>
          <w:szCs w:val="24"/>
        </w:rPr>
        <w:t>t</w:t>
      </w:r>
      <w:r w:rsidRPr="00E56BE0">
        <w:rPr>
          <w:rFonts w:ascii="Times New Roman" w:hAnsi="Times New Roman" w:cs="Times New Roman"/>
          <w:sz w:val="24"/>
          <w:szCs w:val="24"/>
        </w:rPr>
        <w:t xml:space="preserve"> pre-defined (routine) times, regardless of treatment </w:t>
      </w:r>
      <w:r w:rsidRPr="00E56BE0">
        <w:rPr>
          <w:rFonts w:ascii="Times New Roman" w:hAnsi="Times New Roman" w:cs="Times New Roman"/>
          <w:sz w:val="24"/>
          <w:szCs w:val="24"/>
        </w:rPr>
        <w:lastRenderedPageBreak/>
        <w:t>type. This is in agreement with current European guidelines for advanced and metastatic prostate cancer, which recommend that asymptomatic patients with stable PSA levels require no further imaging</w:t>
      </w:r>
      <w:r w:rsidR="00AB6054">
        <w:rPr>
          <w:rFonts w:ascii="Times New Roman" w:hAnsi="Times New Roman" w:cs="Times New Roman"/>
          <w:sz w:val="24"/>
          <w:szCs w:val="24"/>
        </w:rPr>
        <w:t>.</w:t>
      </w:r>
      <w:r w:rsidR="005865D5" w:rsidRPr="005865D5">
        <w:rPr>
          <w:rFonts w:ascii="Times New Roman" w:hAnsi="Times New Roman" w:cs="Times New Roman"/>
          <w:sz w:val="24"/>
          <w:szCs w:val="24"/>
          <w:vertAlign w:val="superscript"/>
        </w:rPr>
        <w:t>28</w:t>
      </w:r>
      <w:r w:rsidR="00AB6054">
        <w:rPr>
          <w:rFonts w:ascii="Times New Roman" w:hAnsi="Times New Roman" w:cs="Times New Roman"/>
          <w:sz w:val="24"/>
          <w:szCs w:val="24"/>
        </w:rPr>
        <w:t xml:space="preserve"> The guidelines recommend</w:t>
      </w:r>
      <w:r w:rsidR="00AB6054" w:rsidRPr="00E56BE0">
        <w:rPr>
          <w:rFonts w:ascii="Times New Roman" w:hAnsi="Times New Roman" w:cs="Times New Roman"/>
          <w:sz w:val="24"/>
          <w:szCs w:val="24"/>
        </w:rPr>
        <w:t xml:space="preserve"> </w:t>
      </w:r>
      <w:r w:rsidR="00297D19">
        <w:rPr>
          <w:rFonts w:ascii="Times New Roman" w:hAnsi="Times New Roman" w:cs="Times New Roman"/>
          <w:sz w:val="24"/>
          <w:szCs w:val="24"/>
        </w:rPr>
        <w:t xml:space="preserve">that </w:t>
      </w:r>
      <w:r w:rsidR="00AB6054" w:rsidRPr="00E56BE0">
        <w:rPr>
          <w:rFonts w:ascii="Times New Roman" w:hAnsi="Times New Roman" w:cs="Times New Roman"/>
          <w:sz w:val="24"/>
          <w:szCs w:val="24"/>
        </w:rPr>
        <w:t xml:space="preserve">in patients with new-onset </w:t>
      </w:r>
      <w:r w:rsidR="00AB6054">
        <w:rPr>
          <w:rFonts w:ascii="Times New Roman" w:hAnsi="Times New Roman" w:cs="Times New Roman"/>
          <w:sz w:val="24"/>
          <w:szCs w:val="24"/>
        </w:rPr>
        <w:t>symptoms</w:t>
      </w:r>
      <w:r w:rsidR="00AB6054" w:rsidRPr="00E56BE0">
        <w:rPr>
          <w:rFonts w:ascii="Times New Roman" w:hAnsi="Times New Roman" w:cs="Times New Roman"/>
          <w:sz w:val="24"/>
          <w:szCs w:val="24"/>
        </w:rPr>
        <w:t xml:space="preserve"> or PSA progression, bone scans and other imaging modalities should be considered.</w:t>
      </w:r>
      <w:r w:rsidR="00AB6054">
        <w:rPr>
          <w:rFonts w:ascii="Times New Roman" w:hAnsi="Times New Roman" w:cs="Times New Roman"/>
          <w:sz w:val="24"/>
          <w:szCs w:val="24"/>
        </w:rPr>
        <w:t xml:space="preserve"> However, there is an argument for baseline scanning so that that the nature of progression can be determined when it occurs. </w:t>
      </w:r>
    </w:p>
    <w:p w14:paraId="1787C375" w14:textId="1F538B59" w:rsidR="004C290E" w:rsidRDefault="004C290E" w:rsidP="009063BB">
      <w:pPr>
        <w:spacing w:line="480" w:lineRule="auto"/>
        <w:ind w:firstLine="720"/>
        <w:rPr>
          <w:rFonts w:ascii="Times New Roman" w:hAnsi="Times New Roman" w:cs="Times New Roman"/>
          <w:bCs/>
          <w:sz w:val="24"/>
          <w:szCs w:val="24"/>
        </w:rPr>
      </w:pPr>
      <w:r w:rsidRPr="00E56BE0">
        <w:rPr>
          <w:rFonts w:ascii="Times New Roman" w:hAnsi="Times New Roman" w:cs="Times New Roman"/>
          <w:bCs/>
          <w:sz w:val="24"/>
          <w:szCs w:val="24"/>
        </w:rPr>
        <w:t xml:space="preserve">Currently there are no strong, directly comparative clinical trial data to support differentiation between chemotherapy and ARTA therapy in terms of efficacy based on disease characteristics. However, two network meta-analyses have been published for the first-line treatment of </w:t>
      </w:r>
      <w:proofErr w:type="gramStart"/>
      <w:r w:rsidRPr="00E56BE0">
        <w:rPr>
          <w:rFonts w:ascii="Times New Roman" w:hAnsi="Times New Roman" w:cs="Times New Roman"/>
          <w:bCs/>
          <w:sz w:val="24"/>
          <w:szCs w:val="24"/>
        </w:rPr>
        <w:t>newly-diagnosed</w:t>
      </w:r>
      <w:proofErr w:type="gramEnd"/>
      <w:r w:rsidRPr="00E56BE0">
        <w:rPr>
          <w:rFonts w:ascii="Times New Roman" w:hAnsi="Times New Roman" w:cs="Times New Roman"/>
          <w:bCs/>
          <w:sz w:val="24"/>
          <w:szCs w:val="24"/>
        </w:rPr>
        <w:t xml:space="preserve"> mHSPC. The first included data from CHAARTED, LATITUDE and GETUG-AF15.</w:t>
      </w:r>
      <w:r w:rsidR="005865D5" w:rsidRPr="005865D5">
        <w:rPr>
          <w:rFonts w:ascii="Times New Roman" w:hAnsi="Times New Roman" w:cs="Times New Roman"/>
          <w:bCs/>
          <w:sz w:val="24"/>
          <w:szCs w:val="24"/>
          <w:vertAlign w:val="superscript"/>
        </w:rPr>
        <w:t>29</w:t>
      </w:r>
      <w:r w:rsidRPr="00E56BE0">
        <w:rPr>
          <w:rFonts w:ascii="Times New Roman" w:hAnsi="Times New Roman" w:cs="Times New Roman"/>
          <w:bCs/>
          <w:sz w:val="24"/>
          <w:szCs w:val="24"/>
        </w:rPr>
        <w:t xml:space="preserve"> When comparing AAP in combination with ADT vs ADT and docetaxel, the HR for overall survival in patients with high-risk/high-volume disease was 0.85 (95% CI, 0.63-1.14), and for radiographic progression-free survival was 0.71 (95% CI, 0.49-1.02), indicating no significant differences. A separate network meta-analysis included data from eight randomised phase 2 or 3 trials involving men with mHSPC. This estimated that the HR for death was 1.195 (95% CI, 0.980-1.456) when comparing ADT and docetaxel vs ADT and AAP, while the HR for progression-free survival was 1.653 (95% CI, 1.408-1.939). There was no significant difference for treatment-related mortality (HR, 1.438; 95% CI, 0.508-4.075).</w:t>
      </w:r>
      <w:r w:rsidR="005865D5" w:rsidRPr="005865D5">
        <w:rPr>
          <w:rFonts w:ascii="Times New Roman" w:hAnsi="Times New Roman" w:cs="Times New Roman"/>
          <w:bCs/>
          <w:sz w:val="24"/>
          <w:szCs w:val="24"/>
          <w:vertAlign w:val="superscript"/>
        </w:rPr>
        <w:t>30</w:t>
      </w:r>
      <w:r w:rsidRPr="00E56BE0">
        <w:rPr>
          <w:rFonts w:ascii="Times New Roman" w:hAnsi="Times New Roman" w:cs="Times New Roman"/>
          <w:bCs/>
          <w:sz w:val="24"/>
          <w:szCs w:val="24"/>
        </w:rPr>
        <w:t xml:space="preserve"> In STAMPEDE, both ADT with docetaxel and ADT with AAP were separately compared with standard of care in men starting long-term ADT. A post-hoc analysis of data from this trial has been conducted, including 342 patients with M1 disease. No differences between ADT and AAP and ADT and docetaxel were found in terms of overall survival (HR, 1.13; 95% CI, 0.77-1.66).</w:t>
      </w:r>
      <w:r w:rsidR="00FD632A" w:rsidRPr="00FD632A">
        <w:rPr>
          <w:rFonts w:ascii="Times New Roman" w:hAnsi="Times New Roman" w:cs="Times New Roman"/>
          <w:bCs/>
          <w:sz w:val="24"/>
          <w:szCs w:val="24"/>
          <w:vertAlign w:val="superscript"/>
        </w:rPr>
        <w:t>31</w:t>
      </w:r>
      <w:r w:rsidRPr="00E56BE0">
        <w:rPr>
          <w:rFonts w:ascii="Times New Roman" w:hAnsi="Times New Roman" w:cs="Times New Roman"/>
          <w:bCs/>
          <w:sz w:val="24"/>
          <w:szCs w:val="24"/>
        </w:rPr>
        <w:t xml:space="preserve"> However, progression-free survival</w:t>
      </w:r>
      <w:r w:rsidR="00183C92">
        <w:rPr>
          <w:rFonts w:ascii="Times New Roman" w:hAnsi="Times New Roman" w:cs="Times New Roman"/>
          <w:bCs/>
          <w:sz w:val="24"/>
          <w:szCs w:val="24"/>
        </w:rPr>
        <w:t xml:space="preserve"> (excluding rising PSA)</w:t>
      </w:r>
      <w:r w:rsidRPr="00E56BE0">
        <w:rPr>
          <w:rFonts w:ascii="Times New Roman" w:hAnsi="Times New Roman" w:cs="Times New Roman"/>
          <w:bCs/>
          <w:sz w:val="24"/>
          <w:szCs w:val="24"/>
        </w:rPr>
        <w:t xml:space="preserve"> was longer with ADT and AAP (HR, 0.69; 95% CI, 0.50-0.95; </w:t>
      </w:r>
      <w:r w:rsidRPr="00E56BE0">
        <w:rPr>
          <w:rFonts w:ascii="Times New Roman" w:hAnsi="Times New Roman" w:cs="Times New Roman"/>
          <w:bCs/>
          <w:sz w:val="24"/>
          <w:szCs w:val="24"/>
        </w:rPr>
        <w:lastRenderedPageBreak/>
        <w:t xml:space="preserve">p=0.023). </w:t>
      </w:r>
      <w:r w:rsidR="00183C92">
        <w:rPr>
          <w:rFonts w:ascii="Times New Roman" w:hAnsi="Times New Roman" w:cs="Times New Roman"/>
          <w:bCs/>
          <w:sz w:val="24"/>
          <w:szCs w:val="24"/>
        </w:rPr>
        <w:t xml:space="preserve">Failure-free survival was also significantly better with </w:t>
      </w:r>
      <w:r w:rsidR="000E16E9">
        <w:rPr>
          <w:rFonts w:ascii="Times New Roman" w:hAnsi="Times New Roman" w:cs="Times New Roman"/>
          <w:bCs/>
          <w:sz w:val="24"/>
          <w:szCs w:val="24"/>
        </w:rPr>
        <w:t>AAP</w:t>
      </w:r>
      <w:r w:rsidR="00183C92">
        <w:rPr>
          <w:rFonts w:ascii="Times New Roman" w:hAnsi="Times New Roman" w:cs="Times New Roman"/>
          <w:bCs/>
          <w:sz w:val="24"/>
          <w:szCs w:val="24"/>
        </w:rPr>
        <w:t>, but the authors concluded that four in every five FFS events was driven by a rise in PSA only.</w:t>
      </w:r>
    </w:p>
    <w:p w14:paraId="03CDA4F0" w14:textId="01367467" w:rsidR="00F114C8" w:rsidRPr="00E56BE0" w:rsidRDefault="009A5CBB" w:rsidP="009063BB">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In the first network meta-analysis, </w:t>
      </w:r>
      <w:r w:rsidRPr="00E56BE0">
        <w:rPr>
          <w:rFonts w:ascii="Times New Roman" w:hAnsi="Times New Roman" w:cs="Times New Roman"/>
          <w:bCs/>
          <w:sz w:val="24"/>
          <w:szCs w:val="24"/>
        </w:rPr>
        <w:t xml:space="preserve">when assessed at 3-12 months after treatment initiation, Brief Pain Index and </w:t>
      </w:r>
      <w:r>
        <w:rPr>
          <w:rFonts w:ascii="Times New Roman" w:hAnsi="Times New Roman" w:cs="Times New Roman"/>
          <w:bCs/>
          <w:sz w:val="24"/>
          <w:szCs w:val="24"/>
        </w:rPr>
        <w:t>Functional Assessment of Cancer Therapy-Prostate (</w:t>
      </w:r>
      <w:r w:rsidRPr="00E56BE0">
        <w:rPr>
          <w:rFonts w:ascii="Times New Roman" w:hAnsi="Times New Roman" w:cs="Times New Roman"/>
          <w:bCs/>
          <w:sz w:val="24"/>
          <w:szCs w:val="24"/>
        </w:rPr>
        <w:t>FACT-P</w:t>
      </w:r>
      <w:r>
        <w:rPr>
          <w:rFonts w:ascii="Times New Roman" w:hAnsi="Times New Roman" w:cs="Times New Roman"/>
          <w:bCs/>
          <w:sz w:val="24"/>
          <w:szCs w:val="24"/>
        </w:rPr>
        <w:t>)</w:t>
      </w:r>
      <w:r w:rsidRPr="00E56BE0">
        <w:rPr>
          <w:rFonts w:ascii="Times New Roman" w:hAnsi="Times New Roman" w:cs="Times New Roman"/>
          <w:bCs/>
          <w:sz w:val="24"/>
          <w:szCs w:val="24"/>
        </w:rPr>
        <w:t xml:space="preserve"> scores were significantly improved with ADT and AAP vs ADT and docetaxel.</w:t>
      </w:r>
      <w:r w:rsidR="005865D5" w:rsidRPr="005865D5">
        <w:rPr>
          <w:rFonts w:ascii="Times New Roman" w:hAnsi="Times New Roman" w:cs="Times New Roman"/>
          <w:bCs/>
          <w:sz w:val="24"/>
          <w:szCs w:val="24"/>
          <w:vertAlign w:val="superscript"/>
        </w:rPr>
        <w:t>29</w:t>
      </w:r>
      <w:r w:rsidRPr="00E56BE0">
        <w:rPr>
          <w:rFonts w:ascii="Times New Roman" w:hAnsi="Times New Roman" w:cs="Times New Roman"/>
          <w:bCs/>
          <w:sz w:val="24"/>
          <w:szCs w:val="24"/>
        </w:rPr>
        <w:t xml:space="preserve"> </w:t>
      </w:r>
      <w:r w:rsidR="00B72489">
        <w:rPr>
          <w:rFonts w:ascii="Times New Roman" w:hAnsi="Times New Roman" w:cs="Times New Roman"/>
          <w:bCs/>
          <w:sz w:val="24"/>
          <w:szCs w:val="24"/>
        </w:rPr>
        <w:t>A substudy of</w:t>
      </w:r>
      <w:r w:rsidR="00D23FDC">
        <w:rPr>
          <w:rFonts w:ascii="Times New Roman" w:hAnsi="Times New Roman" w:cs="Times New Roman"/>
          <w:bCs/>
          <w:sz w:val="24"/>
          <w:szCs w:val="24"/>
        </w:rPr>
        <w:t xml:space="preserve"> </w:t>
      </w:r>
      <w:r w:rsidR="00F63770">
        <w:rPr>
          <w:rFonts w:ascii="Times New Roman" w:hAnsi="Times New Roman" w:cs="Times New Roman"/>
          <w:bCs/>
          <w:sz w:val="24"/>
          <w:szCs w:val="24"/>
        </w:rPr>
        <w:t xml:space="preserve">STAMPEDE </w:t>
      </w:r>
      <w:r w:rsidR="00183C92">
        <w:rPr>
          <w:rFonts w:ascii="Times New Roman" w:hAnsi="Times New Roman" w:cs="Times New Roman"/>
          <w:bCs/>
          <w:sz w:val="24"/>
          <w:szCs w:val="24"/>
        </w:rPr>
        <w:t>has</w:t>
      </w:r>
      <w:r w:rsidR="00D23FDC">
        <w:rPr>
          <w:rFonts w:ascii="Times New Roman" w:hAnsi="Times New Roman" w:cs="Times New Roman"/>
          <w:bCs/>
          <w:sz w:val="24"/>
          <w:szCs w:val="24"/>
        </w:rPr>
        <w:t xml:space="preserve"> </w:t>
      </w:r>
      <w:r>
        <w:rPr>
          <w:rFonts w:ascii="Times New Roman" w:hAnsi="Times New Roman" w:cs="Times New Roman"/>
          <w:bCs/>
          <w:sz w:val="24"/>
          <w:szCs w:val="24"/>
        </w:rPr>
        <w:t xml:space="preserve">also </w:t>
      </w:r>
      <w:r w:rsidR="00D23FDC">
        <w:rPr>
          <w:rFonts w:ascii="Times New Roman" w:hAnsi="Times New Roman" w:cs="Times New Roman"/>
          <w:bCs/>
          <w:sz w:val="24"/>
          <w:szCs w:val="24"/>
        </w:rPr>
        <w:t>assessed quality of life with docetaxel and abiraterone.</w:t>
      </w:r>
      <w:r w:rsidR="005865D5" w:rsidRPr="005865D5">
        <w:rPr>
          <w:rFonts w:ascii="Times New Roman" w:hAnsi="Times New Roman" w:cs="Times New Roman"/>
          <w:bCs/>
          <w:sz w:val="24"/>
          <w:szCs w:val="24"/>
          <w:vertAlign w:val="superscript"/>
        </w:rPr>
        <w:t>3</w:t>
      </w:r>
      <w:r w:rsidR="00FD632A">
        <w:rPr>
          <w:rFonts w:ascii="Times New Roman" w:hAnsi="Times New Roman" w:cs="Times New Roman"/>
          <w:bCs/>
          <w:sz w:val="24"/>
          <w:szCs w:val="24"/>
          <w:vertAlign w:val="superscript"/>
        </w:rPr>
        <w:t>2</w:t>
      </w:r>
      <w:r w:rsidR="00D23FDC">
        <w:rPr>
          <w:rFonts w:ascii="Times New Roman" w:hAnsi="Times New Roman" w:cs="Times New Roman"/>
          <w:bCs/>
          <w:sz w:val="24"/>
          <w:szCs w:val="24"/>
        </w:rPr>
        <w:t xml:space="preserve"> </w:t>
      </w:r>
      <w:r w:rsidR="00041064">
        <w:rPr>
          <w:rFonts w:ascii="Times New Roman" w:hAnsi="Times New Roman" w:cs="Times New Roman"/>
          <w:bCs/>
          <w:sz w:val="24"/>
          <w:szCs w:val="24"/>
        </w:rPr>
        <w:t>Mean global quality of life scores were comparable for the two groups at baseline, but a</w:t>
      </w:r>
      <w:r w:rsidR="00B72489">
        <w:rPr>
          <w:rFonts w:ascii="Times New Roman" w:hAnsi="Times New Roman" w:cs="Times New Roman"/>
          <w:bCs/>
          <w:sz w:val="24"/>
          <w:szCs w:val="24"/>
        </w:rPr>
        <w:t>verage global quality of life was higher with abiraterone than docetaxel over the 2-year period</w:t>
      </w:r>
      <w:r w:rsidR="00041064">
        <w:rPr>
          <w:rFonts w:ascii="Times New Roman" w:hAnsi="Times New Roman" w:cs="Times New Roman"/>
          <w:bCs/>
          <w:sz w:val="24"/>
          <w:szCs w:val="24"/>
        </w:rPr>
        <w:t>. H</w:t>
      </w:r>
      <w:r w:rsidR="00B72489">
        <w:rPr>
          <w:rFonts w:ascii="Times New Roman" w:hAnsi="Times New Roman" w:cs="Times New Roman"/>
          <w:bCs/>
          <w:sz w:val="24"/>
          <w:szCs w:val="24"/>
        </w:rPr>
        <w:t>owever, although the difference was statistically significant (+3.9%; 95% CI, 0.6-0.710; p=0.021), it did not meet the predefined clinical parameter</w:t>
      </w:r>
      <w:r w:rsidR="00041064">
        <w:rPr>
          <w:rFonts w:ascii="Times New Roman" w:hAnsi="Times New Roman" w:cs="Times New Roman"/>
          <w:bCs/>
          <w:sz w:val="24"/>
          <w:szCs w:val="24"/>
        </w:rPr>
        <w:t xml:space="preserve"> (a difference of 4%)</w:t>
      </w:r>
      <w:r w:rsidR="00B72489">
        <w:rPr>
          <w:rFonts w:ascii="Times New Roman" w:hAnsi="Times New Roman" w:cs="Times New Roman"/>
          <w:bCs/>
          <w:sz w:val="24"/>
          <w:szCs w:val="24"/>
        </w:rPr>
        <w:t>.</w:t>
      </w:r>
      <w:r w:rsidR="00F63770">
        <w:rPr>
          <w:rFonts w:ascii="Times New Roman" w:hAnsi="Times New Roman" w:cs="Times New Roman"/>
          <w:bCs/>
          <w:sz w:val="24"/>
          <w:szCs w:val="24"/>
        </w:rPr>
        <w:t xml:space="preserve"> Cross-sectional analyses showed clinically meaningful better quality of life with abiraterone vs docetaxel at 3 and 6 months but these differences were not apparent at 1 or 2 years. </w:t>
      </w:r>
      <w:r w:rsidR="00041064">
        <w:rPr>
          <w:rFonts w:ascii="Times New Roman" w:hAnsi="Times New Roman" w:cs="Times New Roman"/>
          <w:bCs/>
          <w:sz w:val="24"/>
          <w:szCs w:val="24"/>
        </w:rPr>
        <w:t>Indeed, mean quality of life score</w:t>
      </w:r>
      <w:r>
        <w:rPr>
          <w:rFonts w:ascii="Times New Roman" w:hAnsi="Times New Roman" w:cs="Times New Roman"/>
          <w:bCs/>
          <w:sz w:val="24"/>
          <w:szCs w:val="24"/>
        </w:rPr>
        <w:t>s</w:t>
      </w:r>
      <w:r w:rsidR="00041064">
        <w:rPr>
          <w:rFonts w:ascii="Times New Roman" w:hAnsi="Times New Roman" w:cs="Times New Roman"/>
          <w:bCs/>
          <w:sz w:val="24"/>
          <w:szCs w:val="24"/>
        </w:rPr>
        <w:t xml:space="preserve"> decreased from the start of docetaxel therapy through 18 weeks, prior to </w:t>
      </w:r>
      <w:r>
        <w:rPr>
          <w:rFonts w:ascii="Times New Roman" w:hAnsi="Times New Roman" w:cs="Times New Roman"/>
          <w:bCs/>
          <w:sz w:val="24"/>
          <w:szCs w:val="24"/>
        </w:rPr>
        <w:t xml:space="preserve">subsequent </w:t>
      </w:r>
      <w:r w:rsidR="00041064">
        <w:rPr>
          <w:rFonts w:ascii="Times New Roman" w:hAnsi="Times New Roman" w:cs="Times New Roman"/>
          <w:bCs/>
          <w:sz w:val="24"/>
          <w:szCs w:val="24"/>
        </w:rPr>
        <w:t xml:space="preserve">recovery. </w:t>
      </w:r>
      <w:r w:rsidR="00F63770">
        <w:rPr>
          <w:rFonts w:ascii="Times New Roman" w:hAnsi="Times New Roman" w:cs="Times New Roman"/>
          <w:bCs/>
          <w:sz w:val="24"/>
          <w:szCs w:val="24"/>
        </w:rPr>
        <w:t>In an exploratory analysis of 207 patients with metastatic disease, mean quality of life score was better in the abiraterone group relative to the docetaxel group (+4.44; 95% CI, 0.2-8.6; p=0.036).</w:t>
      </w:r>
      <w:r w:rsidR="00041064">
        <w:rPr>
          <w:rFonts w:ascii="Times New Roman" w:hAnsi="Times New Roman" w:cs="Times New Roman"/>
          <w:bCs/>
          <w:sz w:val="24"/>
          <w:szCs w:val="24"/>
        </w:rPr>
        <w:t xml:space="preserve"> Over the 2-year period, docetaxel treatment was associated with greater fatigue scores and higher pain scores.</w:t>
      </w:r>
    </w:p>
    <w:p w14:paraId="7A01FF7D" w14:textId="65039E4A" w:rsidR="00307905" w:rsidRDefault="009A7C6D" w:rsidP="009063BB">
      <w:pPr>
        <w:spacing w:line="480" w:lineRule="auto"/>
        <w:ind w:firstLine="720"/>
        <w:rPr>
          <w:rFonts w:ascii="Times New Roman" w:hAnsi="Times New Roman" w:cs="Times New Roman"/>
          <w:sz w:val="24"/>
          <w:szCs w:val="24"/>
        </w:rPr>
      </w:pPr>
      <w:r w:rsidRPr="00E56BE0">
        <w:rPr>
          <w:rFonts w:ascii="Times New Roman" w:hAnsi="Times New Roman" w:cs="Times New Roman"/>
          <w:sz w:val="24"/>
          <w:szCs w:val="24"/>
        </w:rPr>
        <w:t xml:space="preserve">A key unanswered question is which sequence of treatments, i.e. docetaxel first and then an ARTA at progression, or vice-versa, is superior, but there is little information to provide guidance. </w:t>
      </w:r>
    </w:p>
    <w:p w14:paraId="60780A29" w14:textId="56795E1C" w:rsidR="009C3B43" w:rsidRPr="00E56BE0" w:rsidRDefault="00BC1A9C" w:rsidP="00607C01">
      <w:pPr>
        <w:spacing w:line="480" w:lineRule="auto"/>
        <w:ind w:firstLine="720"/>
        <w:rPr>
          <w:rFonts w:ascii="Times New Roman" w:hAnsi="Times New Roman" w:cs="Times New Roman"/>
          <w:bCs/>
          <w:sz w:val="24"/>
          <w:szCs w:val="24"/>
        </w:rPr>
      </w:pPr>
      <w:r w:rsidRPr="00E56BE0">
        <w:rPr>
          <w:rFonts w:ascii="Times New Roman" w:hAnsi="Times New Roman" w:cs="Times New Roman"/>
          <w:bCs/>
          <w:sz w:val="24"/>
          <w:szCs w:val="24"/>
        </w:rPr>
        <w:t xml:space="preserve">Almost all of the respondents stated that they would offer local radiotherapy to the primary tumour </w:t>
      </w:r>
      <w:r w:rsidR="00607C01">
        <w:rPr>
          <w:rFonts w:ascii="Times New Roman" w:hAnsi="Times New Roman" w:cs="Times New Roman"/>
          <w:bCs/>
          <w:sz w:val="24"/>
          <w:szCs w:val="24"/>
        </w:rPr>
        <w:t xml:space="preserve">to </w:t>
      </w:r>
      <w:r w:rsidRPr="00E56BE0">
        <w:rPr>
          <w:rFonts w:ascii="Times New Roman" w:hAnsi="Times New Roman" w:cs="Times New Roman"/>
          <w:bCs/>
          <w:sz w:val="24"/>
          <w:szCs w:val="24"/>
        </w:rPr>
        <w:t xml:space="preserve">their patients with </w:t>
      </w:r>
      <w:r w:rsidR="00DC0091" w:rsidRPr="00DC0091">
        <w:rPr>
          <w:rFonts w:ascii="Times New Roman" w:hAnsi="Times New Roman" w:cs="Times New Roman"/>
          <w:bCs/>
          <w:sz w:val="24"/>
          <w:szCs w:val="24"/>
        </w:rPr>
        <w:t>low metastatic burden</w:t>
      </w:r>
      <w:r w:rsidR="00DC0091">
        <w:rPr>
          <w:rFonts w:ascii="Times New Roman" w:hAnsi="Times New Roman" w:cs="Times New Roman"/>
          <w:bCs/>
          <w:sz w:val="24"/>
          <w:szCs w:val="24"/>
        </w:rPr>
        <w:t xml:space="preserve"> </w:t>
      </w:r>
      <w:proofErr w:type="gramStart"/>
      <w:r w:rsidRPr="00E56BE0">
        <w:rPr>
          <w:rFonts w:ascii="Times New Roman" w:hAnsi="Times New Roman" w:cs="Times New Roman"/>
          <w:bCs/>
          <w:sz w:val="24"/>
          <w:szCs w:val="24"/>
        </w:rPr>
        <w:t>newly-diagnosed</w:t>
      </w:r>
      <w:proofErr w:type="gramEnd"/>
      <w:r w:rsidRPr="00E56BE0">
        <w:rPr>
          <w:rFonts w:ascii="Times New Roman" w:hAnsi="Times New Roman" w:cs="Times New Roman"/>
          <w:bCs/>
          <w:sz w:val="24"/>
          <w:szCs w:val="24"/>
        </w:rPr>
        <w:t xml:space="preserve"> mHSPC. This is supported by findings from </w:t>
      </w:r>
      <w:r w:rsidR="00AE0756" w:rsidRPr="00E56BE0">
        <w:rPr>
          <w:rFonts w:ascii="Times New Roman" w:hAnsi="Times New Roman" w:cs="Times New Roman"/>
          <w:sz w:val="24"/>
          <w:szCs w:val="24"/>
        </w:rPr>
        <w:t>STAMPEDE</w:t>
      </w:r>
      <w:r w:rsidR="00607C01">
        <w:rPr>
          <w:rFonts w:ascii="Times New Roman" w:hAnsi="Times New Roman" w:cs="Times New Roman"/>
          <w:sz w:val="24"/>
          <w:szCs w:val="24"/>
        </w:rPr>
        <w:t>, which</w:t>
      </w:r>
      <w:r w:rsidR="00AE0756" w:rsidRPr="00E56BE0">
        <w:rPr>
          <w:rFonts w:ascii="Times New Roman" w:hAnsi="Times New Roman" w:cs="Times New Roman"/>
          <w:sz w:val="24"/>
          <w:szCs w:val="24"/>
        </w:rPr>
        <w:t xml:space="preserve"> showed an overall survival benefit only in patients with low-volume (HR, 0.68; 95% CI, 0.52-0.90) but not high-volume (CHAARTED </w:t>
      </w:r>
      <w:r w:rsidR="00AE0756" w:rsidRPr="00E56BE0">
        <w:rPr>
          <w:rFonts w:ascii="Times New Roman" w:hAnsi="Times New Roman" w:cs="Times New Roman"/>
          <w:sz w:val="24"/>
          <w:szCs w:val="24"/>
        </w:rPr>
        <w:lastRenderedPageBreak/>
        <w:t xml:space="preserve">criteria; HR, 1.07; 95% CI, 0.90-1.28) </w:t>
      </w:r>
      <w:r w:rsidR="009A5CBB">
        <w:rPr>
          <w:rFonts w:ascii="Times New Roman" w:hAnsi="Times New Roman" w:cs="Times New Roman"/>
          <w:sz w:val="24"/>
          <w:szCs w:val="24"/>
        </w:rPr>
        <w:t>disease</w:t>
      </w:r>
      <w:r w:rsidR="00AE0756" w:rsidRPr="00E56BE0">
        <w:rPr>
          <w:rFonts w:ascii="Times New Roman" w:hAnsi="Times New Roman" w:cs="Times New Roman"/>
          <w:sz w:val="24"/>
          <w:szCs w:val="24"/>
        </w:rPr>
        <w:t>.</w:t>
      </w:r>
      <w:r w:rsidR="00817C9D" w:rsidRPr="00817C9D">
        <w:rPr>
          <w:rFonts w:ascii="Times New Roman" w:hAnsi="Times New Roman" w:cs="Times New Roman"/>
          <w:sz w:val="24"/>
          <w:szCs w:val="24"/>
          <w:vertAlign w:val="superscript"/>
        </w:rPr>
        <w:t>3</w:t>
      </w:r>
      <w:r w:rsidR="00FD632A">
        <w:rPr>
          <w:rFonts w:ascii="Times New Roman" w:hAnsi="Times New Roman" w:cs="Times New Roman"/>
          <w:sz w:val="24"/>
          <w:szCs w:val="24"/>
          <w:vertAlign w:val="superscript"/>
        </w:rPr>
        <w:t>3</w:t>
      </w:r>
      <w:r w:rsidR="00AE0756" w:rsidRPr="00E56BE0">
        <w:rPr>
          <w:rFonts w:ascii="Times New Roman" w:hAnsi="Times New Roman" w:cs="Times New Roman"/>
          <w:sz w:val="24"/>
          <w:szCs w:val="24"/>
        </w:rPr>
        <w:t xml:space="preserve"> Similar findings were reported for progression-free survival, with a significant 22% reduction in patients with low-volume disease (HR, 0.78; 95% CI, 0.63-0.98) but with no difference between treatment arms in high-volume disease (HR, 1.09; 95% CI, 0.94-1.26). </w:t>
      </w:r>
    </w:p>
    <w:p w14:paraId="3A598FD7" w14:textId="3599818C" w:rsidR="00AC0349" w:rsidRPr="00E56BE0" w:rsidRDefault="00BC1A9C" w:rsidP="00607C01">
      <w:pPr>
        <w:spacing w:line="480" w:lineRule="auto"/>
        <w:ind w:firstLine="720"/>
        <w:rPr>
          <w:rFonts w:ascii="Times New Roman" w:hAnsi="Times New Roman" w:cs="Times New Roman"/>
          <w:sz w:val="24"/>
          <w:szCs w:val="24"/>
        </w:rPr>
      </w:pPr>
      <w:r w:rsidRPr="00E56BE0">
        <w:rPr>
          <w:rFonts w:ascii="Times New Roman" w:hAnsi="Times New Roman" w:cs="Times New Roman"/>
          <w:sz w:val="24"/>
          <w:szCs w:val="24"/>
        </w:rPr>
        <w:t xml:space="preserve">There </w:t>
      </w:r>
      <w:r w:rsidR="00905A3B" w:rsidRPr="00E56BE0">
        <w:rPr>
          <w:rFonts w:ascii="Times New Roman" w:hAnsi="Times New Roman" w:cs="Times New Roman"/>
          <w:sz w:val="24"/>
          <w:szCs w:val="24"/>
        </w:rPr>
        <w:t>is</w:t>
      </w:r>
      <w:r w:rsidRPr="00E56BE0">
        <w:rPr>
          <w:rFonts w:ascii="Times New Roman" w:hAnsi="Times New Roman" w:cs="Times New Roman"/>
          <w:sz w:val="24"/>
          <w:szCs w:val="24"/>
        </w:rPr>
        <w:t xml:space="preserve"> a </w:t>
      </w:r>
      <w:r w:rsidR="00905A3B" w:rsidRPr="00E56BE0">
        <w:rPr>
          <w:rFonts w:ascii="Times New Roman" w:hAnsi="Times New Roman" w:cs="Times New Roman"/>
          <w:sz w:val="24"/>
          <w:szCs w:val="24"/>
        </w:rPr>
        <w:t>key</w:t>
      </w:r>
      <w:r w:rsidRPr="00E56BE0">
        <w:rPr>
          <w:rFonts w:ascii="Times New Roman" w:hAnsi="Times New Roman" w:cs="Times New Roman"/>
          <w:sz w:val="24"/>
          <w:szCs w:val="24"/>
        </w:rPr>
        <w:t xml:space="preserve"> limitation</w:t>
      </w:r>
      <w:r w:rsidR="00905A3B" w:rsidRPr="00E56BE0">
        <w:rPr>
          <w:rFonts w:ascii="Times New Roman" w:hAnsi="Times New Roman" w:cs="Times New Roman"/>
          <w:sz w:val="24"/>
          <w:szCs w:val="24"/>
        </w:rPr>
        <w:t xml:space="preserve"> of</w:t>
      </w:r>
      <w:r w:rsidRPr="00E56BE0">
        <w:rPr>
          <w:rFonts w:ascii="Times New Roman" w:hAnsi="Times New Roman" w:cs="Times New Roman"/>
          <w:sz w:val="24"/>
          <w:szCs w:val="24"/>
        </w:rPr>
        <w:t xml:space="preserve"> the study. With respect to ARTAs</w:t>
      </w:r>
      <w:r w:rsidR="00FB3714" w:rsidRPr="00E56BE0">
        <w:rPr>
          <w:rFonts w:ascii="Times New Roman" w:hAnsi="Times New Roman" w:cs="Times New Roman"/>
          <w:sz w:val="24"/>
          <w:szCs w:val="24"/>
        </w:rPr>
        <w:t xml:space="preserve">, the questions were posed with the hypothesis that all these agents would be </w:t>
      </w:r>
      <w:r w:rsidR="00DC0091">
        <w:rPr>
          <w:rFonts w:ascii="Times New Roman" w:hAnsi="Times New Roman" w:cs="Times New Roman"/>
          <w:sz w:val="24"/>
          <w:szCs w:val="24"/>
        </w:rPr>
        <w:t xml:space="preserve">approved available </w:t>
      </w:r>
      <w:r w:rsidR="00FB3714" w:rsidRPr="00E56BE0">
        <w:rPr>
          <w:rFonts w:ascii="Times New Roman" w:hAnsi="Times New Roman" w:cs="Times New Roman"/>
          <w:sz w:val="24"/>
          <w:szCs w:val="24"/>
        </w:rPr>
        <w:t>within the UK</w:t>
      </w:r>
      <w:r w:rsidR="004C07E9">
        <w:rPr>
          <w:rFonts w:ascii="Times New Roman" w:hAnsi="Times New Roman" w:cs="Times New Roman"/>
          <w:sz w:val="24"/>
          <w:szCs w:val="24"/>
        </w:rPr>
        <w:t xml:space="preserve"> (currently in the UK ARTAs are not recommended by NICE</w:t>
      </w:r>
      <w:r w:rsidR="00E26161">
        <w:rPr>
          <w:rFonts w:ascii="Times New Roman" w:hAnsi="Times New Roman" w:cs="Times New Roman"/>
          <w:sz w:val="24"/>
          <w:szCs w:val="24"/>
        </w:rPr>
        <w:t xml:space="preserve"> and therefore unavailable</w:t>
      </w:r>
      <w:r w:rsidR="00817C9D">
        <w:rPr>
          <w:rFonts w:ascii="Times New Roman" w:hAnsi="Times New Roman" w:cs="Times New Roman"/>
          <w:sz w:val="24"/>
          <w:szCs w:val="24"/>
        </w:rPr>
        <w:t xml:space="preserve"> t</w:t>
      </w:r>
      <w:r w:rsidR="00AD5C10">
        <w:rPr>
          <w:rFonts w:ascii="Times New Roman" w:hAnsi="Times New Roman" w:cs="Times New Roman"/>
          <w:sz w:val="24"/>
          <w:szCs w:val="24"/>
        </w:rPr>
        <w:t xml:space="preserve">hough recent changes in the COVID-19 scenario has enabled use of </w:t>
      </w:r>
      <w:r w:rsidR="00817C9D">
        <w:rPr>
          <w:rFonts w:ascii="Times New Roman" w:hAnsi="Times New Roman" w:cs="Times New Roman"/>
          <w:sz w:val="24"/>
          <w:szCs w:val="24"/>
        </w:rPr>
        <w:t>e</w:t>
      </w:r>
      <w:r w:rsidR="00AD5C10">
        <w:rPr>
          <w:rFonts w:ascii="Times New Roman" w:hAnsi="Times New Roman" w:cs="Times New Roman"/>
          <w:sz w:val="24"/>
          <w:szCs w:val="24"/>
        </w:rPr>
        <w:t>nzalutamide, but this was not available at time of survey and still is not a NICE approved option</w:t>
      </w:r>
      <w:r w:rsidR="004C07E9">
        <w:rPr>
          <w:rFonts w:ascii="Times New Roman" w:hAnsi="Times New Roman" w:cs="Times New Roman"/>
          <w:sz w:val="24"/>
          <w:szCs w:val="24"/>
        </w:rPr>
        <w:t>)</w:t>
      </w:r>
      <w:r w:rsidR="00FB3714" w:rsidRPr="00E56BE0">
        <w:rPr>
          <w:rFonts w:ascii="Times New Roman" w:hAnsi="Times New Roman" w:cs="Times New Roman"/>
          <w:sz w:val="24"/>
          <w:szCs w:val="24"/>
        </w:rPr>
        <w:t xml:space="preserve">. </w:t>
      </w:r>
      <w:r w:rsidR="00905A3B" w:rsidRPr="00E56BE0">
        <w:rPr>
          <w:rFonts w:ascii="Times New Roman" w:hAnsi="Times New Roman" w:cs="Times New Roman"/>
          <w:sz w:val="24"/>
          <w:szCs w:val="24"/>
        </w:rPr>
        <w:t>Furthermore, the uro-oncologists surveyed here were not asked about their use of ARTAs based on volume of disease</w:t>
      </w:r>
      <w:r w:rsidR="009D451A">
        <w:rPr>
          <w:rFonts w:ascii="Times New Roman" w:hAnsi="Times New Roman" w:cs="Times New Roman"/>
          <w:sz w:val="24"/>
          <w:szCs w:val="24"/>
        </w:rPr>
        <w:t xml:space="preserve"> or reasons why they would choose </w:t>
      </w:r>
      <w:r w:rsidR="009A5CBB">
        <w:rPr>
          <w:rFonts w:ascii="Times New Roman" w:hAnsi="Times New Roman" w:cs="Times New Roman"/>
          <w:sz w:val="24"/>
          <w:szCs w:val="24"/>
        </w:rPr>
        <w:t>one</w:t>
      </w:r>
      <w:r w:rsidR="009D451A">
        <w:rPr>
          <w:rFonts w:ascii="Times New Roman" w:hAnsi="Times New Roman" w:cs="Times New Roman"/>
          <w:sz w:val="24"/>
          <w:szCs w:val="24"/>
        </w:rPr>
        <w:t xml:space="preserve"> specific ARTA over another</w:t>
      </w:r>
      <w:r w:rsidR="00905A3B" w:rsidRPr="00E56BE0">
        <w:rPr>
          <w:rFonts w:ascii="Times New Roman" w:hAnsi="Times New Roman" w:cs="Times New Roman"/>
          <w:sz w:val="24"/>
          <w:szCs w:val="24"/>
        </w:rPr>
        <w:t xml:space="preserve">. </w:t>
      </w:r>
    </w:p>
    <w:p w14:paraId="3C906B72" w14:textId="77777777" w:rsidR="00905A3B" w:rsidRPr="00E56BE0" w:rsidRDefault="00905A3B" w:rsidP="00E56BE0">
      <w:pPr>
        <w:spacing w:line="480" w:lineRule="auto"/>
        <w:rPr>
          <w:rFonts w:ascii="Times New Roman" w:hAnsi="Times New Roman" w:cs="Times New Roman"/>
          <w:sz w:val="24"/>
          <w:szCs w:val="24"/>
        </w:rPr>
      </w:pPr>
    </w:p>
    <w:p w14:paraId="1C7CC626" w14:textId="51EA5A18" w:rsidR="00240C54" w:rsidRPr="00E56BE0" w:rsidRDefault="00607C01" w:rsidP="00E56BE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5 </w:t>
      </w:r>
      <w:r w:rsidR="00840C29" w:rsidRPr="00E56BE0">
        <w:rPr>
          <w:rFonts w:ascii="Times New Roman" w:hAnsi="Times New Roman" w:cs="Times New Roman"/>
          <w:b/>
          <w:sz w:val="24"/>
          <w:szCs w:val="24"/>
        </w:rPr>
        <w:t>CONCLUSIONS</w:t>
      </w:r>
    </w:p>
    <w:p w14:paraId="79CA50CE" w14:textId="20429961" w:rsidR="00840C29" w:rsidRPr="00E56BE0" w:rsidRDefault="00905A3B" w:rsidP="00E56BE0">
      <w:pPr>
        <w:spacing w:line="480" w:lineRule="auto"/>
        <w:rPr>
          <w:rFonts w:ascii="Times New Roman" w:hAnsi="Times New Roman" w:cs="Times New Roman"/>
          <w:sz w:val="24"/>
          <w:szCs w:val="24"/>
        </w:rPr>
      </w:pPr>
      <w:r w:rsidRPr="00E56BE0">
        <w:rPr>
          <w:rFonts w:ascii="Times New Roman" w:hAnsi="Times New Roman" w:cs="Times New Roman"/>
          <w:sz w:val="24"/>
          <w:szCs w:val="24"/>
        </w:rPr>
        <w:t>From the perspective of UK uro-oncologists, i</w:t>
      </w:r>
      <w:r w:rsidR="00F96836" w:rsidRPr="00E56BE0">
        <w:rPr>
          <w:rFonts w:ascii="Times New Roman" w:hAnsi="Times New Roman" w:cs="Times New Roman"/>
          <w:sz w:val="24"/>
          <w:szCs w:val="24"/>
        </w:rPr>
        <w:t xml:space="preserve">n patients with newly-diagnosed </w:t>
      </w:r>
      <w:r w:rsidR="00BC7D31" w:rsidRPr="00E56BE0">
        <w:rPr>
          <w:rFonts w:ascii="Times New Roman" w:hAnsi="Times New Roman" w:cs="Times New Roman"/>
          <w:sz w:val="24"/>
          <w:szCs w:val="24"/>
        </w:rPr>
        <w:t xml:space="preserve">M1 </w:t>
      </w:r>
      <w:r w:rsidR="00F96836" w:rsidRPr="00E56BE0">
        <w:rPr>
          <w:rFonts w:ascii="Times New Roman" w:hAnsi="Times New Roman" w:cs="Times New Roman"/>
          <w:sz w:val="24"/>
          <w:szCs w:val="24"/>
        </w:rPr>
        <w:t xml:space="preserve">mHSPC </w:t>
      </w:r>
      <w:r w:rsidR="00607C01">
        <w:rPr>
          <w:rFonts w:ascii="Times New Roman" w:hAnsi="Times New Roman" w:cs="Times New Roman"/>
          <w:sz w:val="24"/>
          <w:szCs w:val="24"/>
        </w:rPr>
        <w:t>the majority would offer docetaxel in combination with ADT to patients fit enough for chemotherapy</w:t>
      </w:r>
      <w:r w:rsidR="00DC0091">
        <w:rPr>
          <w:rFonts w:ascii="Times New Roman" w:hAnsi="Times New Roman" w:cs="Times New Roman"/>
          <w:sz w:val="24"/>
          <w:szCs w:val="24"/>
        </w:rPr>
        <w:t xml:space="preserve"> in their current practice</w:t>
      </w:r>
      <w:r w:rsidR="009A5CBB">
        <w:rPr>
          <w:rFonts w:ascii="Times New Roman" w:hAnsi="Times New Roman" w:cs="Times New Roman"/>
          <w:sz w:val="24"/>
          <w:szCs w:val="24"/>
        </w:rPr>
        <w:t>, although this is not borne out by the National Prostate Cancer Audit</w:t>
      </w:r>
      <w:r w:rsidR="00607C01">
        <w:rPr>
          <w:rFonts w:ascii="Times New Roman" w:hAnsi="Times New Roman" w:cs="Times New Roman"/>
          <w:sz w:val="24"/>
          <w:szCs w:val="24"/>
        </w:rPr>
        <w:t xml:space="preserve">. However, </w:t>
      </w:r>
      <w:r w:rsidR="00607C01" w:rsidRPr="00E56BE0">
        <w:rPr>
          <w:rFonts w:ascii="Times New Roman" w:hAnsi="Times New Roman" w:cs="Times New Roman"/>
          <w:sz w:val="24"/>
          <w:szCs w:val="24"/>
        </w:rPr>
        <w:t xml:space="preserve">patient-related factors </w:t>
      </w:r>
      <w:r w:rsidR="00DC0091">
        <w:rPr>
          <w:rFonts w:ascii="Times New Roman" w:hAnsi="Times New Roman" w:cs="Times New Roman"/>
          <w:sz w:val="24"/>
          <w:szCs w:val="24"/>
        </w:rPr>
        <w:t xml:space="preserve">would </w:t>
      </w:r>
      <w:r w:rsidR="00607C01">
        <w:rPr>
          <w:rFonts w:ascii="Times New Roman" w:hAnsi="Times New Roman" w:cs="Times New Roman"/>
          <w:sz w:val="24"/>
          <w:szCs w:val="24"/>
        </w:rPr>
        <w:t>also determine</w:t>
      </w:r>
      <w:r w:rsidR="00F96836" w:rsidRPr="00E56BE0">
        <w:rPr>
          <w:rFonts w:ascii="Times New Roman" w:hAnsi="Times New Roman" w:cs="Times New Roman"/>
          <w:sz w:val="24"/>
          <w:szCs w:val="24"/>
        </w:rPr>
        <w:t xml:space="preserve"> choice between first-line chemotherapy and ARTA</w:t>
      </w:r>
      <w:r w:rsidR="009A5CBB">
        <w:rPr>
          <w:rFonts w:ascii="Times New Roman" w:hAnsi="Times New Roman" w:cs="Times New Roman"/>
          <w:sz w:val="24"/>
          <w:szCs w:val="24"/>
        </w:rPr>
        <w:t xml:space="preserve"> therapy</w:t>
      </w:r>
      <w:r w:rsidR="00DC0091">
        <w:rPr>
          <w:rFonts w:ascii="Times New Roman" w:hAnsi="Times New Roman" w:cs="Times New Roman"/>
          <w:sz w:val="24"/>
          <w:szCs w:val="24"/>
        </w:rPr>
        <w:t xml:space="preserve"> if these were all available</w:t>
      </w:r>
      <w:r w:rsidR="00607C01">
        <w:rPr>
          <w:rFonts w:ascii="Times New Roman" w:hAnsi="Times New Roman" w:cs="Times New Roman"/>
          <w:sz w:val="24"/>
          <w:szCs w:val="24"/>
        </w:rPr>
        <w:t>, including preference against the former</w:t>
      </w:r>
      <w:r w:rsidR="00F96836" w:rsidRPr="00E56BE0">
        <w:rPr>
          <w:rFonts w:ascii="Times New Roman" w:hAnsi="Times New Roman" w:cs="Times New Roman"/>
          <w:sz w:val="24"/>
          <w:szCs w:val="24"/>
        </w:rPr>
        <w:t xml:space="preserve">. </w:t>
      </w:r>
      <w:r w:rsidR="005603B9">
        <w:rPr>
          <w:rFonts w:ascii="Times New Roman" w:hAnsi="Times New Roman" w:cs="Times New Roman"/>
          <w:sz w:val="24"/>
          <w:szCs w:val="24"/>
        </w:rPr>
        <w:t xml:space="preserve">Scanning is typically conducted according to clinical judgement rather than routinely. </w:t>
      </w:r>
    </w:p>
    <w:p w14:paraId="2F8AC732" w14:textId="77777777" w:rsidR="0070566E" w:rsidRDefault="0070566E">
      <w:pPr>
        <w:rPr>
          <w:rFonts w:ascii="Times New Roman" w:hAnsi="Times New Roman" w:cs="Times New Roman"/>
          <w:b/>
          <w:sz w:val="24"/>
          <w:szCs w:val="24"/>
        </w:rPr>
      </w:pPr>
      <w:r>
        <w:rPr>
          <w:rFonts w:ascii="Times New Roman" w:hAnsi="Times New Roman" w:cs="Times New Roman"/>
          <w:b/>
          <w:sz w:val="24"/>
          <w:szCs w:val="24"/>
        </w:rPr>
        <w:br w:type="page"/>
      </w:r>
    </w:p>
    <w:p w14:paraId="5FB5A52F" w14:textId="17E7B801" w:rsidR="00856BAE" w:rsidRPr="00E56BE0" w:rsidRDefault="00607C01" w:rsidP="00E56BE0">
      <w:pPr>
        <w:spacing w:line="480" w:lineRule="auto"/>
        <w:rPr>
          <w:rFonts w:ascii="Times New Roman" w:hAnsi="Times New Roman" w:cs="Times New Roman"/>
          <w:b/>
          <w:sz w:val="24"/>
          <w:szCs w:val="24"/>
        </w:rPr>
      </w:pPr>
      <w:r w:rsidRPr="00E56BE0">
        <w:rPr>
          <w:rFonts w:ascii="Times New Roman" w:hAnsi="Times New Roman" w:cs="Times New Roman"/>
          <w:b/>
          <w:sz w:val="24"/>
          <w:szCs w:val="24"/>
        </w:rPr>
        <w:lastRenderedPageBreak/>
        <w:t>REFERENCES</w:t>
      </w:r>
    </w:p>
    <w:p w14:paraId="17740B07" w14:textId="3EA84556" w:rsidR="00D06DC9" w:rsidRPr="00D06DC9" w:rsidRDefault="00D06DC9" w:rsidP="00D06DC9">
      <w:pPr>
        <w:pStyle w:val="ListParagraph"/>
        <w:numPr>
          <w:ilvl w:val="0"/>
          <w:numId w:val="17"/>
        </w:numPr>
        <w:spacing w:line="480" w:lineRule="auto"/>
        <w:ind w:hanging="630"/>
        <w:rPr>
          <w:rFonts w:ascii="Times New Roman" w:hAnsi="Times New Roman" w:cs="Times New Roman"/>
          <w:sz w:val="24"/>
          <w:szCs w:val="24"/>
        </w:rPr>
      </w:pPr>
      <w:r w:rsidRPr="00D06DC9">
        <w:rPr>
          <w:rFonts w:ascii="Times New Roman" w:hAnsi="Times New Roman" w:cs="Times New Roman"/>
          <w:sz w:val="24"/>
          <w:szCs w:val="24"/>
        </w:rPr>
        <w:t xml:space="preserve">Francini E, Gray KP, Xie W, et al. Time of metastatic disease presentation and volume of disease are prognostic for metastatic hormone sensitive prostate cancer. </w:t>
      </w:r>
      <w:r w:rsidRPr="00531DF0">
        <w:rPr>
          <w:rFonts w:ascii="Times New Roman" w:hAnsi="Times New Roman" w:cs="Times New Roman"/>
          <w:i/>
          <w:iCs/>
          <w:sz w:val="24"/>
          <w:szCs w:val="24"/>
        </w:rPr>
        <w:t>Prostate</w:t>
      </w:r>
      <w:r w:rsidR="00531DF0">
        <w:rPr>
          <w:rFonts w:ascii="Times New Roman" w:hAnsi="Times New Roman" w:cs="Times New Roman"/>
          <w:sz w:val="24"/>
          <w:szCs w:val="24"/>
        </w:rPr>
        <w:t>.</w:t>
      </w:r>
      <w:r w:rsidRPr="00D06DC9">
        <w:rPr>
          <w:rFonts w:ascii="Times New Roman" w:hAnsi="Times New Roman" w:cs="Times New Roman"/>
          <w:sz w:val="24"/>
          <w:szCs w:val="24"/>
        </w:rPr>
        <w:t xml:space="preserve"> </w:t>
      </w:r>
      <w:proofErr w:type="gramStart"/>
      <w:r w:rsidRPr="00D06DC9">
        <w:rPr>
          <w:rFonts w:ascii="Times New Roman" w:hAnsi="Times New Roman" w:cs="Times New Roman"/>
          <w:sz w:val="24"/>
          <w:szCs w:val="24"/>
        </w:rPr>
        <w:t>2018;78:889</w:t>
      </w:r>
      <w:proofErr w:type="gramEnd"/>
      <w:r w:rsidRPr="00D06DC9">
        <w:rPr>
          <w:rFonts w:ascii="Times New Roman" w:hAnsi="Times New Roman" w:cs="Times New Roman"/>
          <w:sz w:val="24"/>
          <w:szCs w:val="24"/>
        </w:rPr>
        <w:t>-895.</w:t>
      </w:r>
    </w:p>
    <w:p w14:paraId="42FA8354" w14:textId="5878DA25" w:rsidR="00D06DC9" w:rsidRPr="00D06DC9" w:rsidRDefault="00D06DC9" w:rsidP="00D06DC9">
      <w:pPr>
        <w:pStyle w:val="ListParagraph"/>
        <w:numPr>
          <w:ilvl w:val="0"/>
          <w:numId w:val="17"/>
        </w:numPr>
        <w:spacing w:line="480" w:lineRule="auto"/>
        <w:ind w:hanging="630"/>
        <w:rPr>
          <w:rFonts w:ascii="Times New Roman" w:hAnsi="Times New Roman" w:cs="Times New Roman"/>
          <w:sz w:val="24"/>
          <w:szCs w:val="24"/>
        </w:rPr>
      </w:pPr>
      <w:r w:rsidRPr="00D06DC9">
        <w:rPr>
          <w:rFonts w:ascii="Times New Roman" w:hAnsi="Times New Roman" w:cs="Times New Roman"/>
          <w:sz w:val="24"/>
          <w:szCs w:val="24"/>
        </w:rPr>
        <w:t xml:space="preserve">Kyriakopoulos CE, Chen Y, Carducci MA, et al. Chemohormonal therapy in metastatic hormone-sensitive prostate cancer: Long-term survival analysis of the randomized phase III E3805 CHAARTED trial. </w:t>
      </w:r>
      <w:r w:rsidRPr="00531DF0">
        <w:rPr>
          <w:rFonts w:ascii="Times New Roman" w:hAnsi="Times New Roman" w:cs="Times New Roman"/>
          <w:i/>
          <w:iCs/>
          <w:sz w:val="24"/>
          <w:szCs w:val="24"/>
        </w:rPr>
        <w:t>J Clin Oncol</w:t>
      </w:r>
      <w:r w:rsidR="00531DF0">
        <w:rPr>
          <w:rFonts w:ascii="Times New Roman" w:hAnsi="Times New Roman" w:cs="Times New Roman"/>
          <w:sz w:val="24"/>
          <w:szCs w:val="24"/>
        </w:rPr>
        <w:t>.</w:t>
      </w:r>
      <w:r w:rsidRPr="00D06DC9">
        <w:rPr>
          <w:rFonts w:ascii="Times New Roman" w:hAnsi="Times New Roman" w:cs="Times New Roman"/>
          <w:sz w:val="24"/>
          <w:szCs w:val="24"/>
        </w:rPr>
        <w:t xml:space="preserve"> </w:t>
      </w:r>
      <w:proofErr w:type="gramStart"/>
      <w:r w:rsidRPr="00D06DC9">
        <w:rPr>
          <w:rFonts w:ascii="Times New Roman" w:hAnsi="Times New Roman" w:cs="Times New Roman"/>
          <w:sz w:val="24"/>
          <w:szCs w:val="24"/>
        </w:rPr>
        <w:t>2018;36:1080</w:t>
      </w:r>
      <w:proofErr w:type="gramEnd"/>
      <w:r w:rsidRPr="00D06DC9">
        <w:rPr>
          <w:rFonts w:ascii="Times New Roman" w:hAnsi="Times New Roman" w:cs="Times New Roman"/>
          <w:sz w:val="24"/>
          <w:szCs w:val="24"/>
        </w:rPr>
        <w:t>-1087.</w:t>
      </w:r>
    </w:p>
    <w:p w14:paraId="0C1D2578" w14:textId="2F55987B" w:rsidR="00D06DC9" w:rsidRPr="00D06DC9" w:rsidRDefault="00D06DC9" w:rsidP="0093044F">
      <w:pPr>
        <w:pStyle w:val="ListParagraph"/>
        <w:numPr>
          <w:ilvl w:val="0"/>
          <w:numId w:val="17"/>
        </w:numPr>
        <w:spacing w:line="480" w:lineRule="auto"/>
        <w:ind w:hanging="630"/>
        <w:rPr>
          <w:rFonts w:ascii="Times New Roman" w:hAnsi="Times New Roman" w:cs="Times New Roman"/>
          <w:sz w:val="24"/>
          <w:szCs w:val="24"/>
        </w:rPr>
      </w:pPr>
      <w:r w:rsidRPr="00D06DC9">
        <w:rPr>
          <w:rFonts w:ascii="Times New Roman" w:hAnsi="Times New Roman" w:cs="Times New Roman"/>
          <w:sz w:val="24"/>
          <w:szCs w:val="24"/>
        </w:rPr>
        <w:t xml:space="preserve">Gravis G, Boher J, Joly F, et al. Androgen deprivation therapy (ADT) plus docetaxel versus ADT alone in metastatic non castrate prostate cancer: impact of metastatic burden and long-term survival analysis of the randomized phase 3 GETUG-AF15 trial. </w:t>
      </w:r>
      <w:r w:rsidRPr="00531DF0">
        <w:rPr>
          <w:rFonts w:ascii="Times New Roman" w:hAnsi="Times New Roman" w:cs="Times New Roman"/>
          <w:i/>
          <w:iCs/>
          <w:sz w:val="24"/>
          <w:szCs w:val="24"/>
        </w:rPr>
        <w:t>Eur Urol</w:t>
      </w:r>
      <w:r w:rsidR="00531DF0">
        <w:rPr>
          <w:rFonts w:ascii="Times New Roman" w:hAnsi="Times New Roman" w:cs="Times New Roman"/>
          <w:sz w:val="24"/>
          <w:szCs w:val="24"/>
        </w:rPr>
        <w:t>.</w:t>
      </w:r>
      <w:r w:rsidRPr="00D06DC9">
        <w:rPr>
          <w:rFonts w:ascii="Times New Roman" w:hAnsi="Times New Roman" w:cs="Times New Roman"/>
          <w:sz w:val="24"/>
          <w:szCs w:val="24"/>
        </w:rPr>
        <w:t xml:space="preserve"> </w:t>
      </w:r>
      <w:proofErr w:type="gramStart"/>
      <w:r w:rsidRPr="00D06DC9">
        <w:rPr>
          <w:rFonts w:ascii="Times New Roman" w:hAnsi="Times New Roman" w:cs="Times New Roman"/>
          <w:sz w:val="24"/>
          <w:szCs w:val="24"/>
        </w:rPr>
        <w:t>2016;70:256</w:t>
      </w:r>
      <w:proofErr w:type="gramEnd"/>
      <w:r w:rsidRPr="00D06DC9">
        <w:rPr>
          <w:rFonts w:ascii="Times New Roman" w:hAnsi="Times New Roman" w:cs="Times New Roman"/>
          <w:sz w:val="24"/>
          <w:szCs w:val="24"/>
        </w:rPr>
        <w:t>-262.</w:t>
      </w:r>
    </w:p>
    <w:p w14:paraId="43FF1F55" w14:textId="01C774C3" w:rsidR="00967512" w:rsidRPr="00967512" w:rsidRDefault="00967512" w:rsidP="0093044F">
      <w:pPr>
        <w:pStyle w:val="ListParagraph"/>
        <w:numPr>
          <w:ilvl w:val="0"/>
          <w:numId w:val="17"/>
        </w:numPr>
        <w:spacing w:line="480" w:lineRule="auto"/>
        <w:ind w:hanging="630"/>
        <w:rPr>
          <w:rFonts w:ascii="Times New Roman" w:hAnsi="Times New Roman" w:cs="Times New Roman"/>
          <w:sz w:val="24"/>
          <w:szCs w:val="24"/>
        </w:rPr>
      </w:pPr>
      <w:r w:rsidRPr="00967512">
        <w:rPr>
          <w:rFonts w:ascii="Times New Roman" w:hAnsi="Times New Roman" w:cs="Times New Roman"/>
          <w:sz w:val="24"/>
          <w:szCs w:val="24"/>
        </w:rPr>
        <w:t xml:space="preserve">James ND, Sydes MR, Clarke NW, et al. Addition of docetaxel, zoledronic acid, or both to first-line long-term hormone therapy in prostate cancer (STAMPEDE): survival results from an adaptive, multiarm, multistage, platform randomised controlled trial. </w:t>
      </w:r>
      <w:r w:rsidRPr="00531DF0">
        <w:rPr>
          <w:rFonts w:ascii="Times New Roman" w:hAnsi="Times New Roman" w:cs="Times New Roman"/>
          <w:i/>
          <w:iCs/>
          <w:sz w:val="24"/>
          <w:szCs w:val="24"/>
        </w:rPr>
        <w:t>Lancet</w:t>
      </w:r>
      <w:r w:rsidR="00531DF0">
        <w:rPr>
          <w:rFonts w:ascii="Times New Roman" w:hAnsi="Times New Roman" w:cs="Times New Roman"/>
          <w:sz w:val="24"/>
          <w:szCs w:val="24"/>
        </w:rPr>
        <w:t>.</w:t>
      </w:r>
      <w:r w:rsidRPr="00967512">
        <w:rPr>
          <w:rFonts w:ascii="Times New Roman" w:hAnsi="Times New Roman" w:cs="Times New Roman"/>
          <w:sz w:val="24"/>
          <w:szCs w:val="24"/>
        </w:rPr>
        <w:t xml:space="preserve"> </w:t>
      </w:r>
      <w:proofErr w:type="gramStart"/>
      <w:r w:rsidRPr="00967512">
        <w:rPr>
          <w:rFonts w:ascii="Times New Roman" w:hAnsi="Times New Roman" w:cs="Times New Roman"/>
          <w:sz w:val="24"/>
          <w:szCs w:val="24"/>
        </w:rPr>
        <w:t>2016;387:1163</w:t>
      </w:r>
      <w:proofErr w:type="gramEnd"/>
      <w:r w:rsidRPr="00967512">
        <w:rPr>
          <w:rFonts w:ascii="Times New Roman" w:hAnsi="Times New Roman" w:cs="Times New Roman"/>
          <w:sz w:val="24"/>
          <w:szCs w:val="24"/>
        </w:rPr>
        <w:t>-1177.</w:t>
      </w:r>
    </w:p>
    <w:p w14:paraId="52857B4E" w14:textId="5BD71AA8" w:rsidR="00967512" w:rsidRPr="00967512" w:rsidRDefault="00967512" w:rsidP="0093044F">
      <w:pPr>
        <w:pStyle w:val="ListParagraph"/>
        <w:numPr>
          <w:ilvl w:val="0"/>
          <w:numId w:val="17"/>
        </w:numPr>
        <w:spacing w:line="480" w:lineRule="auto"/>
        <w:ind w:hanging="630"/>
        <w:rPr>
          <w:rFonts w:ascii="Times New Roman" w:hAnsi="Times New Roman" w:cs="Times New Roman"/>
          <w:sz w:val="24"/>
          <w:szCs w:val="24"/>
        </w:rPr>
      </w:pPr>
      <w:r w:rsidRPr="00967512">
        <w:rPr>
          <w:rFonts w:ascii="Times New Roman" w:hAnsi="Times New Roman" w:cs="Times New Roman"/>
          <w:sz w:val="24"/>
          <w:szCs w:val="24"/>
        </w:rPr>
        <w:t xml:space="preserve">Sweeney CJ, Chen Y, Carducci M, et al. Chemohormonal therapy in metastatic hormone-sensitive prostate cancer. </w:t>
      </w:r>
      <w:r w:rsidRPr="00531DF0">
        <w:rPr>
          <w:rFonts w:ascii="Times New Roman" w:hAnsi="Times New Roman" w:cs="Times New Roman"/>
          <w:i/>
          <w:iCs/>
          <w:sz w:val="24"/>
          <w:szCs w:val="24"/>
        </w:rPr>
        <w:t>N Engl J Med</w:t>
      </w:r>
      <w:r w:rsidR="00531DF0">
        <w:rPr>
          <w:rFonts w:ascii="Times New Roman" w:hAnsi="Times New Roman" w:cs="Times New Roman"/>
          <w:sz w:val="24"/>
          <w:szCs w:val="24"/>
        </w:rPr>
        <w:t>.</w:t>
      </w:r>
      <w:r w:rsidRPr="00967512">
        <w:rPr>
          <w:rFonts w:ascii="Times New Roman" w:hAnsi="Times New Roman" w:cs="Times New Roman"/>
          <w:sz w:val="24"/>
          <w:szCs w:val="24"/>
        </w:rPr>
        <w:t xml:space="preserve"> </w:t>
      </w:r>
      <w:proofErr w:type="gramStart"/>
      <w:r w:rsidRPr="00967512">
        <w:rPr>
          <w:rFonts w:ascii="Times New Roman" w:hAnsi="Times New Roman" w:cs="Times New Roman"/>
          <w:sz w:val="24"/>
          <w:szCs w:val="24"/>
        </w:rPr>
        <w:t>2015;373:737</w:t>
      </w:r>
      <w:proofErr w:type="gramEnd"/>
      <w:r w:rsidRPr="00967512">
        <w:rPr>
          <w:rFonts w:ascii="Times New Roman" w:hAnsi="Times New Roman" w:cs="Times New Roman"/>
          <w:sz w:val="24"/>
          <w:szCs w:val="24"/>
        </w:rPr>
        <w:t>-746.</w:t>
      </w:r>
    </w:p>
    <w:p w14:paraId="0472B875" w14:textId="66267340" w:rsidR="00967512" w:rsidRPr="00967512" w:rsidRDefault="00967512" w:rsidP="0093044F">
      <w:pPr>
        <w:pStyle w:val="ListParagraph"/>
        <w:numPr>
          <w:ilvl w:val="0"/>
          <w:numId w:val="17"/>
        </w:numPr>
        <w:spacing w:line="480" w:lineRule="auto"/>
        <w:ind w:hanging="630"/>
        <w:rPr>
          <w:rFonts w:ascii="Times New Roman" w:hAnsi="Times New Roman" w:cs="Times New Roman"/>
          <w:sz w:val="24"/>
          <w:szCs w:val="24"/>
        </w:rPr>
      </w:pPr>
      <w:r w:rsidRPr="00967512">
        <w:rPr>
          <w:rFonts w:ascii="Times New Roman" w:hAnsi="Times New Roman" w:cs="Times New Roman"/>
          <w:sz w:val="24"/>
          <w:szCs w:val="24"/>
        </w:rPr>
        <w:t xml:space="preserve">Vale CL, Burdett S, Rydzewska LHM, et al. Addition of docetaxel or bisphosphonate to standard of care in men with localised or metastatic, hormone-sensitive prostate cancer: a systematic review and meta-analyses of aggregate data. </w:t>
      </w:r>
      <w:r w:rsidRPr="00531DF0">
        <w:rPr>
          <w:rFonts w:ascii="Times New Roman" w:hAnsi="Times New Roman" w:cs="Times New Roman"/>
          <w:i/>
          <w:iCs/>
          <w:sz w:val="24"/>
          <w:szCs w:val="24"/>
        </w:rPr>
        <w:t>Lancet Oncol</w:t>
      </w:r>
      <w:r w:rsidR="00531DF0">
        <w:rPr>
          <w:rFonts w:ascii="Times New Roman" w:hAnsi="Times New Roman" w:cs="Times New Roman"/>
          <w:sz w:val="24"/>
          <w:szCs w:val="24"/>
        </w:rPr>
        <w:t>.</w:t>
      </w:r>
      <w:r w:rsidRPr="00967512">
        <w:rPr>
          <w:rFonts w:ascii="Times New Roman" w:hAnsi="Times New Roman" w:cs="Times New Roman"/>
          <w:sz w:val="24"/>
          <w:szCs w:val="24"/>
        </w:rPr>
        <w:t xml:space="preserve"> </w:t>
      </w:r>
      <w:proofErr w:type="gramStart"/>
      <w:r w:rsidRPr="00967512">
        <w:rPr>
          <w:rFonts w:ascii="Times New Roman" w:hAnsi="Times New Roman" w:cs="Times New Roman"/>
          <w:sz w:val="24"/>
          <w:szCs w:val="24"/>
        </w:rPr>
        <w:t>2016;17:243</w:t>
      </w:r>
      <w:proofErr w:type="gramEnd"/>
      <w:r w:rsidRPr="00967512">
        <w:rPr>
          <w:rFonts w:ascii="Times New Roman" w:hAnsi="Times New Roman" w:cs="Times New Roman"/>
          <w:sz w:val="24"/>
          <w:szCs w:val="24"/>
        </w:rPr>
        <w:t>-256.</w:t>
      </w:r>
    </w:p>
    <w:p w14:paraId="6446807C" w14:textId="2022B35C" w:rsidR="00967512" w:rsidRPr="00967512" w:rsidRDefault="00967512" w:rsidP="0093044F">
      <w:pPr>
        <w:pStyle w:val="ListParagraph"/>
        <w:numPr>
          <w:ilvl w:val="0"/>
          <w:numId w:val="17"/>
        </w:numPr>
        <w:spacing w:line="480" w:lineRule="auto"/>
        <w:ind w:hanging="630"/>
        <w:rPr>
          <w:rFonts w:ascii="Times New Roman" w:hAnsi="Times New Roman" w:cs="Times New Roman"/>
          <w:sz w:val="24"/>
          <w:szCs w:val="24"/>
        </w:rPr>
      </w:pPr>
      <w:r w:rsidRPr="00967512">
        <w:rPr>
          <w:rFonts w:ascii="Times New Roman" w:hAnsi="Times New Roman" w:cs="Times New Roman"/>
          <w:sz w:val="24"/>
          <w:szCs w:val="24"/>
        </w:rPr>
        <w:t xml:space="preserve">Clarke NW, Ali A, Ingleby FC, et al. Addition of docetaxel to hormonal therapy in low- and high-burden metastatic hormone sensitive prostate cancer: long-term survival results from the STAMPEDE trial. </w:t>
      </w:r>
      <w:r w:rsidRPr="00531DF0">
        <w:rPr>
          <w:rFonts w:ascii="Times New Roman" w:hAnsi="Times New Roman" w:cs="Times New Roman"/>
          <w:i/>
          <w:iCs/>
          <w:sz w:val="24"/>
          <w:szCs w:val="24"/>
        </w:rPr>
        <w:t>Ann Oncol</w:t>
      </w:r>
      <w:r w:rsidR="00531DF0">
        <w:rPr>
          <w:rFonts w:ascii="Times New Roman" w:hAnsi="Times New Roman" w:cs="Times New Roman"/>
          <w:sz w:val="24"/>
          <w:szCs w:val="24"/>
        </w:rPr>
        <w:t>.</w:t>
      </w:r>
      <w:r w:rsidRPr="00967512">
        <w:rPr>
          <w:rFonts w:ascii="Times New Roman" w:hAnsi="Times New Roman" w:cs="Times New Roman"/>
          <w:sz w:val="24"/>
          <w:szCs w:val="24"/>
        </w:rPr>
        <w:t xml:space="preserve"> </w:t>
      </w:r>
      <w:proofErr w:type="gramStart"/>
      <w:r w:rsidRPr="00967512">
        <w:rPr>
          <w:rFonts w:ascii="Times New Roman" w:hAnsi="Times New Roman" w:cs="Times New Roman"/>
          <w:sz w:val="24"/>
          <w:szCs w:val="24"/>
        </w:rPr>
        <w:t>2019;30:1992</w:t>
      </w:r>
      <w:proofErr w:type="gramEnd"/>
      <w:r w:rsidRPr="00967512">
        <w:rPr>
          <w:rFonts w:ascii="Times New Roman" w:hAnsi="Times New Roman" w:cs="Times New Roman"/>
          <w:sz w:val="24"/>
          <w:szCs w:val="24"/>
        </w:rPr>
        <w:t>-2003.</w:t>
      </w:r>
    </w:p>
    <w:p w14:paraId="512D13C6" w14:textId="2F788976" w:rsidR="00967512" w:rsidRPr="00967512" w:rsidRDefault="00967512" w:rsidP="0093044F">
      <w:pPr>
        <w:pStyle w:val="ListParagraph"/>
        <w:numPr>
          <w:ilvl w:val="0"/>
          <w:numId w:val="17"/>
        </w:numPr>
        <w:spacing w:line="480" w:lineRule="auto"/>
        <w:ind w:hanging="630"/>
        <w:rPr>
          <w:rFonts w:ascii="Times New Roman" w:hAnsi="Times New Roman" w:cs="Times New Roman"/>
          <w:sz w:val="24"/>
          <w:szCs w:val="24"/>
        </w:rPr>
      </w:pPr>
      <w:r w:rsidRPr="00967512">
        <w:rPr>
          <w:rFonts w:ascii="Times New Roman" w:hAnsi="Times New Roman" w:cs="Times New Roman"/>
          <w:sz w:val="24"/>
          <w:szCs w:val="24"/>
        </w:rPr>
        <w:lastRenderedPageBreak/>
        <w:t xml:space="preserve">Fizazi K, Tran N, Fein L, et al. Abiraterone plus prednisone in metastatic, castration-sensitive prostate cancer. </w:t>
      </w:r>
      <w:r w:rsidRPr="00531DF0">
        <w:rPr>
          <w:rFonts w:ascii="Times New Roman" w:hAnsi="Times New Roman" w:cs="Times New Roman"/>
          <w:i/>
          <w:iCs/>
          <w:sz w:val="24"/>
          <w:szCs w:val="24"/>
        </w:rPr>
        <w:t>N Engl J Med</w:t>
      </w:r>
      <w:r w:rsidR="00531DF0">
        <w:rPr>
          <w:rFonts w:ascii="Times New Roman" w:hAnsi="Times New Roman" w:cs="Times New Roman"/>
          <w:sz w:val="24"/>
          <w:szCs w:val="24"/>
        </w:rPr>
        <w:t>.</w:t>
      </w:r>
      <w:r w:rsidRPr="00967512">
        <w:rPr>
          <w:rFonts w:ascii="Times New Roman" w:hAnsi="Times New Roman" w:cs="Times New Roman"/>
          <w:sz w:val="24"/>
          <w:szCs w:val="24"/>
        </w:rPr>
        <w:t xml:space="preserve"> </w:t>
      </w:r>
      <w:proofErr w:type="gramStart"/>
      <w:r w:rsidRPr="00967512">
        <w:rPr>
          <w:rFonts w:ascii="Times New Roman" w:hAnsi="Times New Roman" w:cs="Times New Roman"/>
          <w:sz w:val="24"/>
          <w:szCs w:val="24"/>
        </w:rPr>
        <w:t>2017;377:352</w:t>
      </w:r>
      <w:proofErr w:type="gramEnd"/>
      <w:r w:rsidRPr="00967512">
        <w:rPr>
          <w:rFonts w:ascii="Times New Roman" w:hAnsi="Times New Roman" w:cs="Times New Roman"/>
          <w:sz w:val="24"/>
          <w:szCs w:val="24"/>
        </w:rPr>
        <w:t>-360.</w:t>
      </w:r>
    </w:p>
    <w:p w14:paraId="495C7CA7" w14:textId="3E3E4D42" w:rsidR="00967512" w:rsidRPr="00967512" w:rsidRDefault="00967512" w:rsidP="0093044F">
      <w:pPr>
        <w:pStyle w:val="ListParagraph"/>
        <w:numPr>
          <w:ilvl w:val="0"/>
          <w:numId w:val="17"/>
        </w:numPr>
        <w:spacing w:line="480" w:lineRule="auto"/>
        <w:ind w:hanging="630"/>
        <w:rPr>
          <w:rFonts w:ascii="Times New Roman" w:hAnsi="Times New Roman" w:cs="Times New Roman"/>
          <w:sz w:val="24"/>
          <w:szCs w:val="24"/>
        </w:rPr>
      </w:pPr>
      <w:r w:rsidRPr="00967512">
        <w:rPr>
          <w:rFonts w:ascii="Times New Roman" w:hAnsi="Times New Roman" w:cs="Times New Roman"/>
          <w:sz w:val="24"/>
          <w:szCs w:val="24"/>
        </w:rPr>
        <w:t xml:space="preserve">Fizazi K, Tran N, Fein L, et al. Abiraterone acetate plus prednisone in patients with newly diagnosed high-risk metastatic castration-sensitive prostate cancer (LATITUDE): final overall survival analysis of a randomised, double-blind, phase 3 trial. </w:t>
      </w:r>
      <w:r w:rsidRPr="00531DF0">
        <w:rPr>
          <w:rFonts w:ascii="Times New Roman" w:hAnsi="Times New Roman" w:cs="Times New Roman"/>
          <w:i/>
          <w:iCs/>
          <w:sz w:val="24"/>
          <w:szCs w:val="24"/>
        </w:rPr>
        <w:t>Lancet Oncol</w:t>
      </w:r>
      <w:r w:rsidR="00531DF0">
        <w:rPr>
          <w:rFonts w:ascii="Times New Roman" w:hAnsi="Times New Roman" w:cs="Times New Roman"/>
          <w:sz w:val="24"/>
          <w:szCs w:val="24"/>
        </w:rPr>
        <w:t>.</w:t>
      </w:r>
      <w:r w:rsidRPr="00967512">
        <w:rPr>
          <w:rFonts w:ascii="Times New Roman" w:hAnsi="Times New Roman" w:cs="Times New Roman"/>
          <w:sz w:val="24"/>
          <w:szCs w:val="24"/>
        </w:rPr>
        <w:t xml:space="preserve"> </w:t>
      </w:r>
      <w:proofErr w:type="gramStart"/>
      <w:r w:rsidRPr="00967512">
        <w:rPr>
          <w:rFonts w:ascii="Times New Roman" w:hAnsi="Times New Roman" w:cs="Times New Roman"/>
          <w:sz w:val="24"/>
          <w:szCs w:val="24"/>
        </w:rPr>
        <w:t>2019;20:686</w:t>
      </w:r>
      <w:proofErr w:type="gramEnd"/>
      <w:r w:rsidRPr="00967512">
        <w:rPr>
          <w:rFonts w:ascii="Times New Roman" w:hAnsi="Times New Roman" w:cs="Times New Roman"/>
          <w:sz w:val="24"/>
          <w:szCs w:val="24"/>
        </w:rPr>
        <w:t>-700.</w:t>
      </w:r>
    </w:p>
    <w:p w14:paraId="14ADFCA6" w14:textId="7726AB33" w:rsidR="0093044F" w:rsidRPr="0093044F" w:rsidRDefault="0093044F" w:rsidP="0093044F">
      <w:pPr>
        <w:pStyle w:val="ListParagraph"/>
        <w:numPr>
          <w:ilvl w:val="0"/>
          <w:numId w:val="17"/>
        </w:numPr>
        <w:spacing w:line="480" w:lineRule="auto"/>
        <w:ind w:hanging="630"/>
        <w:rPr>
          <w:rFonts w:ascii="Times New Roman" w:hAnsi="Times New Roman" w:cs="Times New Roman"/>
          <w:sz w:val="24"/>
          <w:szCs w:val="24"/>
        </w:rPr>
      </w:pPr>
      <w:r w:rsidRPr="0093044F">
        <w:rPr>
          <w:rFonts w:ascii="Times New Roman" w:hAnsi="Times New Roman" w:cs="Times New Roman"/>
          <w:sz w:val="24"/>
          <w:szCs w:val="24"/>
        </w:rPr>
        <w:t xml:space="preserve">James ND, de Bono JS, Spears MR, et al. Abiraterone for prostate cancer not previously treated with hormone therapy. </w:t>
      </w:r>
      <w:r w:rsidRPr="00531DF0">
        <w:rPr>
          <w:rFonts w:ascii="Times New Roman" w:hAnsi="Times New Roman" w:cs="Times New Roman"/>
          <w:i/>
          <w:iCs/>
          <w:sz w:val="24"/>
          <w:szCs w:val="24"/>
        </w:rPr>
        <w:t>N Engl J Med</w:t>
      </w:r>
      <w:r w:rsidR="00531DF0">
        <w:rPr>
          <w:rFonts w:ascii="Times New Roman" w:hAnsi="Times New Roman" w:cs="Times New Roman"/>
          <w:sz w:val="24"/>
          <w:szCs w:val="24"/>
        </w:rPr>
        <w:t>.</w:t>
      </w:r>
      <w:r w:rsidRPr="0093044F">
        <w:rPr>
          <w:rFonts w:ascii="Times New Roman" w:hAnsi="Times New Roman" w:cs="Times New Roman"/>
          <w:sz w:val="24"/>
          <w:szCs w:val="24"/>
        </w:rPr>
        <w:t xml:space="preserve"> </w:t>
      </w:r>
      <w:proofErr w:type="gramStart"/>
      <w:r w:rsidRPr="0093044F">
        <w:rPr>
          <w:rFonts w:ascii="Times New Roman" w:hAnsi="Times New Roman" w:cs="Times New Roman"/>
          <w:sz w:val="24"/>
          <w:szCs w:val="24"/>
        </w:rPr>
        <w:t>2017;377:338</w:t>
      </w:r>
      <w:proofErr w:type="gramEnd"/>
      <w:r w:rsidRPr="0093044F">
        <w:rPr>
          <w:rFonts w:ascii="Times New Roman" w:hAnsi="Times New Roman" w:cs="Times New Roman"/>
          <w:sz w:val="24"/>
          <w:szCs w:val="24"/>
        </w:rPr>
        <w:t>-351.</w:t>
      </w:r>
    </w:p>
    <w:p w14:paraId="286FBCF3" w14:textId="4001AA06" w:rsidR="0093044F" w:rsidRPr="0093044F" w:rsidRDefault="0093044F" w:rsidP="0093044F">
      <w:pPr>
        <w:pStyle w:val="ListParagraph"/>
        <w:numPr>
          <w:ilvl w:val="0"/>
          <w:numId w:val="17"/>
        </w:numPr>
        <w:spacing w:line="480" w:lineRule="auto"/>
        <w:ind w:hanging="630"/>
        <w:rPr>
          <w:rFonts w:ascii="Times New Roman" w:hAnsi="Times New Roman" w:cs="Times New Roman"/>
          <w:sz w:val="24"/>
          <w:szCs w:val="24"/>
        </w:rPr>
      </w:pPr>
      <w:r w:rsidRPr="0093044F">
        <w:rPr>
          <w:rFonts w:ascii="Times New Roman" w:hAnsi="Times New Roman" w:cs="Times New Roman"/>
          <w:sz w:val="24"/>
          <w:szCs w:val="24"/>
        </w:rPr>
        <w:t xml:space="preserve">Hoyle AP, Ali A, James ND, et al. Abiraterone in “high-” and “low-risk” metastatic hormone sensitive prostate cancer. </w:t>
      </w:r>
      <w:r w:rsidRPr="00531DF0">
        <w:rPr>
          <w:rFonts w:ascii="Times New Roman" w:hAnsi="Times New Roman" w:cs="Times New Roman"/>
          <w:i/>
          <w:iCs/>
          <w:sz w:val="24"/>
          <w:szCs w:val="24"/>
        </w:rPr>
        <w:t>Eur Urol</w:t>
      </w:r>
      <w:r w:rsidR="00531DF0">
        <w:rPr>
          <w:rFonts w:ascii="Times New Roman" w:hAnsi="Times New Roman" w:cs="Times New Roman"/>
          <w:sz w:val="24"/>
          <w:szCs w:val="24"/>
        </w:rPr>
        <w:t>.</w:t>
      </w:r>
      <w:r w:rsidRPr="0093044F">
        <w:rPr>
          <w:rFonts w:ascii="Times New Roman" w:hAnsi="Times New Roman" w:cs="Times New Roman"/>
          <w:sz w:val="24"/>
          <w:szCs w:val="24"/>
        </w:rPr>
        <w:t xml:space="preserve"> </w:t>
      </w:r>
      <w:proofErr w:type="gramStart"/>
      <w:r w:rsidRPr="0093044F">
        <w:rPr>
          <w:rFonts w:ascii="Times New Roman" w:hAnsi="Times New Roman" w:cs="Times New Roman"/>
          <w:sz w:val="24"/>
          <w:szCs w:val="24"/>
        </w:rPr>
        <w:t>2019;76:719</w:t>
      </w:r>
      <w:proofErr w:type="gramEnd"/>
      <w:r w:rsidRPr="0093044F">
        <w:rPr>
          <w:rFonts w:ascii="Times New Roman" w:hAnsi="Times New Roman" w:cs="Times New Roman"/>
          <w:sz w:val="24"/>
          <w:szCs w:val="24"/>
        </w:rPr>
        <w:t>-728.</w:t>
      </w:r>
    </w:p>
    <w:p w14:paraId="4FC4D40D" w14:textId="07F663ED" w:rsidR="0093044F" w:rsidRPr="0093044F" w:rsidRDefault="0093044F" w:rsidP="0093044F">
      <w:pPr>
        <w:pStyle w:val="ListParagraph"/>
        <w:numPr>
          <w:ilvl w:val="0"/>
          <w:numId w:val="17"/>
        </w:numPr>
        <w:spacing w:line="480" w:lineRule="auto"/>
        <w:ind w:hanging="630"/>
        <w:rPr>
          <w:rFonts w:ascii="Times New Roman" w:hAnsi="Times New Roman" w:cs="Times New Roman"/>
          <w:sz w:val="24"/>
          <w:szCs w:val="24"/>
        </w:rPr>
      </w:pPr>
      <w:r w:rsidRPr="0093044F">
        <w:rPr>
          <w:rFonts w:ascii="Times New Roman" w:hAnsi="Times New Roman" w:cs="Times New Roman"/>
          <w:sz w:val="24"/>
          <w:szCs w:val="24"/>
        </w:rPr>
        <w:t xml:space="preserve">Armstrong AJ, Szmulewitz RZ, Petrylak DP, et al. ARCHES: A randomized, phase III study of androgen deprivation therapy with enzalutamide or placebo in men with metastatic hormone-sensitive prostate cancer. </w:t>
      </w:r>
      <w:r w:rsidRPr="00531DF0">
        <w:rPr>
          <w:rFonts w:ascii="Times New Roman" w:hAnsi="Times New Roman" w:cs="Times New Roman"/>
          <w:i/>
          <w:iCs/>
          <w:sz w:val="24"/>
          <w:szCs w:val="24"/>
        </w:rPr>
        <w:t>J Clin Oncol</w:t>
      </w:r>
      <w:r w:rsidR="00531DF0">
        <w:rPr>
          <w:rFonts w:ascii="Times New Roman" w:hAnsi="Times New Roman" w:cs="Times New Roman"/>
          <w:sz w:val="24"/>
          <w:szCs w:val="24"/>
        </w:rPr>
        <w:t>.</w:t>
      </w:r>
      <w:r w:rsidRPr="0093044F">
        <w:rPr>
          <w:rFonts w:ascii="Times New Roman" w:hAnsi="Times New Roman" w:cs="Times New Roman"/>
          <w:sz w:val="24"/>
          <w:szCs w:val="24"/>
        </w:rPr>
        <w:t xml:space="preserve"> </w:t>
      </w:r>
      <w:proofErr w:type="gramStart"/>
      <w:r w:rsidRPr="0093044F">
        <w:rPr>
          <w:rFonts w:ascii="Times New Roman" w:hAnsi="Times New Roman" w:cs="Times New Roman"/>
          <w:sz w:val="24"/>
          <w:szCs w:val="24"/>
        </w:rPr>
        <w:t>2019;37:2974</w:t>
      </w:r>
      <w:proofErr w:type="gramEnd"/>
      <w:r w:rsidRPr="0093044F">
        <w:rPr>
          <w:rFonts w:ascii="Times New Roman" w:hAnsi="Times New Roman" w:cs="Times New Roman"/>
          <w:sz w:val="24"/>
          <w:szCs w:val="24"/>
        </w:rPr>
        <w:t>-2986.</w:t>
      </w:r>
    </w:p>
    <w:p w14:paraId="68EB24B8" w14:textId="12641CE5" w:rsidR="0093044F" w:rsidRPr="0093044F" w:rsidRDefault="0093044F" w:rsidP="0093044F">
      <w:pPr>
        <w:pStyle w:val="ListParagraph"/>
        <w:numPr>
          <w:ilvl w:val="0"/>
          <w:numId w:val="17"/>
        </w:numPr>
        <w:spacing w:line="480" w:lineRule="auto"/>
        <w:ind w:hanging="630"/>
        <w:rPr>
          <w:rFonts w:ascii="Times New Roman" w:hAnsi="Times New Roman" w:cs="Times New Roman"/>
          <w:sz w:val="24"/>
          <w:szCs w:val="24"/>
        </w:rPr>
      </w:pPr>
      <w:r w:rsidRPr="0093044F">
        <w:rPr>
          <w:rFonts w:ascii="Times New Roman" w:hAnsi="Times New Roman" w:cs="Times New Roman"/>
          <w:sz w:val="24"/>
          <w:szCs w:val="24"/>
        </w:rPr>
        <w:t xml:space="preserve">Davis ID, Martin AJ, Stockler MR, et al. Enzalutamide with standard first-line therapy in metastatic prostate cancer. </w:t>
      </w:r>
      <w:r w:rsidRPr="00531DF0">
        <w:rPr>
          <w:rFonts w:ascii="Times New Roman" w:hAnsi="Times New Roman" w:cs="Times New Roman"/>
          <w:i/>
          <w:iCs/>
          <w:sz w:val="24"/>
          <w:szCs w:val="24"/>
        </w:rPr>
        <w:t>N Engl J Med</w:t>
      </w:r>
      <w:r w:rsidR="00531DF0">
        <w:rPr>
          <w:rFonts w:ascii="Times New Roman" w:hAnsi="Times New Roman" w:cs="Times New Roman"/>
          <w:sz w:val="24"/>
          <w:szCs w:val="24"/>
        </w:rPr>
        <w:t>.</w:t>
      </w:r>
      <w:r w:rsidRPr="0093044F">
        <w:rPr>
          <w:rFonts w:ascii="Times New Roman" w:hAnsi="Times New Roman" w:cs="Times New Roman"/>
          <w:sz w:val="24"/>
          <w:szCs w:val="24"/>
        </w:rPr>
        <w:t xml:space="preserve"> </w:t>
      </w:r>
      <w:proofErr w:type="gramStart"/>
      <w:r w:rsidRPr="0093044F">
        <w:rPr>
          <w:rFonts w:ascii="Times New Roman" w:hAnsi="Times New Roman" w:cs="Times New Roman"/>
          <w:sz w:val="24"/>
          <w:szCs w:val="24"/>
        </w:rPr>
        <w:t>2019;381:121</w:t>
      </w:r>
      <w:proofErr w:type="gramEnd"/>
      <w:r w:rsidRPr="0093044F">
        <w:rPr>
          <w:rFonts w:ascii="Times New Roman" w:hAnsi="Times New Roman" w:cs="Times New Roman"/>
          <w:sz w:val="24"/>
          <w:szCs w:val="24"/>
        </w:rPr>
        <w:t>-131.</w:t>
      </w:r>
    </w:p>
    <w:p w14:paraId="3C0377C4" w14:textId="25B52D99" w:rsidR="0093044F" w:rsidRPr="0093044F" w:rsidRDefault="0093044F" w:rsidP="0093044F">
      <w:pPr>
        <w:pStyle w:val="ListParagraph"/>
        <w:numPr>
          <w:ilvl w:val="0"/>
          <w:numId w:val="17"/>
        </w:numPr>
        <w:spacing w:line="480" w:lineRule="auto"/>
        <w:ind w:hanging="630"/>
        <w:rPr>
          <w:rFonts w:ascii="Times New Roman" w:hAnsi="Times New Roman" w:cs="Times New Roman"/>
          <w:sz w:val="24"/>
          <w:szCs w:val="24"/>
        </w:rPr>
      </w:pPr>
      <w:r w:rsidRPr="0093044F">
        <w:rPr>
          <w:rFonts w:ascii="Times New Roman" w:hAnsi="Times New Roman" w:cs="Times New Roman"/>
          <w:sz w:val="24"/>
          <w:szCs w:val="24"/>
        </w:rPr>
        <w:t xml:space="preserve">Chi K, Agarwal N, Bjartell A, et al. Apalutamide for metastatic, castration-sensitive prostate cancer. </w:t>
      </w:r>
      <w:r w:rsidRPr="00531DF0">
        <w:rPr>
          <w:rFonts w:ascii="Times New Roman" w:hAnsi="Times New Roman" w:cs="Times New Roman"/>
          <w:i/>
          <w:iCs/>
          <w:sz w:val="24"/>
          <w:szCs w:val="24"/>
        </w:rPr>
        <w:t>N Engl J Med</w:t>
      </w:r>
      <w:r w:rsidR="00531DF0">
        <w:rPr>
          <w:rFonts w:ascii="Times New Roman" w:hAnsi="Times New Roman" w:cs="Times New Roman"/>
          <w:sz w:val="24"/>
          <w:szCs w:val="24"/>
        </w:rPr>
        <w:t>.</w:t>
      </w:r>
      <w:r w:rsidRPr="0093044F">
        <w:rPr>
          <w:rFonts w:ascii="Times New Roman" w:hAnsi="Times New Roman" w:cs="Times New Roman"/>
          <w:sz w:val="24"/>
          <w:szCs w:val="24"/>
        </w:rPr>
        <w:t xml:space="preserve"> </w:t>
      </w:r>
      <w:proofErr w:type="gramStart"/>
      <w:r w:rsidRPr="0093044F">
        <w:rPr>
          <w:rFonts w:ascii="Times New Roman" w:hAnsi="Times New Roman" w:cs="Times New Roman"/>
          <w:sz w:val="24"/>
          <w:szCs w:val="24"/>
        </w:rPr>
        <w:t>2019;381:13</w:t>
      </w:r>
      <w:proofErr w:type="gramEnd"/>
      <w:r w:rsidRPr="0093044F">
        <w:rPr>
          <w:rFonts w:ascii="Times New Roman" w:hAnsi="Times New Roman" w:cs="Times New Roman"/>
          <w:sz w:val="24"/>
          <w:szCs w:val="24"/>
        </w:rPr>
        <w:t xml:space="preserve">-24. </w:t>
      </w:r>
    </w:p>
    <w:p w14:paraId="3DA369E4" w14:textId="32A30719" w:rsidR="0093044F" w:rsidRPr="0093044F" w:rsidRDefault="0093044F" w:rsidP="0093044F">
      <w:pPr>
        <w:pStyle w:val="ListParagraph"/>
        <w:numPr>
          <w:ilvl w:val="0"/>
          <w:numId w:val="17"/>
        </w:numPr>
        <w:spacing w:line="480" w:lineRule="auto"/>
        <w:ind w:hanging="630"/>
        <w:rPr>
          <w:rFonts w:ascii="Times New Roman" w:hAnsi="Times New Roman" w:cs="Times New Roman"/>
          <w:sz w:val="24"/>
          <w:szCs w:val="24"/>
        </w:rPr>
      </w:pPr>
      <w:r w:rsidRPr="0093044F">
        <w:rPr>
          <w:rFonts w:ascii="Times New Roman" w:hAnsi="Times New Roman" w:cs="Times New Roman"/>
          <w:sz w:val="24"/>
          <w:szCs w:val="24"/>
        </w:rPr>
        <w:t xml:space="preserve">Jenkins V, Solis-Trapala I, Payne H, et al. Treatment experiences, information needs, pain and quality of life in men with castration-resistant prostate cancer: results from the EXTREQOL study. </w:t>
      </w:r>
      <w:r w:rsidRPr="00531DF0">
        <w:rPr>
          <w:rFonts w:ascii="Times New Roman" w:hAnsi="Times New Roman" w:cs="Times New Roman"/>
          <w:i/>
          <w:iCs/>
          <w:sz w:val="24"/>
          <w:szCs w:val="24"/>
        </w:rPr>
        <w:t>Clin Oncol</w:t>
      </w:r>
      <w:r w:rsidR="00531DF0">
        <w:rPr>
          <w:rFonts w:ascii="Times New Roman" w:hAnsi="Times New Roman" w:cs="Times New Roman"/>
          <w:sz w:val="24"/>
          <w:szCs w:val="24"/>
        </w:rPr>
        <w:t>.</w:t>
      </w:r>
      <w:r w:rsidRPr="0093044F">
        <w:rPr>
          <w:rFonts w:ascii="Times New Roman" w:hAnsi="Times New Roman" w:cs="Times New Roman"/>
          <w:sz w:val="24"/>
          <w:szCs w:val="24"/>
        </w:rPr>
        <w:t xml:space="preserve"> </w:t>
      </w:r>
      <w:proofErr w:type="gramStart"/>
      <w:r w:rsidRPr="0093044F">
        <w:rPr>
          <w:rFonts w:ascii="Times New Roman" w:hAnsi="Times New Roman" w:cs="Times New Roman"/>
          <w:sz w:val="24"/>
          <w:szCs w:val="24"/>
        </w:rPr>
        <w:t>2019;31:99</w:t>
      </w:r>
      <w:proofErr w:type="gramEnd"/>
      <w:r w:rsidRPr="0093044F">
        <w:rPr>
          <w:rFonts w:ascii="Times New Roman" w:hAnsi="Times New Roman" w:cs="Times New Roman"/>
          <w:sz w:val="24"/>
          <w:szCs w:val="24"/>
        </w:rPr>
        <w:t>-107.</w:t>
      </w:r>
    </w:p>
    <w:p w14:paraId="2D23A38D" w14:textId="33540C9F" w:rsidR="0093044F" w:rsidRPr="0093044F" w:rsidRDefault="0093044F" w:rsidP="0093044F">
      <w:pPr>
        <w:pStyle w:val="ListParagraph"/>
        <w:numPr>
          <w:ilvl w:val="0"/>
          <w:numId w:val="17"/>
        </w:numPr>
        <w:spacing w:line="480" w:lineRule="auto"/>
        <w:ind w:hanging="630"/>
        <w:rPr>
          <w:rFonts w:ascii="Times New Roman" w:hAnsi="Times New Roman" w:cs="Times New Roman"/>
          <w:sz w:val="24"/>
          <w:szCs w:val="24"/>
        </w:rPr>
      </w:pPr>
      <w:r w:rsidRPr="0093044F">
        <w:rPr>
          <w:rFonts w:ascii="Times New Roman" w:hAnsi="Times New Roman" w:cs="Times New Roman"/>
          <w:sz w:val="24"/>
          <w:szCs w:val="24"/>
        </w:rPr>
        <w:t xml:space="preserve">Colloca G, Venturino A, Governato I, Checcaglini F. Incidence and correlates of fatigue in metastatic castration-resistant prostate cancer: a systematic review. </w:t>
      </w:r>
      <w:r w:rsidRPr="00531DF0">
        <w:rPr>
          <w:rFonts w:ascii="Times New Roman" w:hAnsi="Times New Roman" w:cs="Times New Roman"/>
          <w:i/>
          <w:iCs/>
          <w:sz w:val="24"/>
          <w:szCs w:val="24"/>
        </w:rPr>
        <w:t>Clin Genitourin Cancer</w:t>
      </w:r>
      <w:r w:rsidR="00531DF0">
        <w:rPr>
          <w:rFonts w:ascii="Times New Roman" w:hAnsi="Times New Roman" w:cs="Times New Roman"/>
          <w:sz w:val="24"/>
          <w:szCs w:val="24"/>
        </w:rPr>
        <w:t>.</w:t>
      </w:r>
      <w:r w:rsidRPr="0093044F">
        <w:rPr>
          <w:rFonts w:ascii="Times New Roman" w:hAnsi="Times New Roman" w:cs="Times New Roman"/>
          <w:sz w:val="24"/>
          <w:szCs w:val="24"/>
        </w:rPr>
        <w:t xml:space="preserve"> </w:t>
      </w:r>
      <w:proofErr w:type="gramStart"/>
      <w:r w:rsidRPr="0093044F">
        <w:rPr>
          <w:rFonts w:ascii="Times New Roman" w:hAnsi="Times New Roman" w:cs="Times New Roman"/>
          <w:sz w:val="24"/>
          <w:szCs w:val="24"/>
        </w:rPr>
        <w:t>2016;14:5</w:t>
      </w:r>
      <w:proofErr w:type="gramEnd"/>
      <w:r w:rsidRPr="0093044F">
        <w:rPr>
          <w:rFonts w:ascii="Times New Roman" w:hAnsi="Times New Roman" w:cs="Times New Roman"/>
          <w:sz w:val="24"/>
          <w:szCs w:val="24"/>
        </w:rPr>
        <w:t>-11.</w:t>
      </w:r>
    </w:p>
    <w:p w14:paraId="2DAB881F" w14:textId="77777777" w:rsidR="0093044F" w:rsidRPr="0093044F" w:rsidRDefault="0093044F" w:rsidP="0093044F">
      <w:pPr>
        <w:pStyle w:val="ListParagraph"/>
        <w:numPr>
          <w:ilvl w:val="0"/>
          <w:numId w:val="17"/>
        </w:numPr>
        <w:spacing w:line="480" w:lineRule="auto"/>
        <w:ind w:hanging="630"/>
        <w:rPr>
          <w:rFonts w:ascii="Times New Roman" w:hAnsi="Times New Roman" w:cs="Times New Roman"/>
          <w:sz w:val="24"/>
          <w:szCs w:val="24"/>
        </w:rPr>
      </w:pPr>
      <w:r w:rsidRPr="0093044F">
        <w:rPr>
          <w:rFonts w:ascii="Times New Roman" w:hAnsi="Times New Roman" w:cs="Times New Roman"/>
          <w:sz w:val="24"/>
          <w:szCs w:val="24"/>
        </w:rPr>
        <w:t>National Institute for Health and Care Excellence. Prostate cancer: diagnosis and management. Nice Guideline 131. May 2019.</w:t>
      </w:r>
    </w:p>
    <w:p w14:paraId="3B540793" w14:textId="3A74EEA1" w:rsidR="0093044F" w:rsidRPr="0093044F" w:rsidRDefault="0093044F" w:rsidP="0093044F">
      <w:pPr>
        <w:pStyle w:val="ListParagraph"/>
        <w:numPr>
          <w:ilvl w:val="0"/>
          <w:numId w:val="17"/>
        </w:numPr>
        <w:spacing w:line="480" w:lineRule="auto"/>
        <w:ind w:hanging="630"/>
        <w:rPr>
          <w:rFonts w:ascii="Times New Roman" w:hAnsi="Times New Roman" w:cs="Times New Roman"/>
          <w:sz w:val="24"/>
          <w:szCs w:val="24"/>
        </w:rPr>
      </w:pPr>
      <w:r w:rsidRPr="0093044F">
        <w:rPr>
          <w:rFonts w:ascii="Times New Roman" w:hAnsi="Times New Roman" w:cs="Times New Roman"/>
          <w:sz w:val="24"/>
          <w:szCs w:val="24"/>
        </w:rPr>
        <w:lastRenderedPageBreak/>
        <w:t xml:space="preserve">Ito T, Grant L, Duckham BR, et al. Qualitative and quantitative assessment of patient and carer experience of chemotherapy (docetaxel) in combination with androgen deprivation therapy (ADT) for the treatment of metastatic hormone-sensitive prostate cancer (mHSPC). </w:t>
      </w:r>
      <w:r w:rsidRPr="00531DF0">
        <w:rPr>
          <w:rFonts w:ascii="Times New Roman" w:hAnsi="Times New Roman" w:cs="Times New Roman"/>
          <w:i/>
          <w:iCs/>
          <w:sz w:val="24"/>
          <w:szCs w:val="24"/>
        </w:rPr>
        <w:t>Adv Ther</w:t>
      </w:r>
      <w:r w:rsidR="00531DF0">
        <w:rPr>
          <w:rFonts w:ascii="Times New Roman" w:hAnsi="Times New Roman" w:cs="Times New Roman"/>
          <w:sz w:val="24"/>
          <w:szCs w:val="24"/>
        </w:rPr>
        <w:t>.</w:t>
      </w:r>
      <w:r w:rsidRPr="0093044F">
        <w:rPr>
          <w:rFonts w:ascii="Times New Roman" w:hAnsi="Times New Roman" w:cs="Times New Roman"/>
          <w:sz w:val="24"/>
          <w:szCs w:val="24"/>
        </w:rPr>
        <w:t xml:space="preserve"> </w:t>
      </w:r>
      <w:proofErr w:type="gramStart"/>
      <w:r w:rsidRPr="0093044F">
        <w:rPr>
          <w:rFonts w:ascii="Times New Roman" w:hAnsi="Times New Roman" w:cs="Times New Roman"/>
          <w:sz w:val="24"/>
          <w:szCs w:val="24"/>
        </w:rPr>
        <w:t>2018;35:2186</w:t>
      </w:r>
      <w:proofErr w:type="gramEnd"/>
      <w:r w:rsidRPr="0093044F">
        <w:rPr>
          <w:rFonts w:ascii="Times New Roman" w:hAnsi="Times New Roman" w:cs="Times New Roman"/>
          <w:sz w:val="24"/>
          <w:szCs w:val="24"/>
        </w:rPr>
        <w:t>-2200.</w:t>
      </w:r>
    </w:p>
    <w:p w14:paraId="448C739A" w14:textId="32F3592D" w:rsidR="0093044F" w:rsidRPr="0093044F" w:rsidRDefault="0093044F" w:rsidP="0093044F">
      <w:pPr>
        <w:pStyle w:val="ListParagraph"/>
        <w:numPr>
          <w:ilvl w:val="0"/>
          <w:numId w:val="17"/>
        </w:numPr>
        <w:spacing w:line="480" w:lineRule="auto"/>
        <w:ind w:hanging="630"/>
        <w:rPr>
          <w:rFonts w:ascii="Times New Roman" w:hAnsi="Times New Roman" w:cs="Times New Roman"/>
          <w:sz w:val="24"/>
          <w:szCs w:val="24"/>
        </w:rPr>
      </w:pPr>
      <w:r w:rsidRPr="0093044F">
        <w:rPr>
          <w:rFonts w:ascii="Times New Roman" w:hAnsi="Times New Roman" w:cs="Times New Roman"/>
          <w:sz w:val="24"/>
          <w:szCs w:val="24"/>
        </w:rPr>
        <w:t xml:space="preserve">Schuurhuizen CSEW, Marino P, Braamse AMJ, et al. Impact of patient- and clinician-reported cumulative toxicity on quality of life in patients with metastatic castration-naïve prostate cancer. </w:t>
      </w:r>
      <w:r w:rsidRPr="00531DF0">
        <w:rPr>
          <w:rFonts w:ascii="Times New Roman" w:hAnsi="Times New Roman" w:cs="Times New Roman"/>
          <w:i/>
          <w:iCs/>
          <w:sz w:val="24"/>
          <w:szCs w:val="24"/>
        </w:rPr>
        <w:t>J Natl Compr Cancer Netw</w:t>
      </w:r>
      <w:r w:rsidR="00531DF0">
        <w:rPr>
          <w:rFonts w:ascii="Times New Roman" w:hAnsi="Times New Roman" w:cs="Times New Roman"/>
          <w:sz w:val="24"/>
          <w:szCs w:val="24"/>
        </w:rPr>
        <w:t>.</w:t>
      </w:r>
      <w:r w:rsidRPr="0093044F">
        <w:rPr>
          <w:rFonts w:ascii="Times New Roman" w:hAnsi="Times New Roman" w:cs="Times New Roman"/>
          <w:sz w:val="24"/>
          <w:szCs w:val="24"/>
        </w:rPr>
        <w:t xml:space="preserve"> </w:t>
      </w:r>
      <w:proofErr w:type="gramStart"/>
      <w:r w:rsidRPr="0093044F">
        <w:rPr>
          <w:rFonts w:ascii="Times New Roman" w:hAnsi="Times New Roman" w:cs="Times New Roman"/>
          <w:sz w:val="24"/>
          <w:szCs w:val="24"/>
        </w:rPr>
        <w:t>2018;16:1481</w:t>
      </w:r>
      <w:proofErr w:type="gramEnd"/>
      <w:r w:rsidRPr="0093044F">
        <w:rPr>
          <w:rFonts w:ascii="Times New Roman" w:hAnsi="Times New Roman" w:cs="Times New Roman"/>
          <w:sz w:val="24"/>
          <w:szCs w:val="24"/>
        </w:rPr>
        <w:t>-1488.</w:t>
      </w:r>
    </w:p>
    <w:p w14:paraId="090C112D" w14:textId="3CB0E026" w:rsidR="0093044F" w:rsidRPr="0093044F" w:rsidRDefault="0093044F" w:rsidP="0093044F">
      <w:pPr>
        <w:pStyle w:val="ListParagraph"/>
        <w:numPr>
          <w:ilvl w:val="0"/>
          <w:numId w:val="17"/>
        </w:numPr>
        <w:spacing w:line="480" w:lineRule="auto"/>
        <w:ind w:hanging="630"/>
        <w:rPr>
          <w:rFonts w:ascii="Times New Roman" w:hAnsi="Times New Roman" w:cs="Times New Roman"/>
          <w:sz w:val="24"/>
          <w:szCs w:val="24"/>
        </w:rPr>
      </w:pPr>
      <w:r w:rsidRPr="0093044F">
        <w:rPr>
          <w:rFonts w:ascii="Times New Roman" w:hAnsi="Times New Roman" w:cs="Times New Roman"/>
          <w:sz w:val="24"/>
          <w:szCs w:val="24"/>
        </w:rPr>
        <w:t xml:space="preserve">Morgans AK, Chen Y, Sweeney CJ, et al. Quality of life during treatment with chemohormonal therapy: analysis of E3805 chemohormonal androgen ablation randomized trial in prostate cancer. </w:t>
      </w:r>
      <w:r w:rsidRPr="00531DF0">
        <w:rPr>
          <w:rFonts w:ascii="Times New Roman" w:hAnsi="Times New Roman" w:cs="Times New Roman"/>
          <w:i/>
          <w:iCs/>
          <w:sz w:val="24"/>
          <w:szCs w:val="24"/>
        </w:rPr>
        <w:t>J Clin Oncol</w:t>
      </w:r>
      <w:r w:rsidR="00531DF0">
        <w:rPr>
          <w:rFonts w:ascii="Times New Roman" w:hAnsi="Times New Roman" w:cs="Times New Roman"/>
          <w:sz w:val="24"/>
          <w:szCs w:val="24"/>
        </w:rPr>
        <w:t>.</w:t>
      </w:r>
      <w:r w:rsidRPr="0093044F">
        <w:rPr>
          <w:rFonts w:ascii="Times New Roman" w:hAnsi="Times New Roman" w:cs="Times New Roman"/>
          <w:sz w:val="24"/>
          <w:szCs w:val="24"/>
        </w:rPr>
        <w:t xml:space="preserve"> </w:t>
      </w:r>
      <w:proofErr w:type="gramStart"/>
      <w:r w:rsidRPr="0093044F">
        <w:rPr>
          <w:rFonts w:ascii="Times New Roman" w:hAnsi="Times New Roman" w:cs="Times New Roman"/>
          <w:sz w:val="24"/>
          <w:szCs w:val="24"/>
        </w:rPr>
        <w:t>2018;36:1088</w:t>
      </w:r>
      <w:proofErr w:type="gramEnd"/>
      <w:r w:rsidRPr="0093044F">
        <w:rPr>
          <w:rFonts w:ascii="Times New Roman" w:hAnsi="Times New Roman" w:cs="Times New Roman"/>
          <w:sz w:val="24"/>
          <w:szCs w:val="24"/>
        </w:rPr>
        <w:t>-1905.</w:t>
      </w:r>
    </w:p>
    <w:p w14:paraId="4F3948BB" w14:textId="6893F29C" w:rsidR="0093044F" w:rsidRPr="0093044F" w:rsidRDefault="0093044F" w:rsidP="0093044F">
      <w:pPr>
        <w:pStyle w:val="ListParagraph"/>
        <w:numPr>
          <w:ilvl w:val="0"/>
          <w:numId w:val="17"/>
        </w:numPr>
        <w:spacing w:line="480" w:lineRule="auto"/>
        <w:ind w:hanging="630"/>
        <w:rPr>
          <w:rFonts w:ascii="Times New Roman" w:hAnsi="Times New Roman" w:cs="Times New Roman"/>
          <w:sz w:val="24"/>
          <w:szCs w:val="24"/>
        </w:rPr>
      </w:pPr>
      <w:r w:rsidRPr="0093044F">
        <w:rPr>
          <w:rFonts w:ascii="Times New Roman" w:hAnsi="Times New Roman" w:cs="Times New Roman"/>
          <w:sz w:val="24"/>
          <w:szCs w:val="24"/>
        </w:rPr>
        <w:t xml:space="preserve">Gravis G, Fizazi K, Joly F, et al. Androgen-deprivation therapy alone or with docetaxel in non-castrate metastatic prostate cancer (GETUG-AFU15): a randomised, open-label, phase 3 trial. </w:t>
      </w:r>
      <w:r w:rsidRPr="00531DF0">
        <w:rPr>
          <w:rFonts w:ascii="Times New Roman" w:hAnsi="Times New Roman" w:cs="Times New Roman"/>
          <w:i/>
          <w:iCs/>
          <w:sz w:val="24"/>
          <w:szCs w:val="24"/>
        </w:rPr>
        <w:t>Lancet Oncol</w:t>
      </w:r>
      <w:r w:rsidR="00531DF0">
        <w:rPr>
          <w:rFonts w:ascii="Times New Roman" w:hAnsi="Times New Roman" w:cs="Times New Roman"/>
          <w:sz w:val="24"/>
          <w:szCs w:val="24"/>
        </w:rPr>
        <w:t>.</w:t>
      </w:r>
      <w:r w:rsidRPr="0093044F">
        <w:rPr>
          <w:rFonts w:ascii="Times New Roman" w:hAnsi="Times New Roman" w:cs="Times New Roman"/>
          <w:sz w:val="24"/>
          <w:szCs w:val="24"/>
        </w:rPr>
        <w:t xml:space="preserve"> </w:t>
      </w:r>
      <w:proofErr w:type="gramStart"/>
      <w:r w:rsidRPr="0093044F">
        <w:rPr>
          <w:rFonts w:ascii="Times New Roman" w:hAnsi="Times New Roman" w:cs="Times New Roman"/>
          <w:sz w:val="24"/>
          <w:szCs w:val="24"/>
        </w:rPr>
        <w:t>2013;14:149</w:t>
      </w:r>
      <w:proofErr w:type="gramEnd"/>
      <w:r w:rsidRPr="0093044F">
        <w:rPr>
          <w:rFonts w:ascii="Times New Roman" w:hAnsi="Times New Roman" w:cs="Times New Roman"/>
          <w:sz w:val="24"/>
          <w:szCs w:val="24"/>
        </w:rPr>
        <w:t>-158.</w:t>
      </w:r>
    </w:p>
    <w:p w14:paraId="39A05A55" w14:textId="77777777" w:rsidR="0093044F" w:rsidRPr="0093044F" w:rsidRDefault="0093044F" w:rsidP="00FD632A">
      <w:pPr>
        <w:pStyle w:val="ListParagraph"/>
        <w:numPr>
          <w:ilvl w:val="0"/>
          <w:numId w:val="17"/>
        </w:numPr>
        <w:spacing w:line="480" w:lineRule="auto"/>
        <w:ind w:hanging="630"/>
        <w:rPr>
          <w:rFonts w:ascii="Times New Roman" w:hAnsi="Times New Roman" w:cs="Times New Roman"/>
          <w:sz w:val="24"/>
          <w:szCs w:val="24"/>
        </w:rPr>
      </w:pPr>
      <w:r w:rsidRPr="0093044F">
        <w:rPr>
          <w:rFonts w:ascii="Times New Roman" w:hAnsi="Times New Roman" w:cs="Times New Roman"/>
          <w:sz w:val="24"/>
          <w:szCs w:val="24"/>
        </w:rPr>
        <w:t xml:space="preserve">National Prostate Cancer Audit. Sixth year annual report – results of the NPCA prospective audit in England and Wales for men diagnosed 1 April 2017 – March 2018. London: </w:t>
      </w:r>
      <w:proofErr w:type="gramStart"/>
      <w:r w:rsidRPr="0093044F">
        <w:rPr>
          <w:rFonts w:ascii="Times New Roman" w:hAnsi="Times New Roman" w:cs="Times New Roman"/>
          <w:sz w:val="24"/>
          <w:szCs w:val="24"/>
        </w:rPr>
        <w:t>the</w:t>
      </w:r>
      <w:proofErr w:type="gramEnd"/>
      <w:r w:rsidRPr="0093044F">
        <w:rPr>
          <w:rFonts w:ascii="Times New Roman" w:hAnsi="Times New Roman" w:cs="Times New Roman"/>
          <w:sz w:val="24"/>
          <w:szCs w:val="24"/>
        </w:rPr>
        <w:t xml:space="preserve"> Royal College of Surgeons; 2020.</w:t>
      </w:r>
    </w:p>
    <w:p w14:paraId="5922C02F" w14:textId="6532828E" w:rsidR="00FD632A" w:rsidRDefault="00FD632A" w:rsidP="00FD632A">
      <w:pPr>
        <w:pStyle w:val="ListParagraph"/>
        <w:numPr>
          <w:ilvl w:val="0"/>
          <w:numId w:val="17"/>
        </w:numPr>
        <w:spacing w:line="480" w:lineRule="auto"/>
        <w:ind w:hanging="630"/>
        <w:rPr>
          <w:rFonts w:ascii="Times New Roman" w:hAnsi="Times New Roman" w:cs="Times New Roman"/>
          <w:sz w:val="24"/>
          <w:szCs w:val="24"/>
        </w:rPr>
      </w:pPr>
      <w:r w:rsidRPr="00FD632A">
        <w:rPr>
          <w:rFonts w:ascii="Times New Roman" w:hAnsi="Times New Roman" w:cs="Times New Roman"/>
          <w:sz w:val="24"/>
          <w:szCs w:val="24"/>
        </w:rPr>
        <w:t>Zytiga. Summary of product characteristics. January 2020.</w:t>
      </w:r>
    </w:p>
    <w:p w14:paraId="5DC75D12" w14:textId="564DDAAF" w:rsidR="00FD632A" w:rsidRDefault="00FD632A" w:rsidP="00FD632A">
      <w:pPr>
        <w:pStyle w:val="ListParagraph"/>
        <w:numPr>
          <w:ilvl w:val="0"/>
          <w:numId w:val="17"/>
        </w:numPr>
        <w:spacing w:line="480" w:lineRule="auto"/>
        <w:ind w:hanging="630"/>
        <w:rPr>
          <w:rFonts w:ascii="Times New Roman" w:hAnsi="Times New Roman" w:cs="Times New Roman"/>
          <w:sz w:val="24"/>
          <w:szCs w:val="24"/>
        </w:rPr>
      </w:pPr>
      <w:r>
        <w:rPr>
          <w:rFonts w:ascii="Times New Roman" w:hAnsi="Times New Roman" w:cs="Times New Roman"/>
          <w:sz w:val="24"/>
          <w:szCs w:val="24"/>
        </w:rPr>
        <w:t>Xtandi</w:t>
      </w:r>
      <w:r w:rsidR="00531DF0">
        <w:rPr>
          <w:rFonts w:ascii="Times New Roman" w:hAnsi="Times New Roman" w:cs="Times New Roman"/>
          <w:sz w:val="24"/>
          <w:szCs w:val="24"/>
        </w:rPr>
        <w:t xml:space="preserve">. </w:t>
      </w:r>
      <w:r w:rsidR="00531DF0" w:rsidRPr="00FD632A">
        <w:rPr>
          <w:rFonts w:ascii="Times New Roman" w:hAnsi="Times New Roman" w:cs="Times New Roman"/>
          <w:sz w:val="24"/>
          <w:szCs w:val="24"/>
        </w:rPr>
        <w:t>Summary of product characteristics.</w:t>
      </w:r>
      <w:r w:rsidR="00531DF0">
        <w:rPr>
          <w:rFonts w:ascii="Times New Roman" w:hAnsi="Times New Roman" w:cs="Times New Roman"/>
          <w:sz w:val="24"/>
          <w:szCs w:val="24"/>
        </w:rPr>
        <w:t xml:space="preserve"> July 2019.</w:t>
      </w:r>
    </w:p>
    <w:p w14:paraId="784BC478" w14:textId="1550B0D6" w:rsidR="00FD632A" w:rsidRPr="00FD632A" w:rsidRDefault="00FD632A" w:rsidP="00FD632A">
      <w:pPr>
        <w:pStyle w:val="ListParagraph"/>
        <w:numPr>
          <w:ilvl w:val="0"/>
          <w:numId w:val="17"/>
        </w:numPr>
        <w:spacing w:line="480" w:lineRule="auto"/>
        <w:ind w:hanging="630"/>
        <w:rPr>
          <w:rFonts w:ascii="Times New Roman" w:hAnsi="Times New Roman" w:cs="Times New Roman"/>
          <w:sz w:val="24"/>
          <w:szCs w:val="24"/>
        </w:rPr>
      </w:pPr>
      <w:r>
        <w:rPr>
          <w:rFonts w:ascii="Times New Roman" w:hAnsi="Times New Roman" w:cs="Times New Roman"/>
          <w:sz w:val="24"/>
          <w:szCs w:val="24"/>
        </w:rPr>
        <w:t>Erleada</w:t>
      </w:r>
      <w:r w:rsidR="00531DF0">
        <w:rPr>
          <w:rFonts w:ascii="Times New Roman" w:hAnsi="Times New Roman" w:cs="Times New Roman"/>
          <w:sz w:val="24"/>
          <w:szCs w:val="24"/>
        </w:rPr>
        <w:t xml:space="preserve">. </w:t>
      </w:r>
      <w:r w:rsidR="00531DF0" w:rsidRPr="00FD632A">
        <w:rPr>
          <w:rFonts w:ascii="Times New Roman" w:hAnsi="Times New Roman" w:cs="Times New Roman"/>
          <w:sz w:val="24"/>
          <w:szCs w:val="24"/>
        </w:rPr>
        <w:t>Summary of product characteristics.</w:t>
      </w:r>
      <w:r w:rsidR="00531DF0">
        <w:rPr>
          <w:rFonts w:ascii="Times New Roman" w:hAnsi="Times New Roman" w:cs="Times New Roman"/>
          <w:sz w:val="24"/>
          <w:szCs w:val="24"/>
        </w:rPr>
        <w:t xml:space="preserve"> January 2020.</w:t>
      </w:r>
    </w:p>
    <w:p w14:paraId="296B1AEA" w14:textId="77777777" w:rsidR="00FD632A" w:rsidRPr="00FD632A" w:rsidRDefault="00FD632A" w:rsidP="00FD632A">
      <w:pPr>
        <w:pStyle w:val="ListParagraph"/>
        <w:numPr>
          <w:ilvl w:val="0"/>
          <w:numId w:val="17"/>
        </w:numPr>
        <w:spacing w:line="480" w:lineRule="auto"/>
        <w:ind w:hanging="630"/>
        <w:rPr>
          <w:rFonts w:ascii="Times New Roman" w:hAnsi="Times New Roman" w:cs="Times New Roman"/>
          <w:sz w:val="24"/>
          <w:szCs w:val="24"/>
        </w:rPr>
      </w:pPr>
      <w:r w:rsidRPr="00FD632A">
        <w:rPr>
          <w:rFonts w:ascii="Times New Roman" w:hAnsi="Times New Roman" w:cs="Times New Roman"/>
          <w:sz w:val="24"/>
          <w:szCs w:val="24"/>
        </w:rPr>
        <w:t>National Institute for Health and Care Excellence. Abiraterone for castration-resistant metastatic prostate cancer previously treated with a docetaxel-containing regimen. Technology Appraisal Guidance TA259. July 2016.</w:t>
      </w:r>
    </w:p>
    <w:p w14:paraId="0CF45D86" w14:textId="77777777" w:rsidR="00FD632A" w:rsidRPr="00FD632A" w:rsidRDefault="00FD632A" w:rsidP="00FD632A">
      <w:pPr>
        <w:pStyle w:val="ListParagraph"/>
        <w:numPr>
          <w:ilvl w:val="0"/>
          <w:numId w:val="17"/>
        </w:numPr>
        <w:spacing w:line="480" w:lineRule="auto"/>
        <w:ind w:hanging="630"/>
        <w:rPr>
          <w:rFonts w:ascii="Times New Roman" w:hAnsi="Times New Roman" w:cs="Times New Roman"/>
          <w:sz w:val="24"/>
          <w:szCs w:val="24"/>
        </w:rPr>
      </w:pPr>
      <w:r w:rsidRPr="00FD632A">
        <w:rPr>
          <w:rFonts w:ascii="Times New Roman" w:hAnsi="Times New Roman" w:cs="Times New Roman"/>
          <w:sz w:val="24"/>
          <w:szCs w:val="24"/>
        </w:rPr>
        <w:t>National Institute for Health and Care Excellence. Enzalutamide for metastatic hormone-relapsed prostate cancer previously treated with a docetaxel-containing regimen. Technology Appraisal Guidance TA316. July 2014.</w:t>
      </w:r>
    </w:p>
    <w:p w14:paraId="5715C002" w14:textId="539CC45A" w:rsidR="00FD632A" w:rsidRPr="00FD632A" w:rsidRDefault="00FD632A" w:rsidP="00FD632A">
      <w:pPr>
        <w:pStyle w:val="ListParagraph"/>
        <w:numPr>
          <w:ilvl w:val="0"/>
          <w:numId w:val="17"/>
        </w:numPr>
        <w:spacing w:line="480" w:lineRule="auto"/>
        <w:ind w:hanging="630"/>
        <w:rPr>
          <w:rFonts w:ascii="Times New Roman" w:hAnsi="Times New Roman" w:cs="Times New Roman"/>
          <w:sz w:val="24"/>
          <w:szCs w:val="24"/>
        </w:rPr>
      </w:pPr>
      <w:r w:rsidRPr="00FD632A">
        <w:rPr>
          <w:rFonts w:ascii="Times New Roman" w:hAnsi="Times New Roman" w:cs="Times New Roman"/>
          <w:sz w:val="24"/>
          <w:szCs w:val="24"/>
        </w:rPr>
        <w:lastRenderedPageBreak/>
        <w:t xml:space="preserve">Cornford P, Bellmunt J, Bolla M, et al. EAU-ESTRO-SIOG guidelines on prostate cancer. Part II: treatment of relapsing, metastatic, and castration-resistant prostate cancer. </w:t>
      </w:r>
      <w:r w:rsidRPr="00531DF0">
        <w:rPr>
          <w:rFonts w:ascii="Times New Roman" w:hAnsi="Times New Roman" w:cs="Times New Roman"/>
          <w:i/>
          <w:iCs/>
          <w:sz w:val="24"/>
          <w:szCs w:val="24"/>
        </w:rPr>
        <w:t>Eur Urol</w:t>
      </w:r>
      <w:r w:rsidR="00531DF0">
        <w:rPr>
          <w:rFonts w:ascii="Times New Roman" w:hAnsi="Times New Roman" w:cs="Times New Roman"/>
          <w:sz w:val="24"/>
          <w:szCs w:val="24"/>
        </w:rPr>
        <w:t>.</w:t>
      </w:r>
      <w:r w:rsidRPr="00FD632A">
        <w:rPr>
          <w:rFonts w:ascii="Times New Roman" w:hAnsi="Times New Roman" w:cs="Times New Roman"/>
          <w:sz w:val="24"/>
          <w:szCs w:val="24"/>
        </w:rPr>
        <w:t xml:space="preserve"> </w:t>
      </w:r>
      <w:proofErr w:type="gramStart"/>
      <w:r w:rsidRPr="00FD632A">
        <w:rPr>
          <w:rFonts w:ascii="Times New Roman" w:hAnsi="Times New Roman" w:cs="Times New Roman"/>
          <w:sz w:val="24"/>
          <w:szCs w:val="24"/>
        </w:rPr>
        <w:t>2017;71:630</w:t>
      </w:r>
      <w:proofErr w:type="gramEnd"/>
      <w:r w:rsidRPr="00FD632A">
        <w:rPr>
          <w:rFonts w:ascii="Times New Roman" w:hAnsi="Times New Roman" w:cs="Times New Roman"/>
          <w:sz w:val="24"/>
          <w:szCs w:val="24"/>
        </w:rPr>
        <w:t>-642.</w:t>
      </w:r>
    </w:p>
    <w:p w14:paraId="13810E49" w14:textId="40259CE4" w:rsidR="00FD632A" w:rsidRPr="00FD632A" w:rsidRDefault="00FD632A" w:rsidP="00FD632A">
      <w:pPr>
        <w:pStyle w:val="ListParagraph"/>
        <w:numPr>
          <w:ilvl w:val="0"/>
          <w:numId w:val="17"/>
        </w:numPr>
        <w:spacing w:line="480" w:lineRule="auto"/>
        <w:ind w:hanging="630"/>
        <w:rPr>
          <w:rFonts w:ascii="Times New Roman" w:hAnsi="Times New Roman" w:cs="Times New Roman"/>
          <w:sz w:val="24"/>
          <w:szCs w:val="24"/>
        </w:rPr>
      </w:pPr>
      <w:r w:rsidRPr="00FD632A">
        <w:rPr>
          <w:rFonts w:ascii="Times New Roman" w:hAnsi="Times New Roman" w:cs="Times New Roman"/>
          <w:sz w:val="24"/>
          <w:szCs w:val="24"/>
        </w:rPr>
        <w:t xml:space="preserve">Feyerabend S, Saad F, Li T, et al. Survival benefit, disease progression and quality-of-life outcomes of abiraterone acetate plus prednisone versus docetaxel in metastatic hormone-sensitive prostate cancer: A network meta-analysis. </w:t>
      </w:r>
      <w:r w:rsidRPr="00531DF0">
        <w:rPr>
          <w:rFonts w:ascii="Times New Roman" w:hAnsi="Times New Roman" w:cs="Times New Roman"/>
          <w:i/>
          <w:iCs/>
          <w:sz w:val="24"/>
          <w:szCs w:val="24"/>
        </w:rPr>
        <w:t>Eur J Cancer</w:t>
      </w:r>
      <w:r w:rsidR="00531DF0">
        <w:rPr>
          <w:rFonts w:ascii="Times New Roman" w:hAnsi="Times New Roman" w:cs="Times New Roman"/>
          <w:sz w:val="24"/>
          <w:szCs w:val="24"/>
        </w:rPr>
        <w:t>.</w:t>
      </w:r>
      <w:r w:rsidRPr="00FD632A">
        <w:rPr>
          <w:rFonts w:ascii="Times New Roman" w:hAnsi="Times New Roman" w:cs="Times New Roman"/>
          <w:sz w:val="24"/>
          <w:szCs w:val="24"/>
        </w:rPr>
        <w:t xml:space="preserve"> </w:t>
      </w:r>
      <w:proofErr w:type="gramStart"/>
      <w:r w:rsidRPr="00FD632A">
        <w:rPr>
          <w:rFonts w:ascii="Times New Roman" w:hAnsi="Times New Roman" w:cs="Times New Roman"/>
          <w:sz w:val="24"/>
          <w:szCs w:val="24"/>
        </w:rPr>
        <w:t>2018;103:78</w:t>
      </w:r>
      <w:proofErr w:type="gramEnd"/>
      <w:r w:rsidRPr="00FD632A">
        <w:rPr>
          <w:rFonts w:ascii="Times New Roman" w:hAnsi="Times New Roman" w:cs="Times New Roman"/>
          <w:sz w:val="24"/>
          <w:szCs w:val="24"/>
        </w:rPr>
        <w:t>-87.</w:t>
      </w:r>
    </w:p>
    <w:p w14:paraId="32FC49FC" w14:textId="7E00BBC1" w:rsidR="00FD632A" w:rsidRPr="00FD632A" w:rsidRDefault="00FD632A" w:rsidP="00FD632A">
      <w:pPr>
        <w:pStyle w:val="ListParagraph"/>
        <w:numPr>
          <w:ilvl w:val="0"/>
          <w:numId w:val="17"/>
        </w:numPr>
        <w:spacing w:line="480" w:lineRule="auto"/>
        <w:ind w:hanging="630"/>
        <w:rPr>
          <w:rFonts w:ascii="Times New Roman" w:hAnsi="Times New Roman" w:cs="Times New Roman"/>
          <w:sz w:val="24"/>
          <w:szCs w:val="24"/>
        </w:rPr>
      </w:pPr>
      <w:r w:rsidRPr="00FD632A">
        <w:rPr>
          <w:rFonts w:ascii="Times New Roman" w:hAnsi="Times New Roman" w:cs="Times New Roman"/>
          <w:sz w:val="24"/>
          <w:szCs w:val="24"/>
        </w:rPr>
        <w:t xml:space="preserve">Kassem L, Shohdy KS, Abdel-Rahman O. Abiraterone acetate/androgen deprivation therapy combination versus docetaxel/androgen deprivation therapy combination in advanced hormone-sensitive prostate cancer: a network meta-analysis on safety and efficacy. </w:t>
      </w:r>
      <w:r w:rsidRPr="00531DF0">
        <w:rPr>
          <w:rFonts w:ascii="Times New Roman" w:hAnsi="Times New Roman" w:cs="Times New Roman"/>
          <w:i/>
          <w:iCs/>
          <w:sz w:val="24"/>
          <w:szCs w:val="24"/>
        </w:rPr>
        <w:t>Curr Med Res Opin</w:t>
      </w:r>
      <w:r w:rsidR="00531DF0">
        <w:rPr>
          <w:rFonts w:ascii="Times New Roman" w:hAnsi="Times New Roman" w:cs="Times New Roman"/>
          <w:sz w:val="24"/>
          <w:szCs w:val="24"/>
        </w:rPr>
        <w:t>.</w:t>
      </w:r>
      <w:r w:rsidRPr="00FD632A">
        <w:rPr>
          <w:rFonts w:ascii="Times New Roman" w:hAnsi="Times New Roman" w:cs="Times New Roman"/>
          <w:sz w:val="24"/>
          <w:szCs w:val="24"/>
        </w:rPr>
        <w:t xml:space="preserve"> </w:t>
      </w:r>
      <w:proofErr w:type="gramStart"/>
      <w:r w:rsidRPr="00FD632A">
        <w:rPr>
          <w:rFonts w:ascii="Times New Roman" w:hAnsi="Times New Roman" w:cs="Times New Roman"/>
          <w:sz w:val="24"/>
          <w:szCs w:val="24"/>
        </w:rPr>
        <w:t>2018;34:903</w:t>
      </w:r>
      <w:proofErr w:type="gramEnd"/>
      <w:r w:rsidRPr="00FD632A">
        <w:rPr>
          <w:rFonts w:ascii="Times New Roman" w:hAnsi="Times New Roman" w:cs="Times New Roman"/>
          <w:sz w:val="24"/>
          <w:szCs w:val="24"/>
        </w:rPr>
        <w:t>-910.</w:t>
      </w:r>
    </w:p>
    <w:p w14:paraId="1DCF2F96" w14:textId="7D2FCEA6" w:rsidR="00FD632A" w:rsidRPr="00FD632A" w:rsidRDefault="00FD632A" w:rsidP="00FD632A">
      <w:pPr>
        <w:pStyle w:val="ListParagraph"/>
        <w:numPr>
          <w:ilvl w:val="0"/>
          <w:numId w:val="17"/>
        </w:numPr>
        <w:spacing w:line="480" w:lineRule="auto"/>
        <w:ind w:hanging="630"/>
        <w:rPr>
          <w:rFonts w:ascii="Times New Roman" w:hAnsi="Times New Roman" w:cs="Times New Roman"/>
          <w:sz w:val="24"/>
          <w:szCs w:val="24"/>
        </w:rPr>
      </w:pPr>
      <w:r w:rsidRPr="00FD632A">
        <w:rPr>
          <w:rFonts w:ascii="Times New Roman" w:hAnsi="Times New Roman" w:cs="Times New Roman"/>
          <w:sz w:val="24"/>
          <w:szCs w:val="24"/>
        </w:rPr>
        <w:t xml:space="preserve">Sydes MR, Spears MR, Mason MD, et al. Adding abiraterone or docetaxel to long-term hormone therapy for prostate cancer: directly randomised data from the STAMPEDE multi-arm, multi-stage platform protocol. </w:t>
      </w:r>
      <w:r w:rsidRPr="00531DF0">
        <w:rPr>
          <w:rFonts w:ascii="Times New Roman" w:hAnsi="Times New Roman" w:cs="Times New Roman"/>
          <w:i/>
          <w:iCs/>
          <w:sz w:val="24"/>
          <w:szCs w:val="24"/>
        </w:rPr>
        <w:t>Ann Oncol</w:t>
      </w:r>
      <w:r w:rsidR="00531DF0">
        <w:rPr>
          <w:rFonts w:ascii="Times New Roman" w:hAnsi="Times New Roman" w:cs="Times New Roman"/>
          <w:sz w:val="24"/>
          <w:szCs w:val="24"/>
        </w:rPr>
        <w:t>.</w:t>
      </w:r>
      <w:r w:rsidRPr="00FD632A">
        <w:rPr>
          <w:rFonts w:ascii="Times New Roman" w:hAnsi="Times New Roman" w:cs="Times New Roman"/>
          <w:sz w:val="24"/>
          <w:szCs w:val="24"/>
        </w:rPr>
        <w:t xml:space="preserve"> </w:t>
      </w:r>
      <w:proofErr w:type="gramStart"/>
      <w:r w:rsidRPr="00FD632A">
        <w:rPr>
          <w:rFonts w:ascii="Times New Roman" w:hAnsi="Times New Roman" w:cs="Times New Roman"/>
          <w:sz w:val="24"/>
          <w:szCs w:val="24"/>
        </w:rPr>
        <w:t>2018;29:1235</w:t>
      </w:r>
      <w:proofErr w:type="gramEnd"/>
      <w:r w:rsidRPr="00FD632A">
        <w:rPr>
          <w:rFonts w:ascii="Times New Roman" w:hAnsi="Times New Roman" w:cs="Times New Roman"/>
          <w:sz w:val="24"/>
          <w:szCs w:val="24"/>
        </w:rPr>
        <w:t>-1248.</w:t>
      </w:r>
    </w:p>
    <w:p w14:paraId="47848ACD" w14:textId="2E17BA1B" w:rsidR="00FD632A" w:rsidRPr="00FD632A" w:rsidRDefault="00FD632A" w:rsidP="00FD632A">
      <w:pPr>
        <w:pStyle w:val="ListParagraph"/>
        <w:numPr>
          <w:ilvl w:val="0"/>
          <w:numId w:val="17"/>
        </w:numPr>
        <w:spacing w:line="480" w:lineRule="auto"/>
        <w:ind w:hanging="630"/>
        <w:rPr>
          <w:rFonts w:ascii="Times New Roman" w:hAnsi="Times New Roman" w:cs="Times New Roman"/>
          <w:sz w:val="24"/>
          <w:szCs w:val="24"/>
        </w:rPr>
      </w:pPr>
      <w:r w:rsidRPr="00FD632A">
        <w:rPr>
          <w:rFonts w:ascii="Times New Roman" w:hAnsi="Times New Roman" w:cs="Times New Roman"/>
          <w:sz w:val="24"/>
          <w:szCs w:val="24"/>
        </w:rPr>
        <w:t xml:space="preserve">Rush HL, Cook AD, Brawley CD, et al. Comparative quality of life in patients randomized contemporaneously to docetaxel or abiraterone in the STAMPEDE trial. </w:t>
      </w:r>
      <w:r w:rsidRPr="00531DF0">
        <w:rPr>
          <w:rFonts w:ascii="Times New Roman" w:hAnsi="Times New Roman" w:cs="Times New Roman"/>
          <w:i/>
          <w:iCs/>
          <w:sz w:val="24"/>
          <w:szCs w:val="24"/>
        </w:rPr>
        <w:t>J Clin Oncol</w:t>
      </w:r>
      <w:r w:rsidR="00531DF0">
        <w:rPr>
          <w:rFonts w:ascii="Times New Roman" w:hAnsi="Times New Roman" w:cs="Times New Roman"/>
          <w:sz w:val="24"/>
          <w:szCs w:val="24"/>
        </w:rPr>
        <w:t>.</w:t>
      </w:r>
      <w:r w:rsidRPr="00FD632A">
        <w:rPr>
          <w:rFonts w:ascii="Times New Roman" w:hAnsi="Times New Roman" w:cs="Times New Roman"/>
          <w:sz w:val="24"/>
          <w:szCs w:val="24"/>
        </w:rPr>
        <w:t xml:space="preserve"> 2020;38(Suppl 6</w:t>
      </w:r>
      <w:proofErr w:type="gramStart"/>
      <w:r w:rsidRPr="00FD632A">
        <w:rPr>
          <w:rFonts w:ascii="Times New Roman" w:hAnsi="Times New Roman" w:cs="Times New Roman"/>
          <w:sz w:val="24"/>
          <w:szCs w:val="24"/>
        </w:rPr>
        <w:t>):Abstract</w:t>
      </w:r>
      <w:proofErr w:type="gramEnd"/>
      <w:r w:rsidRPr="00FD632A">
        <w:rPr>
          <w:rFonts w:ascii="Times New Roman" w:hAnsi="Times New Roman" w:cs="Times New Roman"/>
          <w:sz w:val="24"/>
          <w:szCs w:val="24"/>
        </w:rPr>
        <w:t xml:space="preserve"> 14.</w:t>
      </w:r>
    </w:p>
    <w:p w14:paraId="558C1F6C" w14:textId="5F4B64C4" w:rsidR="00FD632A" w:rsidRPr="00FD632A" w:rsidRDefault="00FD632A" w:rsidP="00FD632A">
      <w:pPr>
        <w:pStyle w:val="ListParagraph"/>
        <w:numPr>
          <w:ilvl w:val="0"/>
          <w:numId w:val="17"/>
        </w:numPr>
        <w:spacing w:line="480" w:lineRule="auto"/>
        <w:ind w:hanging="630"/>
        <w:rPr>
          <w:rFonts w:ascii="Times New Roman" w:hAnsi="Times New Roman" w:cs="Times New Roman"/>
          <w:sz w:val="24"/>
          <w:szCs w:val="24"/>
        </w:rPr>
      </w:pPr>
      <w:r w:rsidRPr="00FD632A">
        <w:rPr>
          <w:rFonts w:ascii="Times New Roman" w:hAnsi="Times New Roman" w:cs="Times New Roman"/>
          <w:sz w:val="24"/>
          <w:szCs w:val="24"/>
        </w:rPr>
        <w:t xml:space="preserve">Parker CC, James ND, Brawley CD, et al. Radiotherapy to the primary tumour for </w:t>
      </w:r>
      <w:proofErr w:type="gramStart"/>
      <w:r w:rsidRPr="00FD632A">
        <w:rPr>
          <w:rFonts w:ascii="Times New Roman" w:hAnsi="Times New Roman" w:cs="Times New Roman"/>
          <w:sz w:val="24"/>
          <w:szCs w:val="24"/>
        </w:rPr>
        <w:t>newly-diagnosed</w:t>
      </w:r>
      <w:proofErr w:type="gramEnd"/>
      <w:r w:rsidRPr="00FD632A">
        <w:rPr>
          <w:rFonts w:ascii="Times New Roman" w:hAnsi="Times New Roman" w:cs="Times New Roman"/>
          <w:sz w:val="24"/>
          <w:szCs w:val="24"/>
        </w:rPr>
        <w:t xml:space="preserve">, metastatic prostate cancer (STAMPEDE): a randomised controlled phase 3 trial. </w:t>
      </w:r>
      <w:r w:rsidRPr="00531DF0">
        <w:rPr>
          <w:rFonts w:ascii="Times New Roman" w:hAnsi="Times New Roman" w:cs="Times New Roman"/>
          <w:i/>
          <w:iCs/>
          <w:sz w:val="24"/>
          <w:szCs w:val="24"/>
        </w:rPr>
        <w:t>Lancet</w:t>
      </w:r>
      <w:r w:rsidR="00531DF0">
        <w:rPr>
          <w:rFonts w:ascii="Times New Roman" w:hAnsi="Times New Roman" w:cs="Times New Roman"/>
          <w:sz w:val="24"/>
          <w:szCs w:val="24"/>
        </w:rPr>
        <w:t>.</w:t>
      </w:r>
      <w:r w:rsidRPr="00FD632A">
        <w:rPr>
          <w:rFonts w:ascii="Times New Roman" w:hAnsi="Times New Roman" w:cs="Times New Roman"/>
          <w:sz w:val="24"/>
          <w:szCs w:val="24"/>
        </w:rPr>
        <w:t xml:space="preserve"> </w:t>
      </w:r>
      <w:proofErr w:type="gramStart"/>
      <w:r w:rsidRPr="00FD632A">
        <w:rPr>
          <w:rFonts w:ascii="Times New Roman" w:hAnsi="Times New Roman" w:cs="Times New Roman"/>
          <w:sz w:val="24"/>
          <w:szCs w:val="24"/>
        </w:rPr>
        <w:t>2018;392:2353</w:t>
      </w:r>
      <w:proofErr w:type="gramEnd"/>
      <w:r w:rsidRPr="00FD632A">
        <w:rPr>
          <w:rFonts w:ascii="Times New Roman" w:hAnsi="Times New Roman" w:cs="Times New Roman"/>
          <w:sz w:val="24"/>
          <w:szCs w:val="24"/>
        </w:rPr>
        <w:t>-2366.</w:t>
      </w:r>
    </w:p>
    <w:p w14:paraId="48C74673" w14:textId="1FE679E1" w:rsidR="00D06DC9" w:rsidRDefault="00D06DC9" w:rsidP="00D06DC9">
      <w:pPr>
        <w:spacing w:line="480" w:lineRule="auto"/>
        <w:rPr>
          <w:rFonts w:ascii="Times New Roman" w:hAnsi="Times New Roman" w:cs="Times New Roman"/>
          <w:sz w:val="24"/>
          <w:szCs w:val="24"/>
        </w:rPr>
      </w:pPr>
    </w:p>
    <w:p w14:paraId="3CFB0B37" w14:textId="77777777" w:rsidR="00771DFD" w:rsidRPr="00E56BE0" w:rsidRDefault="00771DFD" w:rsidP="00E56BE0">
      <w:pPr>
        <w:spacing w:line="480" w:lineRule="auto"/>
        <w:rPr>
          <w:rFonts w:ascii="Times New Roman" w:hAnsi="Times New Roman" w:cs="Times New Roman"/>
          <w:b/>
          <w:bCs/>
          <w:sz w:val="24"/>
          <w:szCs w:val="24"/>
        </w:rPr>
        <w:sectPr w:rsidR="00771DFD" w:rsidRPr="00E56BE0">
          <w:footerReference w:type="default" r:id="rId9"/>
          <w:pgSz w:w="11906" w:h="16838"/>
          <w:pgMar w:top="1440" w:right="1440" w:bottom="1440" w:left="1440" w:header="720" w:footer="720" w:gutter="0"/>
          <w:cols w:space="720"/>
          <w:docGrid w:linePitch="360"/>
        </w:sectPr>
      </w:pPr>
    </w:p>
    <w:p w14:paraId="2BBB2174" w14:textId="1981D807" w:rsidR="00607C01" w:rsidRDefault="00607C01" w:rsidP="00E56BE0">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TABLES</w:t>
      </w:r>
    </w:p>
    <w:p w14:paraId="7D7B782A" w14:textId="70CDDD40" w:rsidR="00DD1778" w:rsidRPr="00E56BE0" w:rsidRDefault="00607C01" w:rsidP="00E56BE0">
      <w:pPr>
        <w:spacing w:line="480" w:lineRule="auto"/>
        <w:rPr>
          <w:rFonts w:ascii="Times New Roman" w:hAnsi="Times New Roman" w:cs="Times New Roman"/>
          <w:b/>
          <w:bCs/>
          <w:sz w:val="24"/>
          <w:szCs w:val="24"/>
        </w:rPr>
      </w:pPr>
      <w:r w:rsidRPr="00E56BE0">
        <w:rPr>
          <w:rFonts w:ascii="Times New Roman" w:hAnsi="Times New Roman" w:cs="Times New Roman"/>
          <w:b/>
          <w:bCs/>
          <w:sz w:val="24"/>
          <w:szCs w:val="24"/>
        </w:rPr>
        <w:t xml:space="preserve">TABLE 1 </w:t>
      </w:r>
      <w:r w:rsidR="00DD1778" w:rsidRPr="00607C01">
        <w:rPr>
          <w:rFonts w:ascii="Times New Roman" w:hAnsi="Times New Roman" w:cs="Times New Roman"/>
          <w:sz w:val="24"/>
          <w:szCs w:val="24"/>
        </w:rPr>
        <w:t xml:space="preserve">Reasons for treating patients with </w:t>
      </w:r>
      <w:proofErr w:type="gramStart"/>
      <w:r w:rsidR="00DD1778" w:rsidRPr="00607C01">
        <w:rPr>
          <w:rFonts w:ascii="Times New Roman" w:hAnsi="Times New Roman" w:cs="Times New Roman"/>
          <w:sz w:val="24"/>
          <w:szCs w:val="24"/>
        </w:rPr>
        <w:t>newly-diagnosed</w:t>
      </w:r>
      <w:proofErr w:type="gramEnd"/>
      <w:r w:rsidR="00DD1778" w:rsidRPr="00607C01">
        <w:rPr>
          <w:rFonts w:ascii="Times New Roman" w:hAnsi="Times New Roman" w:cs="Times New Roman"/>
          <w:sz w:val="24"/>
          <w:szCs w:val="24"/>
        </w:rPr>
        <w:t xml:space="preserve"> mHSPC with ADT alone (</w:t>
      </w:r>
      <w:r>
        <w:rPr>
          <w:rFonts w:ascii="Times New Roman" w:hAnsi="Times New Roman" w:cs="Times New Roman"/>
          <w:sz w:val="24"/>
          <w:szCs w:val="24"/>
        </w:rPr>
        <w:t>N=</w:t>
      </w:r>
      <w:r w:rsidR="00DD1778" w:rsidRPr="00607C01">
        <w:rPr>
          <w:rFonts w:ascii="Times New Roman" w:hAnsi="Times New Roman" w:cs="Times New Roman"/>
          <w:sz w:val="24"/>
          <w:szCs w:val="24"/>
        </w:rPr>
        <w:t>95)</w:t>
      </w:r>
    </w:p>
    <w:tbl>
      <w:tblPr>
        <w:tblStyle w:val="TableGrid"/>
        <w:tblW w:w="0" w:type="auto"/>
        <w:tblLook w:val="04A0" w:firstRow="1" w:lastRow="0" w:firstColumn="1" w:lastColumn="0" w:noHBand="0" w:noVBand="1"/>
      </w:tblPr>
      <w:tblGrid>
        <w:gridCol w:w="5935"/>
        <w:gridCol w:w="2430"/>
      </w:tblGrid>
      <w:tr w:rsidR="00DD1778" w:rsidRPr="00E56BE0" w14:paraId="20E88752" w14:textId="77777777" w:rsidTr="001A5916">
        <w:tc>
          <w:tcPr>
            <w:tcW w:w="5935" w:type="dxa"/>
          </w:tcPr>
          <w:p w14:paraId="319F717D" w14:textId="28B638CF" w:rsidR="00DD1778" w:rsidRPr="00E56BE0" w:rsidRDefault="00DD1778" w:rsidP="00E56BE0">
            <w:pPr>
              <w:spacing w:line="480" w:lineRule="auto"/>
              <w:rPr>
                <w:rFonts w:ascii="Times New Roman" w:hAnsi="Times New Roman" w:cs="Times New Roman"/>
                <w:b/>
                <w:bCs/>
                <w:sz w:val="24"/>
                <w:szCs w:val="24"/>
              </w:rPr>
            </w:pPr>
            <w:r w:rsidRPr="00E56BE0">
              <w:rPr>
                <w:rFonts w:ascii="Times New Roman" w:hAnsi="Times New Roman" w:cs="Times New Roman"/>
                <w:b/>
                <w:bCs/>
                <w:sz w:val="24"/>
                <w:szCs w:val="24"/>
              </w:rPr>
              <w:t>Reason</w:t>
            </w:r>
          </w:p>
        </w:tc>
        <w:tc>
          <w:tcPr>
            <w:tcW w:w="2430" w:type="dxa"/>
          </w:tcPr>
          <w:p w14:paraId="4CD19FB3" w14:textId="382C2016" w:rsidR="00DD1778" w:rsidRPr="00E56BE0" w:rsidRDefault="00DD1778" w:rsidP="00E56BE0">
            <w:pPr>
              <w:spacing w:line="480" w:lineRule="auto"/>
              <w:jc w:val="center"/>
              <w:rPr>
                <w:rFonts w:ascii="Times New Roman" w:hAnsi="Times New Roman" w:cs="Times New Roman"/>
                <w:b/>
                <w:bCs/>
                <w:sz w:val="24"/>
                <w:szCs w:val="24"/>
              </w:rPr>
            </w:pPr>
            <w:r w:rsidRPr="00E56BE0">
              <w:rPr>
                <w:rFonts w:ascii="Times New Roman" w:hAnsi="Times New Roman" w:cs="Times New Roman"/>
                <w:b/>
                <w:bCs/>
                <w:sz w:val="24"/>
                <w:szCs w:val="24"/>
              </w:rPr>
              <w:t>Responses, n (%)</w:t>
            </w:r>
          </w:p>
        </w:tc>
      </w:tr>
      <w:tr w:rsidR="00DD1778" w:rsidRPr="00E56BE0" w14:paraId="5488013A" w14:textId="77777777" w:rsidTr="001A5916">
        <w:tc>
          <w:tcPr>
            <w:tcW w:w="5935" w:type="dxa"/>
          </w:tcPr>
          <w:p w14:paraId="6537E4CE" w14:textId="20420191" w:rsidR="00DD1778" w:rsidRPr="00E56BE0" w:rsidRDefault="00DD1778" w:rsidP="00E56BE0">
            <w:pPr>
              <w:spacing w:line="480" w:lineRule="auto"/>
              <w:rPr>
                <w:rFonts w:ascii="Times New Roman" w:hAnsi="Times New Roman" w:cs="Times New Roman"/>
                <w:sz w:val="24"/>
                <w:szCs w:val="24"/>
              </w:rPr>
            </w:pPr>
            <w:r w:rsidRPr="00E56BE0">
              <w:rPr>
                <w:rFonts w:ascii="Times New Roman" w:hAnsi="Times New Roman" w:cs="Times New Roman"/>
                <w:sz w:val="24"/>
                <w:szCs w:val="24"/>
              </w:rPr>
              <w:t>Comorbidities</w:t>
            </w:r>
          </w:p>
        </w:tc>
        <w:tc>
          <w:tcPr>
            <w:tcW w:w="2430" w:type="dxa"/>
          </w:tcPr>
          <w:p w14:paraId="2C51ADDF" w14:textId="6BC4CB09" w:rsidR="00DD1778" w:rsidRPr="00E56BE0" w:rsidRDefault="00DD1778" w:rsidP="00E56BE0">
            <w:pPr>
              <w:spacing w:line="480" w:lineRule="auto"/>
              <w:jc w:val="center"/>
              <w:rPr>
                <w:rFonts w:ascii="Times New Roman" w:hAnsi="Times New Roman" w:cs="Times New Roman"/>
                <w:sz w:val="24"/>
                <w:szCs w:val="24"/>
              </w:rPr>
            </w:pPr>
            <w:r w:rsidRPr="00E56BE0">
              <w:rPr>
                <w:rFonts w:ascii="Times New Roman" w:hAnsi="Times New Roman" w:cs="Times New Roman"/>
                <w:sz w:val="24"/>
                <w:szCs w:val="24"/>
              </w:rPr>
              <w:t>95 (100.0)</w:t>
            </w:r>
          </w:p>
        </w:tc>
      </w:tr>
      <w:tr w:rsidR="00DD1778" w:rsidRPr="00E56BE0" w14:paraId="3664EA67" w14:textId="77777777" w:rsidTr="001A5916">
        <w:tc>
          <w:tcPr>
            <w:tcW w:w="5935" w:type="dxa"/>
          </w:tcPr>
          <w:p w14:paraId="139C20D8" w14:textId="701D012B" w:rsidR="00DD1778" w:rsidRPr="00E56BE0" w:rsidRDefault="00DD1778" w:rsidP="00E56BE0">
            <w:pPr>
              <w:spacing w:line="480" w:lineRule="auto"/>
              <w:rPr>
                <w:rFonts w:ascii="Times New Roman" w:hAnsi="Times New Roman" w:cs="Times New Roman"/>
                <w:sz w:val="24"/>
                <w:szCs w:val="24"/>
              </w:rPr>
            </w:pPr>
            <w:r w:rsidRPr="00E56BE0">
              <w:rPr>
                <w:rFonts w:ascii="Times New Roman" w:hAnsi="Times New Roman" w:cs="Times New Roman"/>
                <w:sz w:val="24"/>
                <w:szCs w:val="24"/>
              </w:rPr>
              <w:t>Performance status</w:t>
            </w:r>
          </w:p>
        </w:tc>
        <w:tc>
          <w:tcPr>
            <w:tcW w:w="2430" w:type="dxa"/>
          </w:tcPr>
          <w:p w14:paraId="67A4BFF4" w14:textId="0F54DD18" w:rsidR="00DD1778" w:rsidRPr="00E56BE0" w:rsidRDefault="00DD1778" w:rsidP="00E56BE0">
            <w:pPr>
              <w:spacing w:line="480" w:lineRule="auto"/>
              <w:jc w:val="center"/>
              <w:rPr>
                <w:rFonts w:ascii="Times New Roman" w:hAnsi="Times New Roman" w:cs="Times New Roman"/>
                <w:sz w:val="24"/>
                <w:szCs w:val="24"/>
              </w:rPr>
            </w:pPr>
            <w:r w:rsidRPr="00E56BE0">
              <w:rPr>
                <w:rFonts w:ascii="Times New Roman" w:hAnsi="Times New Roman" w:cs="Times New Roman"/>
                <w:sz w:val="24"/>
                <w:szCs w:val="24"/>
              </w:rPr>
              <w:t>94 (99.0)</w:t>
            </w:r>
          </w:p>
        </w:tc>
      </w:tr>
      <w:tr w:rsidR="00DD1778" w:rsidRPr="00E56BE0" w14:paraId="635CCE40" w14:textId="77777777" w:rsidTr="001A5916">
        <w:tc>
          <w:tcPr>
            <w:tcW w:w="5935" w:type="dxa"/>
          </w:tcPr>
          <w:p w14:paraId="06F7E642" w14:textId="3C906B4A" w:rsidR="00DD1778" w:rsidRPr="00E56BE0" w:rsidRDefault="00DD1778" w:rsidP="00E56BE0">
            <w:pPr>
              <w:spacing w:line="480" w:lineRule="auto"/>
              <w:rPr>
                <w:rFonts w:ascii="Times New Roman" w:hAnsi="Times New Roman" w:cs="Times New Roman"/>
                <w:sz w:val="24"/>
                <w:szCs w:val="24"/>
              </w:rPr>
            </w:pPr>
            <w:r w:rsidRPr="00E56BE0">
              <w:rPr>
                <w:rFonts w:ascii="Times New Roman" w:hAnsi="Times New Roman" w:cs="Times New Roman"/>
                <w:sz w:val="24"/>
                <w:szCs w:val="24"/>
              </w:rPr>
              <w:t>Frailty</w:t>
            </w:r>
          </w:p>
        </w:tc>
        <w:tc>
          <w:tcPr>
            <w:tcW w:w="2430" w:type="dxa"/>
          </w:tcPr>
          <w:p w14:paraId="6F491FFB" w14:textId="21E66918" w:rsidR="00DD1778" w:rsidRPr="00E56BE0" w:rsidRDefault="00DD1778" w:rsidP="00E56BE0">
            <w:pPr>
              <w:spacing w:line="480" w:lineRule="auto"/>
              <w:jc w:val="center"/>
              <w:rPr>
                <w:rFonts w:ascii="Times New Roman" w:hAnsi="Times New Roman" w:cs="Times New Roman"/>
                <w:sz w:val="24"/>
                <w:szCs w:val="24"/>
              </w:rPr>
            </w:pPr>
            <w:r w:rsidRPr="00E56BE0">
              <w:rPr>
                <w:rFonts w:ascii="Times New Roman" w:hAnsi="Times New Roman" w:cs="Times New Roman"/>
                <w:sz w:val="24"/>
                <w:szCs w:val="24"/>
              </w:rPr>
              <w:t>88 (92.6)</w:t>
            </w:r>
          </w:p>
        </w:tc>
      </w:tr>
      <w:tr w:rsidR="00DD1778" w:rsidRPr="00E56BE0" w14:paraId="3E91BDD3" w14:textId="77777777" w:rsidTr="001A5916">
        <w:tc>
          <w:tcPr>
            <w:tcW w:w="5935" w:type="dxa"/>
          </w:tcPr>
          <w:p w14:paraId="76743666" w14:textId="77777777" w:rsidR="00DD1778" w:rsidRPr="00E56BE0" w:rsidRDefault="00DD1778" w:rsidP="00E56BE0">
            <w:pPr>
              <w:spacing w:line="480" w:lineRule="auto"/>
              <w:rPr>
                <w:rFonts w:ascii="Times New Roman" w:hAnsi="Times New Roman" w:cs="Times New Roman"/>
                <w:sz w:val="24"/>
                <w:szCs w:val="24"/>
              </w:rPr>
            </w:pPr>
            <w:r w:rsidRPr="00E56BE0">
              <w:rPr>
                <w:rFonts w:ascii="Times New Roman" w:hAnsi="Times New Roman" w:cs="Times New Roman"/>
                <w:sz w:val="24"/>
                <w:szCs w:val="24"/>
              </w:rPr>
              <w:t>Unwilling to undergo chemotherapy, despite fitness</w:t>
            </w:r>
          </w:p>
        </w:tc>
        <w:tc>
          <w:tcPr>
            <w:tcW w:w="2430" w:type="dxa"/>
          </w:tcPr>
          <w:p w14:paraId="6357E8FB" w14:textId="77777777" w:rsidR="00DD1778" w:rsidRPr="00E56BE0" w:rsidRDefault="00DD1778" w:rsidP="00E56BE0">
            <w:pPr>
              <w:spacing w:line="480" w:lineRule="auto"/>
              <w:jc w:val="center"/>
              <w:rPr>
                <w:rFonts w:ascii="Times New Roman" w:hAnsi="Times New Roman" w:cs="Times New Roman"/>
                <w:sz w:val="24"/>
                <w:szCs w:val="24"/>
              </w:rPr>
            </w:pPr>
            <w:r w:rsidRPr="00E56BE0">
              <w:rPr>
                <w:rFonts w:ascii="Times New Roman" w:hAnsi="Times New Roman" w:cs="Times New Roman"/>
                <w:sz w:val="24"/>
                <w:szCs w:val="24"/>
              </w:rPr>
              <w:t>84 (88.4)</w:t>
            </w:r>
          </w:p>
        </w:tc>
      </w:tr>
      <w:tr w:rsidR="00DD1778" w:rsidRPr="00E56BE0" w14:paraId="401F4545" w14:textId="77777777" w:rsidTr="001A5916">
        <w:tc>
          <w:tcPr>
            <w:tcW w:w="5935" w:type="dxa"/>
          </w:tcPr>
          <w:p w14:paraId="5881476F" w14:textId="35EB51E1" w:rsidR="00DD1778" w:rsidRPr="00E56BE0" w:rsidRDefault="00DD1778" w:rsidP="00E56BE0">
            <w:pPr>
              <w:spacing w:line="480" w:lineRule="auto"/>
              <w:rPr>
                <w:rFonts w:ascii="Times New Roman" w:hAnsi="Times New Roman" w:cs="Times New Roman"/>
                <w:sz w:val="24"/>
                <w:szCs w:val="24"/>
              </w:rPr>
            </w:pPr>
            <w:r w:rsidRPr="00E56BE0">
              <w:rPr>
                <w:rFonts w:ascii="Times New Roman" w:hAnsi="Times New Roman" w:cs="Times New Roman"/>
                <w:sz w:val="24"/>
                <w:szCs w:val="24"/>
              </w:rPr>
              <w:t>Older age</w:t>
            </w:r>
          </w:p>
        </w:tc>
        <w:tc>
          <w:tcPr>
            <w:tcW w:w="2430" w:type="dxa"/>
          </w:tcPr>
          <w:p w14:paraId="729E5B3E" w14:textId="7A24707B" w:rsidR="00DD1778" w:rsidRPr="00E56BE0" w:rsidRDefault="00DD1778" w:rsidP="00E56BE0">
            <w:pPr>
              <w:spacing w:line="480" w:lineRule="auto"/>
              <w:jc w:val="center"/>
              <w:rPr>
                <w:rFonts w:ascii="Times New Roman" w:hAnsi="Times New Roman" w:cs="Times New Roman"/>
                <w:sz w:val="24"/>
                <w:szCs w:val="24"/>
              </w:rPr>
            </w:pPr>
            <w:r w:rsidRPr="00E56BE0">
              <w:rPr>
                <w:rFonts w:ascii="Times New Roman" w:hAnsi="Times New Roman" w:cs="Times New Roman"/>
                <w:sz w:val="24"/>
                <w:szCs w:val="24"/>
              </w:rPr>
              <w:t>54 (56.8)</w:t>
            </w:r>
          </w:p>
        </w:tc>
      </w:tr>
      <w:tr w:rsidR="00DD1778" w:rsidRPr="00E56BE0" w14:paraId="250D123D" w14:textId="77777777" w:rsidTr="001A5916">
        <w:tc>
          <w:tcPr>
            <w:tcW w:w="5935" w:type="dxa"/>
          </w:tcPr>
          <w:p w14:paraId="30A99F0B" w14:textId="27CF0D27" w:rsidR="00DD1778" w:rsidRPr="00E56BE0" w:rsidRDefault="00DD1778" w:rsidP="00E56BE0">
            <w:pPr>
              <w:spacing w:line="480" w:lineRule="auto"/>
              <w:rPr>
                <w:rFonts w:ascii="Times New Roman" w:hAnsi="Times New Roman" w:cs="Times New Roman"/>
                <w:sz w:val="24"/>
                <w:szCs w:val="24"/>
              </w:rPr>
            </w:pPr>
            <w:r w:rsidRPr="00E56BE0">
              <w:rPr>
                <w:rFonts w:ascii="Times New Roman" w:hAnsi="Times New Roman" w:cs="Times New Roman"/>
                <w:sz w:val="24"/>
                <w:szCs w:val="24"/>
              </w:rPr>
              <w:t>Social factors (ability to travel, family support, cognitive status</w:t>
            </w:r>
            <w:r w:rsidR="009A5CBB">
              <w:rPr>
                <w:rFonts w:ascii="Times New Roman" w:hAnsi="Times New Roman" w:cs="Times New Roman"/>
                <w:sz w:val="24"/>
                <w:szCs w:val="24"/>
              </w:rPr>
              <w:t>)</w:t>
            </w:r>
          </w:p>
        </w:tc>
        <w:tc>
          <w:tcPr>
            <w:tcW w:w="2430" w:type="dxa"/>
          </w:tcPr>
          <w:p w14:paraId="764736C5" w14:textId="3BA08954" w:rsidR="00DD1778" w:rsidRPr="00E56BE0" w:rsidRDefault="00DD1778" w:rsidP="00E56BE0">
            <w:pPr>
              <w:spacing w:line="480" w:lineRule="auto"/>
              <w:jc w:val="center"/>
              <w:rPr>
                <w:rFonts w:ascii="Times New Roman" w:hAnsi="Times New Roman" w:cs="Times New Roman"/>
                <w:sz w:val="24"/>
                <w:szCs w:val="24"/>
              </w:rPr>
            </w:pPr>
            <w:r w:rsidRPr="00E56BE0">
              <w:rPr>
                <w:rFonts w:ascii="Times New Roman" w:hAnsi="Times New Roman" w:cs="Times New Roman"/>
                <w:sz w:val="24"/>
                <w:szCs w:val="24"/>
              </w:rPr>
              <w:t>54 (56.8)</w:t>
            </w:r>
          </w:p>
        </w:tc>
      </w:tr>
      <w:tr w:rsidR="00DD1778" w:rsidRPr="00E56BE0" w14:paraId="168870F3" w14:textId="77777777" w:rsidTr="001A5916">
        <w:tc>
          <w:tcPr>
            <w:tcW w:w="5935" w:type="dxa"/>
          </w:tcPr>
          <w:p w14:paraId="716FA38C" w14:textId="1FD454CC" w:rsidR="00DD1778" w:rsidRPr="00E56BE0" w:rsidRDefault="00DD1778" w:rsidP="00E56BE0">
            <w:pPr>
              <w:spacing w:line="480" w:lineRule="auto"/>
              <w:rPr>
                <w:rFonts w:ascii="Times New Roman" w:hAnsi="Times New Roman" w:cs="Times New Roman"/>
                <w:sz w:val="24"/>
                <w:szCs w:val="24"/>
              </w:rPr>
            </w:pPr>
            <w:r w:rsidRPr="00E56BE0">
              <w:rPr>
                <w:rFonts w:ascii="Times New Roman" w:hAnsi="Times New Roman" w:cs="Times New Roman"/>
                <w:sz w:val="24"/>
                <w:szCs w:val="24"/>
              </w:rPr>
              <w:t xml:space="preserve">Quality </w:t>
            </w:r>
            <w:r w:rsidR="001107D1">
              <w:rPr>
                <w:rFonts w:ascii="Times New Roman" w:hAnsi="Times New Roman" w:cs="Times New Roman"/>
                <w:sz w:val="24"/>
                <w:szCs w:val="24"/>
              </w:rPr>
              <w:t xml:space="preserve">of </w:t>
            </w:r>
            <w:r w:rsidRPr="00E56BE0">
              <w:rPr>
                <w:rFonts w:ascii="Times New Roman" w:hAnsi="Times New Roman" w:cs="Times New Roman"/>
                <w:sz w:val="24"/>
                <w:szCs w:val="24"/>
              </w:rPr>
              <w:t>life vs length of survival</w:t>
            </w:r>
          </w:p>
        </w:tc>
        <w:tc>
          <w:tcPr>
            <w:tcW w:w="2430" w:type="dxa"/>
          </w:tcPr>
          <w:p w14:paraId="62E21690" w14:textId="3D290FE7" w:rsidR="00DD1778" w:rsidRPr="00E56BE0" w:rsidRDefault="00DD1778" w:rsidP="00E56BE0">
            <w:pPr>
              <w:spacing w:line="480" w:lineRule="auto"/>
              <w:jc w:val="center"/>
              <w:rPr>
                <w:rFonts w:ascii="Times New Roman" w:hAnsi="Times New Roman" w:cs="Times New Roman"/>
                <w:sz w:val="24"/>
                <w:szCs w:val="24"/>
              </w:rPr>
            </w:pPr>
            <w:r w:rsidRPr="00E56BE0">
              <w:rPr>
                <w:rFonts w:ascii="Times New Roman" w:hAnsi="Times New Roman" w:cs="Times New Roman"/>
                <w:sz w:val="24"/>
                <w:szCs w:val="24"/>
              </w:rPr>
              <w:t>45 (47.4)</w:t>
            </w:r>
          </w:p>
        </w:tc>
      </w:tr>
      <w:tr w:rsidR="00DD1778" w:rsidRPr="00E56BE0" w14:paraId="195C98A9" w14:textId="77777777" w:rsidTr="001A5916">
        <w:tc>
          <w:tcPr>
            <w:tcW w:w="5935" w:type="dxa"/>
          </w:tcPr>
          <w:p w14:paraId="0AB149B4" w14:textId="0BAC37EA" w:rsidR="00DD1778" w:rsidRPr="00E56BE0" w:rsidRDefault="00DD1778" w:rsidP="00E56BE0">
            <w:pPr>
              <w:spacing w:line="480" w:lineRule="auto"/>
              <w:rPr>
                <w:rFonts w:ascii="Times New Roman" w:hAnsi="Times New Roman" w:cs="Times New Roman"/>
                <w:sz w:val="24"/>
                <w:szCs w:val="24"/>
              </w:rPr>
            </w:pPr>
            <w:r w:rsidRPr="00E56BE0">
              <w:rPr>
                <w:rFonts w:ascii="Times New Roman" w:hAnsi="Times New Roman" w:cs="Times New Roman"/>
                <w:sz w:val="24"/>
                <w:szCs w:val="24"/>
              </w:rPr>
              <w:t>Concomitant medication</w:t>
            </w:r>
          </w:p>
        </w:tc>
        <w:tc>
          <w:tcPr>
            <w:tcW w:w="2430" w:type="dxa"/>
          </w:tcPr>
          <w:p w14:paraId="4E652581" w14:textId="4102D079" w:rsidR="00DD1778" w:rsidRPr="00E56BE0" w:rsidRDefault="00DD1778" w:rsidP="00E56BE0">
            <w:pPr>
              <w:spacing w:line="480" w:lineRule="auto"/>
              <w:jc w:val="center"/>
              <w:rPr>
                <w:rFonts w:ascii="Times New Roman" w:hAnsi="Times New Roman" w:cs="Times New Roman"/>
                <w:sz w:val="24"/>
                <w:szCs w:val="24"/>
              </w:rPr>
            </w:pPr>
            <w:r w:rsidRPr="00E56BE0">
              <w:rPr>
                <w:rFonts w:ascii="Times New Roman" w:hAnsi="Times New Roman" w:cs="Times New Roman"/>
                <w:sz w:val="24"/>
                <w:szCs w:val="24"/>
              </w:rPr>
              <w:t>30 (31.6)</w:t>
            </w:r>
          </w:p>
        </w:tc>
      </w:tr>
      <w:tr w:rsidR="00C522A7" w:rsidRPr="00E56BE0" w14:paraId="6E5F6759" w14:textId="77777777" w:rsidTr="001A5916">
        <w:tc>
          <w:tcPr>
            <w:tcW w:w="5935" w:type="dxa"/>
          </w:tcPr>
          <w:p w14:paraId="73D15C56" w14:textId="06EB26C6" w:rsidR="00C522A7" w:rsidRPr="00E56BE0" w:rsidRDefault="00C522A7" w:rsidP="00E56BE0">
            <w:pPr>
              <w:spacing w:line="480" w:lineRule="auto"/>
              <w:rPr>
                <w:rFonts w:ascii="Times New Roman" w:hAnsi="Times New Roman" w:cs="Times New Roman"/>
                <w:sz w:val="24"/>
                <w:szCs w:val="24"/>
              </w:rPr>
            </w:pPr>
            <w:r w:rsidRPr="00E56BE0">
              <w:rPr>
                <w:rFonts w:ascii="Times New Roman" w:hAnsi="Times New Roman" w:cs="Times New Roman"/>
                <w:sz w:val="24"/>
                <w:szCs w:val="24"/>
              </w:rPr>
              <w:t>Access to drugs</w:t>
            </w:r>
          </w:p>
        </w:tc>
        <w:tc>
          <w:tcPr>
            <w:tcW w:w="2430" w:type="dxa"/>
          </w:tcPr>
          <w:p w14:paraId="41D047CD" w14:textId="6F91D5E6" w:rsidR="00C522A7" w:rsidRPr="00E56BE0" w:rsidRDefault="00C522A7" w:rsidP="00E56BE0">
            <w:pPr>
              <w:spacing w:line="480" w:lineRule="auto"/>
              <w:jc w:val="center"/>
              <w:rPr>
                <w:rFonts w:ascii="Times New Roman" w:hAnsi="Times New Roman" w:cs="Times New Roman"/>
                <w:sz w:val="24"/>
                <w:szCs w:val="24"/>
              </w:rPr>
            </w:pPr>
            <w:r w:rsidRPr="00E56BE0">
              <w:rPr>
                <w:rFonts w:ascii="Times New Roman" w:hAnsi="Times New Roman" w:cs="Times New Roman"/>
                <w:sz w:val="24"/>
                <w:szCs w:val="24"/>
              </w:rPr>
              <w:t>14 (14.7)</w:t>
            </w:r>
          </w:p>
        </w:tc>
      </w:tr>
      <w:tr w:rsidR="00DD1778" w:rsidRPr="00E56BE0" w14:paraId="1E86524F" w14:textId="77777777" w:rsidTr="001A5916">
        <w:tc>
          <w:tcPr>
            <w:tcW w:w="5935" w:type="dxa"/>
          </w:tcPr>
          <w:p w14:paraId="5AA507F7" w14:textId="62FB0FBA" w:rsidR="00DD1778" w:rsidRPr="00E56BE0" w:rsidRDefault="00C522A7" w:rsidP="00E56BE0">
            <w:pPr>
              <w:spacing w:line="480" w:lineRule="auto"/>
              <w:rPr>
                <w:rFonts w:ascii="Times New Roman" w:hAnsi="Times New Roman" w:cs="Times New Roman"/>
                <w:sz w:val="24"/>
                <w:szCs w:val="24"/>
              </w:rPr>
            </w:pPr>
            <w:r w:rsidRPr="00E56BE0">
              <w:rPr>
                <w:rFonts w:ascii="Times New Roman" w:hAnsi="Times New Roman" w:cs="Times New Roman"/>
                <w:sz w:val="24"/>
                <w:szCs w:val="24"/>
              </w:rPr>
              <w:t>Healthcare resource implications</w:t>
            </w:r>
          </w:p>
        </w:tc>
        <w:tc>
          <w:tcPr>
            <w:tcW w:w="2430" w:type="dxa"/>
          </w:tcPr>
          <w:p w14:paraId="082F6D72" w14:textId="6F7AF767" w:rsidR="00DD1778" w:rsidRPr="00E56BE0" w:rsidRDefault="00C522A7" w:rsidP="00E56BE0">
            <w:pPr>
              <w:spacing w:line="480" w:lineRule="auto"/>
              <w:jc w:val="center"/>
              <w:rPr>
                <w:rFonts w:ascii="Times New Roman" w:hAnsi="Times New Roman" w:cs="Times New Roman"/>
                <w:sz w:val="24"/>
                <w:szCs w:val="24"/>
              </w:rPr>
            </w:pPr>
            <w:r w:rsidRPr="00E56BE0">
              <w:rPr>
                <w:rFonts w:ascii="Times New Roman" w:hAnsi="Times New Roman" w:cs="Times New Roman"/>
                <w:sz w:val="24"/>
                <w:szCs w:val="24"/>
              </w:rPr>
              <w:t>4 (4.2)</w:t>
            </w:r>
          </w:p>
        </w:tc>
      </w:tr>
    </w:tbl>
    <w:p w14:paraId="24A0A1F9" w14:textId="53A7AB49" w:rsidR="00DD1778" w:rsidRDefault="00DD1778" w:rsidP="00E56BE0">
      <w:pPr>
        <w:spacing w:line="480" w:lineRule="auto"/>
        <w:rPr>
          <w:rFonts w:ascii="Times New Roman" w:hAnsi="Times New Roman" w:cs="Times New Roman"/>
          <w:sz w:val="24"/>
          <w:szCs w:val="24"/>
        </w:rPr>
      </w:pPr>
    </w:p>
    <w:p w14:paraId="098C8FB1" w14:textId="77777777" w:rsidR="00941987" w:rsidRDefault="00941987">
      <w:pPr>
        <w:rPr>
          <w:rFonts w:ascii="Times New Roman" w:hAnsi="Times New Roman" w:cs="Times New Roman"/>
          <w:b/>
          <w:bCs/>
          <w:sz w:val="24"/>
          <w:szCs w:val="24"/>
        </w:rPr>
      </w:pPr>
      <w:r>
        <w:rPr>
          <w:rFonts w:ascii="Times New Roman" w:hAnsi="Times New Roman" w:cs="Times New Roman"/>
          <w:b/>
          <w:bCs/>
          <w:sz w:val="24"/>
          <w:szCs w:val="24"/>
        </w:rPr>
        <w:br w:type="page"/>
      </w:r>
    </w:p>
    <w:p w14:paraId="08CD1285" w14:textId="6279329E" w:rsidR="00941987" w:rsidRPr="00E56BE0" w:rsidRDefault="00607C01" w:rsidP="00941987">
      <w:pPr>
        <w:spacing w:line="480" w:lineRule="auto"/>
        <w:rPr>
          <w:rFonts w:ascii="Times New Roman" w:hAnsi="Times New Roman" w:cs="Times New Roman"/>
          <w:b/>
          <w:bCs/>
          <w:sz w:val="24"/>
          <w:szCs w:val="24"/>
        </w:rPr>
      </w:pPr>
      <w:r w:rsidRPr="00E56BE0">
        <w:rPr>
          <w:rFonts w:ascii="Times New Roman" w:hAnsi="Times New Roman" w:cs="Times New Roman"/>
          <w:b/>
          <w:bCs/>
          <w:sz w:val="24"/>
          <w:szCs w:val="24"/>
        </w:rPr>
        <w:lastRenderedPageBreak/>
        <w:t xml:space="preserve">TABLE </w:t>
      </w:r>
      <w:r w:rsidR="008A73C7">
        <w:rPr>
          <w:rFonts w:ascii="Times New Roman" w:hAnsi="Times New Roman" w:cs="Times New Roman"/>
          <w:b/>
          <w:bCs/>
          <w:sz w:val="24"/>
          <w:szCs w:val="24"/>
        </w:rPr>
        <w:t>2</w:t>
      </w:r>
      <w:r w:rsidR="00941987" w:rsidRPr="00E56BE0">
        <w:rPr>
          <w:rFonts w:ascii="Times New Roman" w:hAnsi="Times New Roman" w:cs="Times New Roman"/>
          <w:b/>
          <w:bCs/>
          <w:sz w:val="24"/>
          <w:szCs w:val="24"/>
        </w:rPr>
        <w:t xml:space="preserve"> </w:t>
      </w:r>
      <w:r w:rsidR="00941987" w:rsidRPr="00607C01">
        <w:rPr>
          <w:rFonts w:ascii="Times New Roman" w:hAnsi="Times New Roman" w:cs="Times New Roman"/>
          <w:sz w:val="24"/>
          <w:szCs w:val="24"/>
        </w:rPr>
        <w:t>Use of specific treatments according to type of metastases</w:t>
      </w:r>
    </w:p>
    <w:tbl>
      <w:tblPr>
        <w:tblStyle w:val="TableGrid"/>
        <w:tblW w:w="9085" w:type="dxa"/>
        <w:tblLook w:val="04A0" w:firstRow="1" w:lastRow="0" w:firstColumn="1" w:lastColumn="0" w:noHBand="0" w:noVBand="1"/>
      </w:tblPr>
      <w:tblGrid>
        <w:gridCol w:w="3775"/>
        <w:gridCol w:w="1770"/>
        <w:gridCol w:w="1770"/>
        <w:gridCol w:w="1770"/>
      </w:tblGrid>
      <w:tr w:rsidR="00E17491" w:rsidRPr="00E17491" w14:paraId="53CC31BD" w14:textId="77777777" w:rsidTr="00E17491">
        <w:tc>
          <w:tcPr>
            <w:tcW w:w="3775" w:type="dxa"/>
          </w:tcPr>
          <w:p w14:paraId="6FF16634" w14:textId="77777777" w:rsidR="00E17491" w:rsidRPr="00E17491" w:rsidRDefault="00E17491" w:rsidP="00E56BE0">
            <w:pPr>
              <w:spacing w:line="480" w:lineRule="auto"/>
              <w:rPr>
                <w:rFonts w:ascii="Times New Roman" w:hAnsi="Times New Roman" w:cs="Times New Roman"/>
                <w:b/>
                <w:bCs/>
                <w:sz w:val="24"/>
                <w:szCs w:val="24"/>
              </w:rPr>
            </w:pPr>
          </w:p>
        </w:tc>
        <w:tc>
          <w:tcPr>
            <w:tcW w:w="1770" w:type="dxa"/>
          </w:tcPr>
          <w:p w14:paraId="1AEACFCE" w14:textId="7073CBA1" w:rsidR="00E17491" w:rsidRPr="00E17491" w:rsidRDefault="00E17491" w:rsidP="00E17491">
            <w:pPr>
              <w:spacing w:line="480" w:lineRule="auto"/>
              <w:jc w:val="center"/>
              <w:rPr>
                <w:rFonts w:ascii="Times New Roman" w:hAnsi="Times New Roman" w:cs="Times New Roman"/>
                <w:b/>
                <w:bCs/>
                <w:sz w:val="24"/>
                <w:szCs w:val="24"/>
              </w:rPr>
            </w:pPr>
            <w:r w:rsidRPr="00E17491">
              <w:rPr>
                <w:rFonts w:ascii="Times New Roman" w:hAnsi="Times New Roman" w:cs="Times New Roman"/>
                <w:b/>
                <w:bCs/>
                <w:sz w:val="24"/>
                <w:szCs w:val="24"/>
              </w:rPr>
              <w:t>Not at all/rarely</w:t>
            </w:r>
            <w:r>
              <w:rPr>
                <w:rFonts w:ascii="Times New Roman" w:hAnsi="Times New Roman" w:cs="Times New Roman"/>
                <w:b/>
                <w:bCs/>
                <w:sz w:val="24"/>
                <w:szCs w:val="24"/>
              </w:rPr>
              <w:t>, %</w:t>
            </w:r>
          </w:p>
        </w:tc>
        <w:tc>
          <w:tcPr>
            <w:tcW w:w="1770" w:type="dxa"/>
          </w:tcPr>
          <w:p w14:paraId="3D32CF81" w14:textId="3F03AFA6" w:rsidR="00E17491" w:rsidRPr="00E17491" w:rsidRDefault="00E17491" w:rsidP="00E17491">
            <w:pPr>
              <w:spacing w:line="480" w:lineRule="auto"/>
              <w:jc w:val="center"/>
              <w:rPr>
                <w:rFonts w:ascii="Times New Roman" w:hAnsi="Times New Roman" w:cs="Times New Roman"/>
                <w:b/>
                <w:bCs/>
                <w:sz w:val="24"/>
                <w:szCs w:val="24"/>
              </w:rPr>
            </w:pPr>
            <w:r w:rsidRPr="00E17491">
              <w:rPr>
                <w:rFonts w:ascii="Times New Roman" w:hAnsi="Times New Roman" w:cs="Times New Roman"/>
                <w:b/>
                <w:bCs/>
                <w:sz w:val="24"/>
                <w:szCs w:val="24"/>
              </w:rPr>
              <w:t>Sometimes</w:t>
            </w:r>
            <w:r>
              <w:rPr>
                <w:rFonts w:ascii="Times New Roman" w:hAnsi="Times New Roman" w:cs="Times New Roman"/>
                <w:b/>
                <w:bCs/>
                <w:sz w:val="24"/>
                <w:szCs w:val="24"/>
              </w:rPr>
              <w:t>, %</w:t>
            </w:r>
          </w:p>
        </w:tc>
        <w:tc>
          <w:tcPr>
            <w:tcW w:w="1770" w:type="dxa"/>
          </w:tcPr>
          <w:p w14:paraId="614F4E25" w14:textId="6C669FA5" w:rsidR="00E17491" w:rsidRPr="00E17491" w:rsidRDefault="00E17491" w:rsidP="00E17491">
            <w:pPr>
              <w:spacing w:line="480" w:lineRule="auto"/>
              <w:jc w:val="center"/>
              <w:rPr>
                <w:rFonts w:ascii="Times New Roman" w:hAnsi="Times New Roman" w:cs="Times New Roman"/>
                <w:b/>
                <w:bCs/>
                <w:sz w:val="24"/>
                <w:szCs w:val="24"/>
              </w:rPr>
            </w:pPr>
            <w:r w:rsidRPr="00E17491">
              <w:rPr>
                <w:rFonts w:ascii="Times New Roman" w:hAnsi="Times New Roman" w:cs="Times New Roman"/>
                <w:b/>
                <w:bCs/>
                <w:sz w:val="24"/>
                <w:szCs w:val="24"/>
              </w:rPr>
              <w:t>Highly likely</w:t>
            </w:r>
            <w:r>
              <w:rPr>
                <w:rFonts w:ascii="Times New Roman" w:hAnsi="Times New Roman" w:cs="Times New Roman"/>
                <w:b/>
                <w:bCs/>
                <w:sz w:val="24"/>
                <w:szCs w:val="24"/>
              </w:rPr>
              <w:t>, %</w:t>
            </w:r>
          </w:p>
        </w:tc>
      </w:tr>
      <w:tr w:rsidR="00E17491" w14:paraId="0844CD66" w14:textId="77777777" w:rsidTr="00E17491">
        <w:tc>
          <w:tcPr>
            <w:tcW w:w="3775" w:type="dxa"/>
          </w:tcPr>
          <w:p w14:paraId="5B9CFF31" w14:textId="23EAC866" w:rsidR="00E17491" w:rsidRDefault="00E17491" w:rsidP="00E56BE0">
            <w:pPr>
              <w:spacing w:line="480" w:lineRule="auto"/>
              <w:rPr>
                <w:rFonts w:ascii="Times New Roman" w:hAnsi="Times New Roman" w:cs="Times New Roman"/>
                <w:sz w:val="24"/>
                <w:szCs w:val="24"/>
              </w:rPr>
            </w:pPr>
            <w:r>
              <w:rPr>
                <w:rFonts w:ascii="Times New Roman" w:hAnsi="Times New Roman" w:cs="Times New Roman"/>
                <w:sz w:val="24"/>
                <w:szCs w:val="24"/>
              </w:rPr>
              <w:t>Liver metastases</w:t>
            </w:r>
          </w:p>
        </w:tc>
        <w:tc>
          <w:tcPr>
            <w:tcW w:w="1770" w:type="dxa"/>
          </w:tcPr>
          <w:p w14:paraId="30F6EB58" w14:textId="3BDB3668" w:rsidR="00E17491" w:rsidRDefault="00E17491" w:rsidP="00E17491">
            <w:pPr>
              <w:spacing w:line="480" w:lineRule="auto"/>
              <w:jc w:val="center"/>
              <w:rPr>
                <w:rFonts w:ascii="Times New Roman" w:hAnsi="Times New Roman" w:cs="Times New Roman"/>
                <w:sz w:val="24"/>
                <w:szCs w:val="24"/>
              </w:rPr>
            </w:pPr>
          </w:p>
        </w:tc>
        <w:tc>
          <w:tcPr>
            <w:tcW w:w="1770" w:type="dxa"/>
          </w:tcPr>
          <w:p w14:paraId="0BAF6211" w14:textId="482BA898" w:rsidR="00E17491" w:rsidRDefault="00E17491" w:rsidP="00E17491">
            <w:pPr>
              <w:spacing w:line="480" w:lineRule="auto"/>
              <w:jc w:val="center"/>
              <w:rPr>
                <w:rFonts w:ascii="Times New Roman" w:hAnsi="Times New Roman" w:cs="Times New Roman"/>
                <w:sz w:val="24"/>
                <w:szCs w:val="24"/>
              </w:rPr>
            </w:pPr>
          </w:p>
        </w:tc>
        <w:tc>
          <w:tcPr>
            <w:tcW w:w="1770" w:type="dxa"/>
          </w:tcPr>
          <w:p w14:paraId="6251EA82" w14:textId="150777B4" w:rsidR="00E17491" w:rsidRDefault="00E17491" w:rsidP="00E17491">
            <w:pPr>
              <w:spacing w:line="480" w:lineRule="auto"/>
              <w:jc w:val="center"/>
              <w:rPr>
                <w:rFonts w:ascii="Times New Roman" w:hAnsi="Times New Roman" w:cs="Times New Roman"/>
                <w:sz w:val="24"/>
                <w:szCs w:val="24"/>
              </w:rPr>
            </w:pPr>
          </w:p>
        </w:tc>
      </w:tr>
      <w:tr w:rsidR="00E17491" w14:paraId="31AB0CC7" w14:textId="77777777" w:rsidTr="00E17491">
        <w:tc>
          <w:tcPr>
            <w:tcW w:w="3775" w:type="dxa"/>
          </w:tcPr>
          <w:p w14:paraId="528871A2" w14:textId="41BD4C16" w:rsidR="00E17491" w:rsidRDefault="00E17491" w:rsidP="00E17491">
            <w:pPr>
              <w:spacing w:line="480" w:lineRule="auto"/>
              <w:ind w:left="248"/>
              <w:rPr>
                <w:rFonts w:ascii="Times New Roman" w:hAnsi="Times New Roman" w:cs="Times New Roman"/>
                <w:sz w:val="24"/>
                <w:szCs w:val="24"/>
              </w:rPr>
            </w:pPr>
            <w:r>
              <w:rPr>
                <w:rFonts w:ascii="Times New Roman" w:hAnsi="Times New Roman" w:cs="Times New Roman"/>
                <w:sz w:val="24"/>
                <w:szCs w:val="24"/>
              </w:rPr>
              <w:t>Docetaxel</w:t>
            </w:r>
          </w:p>
        </w:tc>
        <w:tc>
          <w:tcPr>
            <w:tcW w:w="1770" w:type="dxa"/>
          </w:tcPr>
          <w:p w14:paraId="577C3ACD" w14:textId="63C30E25" w:rsidR="00E17491" w:rsidRDefault="00224A1C" w:rsidP="00E17491">
            <w:pPr>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770" w:type="dxa"/>
          </w:tcPr>
          <w:p w14:paraId="53E8BA57" w14:textId="4DEFA875" w:rsidR="00E17491" w:rsidRDefault="00224A1C" w:rsidP="00E17491">
            <w:pPr>
              <w:spacing w:line="480" w:lineRule="auto"/>
              <w:jc w:val="center"/>
              <w:rPr>
                <w:rFonts w:ascii="Times New Roman" w:hAnsi="Times New Roman" w:cs="Times New Roman"/>
                <w:sz w:val="24"/>
                <w:szCs w:val="24"/>
              </w:rPr>
            </w:pPr>
            <w:r>
              <w:rPr>
                <w:rFonts w:ascii="Times New Roman" w:hAnsi="Times New Roman" w:cs="Times New Roman"/>
                <w:sz w:val="24"/>
                <w:szCs w:val="24"/>
              </w:rPr>
              <w:t>10.2</w:t>
            </w:r>
          </w:p>
        </w:tc>
        <w:tc>
          <w:tcPr>
            <w:tcW w:w="1770" w:type="dxa"/>
          </w:tcPr>
          <w:p w14:paraId="22417CB7" w14:textId="5A87FDBE" w:rsidR="00E17491" w:rsidRDefault="00224A1C" w:rsidP="00E17491">
            <w:pPr>
              <w:spacing w:line="480" w:lineRule="auto"/>
              <w:jc w:val="center"/>
              <w:rPr>
                <w:rFonts w:ascii="Times New Roman" w:hAnsi="Times New Roman" w:cs="Times New Roman"/>
                <w:sz w:val="24"/>
                <w:szCs w:val="24"/>
              </w:rPr>
            </w:pPr>
            <w:r>
              <w:rPr>
                <w:rFonts w:ascii="Times New Roman" w:hAnsi="Times New Roman" w:cs="Times New Roman"/>
                <w:sz w:val="24"/>
                <w:szCs w:val="24"/>
              </w:rPr>
              <w:t>88.7</w:t>
            </w:r>
          </w:p>
        </w:tc>
      </w:tr>
      <w:tr w:rsidR="00E17491" w14:paraId="1222E383" w14:textId="77777777" w:rsidTr="00E17491">
        <w:tc>
          <w:tcPr>
            <w:tcW w:w="3775" w:type="dxa"/>
          </w:tcPr>
          <w:p w14:paraId="0A15FA80" w14:textId="7175B40F" w:rsidR="00E17491" w:rsidRDefault="00E17491" w:rsidP="00E17491">
            <w:pPr>
              <w:spacing w:line="480" w:lineRule="auto"/>
              <w:ind w:left="248"/>
              <w:rPr>
                <w:rFonts w:ascii="Times New Roman" w:hAnsi="Times New Roman" w:cs="Times New Roman"/>
                <w:sz w:val="24"/>
                <w:szCs w:val="24"/>
              </w:rPr>
            </w:pPr>
            <w:r>
              <w:rPr>
                <w:rFonts w:ascii="Times New Roman" w:hAnsi="Times New Roman" w:cs="Times New Roman"/>
                <w:sz w:val="24"/>
                <w:szCs w:val="24"/>
              </w:rPr>
              <w:t>ARTA</w:t>
            </w:r>
          </w:p>
        </w:tc>
        <w:tc>
          <w:tcPr>
            <w:tcW w:w="1770" w:type="dxa"/>
          </w:tcPr>
          <w:p w14:paraId="0837A990" w14:textId="06FCF636" w:rsidR="00E17491" w:rsidRDefault="00224A1C" w:rsidP="00E17491">
            <w:pPr>
              <w:spacing w:line="480" w:lineRule="auto"/>
              <w:jc w:val="center"/>
              <w:rPr>
                <w:rFonts w:ascii="Times New Roman" w:hAnsi="Times New Roman" w:cs="Times New Roman"/>
                <w:sz w:val="24"/>
                <w:szCs w:val="24"/>
              </w:rPr>
            </w:pPr>
            <w:r>
              <w:rPr>
                <w:rFonts w:ascii="Times New Roman" w:hAnsi="Times New Roman" w:cs="Times New Roman"/>
                <w:sz w:val="24"/>
                <w:szCs w:val="24"/>
              </w:rPr>
              <w:t>25.0</w:t>
            </w:r>
          </w:p>
        </w:tc>
        <w:tc>
          <w:tcPr>
            <w:tcW w:w="1770" w:type="dxa"/>
          </w:tcPr>
          <w:p w14:paraId="5A70C178" w14:textId="768E221C" w:rsidR="00E17491" w:rsidRDefault="00224A1C" w:rsidP="00E17491">
            <w:pPr>
              <w:spacing w:line="480" w:lineRule="auto"/>
              <w:jc w:val="center"/>
              <w:rPr>
                <w:rFonts w:ascii="Times New Roman" w:hAnsi="Times New Roman" w:cs="Times New Roman"/>
                <w:sz w:val="24"/>
                <w:szCs w:val="24"/>
              </w:rPr>
            </w:pPr>
            <w:r>
              <w:rPr>
                <w:rFonts w:ascii="Times New Roman" w:hAnsi="Times New Roman" w:cs="Times New Roman"/>
                <w:sz w:val="24"/>
                <w:szCs w:val="24"/>
              </w:rPr>
              <w:t>51.1</w:t>
            </w:r>
          </w:p>
        </w:tc>
        <w:tc>
          <w:tcPr>
            <w:tcW w:w="1770" w:type="dxa"/>
          </w:tcPr>
          <w:p w14:paraId="32BAEF5D" w14:textId="64F21255" w:rsidR="00E17491" w:rsidRDefault="00224A1C" w:rsidP="00E17491">
            <w:pPr>
              <w:spacing w:line="480" w:lineRule="auto"/>
              <w:jc w:val="center"/>
              <w:rPr>
                <w:rFonts w:ascii="Times New Roman" w:hAnsi="Times New Roman" w:cs="Times New Roman"/>
                <w:sz w:val="24"/>
                <w:szCs w:val="24"/>
              </w:rPr>
            </w:pPr>
            <w:r>
              <w:rPr>
                <w:rFonts w:ascii="Times New Roman" w:hAnsi="Times New Roman" w:cs="Times New Roman"/>
                <w:sz w:val="24"/>
                <w:szCs w:val="24"/>
              </w:rPr>
              <w:t>23.9</w:t>
            </w:r>
          </w:p>
        </w:tc>
      </w:tr>
      <w:tr w:rsidR="00E17491" w14:paraId="64E11685" w14:textId="77777777" w:rsidTr="00E17491">
        <w:tc>
          <w:tcPr>
            <w:tcW w:w="3775" w:type="dxa"/>
          </w:tcPr>
          <w:p w14:paraId="5F7ED774" w14:textId="49FBDE2E" w:rsidR="00E17491" w:rsidRDefault="00E17491" w:rsidP="00E56BE0">
            <w:pPr>
              <w:spacing w:line="480" w:lineRule="auto"/>
              <w:rPr>
                <w:rFonts w:ascii="Times New Roman" w:hAnsi="Times New Roman" w:cs="Times New Roman"/>
                <w:sz w:val="24"/>
                <w:szCs w:val="24"/>
              </w:rPr>
            </w:pPr>
            <w:r>
              <w:rPr>
                <w:rFonts w:ascii="Times New Roman" w:hAnsi="Times New Roman" w:cs="Times New Roman"/>
                <w:sz w:val="24"/>
                <w:szCs w:val="24"/>
              </w:rPr>
              <w:t>Lung metastases</w:t>
            </w:r>
          </w:p>
        </w:tc>
        <w:tc>
          <w:tcPr>
            <w:tcW w:w="1770" w:type="dxa"/>
          </w:tcPr>
          <w:p w14:paraId="201C6631" w14:textId="77777777" w:rsidR="00E17491" w:rsidRDefault="00E17491" w:rsidP="00E17491">
            <w:pPr>
              <w:spacing w:line="480" w:lineRule="auto"/>
              <w:jc w:val="center"/>
              <w:rPr>
                <w:rFonts w:ascii="Times New Roman" w:hAnsi="Times New Roman" w:cs="Times New Roman"/>
                <w:sz w:val="24"/>
                <w:szCs w:val="24"/>
              </w:rPr>
            </w:pPr>
          </w:p>
        </w:tc>
        <w:tc>
          <w:tcPr>
            <w:tcW w:w="1770" w:type="dxa"/>
          </w:tcPr>
          <w:p w14:paraId="7C893299" w14:textId="77777777" w:rsidR="00E17491" w:rsidRDefault="00E17491" w:rsidP="00E17491">
            <w:pPr>
              <w:spacing w:line="480" w:lineRule="auto"/>
              <w:jc w:val="center"/>
              <w:rPr>
                <w:rFonts w:ascii="Times New Roman" w:hAnsi="Times New Roman" w:cs="Times New Roman"/>
                <w:sz w:val="24"/>
                <w:szCs w:val="24"/>
              </w:rPr>
            </w:pPr>
          </w:p>
        </w:tc>
        <w:tc>
          <w:tcPr>
            <w:tcW w:w="1770" w:type="dxa"/>
          </w:tcPr>
          <w:p w14:paraId="36671EC1" w14:textId="77777777" w:rsidR="00E17491" w:rsidRDefault="00E17491" w:rsidP="00E17491">
            <w:pPr>
              <w:spacing w:line="480" w:lineRule="auto"/>
              <w:jc w:val="center"/>
              <w:rPr>
                <w:rFonts w:ascii="Times New Roman" w:hAnsi="Times New Roman" w:cs="Times New Roman"/>
                <w:sz w:val="24"/>
                <w:szCs w:val="24"/>
              </w:rPr>
            </w:pPr>
          </w:p>
        </w:tc>
      </w:tr>
      <w:tr w:rsidR="00E17491" w14:paraId="16988CDA" w14:textId="77777777" w:rsidTr="00E17491">
        <w:tc>
          <w:tcPr>
            <w:tcW w:w="3775" w:type="dxa"/>
          </w:tcPr>
          <w:p w14:paraId="2A29DD63" w14:textId="62D25B5C" w:rsidR="00E17491" w:rsidRDefault="00E17491" w:rsidP="00E17491">
            <w:pPr>
              <w:spacing w:line="480" w:lineRule="auto"/>
              <w:ind w:left="248"/>
              <w:rPr>
                <w:rFonts w:ascii="Times New Roman" w:hAnsi="Times New Roman" w:cs="Times New Roman"/>
                <w:sz w:val="24"/>
                <w:szCs w:val="24"/>
              </w:rPr>
            </w:pPr>
            <w:r>
              <w:rPr>
                <w:rFonts w:ascii="Times New Roman" w:hAnsi="Times New Roman" w:cs="Times New Roman"/>
                <w:sz w:val="24"/>
                <w:szCs w:val="24"/>
              </w:rPr>
              <w:t>Docetaxel</w:t>
            </w:r>
          </w:p>
        </w:tc>
        <w:tc>
          <w:tcPr>
            <w:tcW w:w="1770" w:type="dxa"/>
          </w:tcPr>
          <w:p w14:paraId="231ED61D" w14:textId="5F535D71" w:rsidR="00E17491" w:rsidRDefault="00224A1C" w:rsidP="00E17491">
            <w:pPr>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770" w:type="dxa"/>
          </w:tcPr>
          <w:p w14:paraId="7108E462" w14:textId="058A5654" w:rsidR="00E17491" w:rsidRDefault="00224A1C" w:rsidP="00E17491">
            <w:pPr>
              <w:spacing w:line="480" w:lineRule="auto"/>
              <w:jc w:val="center"/>
              <w:rPr>
                <w:rFonts w:ascii="Times New Roman" w:hAnsi="Times New Roman" w:cs="Times New Roman"/>
                <w:sz w:val="24"/>
                <w:szCs w:val="24"/>
              </w:rPr>
            </w:pPr>
            <w:r>
              <w:rPr>
                <w:rFonts w:ascii="Times New Roman" w:hAnsi="Times New Roman" w:cs="Times New Roman"/>
                <w:sz w:val="24"/>
                <w:szCs w:val="24"/>
              </w:rPr>
              <w:t>23.6</w:t>
            </w:r>
          </w:p>
        </w:tc>
        <w:tc>
          <w:tcPr>
            <w:tcW w:w="1770" w:type="dxa"/>
          </w:tcPr>
          <w:p w14:paraId="7D2E793C" w14:textId="1926A56D" w:rsidR="00E17491" w:rsidRDefault="00224A1C" w:rsidP="00E17491">
            <w:pPr>
              <w:spacing w:line="480" w:lineRule="auto"/>
              <w:jc w:val="center"/>
              <w:rPr>
                <w:rFonts w:ascii="Times New Roman" w:hAnsi="Times New Roman" w:cs="Times New Roman"/>
                <w:sz w:val="24"/>
                <w:szCs w:val="24"/>
              </w:rPr>
            </w:pPr>
            <w:r>
              <w:rPr>
                <w:rFonts w:ascii="Times New Roman" w:hAnsi="Times New Roman" w:cs="Times New Roman"/>
                <w:sz w:val="24"/>
                <w:szCs w:val="24"/>
              </w:rPr>
              <w:t>75.3</w:t>
            </w:r>
          </w:p>
        </w:tc>
      </w:tr>
      <w:tr w:rsidR="00E17491" w14:paraId="212DA48B" w14:textId="77777777" w:rsidTr="00E17491">
        <w:tc>
          <w:tcPr>
            <w:tcW w:w="3775" w:type="dxa"/>
          </w:tcPr>
          <w:p w14:paraId="756045C2" w14:textId="707F7B8D" w:rsidR="00E17491" w:rsidRDefault="00E17491" w:rsidP="00E17491">
            <w:pPr>
              <w:spacing w:line="480" w:lineRule="auto"/>
              <w:ind w:left="248"/>
              <w:rPr>
                <w:rFonts w:ascii="Times New Roman" w:hAnsi="Times New Roman" w:cs="Times New Roman"/>
                <w:sz w:val="24"/>
                <w:szCs w:val="24"/>
              </w:rPr>
            </w:pPr>
            <w:r>
              <w:rPr>
                <w:rFonts w:ascii="Times New Roman" w:hAnsi="Times New Roman" w:cs="Times New Roman"/>
                <w:sz w:val="24"/>
                <w:szCs w:val="24"/>
              </w:rPr>
              <w:t>ARTA</w:t>
            </w:r>
          </w:p>
        </w:tc>
        <w:tc>
          <w:tcPr>
            <w:tcW w:w="1770" w:type="dxa"/>
          </w:tcPr>
          <w:p w14:paraId="09611705" w14:textId="01BC2550" w:rsidR="00E17491" w:rsidRDefault="00983A14" w:rsidP="00E17491">
            <w:pPr>
              <w:spacing w:line="480" w:lineRule="auto"/>
              <w:jc w:val="center"/>
              <w:rPr>
                <w:rFonts w:ascii="Times New Roman" w:hAnsi="Times New Roman" w:cs="Times New Roman"/>
                <w:sz w:val="24"/>
                <w:szCs w:val="24"/>
              </w:rPr>
            </w:pPr>
            <w:r>
              <w:rPr>
                <w:rFonts w:ascii="Times New Roman" w:hAnsi="Times New Roman" w:cs="Times New Roman"/>
                <w:sz w:val="24"/>
                <w:szCs w:val="24"/>
              </w:rPr>
              <w:t>19.5</w:t>
            </w:r>
          </w:p>
        </w:tc>
        <w:tc>
          <w:tcPr>
            <w:tcW w:w="1770" w:type="dxa"/>
          </w:tcPr>
          <w:p w14:paraId="6CBCD1E3" w14:textId="17D29F7C" w:rsidR="00E17491" w:rsidRDefault="00983A14" w:rsidP="00E17491">
            <w:pPr>
              <w:spacing w:line="480" w:lineRule="auto"/>
              <w:jc w:val="center"/>
              <w:rPr>
                <w:rFonts w:ascii="Times New Roman" w:hAnsi="Times New Roman" w:cs="Times New Roman"/>
                <w:sz w:val="24"/>
                <w:szCs w:val="24"/>
              </w:rPr>
            </w:pPr>
            <w:r>
              <w:rPr>
                <w:rFonts w:ascii="Times New Roman" w:hAnsi="Times New Roman" w:cs="Times New Roman"/>
                <w:sz w:val="24"/>
                <w:szCs w:val="24"/>
              </w:rPr>
              <w:t>48.3</w:t>
            </w:r>
          </w:p>
        </w:tc>
        <w:tc>
          <w:tcPr>
            <w:tcW w:w="1770" w:type="dxa"/>
          </w:tcPr>
          <w:p w14:paraId="22CCDEB6" w14:textId="5BBCB336" w:rsidR="00E17491" w:rsidRDefault="00983A14" w:rsidP="00E17491">
            <w:pPr>
              <w:spacing w:line="480" w:lineRule="auto"/>
              <w:jc w:val="center"/>
              <w:rPr>
                <w:rFonts w:ascii="Times New Roman" w:hAnsi="Times New Roman" w:cs="Times New Roman"/>
                <w:sz w:val="24"/>
                <w:szCs w:val="24"/>
              </w:rPr>
            </w:pPr>
            <w:r>
              <w:rPr>
                <w:rFonts w:ascii="Times New Roman" w:hAnsi="Times New Roman" w:cs="Times New Roman"/>
                <w:sz w:val="24"/>
                <w:szCs w:val="24"/>
              </w:rPr>
              <w:t>32.2</w:t>
            </w:r>
          </w:p>
        </w:tc>
      </w:tr>
      <w:tr w:rsidR="00E17491" w14:paraId="789A47F6" w14:textId="77777777" w:rsidTr="00E17491">
        <w:tc>
          <w:tcPr>
            <w:tcW w:w="3775" w:type="dxa"/>
          </w:tcPr>
          <w:p w14:paraId="6F0E1C6B" w14:textId="19A6158C" w:rsidR="00E17491" w:rsidRDefault="00E17491" w:rsidP="00E56BE0">
            <w:pPr>
              <w:spacing w:line="480" w:lineRule="auto"/>
              <w:rPr>
                <w:rFonts w:ascii="Times New Roman" w:hAnsi="Times New Roman" w:cs="Times New Roman"/>
                <w:sz w:val="24"/>
                <w:szCs w:val="24"/>
              </w:rPr>
            </w:pPr>
            <w:r>
              <w:rPr>
                <w:rFonts w:ascii="Times New Roman" w:hAnsi="Times New Roman" w:cs="Times New Roman"/>
                <w:sz w:val="24"/>
                <w:szCs w:val="24"/>
              </w:rPr>
              <w:t>Bone only metastases</w:t>
            </w:r>
          </w:p>
        </w:tc>
        <w:tc>
          <w:tcPr>
            <w:tcW w:w="1770" w:type="dxa"/>
          </w:tcPr>
          <w:p w14:paraId="0B65305B" w14:textId="77777777" w:rsidR="00E17491" w:rsidRDefault="00E17491" w:rsidP="00E17491">
            <w:pPr>
              <w:spacing w:line="480" w:lineRule="auto"/>
              <w:jc w:val="center"/>
              <w:rPr>
                <w:rFonts w:ascii="Times New Roman" w:hAnsi="Times New Roman" w:cs="Times New Roman"/>
                <w:sz w:val="24"/>
                <w:szCs w:val="24"/>
              </w:rPr>
            </w:pPr>
          </w:p>
        </w:tc>
        <w:tc>
          <w:tcPr>
            <w:tcW w:w="1770" w:type="dxa"/>
          </w:tcPr>
          <w:p w14:paraId="43FCD3B9" w14:textId="77777777" w:rsidR="00E17491" w:rsidRDefault="00E17491" w:rsidP="00E17491">
            <w:pPr>
              <w:spacing w:line="480" w:lineRule="auto"/>
              <w:jc w:val="center"/>
              <w:rPr>
                <w:rFonts w:ascii="Times New Roman" w:hAnsi="Times New Roman" w:cs="Times New Roman"/>
                <w:sz w:val="24"/>
                <w:szCs w:val="24"/>
              </w:rPr>
            </w:pPr>
          </w:p>
        </w:tc>
        <w:tc>
          <w:tcPr>
            <w:tcW w:w="1770" w:type="dxa"/>
          </w:tcPr>
          <w:p w14:paraId="555330AE" w14:textId="77777777" w:rsidR="00E17491" w:rsidRDefault="00E17491" w:rsidP="00E17491">
            <w:pPr>
              <w:spacing w:line="480" w:lineRule="auto"/>
              <w:jc w:val="center"/>
              <w:rPr>
                <w:rFonts w:ascii="Times New Roman" w:hAnsi="Times New Roman" w:cs="Times New Roman"/>
                <w:sz w:val="24"/>
                <w:szCs w:val="24"/>
              </w:rPr>
            </w:pPr>
          </w:p>
        </w:tc>
      </w:tr>
      <w:tr w:rsidR="00E17491" w14:paraId="3E735E46" w14:textId="77777777" w:rsidTr="00E17491">
        <w:tc>
          <w:tcPr>
            <w:tcW w:w="3775" w:type="dxa"/>
          </w:tcPr>
          <w:p w14:paraId="38CFD7FD" w14:textId="6EDE5755" w:rsidR="00E17491" w:rsidRDefault="00E17491" w:rsidP="00E17491">
            <w:pPr>
              <w:spacing w:line="480" w:lineRule="auto"/>
              <w:ind w:left="248"/>
              <w:rPr>
                <w:rFonts w:ascii="Times New Roman" w:hAnsi="Times New Roman" w:cs="Times New Roman"/>
                <w:sz w:val="24"/>
                <w:szCs w:val="24"/>
              </w:rPr>
            </w:pPr>
            <w:r>
              <w:rPr>
                <w:rFonts w:ascii="Times New Roman" w:hAnsi="Times New Roman" w:cs="Times New Roman"/>
                <w:sz w:val="24"/>
                <w:szCs w:val="24"/>
              </w:rPr>
              <w:t>Docetaxel</w:t>
            </w:r>
          </w:p>
        </w:tc>
        <w:tc>
          <w:tcPr>
            <w:tcW w:w="1770" w:type="dxa"/>
          </w:tcPr>
          <w:p w14:paraId="189DCA5F" w14:textId="501597EC" w:rsidR="00E17491" w:rsidRDefault="00983A14" w:rsidP="00E17491">
            <w:pPr>
              <w:spacing w:line="48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1770" w:type="dxa"/>
          </w:tcPr>
          <w:p w14:paraId="78696098" w14:textId="22BEF714" w:rsidR="00E17491" w:rsidRDefault="00983A14" w:rsidP="00E17491">
            <w:pPr>
              <w:spacing w:line="480" w:lineRule="auto"/>
              <w:jc w:val="center"/>
              <w:rPr>
                <w:rFonts w:ascii="Times New Roman" w:hAnsi="Times New Roman" w:cs="Times New Roman"/>
                <w:sz w:val="24"/>
                <w:szCs w:val="24"/>
              </w:rPr>
            </w:pPr>
            <w:r>
              <w:rPr>
                <w:rFonts w:ascii="Times New Roman" w:hAnsi="Times New Roman" w:cs="Times New Roman"/>
                <w:sz w:val="24"/>
                <w:szCs w:val="24"/>
              </w:rPr>
              <w:t>42.0</w:t>
            </w:r>
          </w:p>
        </w:tc>
        <w:tc>
          <w:tcPr>
            <w:tcW w:w="1770" w:type="dxa"/>
          </w:tcPr>
          <w:p w14:paraId="7DABAF5C" w14:textId="047C7B8B" w:rsidR="00E17491" w:rsidRDefault="00983A14" w:rsidP="00E17491">
            <w:pPr>
              <w:spacing w:line="480" w:lineRule="auto"/>
              <w:jc w:val="center"/>
              <w:rPr>
                <w:rFonts w:ascii="Times New Roman" w:hAnsi="Times New Roman" w:cs="Times New Roman"/>
                <w:sz w:val="24"/>
                <w:szCs w:val="24"/>
              </w:rPr>
            </w:pPr>
            <w:r>
              <w:rPr>
                <w:rFonts w:ascii="Times New Roman" w:hAnsi="Times New Roman" w:cs="Times New Roman"/>
                <w:sz w:val="24"/>
                <w:szCs w:val="24"/>
              </w:rPr>
              <w:t>50.0</w:t>
            </w:r>
          </w:p>
        </w:tc>
      </w:tr>
      <w:tr w:rsidR="00E17491" w14:paraId="31662D4A" w14:textId="77777777" w:rsidTr="00E17491">
        <w:tc>
          <w:tcPr>
            <w:tcW w:w="3775" w:type="dxa"/>
          </w:tcPr>
          <w:p w14:paraId="59D20B13" w14:textId="24F83363" w:rsidR="00E17491" w:rsidRDefault="00E17491" w:rsidP="00E17491">
            <w:pPr>
              <w:spacing w:line="480" w:lineRule="auto"/>
              <w:ind w:left="248"/>
              <w:rPr>
                <w:rFonts w:ascii="Times New Roman" w:hAnsi="Times New Roman" w:cs="Times New Roman"/>
                <w:sz w:val="24"/>
                <w:szCs w:val="24"/>
              </w:rPr>
            </w:pPr>
            <w:r>
              <w:rPr>
                <w:rFonts w:ascii="Times New Roman" w:hAnsi="Times New Roman" w:cs="Times New Roman"/>
                <w:sz w:val="24"/>
                <w:szCs w:val="24"/>
              </w:rPr>
              <w:t>ARTA</w:t>
            </w:r>
          </w:p>
        </w:tc>
        <w:tc>
          <w:tcPr>
            <w:tcW w:w="1770" w:type="dxa"/>
          </w:tcPr>
          <w:p w14:paraId="69FFC6CB" w14:textId="40351E60" w:rsidR="00E17491" w:rsidRDefault="00983A14" w:rsidP="00E17491">
            <w:pPr>
              <w:spacing w:line="48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1770" w:type="dxa"/>
          </w:tcPr>
          <w:p w14:paraId="147A535C" w14:textId="67B62BB8" w:rsidR="00E17491" w:rsidRDefault="00983A14" w:rsidP="00E17491">
            <w:pPr>
              <w:spacing w:line="480" w:lineRule="auto"/>
              <w:jc w:val="center"/>
              <w:rPr>
                <w:rFonts w:ascii="Times New Roman" w:hAnsi="Times New Roman" w:cs="Times New Roman"/>
                <w:sz w:val="24"/>
                <w:szCs w:val="24"/>
              </w:rPr>
            </w:pPr>
            <w:r>
              <w:rPr>
                <w:rFonts w:ascii="Times New Roman" w:hAnsi="Times New Roman" w:cs="Times New Roman"/>
                <w:sz w:val="24"/>
                <w:szCs w:val="24"/>
              </w:rPr>
              <w:t>22.1</w:t>
            </w:r>
          </w:p>
        </w:tc>
        <w:tc>
          <w:tcPr>
            <w:tcW w:w="1770" w:type="dxa"/>
          </w:tcPr>
          <w:p w14:paraId="33DC9C55" w14:textId="6497033C" w:rsidR="00E17491" w:rsidRDefault="00983A14" w:rsidP="00E17491">
            <w:pPr>
              <w:spacing w:line="480" w:lineRule="auto"/>
              <w:jc w:val="center"/>
              <w:rPr>
                <w:rFonts w:ascii="Times New Roman" w:hAnsi="Times New Roman" w:cs="Times New Roman"/>
                <w:sz w:val="24"/>
                <w:szCs w:val="24"/>
              </w:rPr>
            </w:pPr>
            <w:r>
              <w:rPr>
                <w:rFonts w:ascii="Times New Roman" w:hAnsi="Times New Roman" w:cs="Times New Roman"/>
                <w:sz w:val="24"/>
                <w:szCs w:val="24"/>
              </w:rPr>
              <w:t>74.4</w:t>
            </w:r>
          </w:p>
        </w:tc>
      </w:tr>
      <w:tr w:rsidR="00E17491" w14:paraId="578616C7" w14:textId="77777777" w:rsidTr="00E17491">
        <w:tc>
          <w:tcPr>
            <w:tcW w:w="3775" w:type="dxa"/>
          </w:tcPr>
          <w:p w14:paraId="5503B8A0" w14:textId="77D01552" w:rsidR="00E17491" w:rsidRDefault="00E17491" w:rsidP="00E56BE0">
            <w:pPr>
              <w:spacing w:line="480" w:lineRule="auto"/>
              <w:rPr>
                <w:rFonts w:ascii="Times New Roman" w:hAnsi="Times New Roman" w:cs="Times New Roman"/>
                <w:sz w:val="24"/>
                <w:szCs w:val="24"/>
              </w:rPr>
            </w:pPr>
            <w:r>
              <w:rPr>
                <w:rFonts w:ascii="Times New Roman" w:hAnsi="Times New Roman" w:cs="Times New Roman"/>
                <w:sz w:val="24"/>
                <w:szCs w:val="24"/>
              </w:rPr>
              <w:t>Lymph node only metastases</w:t>
            </w:r>
          </w:p>
        </w:tc>
        <w:tc>
          <w:tcPr>
            <w:tcW w:w="1770" w:type="dxa"/>
          </w:tcPr>
          <w:p w14:paraId="0ACEC06C" w14:textId="77777777" w:rsidR="00E17491" w:rsidRDefault="00E17491" w:rsidP="00E17491">
            <w:pPr>
              <w:spacing w:line="480" w:lineRule="auto"/>
              <w:jc w:val="center"/>
              <w:rPr>
                <w:rFonts w:ascii="Times New Roman" w:hAnsi="Times New Roman" w:cs="Times New Roman"/>
                <w:sz w:val="24"/>
                <w:szCs w:val="24"/>
              </w:rPr>
            </w:pPr>
          </w:p>
        </w:tc>
        <w:tc>
          <w:tcPr>
            <w:tcW w:w="1770" w:type="dxa"/>
          </w:tcPr>
          <w:p w14:paraId="38B8B119" w14:textId="77777777" w:rsidR="00E17491" w:rsidRDefault="00E17491" w:rsidP="00E17491">
            <w:pPr>
              <w:spacing w:line="480" w:lineRule="auto"/>
              <w:jc w:val="center"/>
              <w:rPr>
                <w:rFonts w:ascii="Times New Roman" w:hAnsi="Times New Roman" w:cs="Times New Roman"/>
                <w:sz w:val="24"/>
                <w:szCs w:val="24"/>
              </w:rPr>
            </w:pPr>
          </w:p>
        </w:tc>
        <w:tc>
          <w:tcPr>
            <w:tcW w:w="1770" w:type="dxa"/>
          </w:tcPr>
          <w:p w14:paraId="206ED8F6" w14:textId="77777777" w:rsidR="00E17491" w:rsidRDefault="00E17491" w:rsidP="00E17491">
            <w:pPr>
              <w:spacing w:line="480" w:lineRule="auto"/>
              <w:jc w:val="center"/>
              <w:rPr>
                <w:rFonts w:ascii="Times New Roman" w:hAnsi="Times New Roman" w:cs="Times New Roman"/>
                <w:sz w:val="24"/>
                <w:szCs w:val="24"/>
              </w:rPr>
            </w:pPr>
          </w:p>
        </w:tc>
      </w:tr>
      <w:tr w:rsidR="00E17491" w14:paraId="73FF6D3E" w14:textId="77777777" w:rsidTr="00E17491">
        <w:tc>
          <w:tcPr>
            <w:tcW w:w="3775" w:type="dxa"/>
          </w:tcPr>
          <w:p w14:paraId="3972389A" w14:textId="5BEC84D1" w:rsidR="00E17491" w:rsidRDefault="00E17491" w:rsidP="00E17491">
            <w:pPr>
              <w:spacing w:line="480" w:lineRule="auto"/>
              <w:ind w:left="248"/>
              <w:rPr>
                <w:rFonts w:ascii="Times New Roman" w:hAnsi="Times New Roman" w:cs="Times New Roman"/>
                <w:sz w:val="24"/>
                <w:szCs w:val="24"/>
              </w:rPr>
            </w:pPr>
            <w:r>
              <w:rPr>
                <w:rFonts w:ascii="Times New Roman" w:hAnsi="Times New Roman" w:cs="Times New Roman"/>
                <w:sz w:val="24"/>
                <w:szCs w:val="24"/>
              </w:rPr>
              <w:t>Docetaxel</w:t>
            </w:r>
          </w:p>
        </w:tc>
        <w:tc>
          <w:tcPr>
            <w:tcW w:w="1770" w:type="dxa"/>
          </w:tcPr>
          <w:p w14:paraId="6DF232E6" w14:textId="6501767C" w:rsidR="00E17491" w:rsidRDefault="00584F02" w:rsidP="00E17491">
            <w:pPr>
              <w:spacing w:line="480" w:lineRule="auto"/>
              <w:jc w:val="center"/>
              <w:rPr>
                <w:rFonts w:ascii="Times New Roman" w:hAnsi="Times New Roman" w:cs="Times New Roman"/>
                <w:sz w:val="24"/>
                <w:szCs w:val="24"/>
              </w:rPr>
            </w:pPr>
            <w:r>
              <w:rPr>
                <w:rFonts w:ascii="Times New Roman" w:hAnsi="Times New Roman" w:cs="Times New Roman"/>
                <w:sz w:val="24"/>
                <w:szCs w:val="24"/>
              </w:rPr>
              <w:t>13.9</w:t>
            </w:r>
          </w:p>
        </w:tc>
        <w:tc>
          <w:tcPr>
            <w:tcW w:w="1770" w:type="dxa"/>
          </w:tcPr>
          <w:p w14:paraId="7F97A247" w14:textId="23AC9DC8" w:rsidR="00E17491" w:rsidRDefault="00584F02" w:rsidP="00E17491">
            <w:pPr>
              <w:spacing w:line="480" w:lineRule="auto"/>
              <w:jc w:val="center"/>
              <w:rPr>
                <w:rFonts w:ascii="Times New Roman" w:hAnsi="Times New Roman" w:cs="Times New Roman"/>
                <w:sz w:val="24"/>
                <w:szCs w:val="24"/>
              </w:rPr>
            </w:pPr>
            <w:r>
              <w:rPr>
                <w:rFonts w:ascii="Times New Roman" w:hAnsi="Times New Roman" w:cs="Times New Roman"/>
                <w:sz w:val="24"/>
                <w:szCs w:val="24"/>
              </w:rPr>
              <w:t>46.6</w:t>
            </w:r>
          </w:p>
        </w:tc>
        <w:tc>
          <w:tcPr>
            <w:tcW w:w="1770" w:type="dxa"/>
          </w:tcPr>
          <w:p w14:paraId="77398064" w14:textId="268DCCB9" w:rsidR="00E17491" w:rsidRDefault="00584F02" w:rsidP="00E17491">
            <w:pPr>
              <w:spacing w:line="480" w:lineRule="auto"/>
              <w:jc w:val="center"/>
              <w:rPr>
                <w:rFonts w:ascii="Times New Roman" w:hAnsi="Times New Roman" w:cs="Times New Roman"/>
                <w:sz w:val="24"/>
                <w:szCs w:val="24"/>
              </w:rPr>
            </w:pPr>
            <w:r>
              <w:rPr>
                <w:rFonts w:ascii="Times New Roman" w:hAnsi="Times New Roman" w:cs="Times New Roman"/>
                <w:sz w:val="24"/>
                <w:szCs w:val="24"/>
              </w:rPr>
              <w:t>39.5</w:t>
            </w:r>
          </w:p>
        </w:tc>
      </w:tr>
      <w:tr w:rsidR="00E17491" w14:paraId="7D4ADF43" w14:textId="77777777" w:rsidTr="00E17491">
        <w:tc>
          <w:tcPr>
            <w:tcW w:w="3775" w:type="dxa"/>
          </w:tcPr>
          <w:p w14:paraId="741F0EFA" w14:textId="441BAEBE" w:rsidR="00E17491" w:rsidRDefault="00E17491" w:rsidP="00E17491">
            <w:pPr>
              <w:spacing w:line="480" w:lineRule="auto"/>
              <w:ind w:left="248"/>
              <w:rPr>
                <w:rFonts w:ascii="Times New Roman" w:hAnsi="Times New Roman" w:cs="Times New Roman"/>
                <w:sz w:val="24"/>
                <w:szCs w:val="24"/>
              </w:rPr>
            </w:pPr>
            <w:r>
              <w:rPr>
                <w:rFonts w:ascii="Times New Roman" w:hAnsi="Times New Roman" w:cs="Times New Roman"/>
                <w:sz w:val="24"/>
                <w:szCs w:val="24"/>
              </w:rPr>
              <w:t>ARTA</w:t>
            </w:r>
          </w:p>
        </w:tc>
        <w:tc>
          <w:tcPr>
            <w:tcW w:w="1770" w:type="dxa"/>
          </w:tcPr>
          <w:p w14:paraId="668E86A7" w14:textId="2CD0F5D3" w:rsidR="00E17491" w:rsidRDefault="00584F02" w:rsidP="00E17491">
            <w:pPr>
              <w:spacing w:line="48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1770" w:type="dxa"/>
          </w:tcPr>
          <w:p w14:paraId="04D09BFF" w14:textId="2C9B64ED" w:rsidR="00E17491" w:rsidRDefault="00584F02" w:rsidP="00E17491">
            <w:pPr>
              <w:spacing w:line="480" w:lineRule="auto"/>
              <w:jc w:val="center"/>
              <w:rPr>
                <w:rFonts w:ascii="Times New Roman" w:hAnsi="Times New Roman" w:cs="Times New Roman"/>
                <w:sz w:val="24"/>
                <w:szCs w:val="24"/>
              </w:rPr>
            </w:pPr>
            <w:r>
              <w:rPr>
                <w:rFonts w:ascii="Times New Roman" w:hAnsi="Times New Roman" w:cs="Times New Roman"/>
                <w:sz w:val="24"/>
                <w:szCs w:val="24"/>
              </w:rPr>
              <w:t>38.6</w:t>
            </w:r>
          </w:p>
        </w:tc>
        <w:tc>
          <w:tcPr>
            <w:tcW w:w="1770" w:type="dxa"/>
          </w:tcPr>
          <w:p w14:paraId="51FD4B9E" w14:textId="1C8DAC6D" w:rsidR="00E17491" w:rsidRDefault="00584F02" w:rsidP="00E17491">
            <w:pPr>
              <w:spacing w:line="480" w:lineRule="auto"/>
              <w:jc w:val="center"/>
              <w:rPr>
                <w:rFonts w:ascii="Times New Roman" w:hAnsi="Times New Roman" w:cs="Times New Roman"/>
                <w:sz w:val="24"/>
                <w:szCs w:val="24"/>
              </w:rPr>
            </w:pPr>
            <w:r>
              <w:rPr>
                <w:rFonts w:ascii="Times New Roman" w:hAnsi="Times New Roman" w:cs="Times New Roman"/>
                <w:sz w:val="24"/>
                <w:szCs w:val="24"/>
              </w:rPr>
              <w:t>54.6</w:t>
            </w:r>
          </w:p>
        </w:tc>
      </w:tr>
      <w:tr w:rsidR="00E17491" w14:paraId="7E0C444B" w14:textId="77777777" w:rsidTr="00E17491">
        <w:tc>
          <w:tcPr>
            <w:tcW w:w="3775" w:type="dxa"/>
          </w:tcPr>
          <w:p w14:paraId="3FBF8924" w14:textId="592935D3" w:rsidR="00E17491" w:rsidRDefault="00E17491" w:rsidP="00E56BE0">
            <w:pPr>
              <w:spacing w:line="480" w:lineRule="auto"/>
              <w:rPr>
                <w:rFonts w:ascii="Times New Roman" w:hAnsi="Times New Roman" w:cs="Times New Roman"/>
                <w:sz w:val="24"/>
                <w:szCs w:val="24"/>
              </w:rPr>
            </w:pPr>
            <w:r>
              <w:rPr>
                <w:rFonts w:ascii="Times New Roman" w:hAnsi="Times New Roman" w:cs="Times New Roman"/>
                <w:sz w:val="24"/>
                <w:szCs w:val="24"/>
              </w:rPr>
              <w:t>Mixed bone and lymph node metastases</w:t>
            </w:r>
          </w:p>
        </w:tc>
        <w:tc>
          <w:tcPr>
            <w:tcW w:w="1770" w:type="dxa"/>
          </w:tcPr>
          <w:p w14:paraId="31FCF11D" w14:textId="77777777" w:rsidR="00E17491" w:rsidRDefault="00E17491" w:rsidP="00E17491">
            <w:pPr>
              <w:spacing w:line="480" w:lineRule="auto"/>
              <w:jc w:val="center"/>
              <w:rPr>
                <w:rFonts w:ascii="Times New Roman" w:hAnsi="Times New Roman" w:cs="Times New Roman"/>
                <w:sz w:val="24"/>
                <w:szCs w:val="24"/>
              </w:rPr>
            </w:pPr>
          </w:p>
        </w:tc>
        <w:tc>
          <w:tcPr>
            <w:tcW w:w="1770" w:type="dxa"/>
          </w:tcPr>
          <w:p w14:paraId="4FBAA081" w14:textId="77777777" w:rsidR="00E17491" w:rsidRDefault="00E17491" w:rsidP="00E17491">
            <w:pPr>
              <w:spacing w:line="480" w:lineRule="auto"/>
              <w:jc w:val="center"/>
              <w:rPr>
                <w:rFonts w:ascii="Times New Roman" w:hAnsi="Times New Roman" w:cs="Times New Roman"/>
                <w:sz w:val="24"/>
                <w:szCs w:val="24"/>
              </w:rPr>
            </w:pPr>
          </w:p>
        </w:tc>
        <w:tc>
          <w:tcPr>
            <w:tcW w:w="1770" w:type="dxa"/>
          </w:tcPr>
          <w:p w14:paraId="45AC4CD4" w14:textId="77777777" w:rsidR="00E17491" w:rsidRDefault="00E17491" w:rsidP="00E17491">
            <w:pPr>
              <w:spacing w:line="480" w:lineRule="auto"/>
              <w:jc w:val="center"/>
              <w:rPr>
                <w:rFonts w:ascii="Times New Roman" w:hAnsi="Times New Roman" w:cs="Times New Roman"/>
                <w:sz w:val="24"/>
                <w:szCs w:val="24"/>
              </w:rPr>
            </w:pPr>
          </w:p>
        </w:tc>
      </w:tr>
      <w:tr w:rsidR="00E17491" w14:paraId="0C052F52" w14:textId="77777777" w:rsidTr="00E17491">
        <w:tc>
          <w:tcPr>
            <w:tcW w:w="3775" w:type="dxa"/>
          </w:tcPr>
          <w:p w14:paraId="62BAF80E" w14:textId="752B8B17" w:rsidR="00E17491" w:rsidRDefault="00E17491" w:rsidP="00E17491">
            <w:pPr>
              <w:spacing w:line="480" w:lineRule="auto"/>
              <w:ind w:left="248"/>
              <w:rPr>
                <w:rFonts w:ascii="Times New Roman" w:hAnsi="Times New Roman" w:cs="Times New Roman"/>
                <w:sz w:val="24"/>
                <w:szCs w:val="24"/>
              </w:rPr>
            </w:pPr>
            <w:r>
              <w:rPr>
                <w:rFonts w:ascii="Times New Roman" w:hAnsi="Times New Roman" w:cs="Times New Roman"/>
                <w:sz w:val="24"/>
                <w:szCs w:val="24"/>
              </w:rPr>
              <w:t>Docetaxel</w:t>
            </w:r>
          </w:p>
        </w:tc>
        <w:tc>
          <w:tcPr>
            <w:tcW w:w="1770" w:type="dxa"/>
          </w:tcPr>
          <w:p w14:paraId="39CB12B8" w14:textId="402D8549" w:rsidR="00E17491" w:rsidRDefault="00584F02" w:rsidP="00E17491">
            <w:pPr>
              <w:spacing w:line="48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1770" w:type="dxa"/>
          </w:tcPr>
          <w:p w14:paraId="3E99EA52" w14:textId="615BFCAC" w:rsidR="00E17491" w:rsidRDefault="00584F02" w:rsidP="00E17491">
            <w:pPr>
              <w:spacing w:line="480" w:lineRule="auto"/>
              <w:jc w:val="center"/>
              <w:rPr>
                <w:rFonts w:ascii="Times New Roman" w:hAnsi="Times New Roman" w:cs="Times New Roman"/>
                <w:sz w:val="24"/>
                <w:szCs w:val="24"/>
              </w:rPr>
            </w:pPr>
            <w:r>
              <w:rPr>
                <w:rFonts w:ascii="Times New Roman" w:hAnsi="Times New Roman" w:cs="Times New Roman"/>
                <w:sz w:val="24"/>
                <w:szCs w:val="24"/>
              </w:rPr>
              <w:t>31.0</w:t>
            </w:r>
          </w:p>
        </w:tc>
        <w:tc>
          <w:tcPr>
            <w:tcW w:w="1770" w:type="dxa"/>
          </w:tcPr>
          <w:p w14:paraId="31BF1E96" w14:textId="0B511828" w:rsidR="00E17491" w:rsidRDefault="00584F02" w:rsidP="00E17491">
            <w:pPr>
              <w:spacing w:line="480" w:lineRule="auto"/>
              <w:jc w:val="center"/>
              <w:rPr>
                <w:rFonts w:ascii="Times New Roman" w:hAnsi="Times New Roman" w:cs="Times New Roman"/>
                <w:sz w:val="24"/>
                <w:szCs w:val="24"/>
              </w:rPr>
            </w:pPr>
            <w:r>
              <w:rPr>
                <w:rFonts w:ascii="Times New Roman" w:hAnsi="Times New Roman" w:cs="Times New Roman"/>
                <w:sz w:val="24"/>
                <w:szCs w:val="24"/>
              </w:rPr>
              <w:t>64.4</w:t>
            </w:r>
          </w:p>
        </w:tc>
      </w:tr>
      <w:tr w:rsidR="00E17491" w14:paraId="0B2F6804" w14:textId="77777777" w:rsidTr="00E17491">
        <w:tc>
          <w:tcPr>
            <w:tcW w:w="3775" w:type="dxa"/>
          </w:tcPr>
          <w:p w14:paraId="7F920090" w14:textId="3194A621" w:rsidR="00E17491" w:rsidRDefault="00E17491" w:rsidP="00E17491">
            <w:pPr>
              <w:spacing w:line="480" w:lineRule="auto"/>
              <w:ind w:left="248"/>
              <w:rPr>
                <w:rFonts w:ascii="Times New Roman" w:hAnsi="Times New Roman" w:cs="Times New Roman"/>
                <w:sz w:val="24"/>
                <w:szCs w:val="24"/>
              </w:rPr>
            </w:pPr>
            <w:r>
              <w:rPr>
                <w:rFonts w:ascii="Times New Roman" w:hAnsi="Times New Roman" w:cs="Times New Roman"/>
                <w:sz w:val="24"/>
                <w:szCs w:val="24"/>
              </w:rPr>
              <w:t>ARTA</w:t>
            </w:r>
          </w:p>
        </w:tc>
        <w:tc>
          <w:tcPr>
            <w:tcW w:w="1770" w:type="dxa"/>
          </w:tcPr>
          <w:p w14:paraId="1F2C9305" w14:textId="52DAEA02" w:rsidR="00E17491" w:rsidRDefault="00584F02" w:rsidP="00E17491">
            <w:pPr>
              <w:spacing w:line="48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1770" w:type="dxa"/>
          </w:tcPr>
          <w:p w14:paraId="0C10E04A" w14:textId="74B4030E" w:rsidR="00E17491" w:rsidRDefault="00584F02" w:rsidP="00E17491">
            <w:pPr>
              <w:spacing w:line="480" w:lineRule="auto"/>
              <w:jc w:val="center"/>
              <w:rPr>
                <w:rFonts w:ascii="Times New Roman" w:hAnsi="Times New Roman" w:cs="Times New Roman"/>
                <w:sz w:val="24"/>
                <w:szCs w:val="24"/>
              </w:rPr>
            </w:pPr>
            <w:r>
              <w:rPr>
                <w:rFonts w:ascii="Times New Roman" w:hAnsi="Times New Roman" w:cs="Times New Roman"/>
                <w:sz w:val="24"/>
                <w:szCs w:val="24"/>
              </w:rPr>
              <w:t>35.6</w:t>
            </w:r>
          </w:p>
        </w:tc>
        <w:tc>
          <w:tcPr>
            <w:tcW w:w="1770" w:type="dxa"/>
          </w:tcPr>
          <w:p w14:paraId="7E793692" w14:textId="3BF73B14" w:rsidR="00E17491" w:rsidRDefault="00584F02" w:rsidP="00E17491">
            <w:pPr>
              <w:spacing w:line="480" w:lineRule="auto"/>
              <w:jc w:val="center"/>
              <w:rPr>
                <w:rFonts w:ascii="Times New Roman" w:hAnsi="Times New Roman" w:cs="Times New Roman"/>
                <w:sz w:val="24"/>
                <w:szCs w:val="24"/>
              </w:rPr>
            </w:pPr>
            <w:r>
              <w:rPr>
                <w:rFonts w:ascii="Times New Roman" w:hAnsi="Times New Roman" w:cs="Times New Roman"/>
                <w:sz w:val="24"/>
                <w:szCs w:val="24"/>
              </w:rPr>
              <w:t>59.8</w:t>
            </w:r>
          </w:p>
        </w:tc>
      </w:tr>
      <w:tr w:rsidR="00E17491" w14:paraId="147F3980" w14:textId="77777777" w:rsidTr="00E17491">
        <w:tc>
          <w:tcPr>
            <w:tcW w:w="3775" w:type="dxa"/>
          </w:tcPr>
          <w:p w14:paraId="3839905F" w14:textId="347B1651" w:rsidR="00E17491" w:rsidRDefault="00E17491" w:rsidP="00E56BE0">
            <w:pPr>
              <w:spacing w:line="480" w:lineRule="auto"/>
              <w:rPr>
                <w:rFonts w:ascii="Times New Roman" w:hAnsi="Times New Roman" w:cs="Times New Roman"/>
                <w:sz w:val="24"/>
                <w:szCs w:val="24"/>
              </w:rPr>
            </w:pPr>
            <w:r>
              <w:rPr>
                <w:rFonts w:ascii="Times New Roman" w:hAnsi="Times New Roman" w:cs="Times New Roman"/>
                <w:sz w:val="24"/>
                <w:szCs w:val="24"/>
              </w:rPr>
              <w:t>BRCA-positive disease</w:t>
            </w:r>
          </w:p>
        </w:tc>
        <w:tc>
          <w:tcPr>
            <w:tcW w:w="1770" w:type="dxa"/>
          </w:tcPr>
          <w:p w14:paraId="136459D7" w14:textId="77777777" w:rsidR="00E17491" w:rsidRDefault="00E17491" w:rsidP="00E17491">
            <w:pPr>
              <w:spacing w:line="480" w:lineRule="auto"/>
              <w:jc w:val="center"/>
              <w:rPr>
                <w:rFonts w:ascii="Times New Roman" w:hAnsi="Times New Roman" w:cs="Times New Roman"/>
                <w:sz w:val="24"/>
                <w:szCs w:val="24"/>
              </w:rPr>
            </w:pPr>
          </w:p>
        </w:tc>
        <w:tc>
          <w:tcPr>
            <w:tcW w:w="1770" w:type="dxa"/>
          </w:tcPr>
          <w:p w14:paraId="0BD751F8" w14:textId="77777777" w:rsidR="00E17491" w:rsidRDefault="00E17491" w:rsidP="00E17491">
            <w:pPr>
              <w:spacing w:line="480" w:lineRule="auto"/>
              <w:jc w:val="center"/>
              <w:rPr>
                <w:rFonts w:ascii="Times New Roman" w:hAnsi="Times New Roman" w:cs="Times New Roman"/>
                <w:sz w:val="24"/>
                <w:szCs w:val="24"/>
              </w:rPr>
            </w:pPr>
          </w:p>
        </w:tc>
        <w:tc>
          <w:tcPr>
            <w:tcW w:w="1770" w:type="dxa"/>
          </w:tcPr>
          <w:p w14:paraId="5E7047CC" w14:textId="77777777" w:rsidR="00E17491" w:rsidRDefault="00E17491" w:rsidP="00E17491">
            <w:pPr>
              <w:spacing w:line="480" w:lineRule="auto"/>
              <w:jc w:val="center"/>
              <w:rPr>
                <w:rFonts w:ascii="Times New Roman" w:hAnsi="Times New Roman" w:cs="Times New Roman"/>
                <w:sz w:val="24"/>
                <w:szCs w:val="24"/>
              </w:rPr>
            </w:pPr>
          </w:p>
        </w:tc>
      </w:tr>
      <w:tr w:rsidR="00E17491" w14:paraId="6D1CE37A" w14:textId="77777777" w:rsidTr="00E17491">
        <w:tc>
          <w:tcPr>
            <w:tcW w:w="3775" w:type="dxa"/>
          </w:tcPr>
          <w:p w14:paraId="5E627FA5" w14:textId="7FBC31D0" w:rsidR="00E17491" w:rsidRDefault="00E17491" w:rsidP="00E17491">
            <w:pPr>
              <w:spacing w:line="480" w:lineRule="auto"/>
              <w:ind w:left="248"/>
              <w:rPr>
                <w:rFonts w:ascii="Times New Roman" w:hAnsi="Times New Roman" w:cs="Times New Roman"/>
                <w:sz w:val="24"/>
                <w:szCs w:val="24"/>
              </w:rPr>
            </w:pPr>
            <w:r>
              <w:rPr>
                <w:rFonts w:ascii="Times New Roman" w:hAnsi="Times New Roman" w:cs="Times New Roman"/>
                <w:sz w:val="24"/>
                <w:szCs w:val="24"/>
              </w:rPr>
              <w:t>Docetaxel</w:t>
            </w:r>
          </w:p>
        </w:tc>
        <w:tc>
          <w:tcPr>
            <w:tcW w:w="1770" w:type="dxa"/>
          </w:tcPr>
          <w:p w14:paraId="03C7D68E" w14:textId="7CCBC425" w:rsidR="00E17491" w:rsidRDefault="00584F02" w:rsidP="00E17491">
            <w:pPr>
              <w:spacing w:line="48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1770" w:type="dxa"/>
          </w:tcPr>
          <w:p w14:paraId="247EB17F" w14:textId="3CD51FF4" w:rsidR="00E17491" w:rsidRDefault="00584F02" w:rsidP="00E17491">
            <w:pPr>
              <w:spacing w:line="480" w:lineRule="auto"/>
              <w:jc w:val="center"/>
              <w:rPr>
                <w:rFonts w:ascii="Times New Roman" w:hAnsi="Times New Roman" w:cs="Times New Roman"/>
                <w:sz w:val="24"/>
                <w:szCs w:val="24"/>
              </w:rPr>
            </w:pPr>
            <w:r>
              <w:rPr>
                <w:rFonts w:ascii="Times New Roman" w:hAnsi="Times New Roman" w:cs="Times New Roman"/>
                <w:sz w:val="24"/>
                <w:szCs w:val="24"/>
              </w:rPr>
              <w:t>35.8</w:t>
            </w:r>
          </w:p>
        </w:tc>
        <w:tc>
          <w:tcPr>
            <w:tcW w:w="1770" w:type="dxa"/>
          </w:tcPr>
          <w:p w14:paraId="2B6C198C" w14:textId="121B638F" w:rsidR="00E17491" w:rsidRDefault="00584F02" w:rsidP="00E17491">
            <w:pPr>
              <w:spacing w:line="480" w:lineRule="auto"/>
              <w:jc w:val="center"/>
              <w:rPr>
                <w:rFonts w:ascii="Times New Roman" w:hAnsi="Times New Roman" w:cs="Times New Roman"/>
                <w:sz w:val="24"/>
                <w:szCs w:val="24"/>
              </w:rPr>
            </w:pPr>
            <w:r>
              <w:rPr>
                <w:rFonts w:ascii="Times New Roman" w:hAnsi="Times New Roman" w:cs="Times New Roman"/>
                <w:sz w:val="24"/>
                <w:szCs w:val="24"/>
              </w:rPr>
              <w:t>60.5</w:t>
            </w:r>
          </w:p>
        </w:tc>
      </w:tr>
      <w:tr w:rsidR="00E17491" w14:paraId="7D8B8785" w14:textId="77777777" w:rsidTr="00E17491">
        <w:tc>
          <w:tcPr>
            <w:tcW w:w="3775" w:type="dxa"/>
          </w:tcPr>
          <w:p w14:paraId="317F7335" w14:textId="659105A8" w:rsidR="00E17491" w:rsidRDefault="00E17491" w:rsidP="00E17491">
            <w:pPr>
              <w:spacing w:line="480" w:lineRule="auto"/>
              <w:ind w:left="248"/>
              <w:rPr>
                <w:rFonts w:ascii="Times New Roman" w:hAnsi="Times New Roman" w:cs="Times New Roman"/>
                <w:sz w:val="24"/>
                <w:szCs w:val="24"/>
              </w:rPr>
            </w:pPr>
            <w:r>
              <w:rPr>
                <w:rFonts w:ascii="Times New Roman" w:hAnsi="Times New Roman" w:cs="Times New Roman"/>
                <w:sz w:val="24"/>
                <w:szCs w:val="24"/>
              </w:rPr>
              <w:t>ARTA</w:t>
            </w:r>
          </w:p>
        </w:tc>
        <w:tc>
          <w:tcPr>
            <w:tcW w:w="1770" w:type="dxa"/>
          </w:tcPr>
          <w:p w14:paraId="017376C0" w14:textId="54039085" w:rsidR="00E17491" w:rsidRDefault="00584F02" w:rsidP="00E17491">
            <w:pPr>
              <w:spacing w:line="48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1770" w:type="dxa"/>
          </w:tcPr>
          <w:p w14:paraId="459F4398" w14:textId="4AD90A56" w:rsidR="00E17491" w:rsidRDefault="00584F02" w:rsidP="00E17491">
            <w:pPr>
              <w:spacing w:line="480" w:lineRule="auto"/>
              <w:jc w:val="center"/>
              <w:rPr>
                <w:rFonts w:ascii="Times New Roman" w:hAnsi="Times New Roman" w:cs="Times New Roman"/>
                <w:sz w:val="24"/>
                <w:szCs w:val="24"/>
              </w:rPr>
            </w:pPr>
            <w:r>
              <w:rPr>
                <w:rFonts w:ascii="Times New Roman" w:hAnsi="Times New Roman" w:cs="Times New Roman"/>
                <w:sz w:val="24"/>
                <w:szCs w:val="24"/>
              </w:rPr>
              <w:t>63.5</w:t>
            </w:r>
          </w:p>
        </w:tc>
        <w:tc>
          <w:tcPr>
            <w:tcW w:w="1770" w:type="dxa"/>
          </w:tcPr>
          <w:p w14:paraId="09F0FFA1" w14:textId="3D428B29" w:rsidR="00E17491" w:rsidRDefault="00584F02" w:rsidP="00E17491">
            <w:pPr>
              <w:spacing w:line="480" w:lineRule="auto"/>
              <w:jc w:val="center"/>
              <w:rPr>
                <w:rFonts w:ascii="Times New Roman" w:hAnsi="Times New Roman" w:cs="Times New Roman"/>
                <w:sz w:val="24"/>
                <w:szCs w:val="24"/>
              </w:rPr>
            </w:pPr>
            <w:r>
              <w:rPr>
                <w:rFonts w:ascii="Times New Roman" w:hAnsi="Times New Roman" w:cs="Times New Roman"/>
                <w:sz w:val="24"/>
                <w:szCs w:val="24"/>
              </w:rPr>
              <w:t>29.7</w:t>
            </w:r>
          </w:p>
        </w:tc>
      </w:tr>
    </w:tbl>
    <w:p w14:paraId="6262F139" w14:textId="1D689804" w:rsidR="00941987" w:rsidRPr="00E56BE0" w:rsidRDefault="003C0B99" w:rsidP="00E56BE0">
      <w:pPr>
        <w:spacing w:line="480" w:lineRule="auto"/>
        <w:rPr>
          <w:rFonts w:ascii="Times New Roman" w:hAnsi="Times New Roman" w:cs="Times New Roman"/>
          <w:sz w:val="24"/>
          <w:szCs w:val="24"/>
        </w:rPr>
      </w:pPr>
      <w:r>
        <w:rPr>
          <w:rFonts w:ascii="Times New Roman" w:hAnsi="Times New Roman" w:cs="Times New Roman"/>
          <w:sz w:val="24"/>
          <w:szCs w:val="24"/>
        </w:rPr>
        <w:t>Questionnaire s</w:t>
      </w:r>
      <w:r w:rsidR="00E17491">
        <w:rPr>
          <w:rFonts w:ascii="Times New Roman" w:hAnsi="Times New Roman" w:cs="Times New Roman"/>
          <w:sz w:val="24"/>
          <w:szCs w:val="24"/>
        </w:rPr>
        <w:t>cale from 0 (not at all) to 10 (highly likely) Not at all/rarely: scores of 1-3; sometimes, scores of 4-7; highly likely: scores of 8-10.</w:t>
      </w:r>
      <w:r w:rsidR="00256459">
        <w:rPr>
          <w:rFonts w:ascii="Times New Roman" w:hAnsi="Times New Roman" w:cs="Times New Roman"/>
          <w:sz w:val="24"/>
          <w:szCs w:val="24"/>
        </w:rPr>
        <w:t xml:space="preserve"> ARTA, androgen receptor-targeted agent.</w:t>
      </w:r>
    </w:p>
    <w:p w14:paraId="2C446013" w14:textId="0F470901" w:rsidR="00E17491" w:rsidRDefault="00E17491">
      <w:pPr>
        <w:rPr>
          <w:rFonts w:ascii="Times New Roman" w:hAnsi="Times New Roman" w:cs="Times New Roman"/>
          <w:b/>
          <w:bCs/>
          <w:sz w:val="24"/>
          <w:szCs w:val="24"/>
        </w:rPr>
      </w:pPr>
      <w:r>
        <w:rPr>
          <w:rFonts w:ascii="Times New Roman" w:hAnsi="Times New Roman" w:cs="Times New Roman"/>
          <w:b/>
          <w:bCs/>
          <w:sz w:val="24"/>
          <w:szCs w:val="24"/>
        </w:rPr>
        <w:br w:type="page"/>
      </w:r>
      <w:r w:rsidR="00607C01">
        <w:rPr>
          <w:rFonts w:ascii="Times New Roman" w:hAnsi="Times New Roman" w:cs="Times New Roman"/>
          <w:b/>
          <w:bCs/>
          <w:sz w:val="24"/>
          <w:szCs w:val="24"/>
        </w:rPr>
        <w:lastRenderedPageBreak/>
        <w:t>FIGURE</w:t>
      </w:r>
      <w:r w:rsidR="00531DF0">
        <w:rPr>
          <w:rFonts w:ascii="Times New Roman" w:hAnsi="Times New Roman" w:cs="Times New Roman"/>
          <w:b/>
          <w:bCs/>
          <w:sz w:val="24"/>
          <w:szCs w:val="24"/>
        </w:rPr>
        <w:t xml:space="preserve"> LEGENDS</w:t>
      </w:r>
    </w:p>
    <w:p w14:paraId="0F3860B7" w14:textId="73003311" w:rsidR="00771DFD" w:rsidRPr="00E56BE0" w:rsidRDefault="00607C01" w:rsidP="00E56BE0">
      <w:pPr>
        <w:spacing w:line="480" w:lineRule="auto"/>
        <w:rPr>
          <w:rFonts w:ascii="Times New Roman" w:hAnsi="Times New Roman" w:cs="Times New Roman"/>
          <w:b/>
          <w:bCs/>
          <w:sz w:val="24"/>
          <w:szCs w:val="24"/>
        </w:rPr>
      </w:pPr>
      <w:r w:rsidRPr="00E56BE0">
        <w:rPr>
          <w:rFonts w:ascii="Times New Roman" w:hAnsi="Times New Roman" w:cs="Times New Roman"/>
          <w:b/>
          <w:bCs/>
          <w:sz w:val="24"/>
          <w:szCs w:val="24"/>
        </w:rPr>
        <w:t xml:space="preserve">FIGURE 1 </w:t>
      </w:r>
      <w:r w:rsidR="007822DE" w:rsidRPr="007822DE">
        <w:rPr>
          <w:rFonts w:ascii="Times New Roman" w:hAnsi="Times New Roman" w:cs="Times New Roman"/>
          <w:sz w:val="24"/>
          <w:szCs w:val="24"/>
        </w:rPr>
        <w:t>Strength of recommendation for docetaxel and ADT according to disease characteristics</w:t>
      </w:r>
      <w:r w:rsidR="007822DE">
        <w:rPr>
          <w:rFonts w:ascii="Times New Roman" w:hAnsi="Times New Roman" w:cs="Times New Roman"/>
          <w:b/>
          <w:bCs/>
          <w:sz w:val="24"/>
          <w:szCs w:val="24"/>
        </w:rPr>
        <w:t xml:space="preserve"> </w:t>
      </w:r>
    </w:p>
    <w:p w14:paraId="01773C96" w14:textId="3331323F" w:rsidR="00771DFD" w:rsidRDefault="00771DFD" w:rsidP="00E56BE0">
      <w:pPr>
        <w:spacing w:line="480" w:lineRule="auto"/>
        <w:rPr>
          <w:rFonts w:ascii="Times New Roman" w:hAnsi="Times New Roman" w:cs="Times New Roman"/>
          <w:b/>
          <w:bCs/>
          <w:sz w:val="24"/>
          <w:szCs w:val="24"/>
        </w:rPr>
      </w:pPr>
    </w:p>
    <w:p w14:paraId="574D9C39" w14:textId="6B904BCB" w:rsidR="003C0B99" w:rsidRDefault="003C0B99" w:rsidP="003C0B99">
      <w:pPr>
        <w:spacing w:line="480" w:lineRule="auto"/>
        <w:rPr>
          <w:rFonts w:ascii="Times New Roman" w:hAnsi="Times New Roman" w:cs="Times New Roman"/>
          <w:sz w:val="24"/>
          <w:szCs w:val="24"/>
        </w:rPr>
      </w:pPr>
      <w:r>
        <w:rPr>
          <w:rFonts w:ascii="Times New Roman" w:hAnsi="Times New Roman" w:cs="Times New Roman"/>
          <w:sz w:val="24"/>
          <w:szCs w:val="24"/>
        </w:rPr>
        <w:t xml:space="preserve">Questionnaire scale from 0 (not at all) to 10 (strongly). Not at all/rarely: scores of 1-3; sometimes, scores of 4-7; highly/strongly: scores of 8-10. </w:t>
      </w:r>
    </w:p>
    <w:p w14:paraId="576F1F4E" w14:textId="77777777" w:rsidR="003C0B99" w:rsidRPr="003C0B99" w:rsidRDefault="003C0B99" w:rsidP="003C0B99">
      <w:pPr>
        <w:spacing w:line="480" w:lineRule="auto"/>
        <w:rPr>
          <w:rFonts w:ascii="Times New Roman" w:hAnsi="Times New Roman" w:cs="Times New Roman"/>
          <w:sz w:val="24"/>
          <w:szCs w:val="24"/>
        </w:rPr>
      </w:pPr>
      <w:r>
        <w:rPr>
          <w:rFonts w:ascii="Times New Roman" w:hAnsi="Times New Roman" w:cs="Times New Roman"/>
          <w:sz w:val="24"/>
          <w:szCs w:val="24"/>
        </w:rPr>
        <w:t>ADT, androgen deprivation therapy; HSPC, hormone-sensitive prostate cancer; mHSPC, metastatic hormone-sensitive prostate cancer; nmHSPC, non-metastatic hormone-sensitive prostate cancer.</w:t>
      </w:r>
    </w:p>
    <w:p w14:paraId="0BA4F252" w14:textId="77777777" w:rsidR="00771DFD" w:rsidRDefault="00771DFD" w:rsidP="00E56BE0">
      <w:pPr>
        <w:spacing w:line="480" w:lineRule="auto"/>
        <w:rPr>
          <w:rFonts w:ascii="Times New Roman" w:hAnsi="Times New Roman" w:cs="Times New Roman"/>
          <w:b/>
          <w:bCs/>
          <w:sz w:val="24"/>
          <w:szCs w:val="24"/>
        </w:rPr>
      </w:pPr>
    </w:p>
    <w:p w14:paraId="36A259B4" w14:textId="6EB223BF" w:rsidR="003C0B99" w:rsidRPr="00E56BE0" w:rsidRDefault="00531DF0" w:rsidP="00E56BE0">
      <w:pPr>
        <w:spacing w:line="480" w:lineRule="auto"/>
        <w:rPr>
          <w:rFonts w:ascii="Times New Roman" w:hAnsi="Times New Roman" w:cs="Times New Roman"/>
          <w:b/>
          <w:bCs/>
          <w:sz w:val="24"/>
          <w:szCs w:val="24"/>
        </w:rPr>
      </w:pPr>
      <w:r>
        <w:rPr>
          <w:rFonts w:ascii="Times New Roman" w:hAnsi="Times New Roman" w:cs="Times New Roman"/>
          <w:b/>
          <w:bCs/>
          <w:sz w:val="24"/>
          <w:szCs w:val="24"/>
        </w:rPr>
        <w:t>F</w:t>
      </w:r>
      <w:r w:rsidR="00607C01" w:rsidRPr="00E56BE0">
        <w:rPr>
          <w:rFonts w:ascii="Times New Roman" w:hAnsi="Times New Roman" w:cs="Times New Roman"/>
          <w:b/>
          <w:bCs/>
          <w:sz w:val="24"/>
          <w:szCs w:val="24"/>
        </w:rPr>
        <w:t xml:space="preserve">IGURE 2 </w:t>
      </w:r>
      <w:r w:rsidR="003C0B99" w:rsidRPr="007822DE">
        <w:rPr>
          <w:rFonts w:ascii="Times New Roman" w:hAnsi="Times New Roman" w:cs="Times New Roman"/>
          <w:sz w:val="24"/>
          <w:szCs w:val="24"/>
        </w:rPr>
        <w:t xml:space="preserve">Strength of recommendation for </w:t>
      </w:r>
      <w:r w:rsidR="003C0B99">
        <w:rPr>
          <w:rFonts w:ascii="Times New Roman" w:hAnsi="Times New Roman" w:cs="Times New Roman"/>
          <w:sz w:val="24"/>
          <w:szCs w:val="24"/>
        </w:rPr>
        <w:t>androgen receptor-targeted agents</w:t>
      </w:r>
      <w:r w:rsidR="003C0B99" w:rsidRPr="007822DE">
        <w:rPr>
          <w:rFonts w:ascii="Times New Roman" w:hAnsi="Times New Roman" w:cs="Times New Roman"/>
          <w:sz w:val="24"/>
          <w:szCs w:val="24"/>
        </w:rPr>
        <w:t xml:space="preserve"> and ADT according to disease characteristics</w:t>
      </w:r>
    </w:p>
    <w:p w14:paraId="0F971673" w14:textId="01616E49" w:rsidR="00771DFD" w:rsidRDefault="00771DFD" w:rsidP="00E56BE0">
      <w:pPr>
        <w:spacing w:line="480" w:lineRule="auto"/>
        <w:rPr>
          <w:rFonts w:ascii="Times New Roman" w:hAnsi="Times New Roman" w:cs="Times New Roman"/>
          <w:b/>
          <w:bCs/>
          <w:sz w:val="24"/>
          <w:szCs w:val="24"/>
        </w:rPr>
      </w:pPr>
    </w:p>
    <w:p w14:paraId="188B2CC8" w14:textId="201AEEA7" w:rsidR="003C0B99" w:rsidRDefault="003C0B99" w:rsidP="00E56BE0">
      <w:pPr>
        <w:spacing w:line="480" w:lineRule="auto"/>
        <w:rPr>
          <w:rFonts w:ascii="Times New Roman" w:hAnsi="Times New Roman" w:cs="Times New Roman"/>
          <w:sz w:val="24"/>
          <w:szCs w:val="24"/>
        </w:rPr>
      </w:pPr>
      <w:r>
        <w:rPr>
          <w:rFonts w:ascii="Times New Roman" w:hAnsi="Times New Roman" w:cs="Times New Roman"/>
          <w:sz w:val="24"/>
          <w:szCs w:val="24"/>
        </w:rPr>
        <w:t xml:space="preserve">Questionnaire scale from 0 (not at all) to 10 (strongly). Not at all/rarely: scores of 1-3; sometimes, scores of 4-7; highly/strongly: scores of 8-10. </w:t>
      </w:r>
    </w:p>
    <w:p w14:paraId="1E1FF0C1" w14:textId="7E0FE192" w:rsidR="003C0B99" w:rsidRPr="003C0B99" w:rsidRDefault="003C0B99" w:rsidP="00E56BE0">
      <w:pPr>
        <w:spacing w:line="480" w:lineRule="auto"/>
        <w:rPr>
          <w:rFonts w:ascii="Times New Roman" w:hAnsi="Times New Roman" w:cs="Times New Roman"/>
          <w:sz w:val="24"/>
          <w:szCs w:val="24"/>
        </w:rPr>
      </w:pPr>
      <w:r>
        <w:rPr>
          <w:rFonts w:ascii="Times New Roman" w:hAnsi="Times New Roman" w:cs="Times New Roman"/>
          <w:sz w:val="24"/>
          <w:szCs w:val="24"/>
        </w:rPr>
        <w:t>ADT, androgen deprivation therapy; HSPC, hormone-sensitive prostate cancer; mHSPC, metastatic hormone-sensitive prostate cancer; nmHSPC, non-metastatic hormone-sensitive prostate cancer.</w:t>
      </w:r>
    </w:p>
    <w:p w14:paraId="60438CD0" w14:textId="15CECFD9" w:rsidR="00771DFD" w:rsidRPr="00E56BE0" w:rsidRDefault="00771DFD" w:rsidP="00E56BE0">
      <w:pPr>
        <w:spacing w:line="480" w:lineRule="auto"/>
        <w:rPr>
          <w:rFonts w:ascii="Times New Roman" w:hAnsi="Times New Roman" w:cs="Times New Roman"/>
          <w:b/>
          <w:bCs/>
          <w:sz w:val="24"/>
          <w:szCs w:val="24"/>
        </w:rPr>
      </w:pPr>
    </w:p>
    <w:p w14:paraId="7FAD0661" w14:textId="77777777" w:rsidR="00467319" w:rsidRPr="00E56BE0" w:rsidRDefault="00467319" w:rsidP="00E56BE0">
      <w:pPr>
        <w:spacing w:line="480" w:lineRule="auto"/>
        <w:rPr>
          <w:rFonts w:ascii="Times New Roman" w:hAnsi="Times New Roman" w:cs="Times New Roman"/>
          <w:b/>
          <w:bCs/>
          <w:sz w:val="24"/>
          <w:szCs w:val="24"/>
        </w:rPr>
      </w:pPr>
    </w:p>
    <w:sectPr w:rsidR="00467319" w:rsidRPr="00E56BE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D3DBA" w14:textId="77777777" w:rsidR="0080578C" w:rsidRDefault="0080578C" w:rsidP="00604A49">
      <w:pPr>
        <w:spacing w:after="0" w:line="240" w:lineRule="auto"/>
      </w:pPr>
      <w:r>
        <w:separator/>
      </w:r>
    </w:p>
  </w:endnote>
  <w:endnote w:type="continuationSeparator" w:id="0">
    <w:p w14:paraId="59A04F97" w14:textId="77777777" w:rsidR="0080578C" w:rsidRDefault="0080578C" w:rsidP="00604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1191939"/>
      <w:docPartObj>
        <w:docPartGallery w:val="Page Numbers (Bottom of Page)"/>
        <w:docPartUnique/>
      </w:docPartObj>
    </w:sdtPr>
    <w:sdtEndPr>
      <w:rPr>
        <w:noProof/>
      </w:rPr>
    </w:sdtEndPr>
    <w:sdtContent>
      <w:p w14:paraId="1F6C239C" w14:textId="77777777" w:rsidR="00DE2E5A" w:rsidRDefault="00DE2E5A">
        <w:pPr>
          <w:pStyle w:val="Footer"/>
          <w:jc w:val="right"/>
        </w:pPr>
        <w:r w:rsidRPr="00604A49">
          <w:rPr>
            <w:sz w:val="20"/>
          </w:rPr>
          <w:fldChar w:fldCharType="begin"/>
        </w:r>
        <w:r w:rsidRPr="00604A49">
          <w:rPr>
            <w:sz w:val="20"/>
          </w:rPr>
          <w:instrText xml:space="preserve"> PAGE   \* MERGEFORMAT </w:instrText>
        </w:r>
        <w:r w:rsidRPr="00604A49">
          <w:rPr>
            <w:sz w:val="20"/>
          </w:rPr>
          <w:fldChar w:fldCharType="separate"/>
        </w:r>
        <w:r>
          <w:rPr>
            <w:noProof/>
            <w:sz w:val="20"/>
          </w:rPr>
          <w:t>10</w:t>
        </w:r>
        <w:r w:rsidRPr="00604A49">
          <w:rPr>
            <w:noProof/>
            <w:sz w:val="20"/>
          </w:rPr>
          <w:fldChar w:fldCharType="end"/>
        </w:r>
      </w:p>
    </w:sdtContent>
  </w:sdt>
  <w:p w14:paraId="129ECB60" w14:textId="77777777" w:rsidR="00DE2E5A" w:rsidRDefault="00DE2E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091AA" w14:textId="77777777" w:rsidR="0080578C" w:rsidRDefault="0080578C" w:rsidP="00604A49">
      <w:pPr>
        <w:spacing w:after="0" w:line="240" w:lineRule="auto"/>
      </w:pPr>
      <w:r>
        <w:separator/>
      </w:r>
    </w:p>
  </w:footnote>
  <w:footnote w:type="continuationSeparator" w:id="0">
    <w:p w14:paraId="237B864C" w14:textId="77777777" w:rsidR="0080578C" w:rsidRDefault="0080578C" w:rsidP="00604A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5200B"/>
    <w:multiLevelType w:val="hybridMultilevel"/>
    <w:tmpl w:val="129EA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C52B5"/>
    <w:multiLevelType w:val="hybridMultilevel"/>
    <w:tmpl w:val="72CA3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43698"/>
    <w:multiLevelType w:val="hybridMultilevel"/>
    <w:tmpl w:val="35847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9295F"/>
    <w:multiLevelType w:val="hybridMultilevel"/>
    <w:tmpl w:val="9438B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C7DE0"/>
    <w:multiLevelType w:val="hybridMultilevel"/>
    <w:tmpl w:val="B9A23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C45724"/>
    <w:multiLevelType w:val="hybridMultilevel"/>
    <w:tmpl w:val="8F9A7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07657F"/>
    <w:multiLevelType w:val="hybridMultilevel"/>
    <w:tmpl w:val="2800F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233022"/>
    <w:multiLevelType w:val="hybridMultilevel"/>
    <w:tmpl w:val="02028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E5568E"/>
    <w:multiLevelType w:val="hybridMultilevel"/>
    <w:tmpl w:val="FB2C8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C54B84"/>
    <w:multiLevelType w:val="hybridMultilevel"/>
    <w:tmpl w:val="E20C7526"/>
    <w:lvl w:ilvl="0" w:tplc="B2866556">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64340C"/>
    <w:multiLevelType w:val="hybridMultilevel"/>
    <w:tmpl w:val="EA543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52216D"/>
    <w:multiLevelType w:val="hybridMultilevel"/>
    <w:tmpl w:val="329E3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7B5C49"/>
    <w:multiLevelType w:val="hybridMultilevel"/>
    <w:tmpl w:val="3B208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7D01F6"/>
    <w:multiLevelType w:val="hybridMultilevel"/>
    <w:tmpl w:val="29F02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DF64FF"/>
    <w:multiLevelType w:val="hybridMultilevel"/>
    <w:tmpl w:val="5F500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973106"/>
    <w:multiLevelType w:val="hybridMultilevel"/>
    <w:tmpl w:val="D758D0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D13E05"/>
    <w:multiLevelType w:val="hybridMultilevel"/>
    <w:tmpl w:val="265E2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3"/>
  </w:num>
  <w:num w:numId="4">
    <w:abstractNumId w:val="3"/>
  </w:num>
  <w:num w:numId="5">
    <w:abstractNumId w:val="12"/>
  </w:num>
  <w:num w:numId="6">
    <w:abstractNumId w:val="15"/>
  </w:num>
  <w:num w:numId="7">
    <w:abstractNumId w:val="9"/>
  </w:num>
  <w:num w:numId="8">
    <w:abstractNumId w:val="0"/>
  </w:num>
  <w:num w:numId="9">
    <w:abstractNumId w:val="7"/>
  </w:num>
  <w:num w:numId="10">
    <w:abstractNumId w:val="16"/>
  </w:num>
  <w:num w:numId="11">
    <w:abstractNumId w:val="14"/>
  </w:num>
  <w:num w:numId="12">
    <w:abstractNumId w:val="11"/>
  </w:num>
  <w:num w:numId="13">
    <w:abstractNumId w:val="5"/>
  </w:num>
  <w:num w:numId="14">
    <w:abstractNumId w:val="8"/>
  </w:num>
  <w:num w:numId="15">
    <w:abstractNumId w:val="6"/>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BAE"/>
    <w:rsid w:val="000015AD"/>
    <w:rsid w:val="000036B7"/>
    <w:rsid w:val="0000386A"/>
    <w:rsid w:val="000154E1"/>
    <w:rsid w:val="000236FD"/>
    <w:rsid w:val="00023858"/>
    <w:rsid w:val="00026D55"/>
    <w:rsid w:val="00026EBA"/>
    <w:rsid w:val="00031AE6"/>
    <w:rsid w:val="00041064"/>
    <w:rsid w:val="000501CA"/>
    <w:rsid w:val="00051569"/>
    <w:rsid w:val="0005587E"/>
    <w:rsid w:val="00055C24"/>
    <w:rsid w:val="00060DC5"/>
    <w:rsid w:val="00064F01"/>
    <w:rsid w:val="00071C03"/>
    <w:rsid w:val="00080C4D"/>
    <w:rsid w:val="00082BC4"/>
    <w:rsid w:val="00097132"/>
    <w:rsid w:val="000A0E97"/>
    <w:rsid w:val="000A1A5F"/>
    <w:rsid w:val="000A2D50"/>
    <w:rsid w:val="000B1305"/>
    <w:rsid w:val="000B2904"/>
    <w:rsid w:val="000C02E3"/>
    <w:rsid w:val="000C27AB"/>
    <w:rsid w:val="000C2ACD"/>
    <w:rsid w:val="000C3641"/>
    <w:rsid w:val="000C3FFE"/>
    <w:rsid w:val="000D1CCA"/>
    <w:rsid w:val="000D7E35"/>
    <w:rsid w:val="000E16E9"/>
    <w:rsid w:val="000F244D"/>
    <w:rsid w:val="000F2D36"/>
    <w:rsid w:val="000F33F8"/>
    <w:rsid w:val="000F3E6A"/>
    <w:rsid w:val="000F3F4E"/>
    <w:rsid w:val="000F4796"/>
    <w:rsid w:val="000F5A9B"/>
    <w:rsid w:val="000F6336"/>
    <w:rsid w:val="000F7E17"/>
    <w:rsid w:val="00100189"/>
    <w:rsid w:val="00101227"/>
    <w:rsid w:val="0010428C"/>
    <w:rsid w:val="00105F41"/>
    <w:rsid w:val="001107D1"/>
    <w:rsid w:val="001109A6"/>
    <w:rsid w:val="00115074"/>
    <w:rsid w:val="001170D7"/>
    <w:rsid w:val="00123564"/>
    <w:rsid w:val="00123F21"/>
    <w:rsid w:val="00124CD6"/>
    <w:rsid w:val="00125C5A"/>
    <w:rsid w:val="00126081"/>
    <w:rsid w:val="00133ACE"/>
    <w:rsid w:val="00136A93"/>
    <w:rsid w:val="001413AF"/>
    <w:rsid w:val="001478E0"/>
    <w:rsid w:val="00161537"/>
    <w:rsid w:val="00165657"/>
    <w:rsid w:val="00165E8B"/>
    <w:rsid w:val="00167E2E"/>
    <w:rsid w:val="00171780"/>
    <w:rsid w:val="00176ABA"/>
    <w:rsid w:val="00182622"/>
    <w:rsid w:val="00183C92"/>
    <w:rsid w:val="00183E8F"/>
    <w:rsid w:val="0018794C"/>
    <w:rsid w:val="00187BA7"/>
    <w:rsid w:val="00187CC4"/>
    <w:rsid w:val="00191A3A"/>
    <w:rsid w:val="00193AA3"/>
    <w:rsid w:val="00193F85"/>
    <w:rsid w:val="0019758E"/>
    <w:rsid w:val="001A4134"/>
    <w:rsid w:val="001A4B16"/>
    <w:rsid w:val="001A5916"/>
    <w:rsid w:val="001B2F1E"/>
    <w:rsid w:val="001B6B99"/>
    <w:rsid w:val="001B7BF2"/>
    <w:rsid w:val="001B7E6C"/>
    <w:rsid w:val="001C2DD1"/>
    <w:rsid w:val="001D037C"/>
    <w:rsid w:val="001D1D13"/>
    <w:rsid w:val="001D541A"/>
    <w:rsid w:val="001E16DF"/>
    <w:rsid w:val="001E2C76"/>
    <w:rsid w:val="001E4985"/>
    <w:rsid w:val="001E5E70"/>
    <w:rsid w:val="002056AD"/>
    <w:rsid w:val="00211520"/>
    <w:rsid w:val="002119A6"/>
    <w:rsid w:val="00214D57"/>
    <w:rsid w:val="00224A1C"/>
    <w:rsid w:val="00224E76"/>
    <w:rsid w:val="00224FA7"/>
    <w:rsid w:val="00225FBE"/>
    <w:rsid w:val="00235B35"/>
    <w:rsid w:val="00237149"/>
    <w:rsid w:val="002375F0"/>
    <w:rsid w:val="00240C54"/>
    <w:rsid w:val="00242ABB"/>
    <w:rsid w:val="00242E55"/>
    <w:rsid w:val="00243A60"/>
    <w:rsid w:val="0024632F"/>
    <w:rsid w:val="00247ECE"/>
    <w:rsid w:val="002505AC"/>
    <w:rsid w:val="00256459"/>
    <w:rsid w:val="00260081"/>
    <w:rsid w:val="00260241"/>
    <w:rsid w:val="00263CA2"/>
    <w:rsid w:val="00272895"/>
    <w:rsid w:val="00272E3A"/>
    <w:rsid w:val="00275C3C"/>
    <w:rsid w:val="00276780"/>
    <w:rsid w:val="002809F3"/>
    <w:rsid w:val="00283044"/>
    <w:rsid w:val="00283596"/>
    <w:rsid w:val="00283A9B"/>
    <w:rsid w:val="00292867"/>
    <w:rsid w:val="00292DD2"/>
    <w:rsid w:val="00293E9F"/>
    <w:rsid w:val="00297D19"/>
    <w:rsid w:val="002B040B"/>
    <w:rsid w:val="002B0CED"/>
    <w:rsid w:val="002B1532"/>
    <w:rsid w:val="002B558A"/>
    <w:rsid w:val="002B57FF"/>
    <w:rsid w:val="002B5FAE"/>
    <w:rsid w:val="002B7E53"/>
    <w:rsid w:val="002C33F4"/>
    <w:rsid w:val="002C45C4"/>
    <w:rsid w:val="002C4F27"/>
    <w:rsid w:val="002C6E46"/>
    <w:rsid w:val="002D0F15"/>
    <w:rsid w:val="002D22DF"/>
    <w:rsid w:val="002E7199"/>
    <w:rsid w:val="002F45E4"/>
    <w:rsid w:val="00300E79"/>
    <w:rsid w:val="00301CDA"/>
    <w:rsid w:val="00302B2A"/>
    <w:rsid w:val="00302F85"/>
    <w:rsid w:val="003031E3"/>
    <w:rsid w:val="0030359B"/>
    <w:rsid w:val="003038C7"/>
    <w:rsid w:val="00307905"/>
    <w:rsid w:val="00311A83"/>
    <w:rsid w:val="003224BA"/>
    <w:rsid w:val="00322599"/>
    <w:rsid w:val="0032413A"/>
    <w:rsid w:val="00325235"/>
    <w:rsid w:val="003315B6"/>
    <w:rsid w:val="003325A2"/>
    <w:rsid w:val="00342BC3"/>
    <w:rsid w:val="00344387"/>
    <w:rsid w:val="00345837"/>
    <w:rsid w:val="00346583"/>
    <w:rsid w:val="0035672E"/>
    <w:rsid w:val="003662F5"/>
    <w:rsid w:val="003715B9"/>
    <w:rsid w:val="00373469"/>
    <w:rsid w:val="0037352A"/>
    <w:rsid w:val="00374E9D"/>
    <w:rsid w:val="00377FB3"/>
    <w:rsid w:val="00381407"/>
    <w:rsid w:val="0039187B"/>
    <w:rsid w:val="00397953"/>
    <w:rsid w:val="003A01A2"/>
    <w:rsid w:val="003A10A6"/>
    <w:rsid w:val="003A3307"/>
    <w:rsid w:val="003A418E"/>
    <w:rsid w:val="003A4908"/>
    <w:rsid w:val="003A4FFD"/>
    <w:rsid w:val="003A7B71"/>
    <w:rsid w:val="003A7FC8"/>
    <w:rsid w:val="003B368E"/>
    <w:rsid w:val="003B4ED3"/>
    <w:rsid w:val="003B7DC5"/>
    <w:rsid w:val="003C09FD"/>
    <w:rsid w:val="003C0B99"/>
    <w:rsid w:val="003C0CEB"/>
    <w:rsid w:val="003D0A3B"/>
    <w:rsid w:val="003D11C0"/>
    <w:rsid w:val="003D4D9B"/>
    <w:rsid w:val="003D5926"/>
    <w:rsid w:val="003F0171"/>
    <w:rsid w:val="003F3D4E"/>
    <w:rsid w:val="00405BA7"/>
    <w:rsid w:val="0040646D"/>
    <w:rsid w:val="004075AE"/>
    <w:rsid w:val="00410AD1"/>
    <w:rsid w:val="00412111"/>
    <w:rsid w:val="00413741"/>
    <w:rsid w:val="00413D97"/>
    <w:rsid w:val="004140A9"/>
    <w:rsid w:val="004140BC"/>
    <w:rsid w:val="004161CF"/>
    <w:rsid w:val="00417EF5"/>
    <w:rsid w:val="0042100C"/>
    <w:rsid w:val="00425ED3"/>
    <w:rsid w:val="00426DCB"/>
    <w:rsid w:val="00426FD3"/>
    <w:rsid w:val="00445270"/>
    <w:rsid w:val="00446313"/>
    <w:rsid w:val="004563CF"/>
    <w:rsid w:val="00456F22"/>
    <w:rsid w:val="004603E6"/>
    <w:rsid w:val="00464D1F"/>
    <w:rsid w:val="00467319"/>
    <w:rsid w:val="00477D7C"/>
    <w:rsid w:val="0048067B"/>
    <w:rsid w:val="00485CE5"/>
    <w:rsid w:val="0048702E"/>
    <w:rsid w:val="00487955"/>
    <w:rsid w:val="00493426"/>
    <w:rsid w:val="00495E41"/>
    <w:rsid w:val="004A2692"/>
    <w:rsid w:val="004A2DCB"/>
    <w:rsid w:val="004A4875"/>
    <w:rsid w:val="004A5D80"/>
    <w:rsid w:val="004A6448"/>
    <w:rsid w:val="004B2F6D"/>
    <w:rsid w:val="004B67DC"/>
    <w:rsid w:val="004C0075"/>
    <w:rsid w:val="004C0170"/>
    <w:rsid w:val="004C07E9"/>
    <w:rsid w:val="004C1406"/>
    <w:rsid w:val="004C290E"/>
    <w:rsid w:val="004C57E3"/>
    <w:rsid w:val="004C6C15"/>
    <w:rsid w:val="004D4010"/>
    <w:rsid w:val="004D4D2A"/>
    <w:rsid w:val="004D65BF"/>
    <w:rsid w:val="004F1797"/>
    <w:rsid w:val="004F1D98"/>
    <w:rsid w:val="004F514C"/>
    <w:rsid w:val="004F54C6"/>
    <w:rsid w:val="004F5F55"/>
    <w:rsid w:val="00500619"/>
    <w:rsid w:val="00502FC0"/>
    <w:rsid w:val="005046CE"/>
    <w:rsid w:val="00507DE9"/>
    <w:rsid w:val="005109A7"/>
    <w:rsid w:val="00512FE8"/>
    <w:rsid w:val="00520DDB"/>
    <w:rsid w:val="0052259E"/>
    <w:rsid w:val="00523DF1"/>
    <w:rsid w:val="00527367"/>
    <w:rsid w:val="00531DF0"/>
    <w:rsid w:val="00534117"/>
    <w:rsid w:val="0054151E"/>
    <w:rsid w:val="0054442B"/>
    <w:rsid w:val="005539FE"/>
    <w:rsid w:val="00553FB4"/>
    <w:rsid w:val="005602ED"/>
    <w:rsid w:val="005603B9"/>
    <w:rsid w:val="005728F2"/>
    <w:rsid w:val="005740E3"/>
    <w:rsid w:val="00582032"/>
    <w:rsid w:val="0058212D"/>
    <w:rsid w:val="005839CD"/>
    <w:rsid w:val="005843D1"/>
    <w:rsid w:val="00584F02"/>
    <w:rsid w:val="005865D5"/>
    <w:rsid w:val="00593009"/>
    <w:rsid w:val="00594DD6"/>
    <w:rsid w:val="0059659D"/>
    <w:rsid w:val="00596BFC"/>
    <w:rsid w:val="00597DFB"/>
    <w:rsid w:val="005A05C7"/>
    <w:rsid w:val="005A08D6"/>
    <w:rsid w:val="005A24D0"/>
    <w:rsid w:val="005A4995"/>
    <w:rsid w:val="005A54CE"/>
    <w:rsid w:val="005A63D1"/>
    <w:rsid w:val="005A7651"/>
    <w:rsid w:val="005B3514"/>
    <w:rsid w:val="005B44DA"/>
    <w:rsid w:val="005B5BA1"/>
    <w:rsid w:val="005B5CEC"/>
    <w:rsid w:val="005B75FC"/>
    <w:rsid w:val="005B7FEE"/>
    <w:rsid w:val="005C06D4"/>
    <w:rsid w:val="005C1133"/>
    <w:rsid w:val="005C4F32"/>
    <w:rsid w:val="005D1F29"/>
    <w:rsid w:val="005D24F4"/>
    <w:rsid w:val="005D44D9"/>
    <w:rsid w:val="005D601B"/>
    <w:rsid w:val="005D7CD0"/>
    <w:rsid w:val="005E4011"/>
    <w:rsid w:val="005E5EF2"/>
    <w:rsid w:val="005E5FEF"/>
    <w:rsid w:val="005F0200"/>
    <w:rsid w:val="005F4C1A"/>
    <w:rsid w:val="006024F1"/>
    <w:rsid w:val="006027ED"/>
    <w:rsid w:val="0060300D"/>
    <w:rsid w:val="0060442A"/>
    <w:rsid w:val="00604A49"/>
    <w:rsid w:val="00607C01"/>
    <w:rsid w:val="0061512B"/>
    <w:rsid w:val="00626EAC"/>
    <w:rsid w:val="006309E1"/>
    <w:rsid w:val="006329E6"/>
    <w:rsid w:val="00640DD6"/>
    <w:rsid w:val="006459EB"/>
    <w:rsid w:val="00647B56"/>
    <w:rsid w:val="00647C23"/>
    <w:rsid w:val="00650BB3"/>
    <w:rsid w:val="00651B62"/>
    <w:rsid w:val="00662144"/>
    <w:rsid w:val="00671306"/>
    <w:rsid w:val="00674EB7"/>
    <w:rsid w:val="00676298"/>
    <w:rsid w:val="0068608E"/>
    <w:rsid w:val="00694444"/>
    <w:rsid w:val="00694FD6"/>
    <w:rsid w:val="0069571D"/>
    <w:rsid w:val="006965DB"/>
    <w:rsid w:val="006A13F4"/>
    <w:rsid w:val="006A2281"/>
    <w:rsid w:val="006A5D78"/>
    <w:rsid w:val="006B085B"/>
    <w:rsid w:val="006C5163"/>
    <w:rsid w:val="006C576D"/>
    <w:rsid w:val="006C7233"/>
    <w:rsid w:val="006D240E"/>
    <w:rsid w:val="006D42DC"/>
    <w:rsid w:val="006D7077"/>
    <w:rsid w:val="006E361E"/>
    <w:rsid w:val="006E760C"/>
    <w:rsid w:val="006F5761"/>
    <w:rsid w:val="007004A5"/>
    <w:rsid w:val="00701344"/>
    <w:rsid w:val="0070566E"/>
    <w:rsid w:val="00707FC3"/>
    <w:rsid w:val="0071041F"/>
    <w:rsid w:val="00714147"/>
    <w:rsid w:val="00715C63"/>
    <w:rsid w:val="0071658C"/>
    <w:rsid w:val="00725D92"/>
    <w:rsid w:val="00747AC4"/>
    <w:rsid w:val="007554C3"/>
    <w:rsid w:val="0075566E"/>
    <w:rsid w:val="0075620B"/>
    <w:rsid w:val="00756B3E"/>
    <w:rsid w:val="00756DF7"/>
    <w:rsid w:val="007631D0"/>
    <w:rsid w:val="0076326B"/>
    <w:rsid w:val="00771DFD"/>
    <w:rsid w:val="007730FA"/>
    <w:rsid w:val="00773CBC"/>
    <w:rsid w:val="00780DE0"/>
    <w:rsid w:val="007822DE"/>
    <w:rsid w:val="00782B3C"/>
    <w:rsid w:val="00790D4E"/>
    <w:rsid w:val="007970F8"/>
    <w:rsid w:val="007A546D"/>
    <w:rsid w:val="007A74CE"/>
    <w:rsid w:val="007B1B2C"/>
    <w:rsid w:val="007C1770"/>
    <w:rsid w:val="007C3950"/>
    <w:rsid w:val="007D219F"/>
    <w:rsid w:val="007D22C2"/>
    <w:rsid w:val="007D6B5C"/>
    <w:rsid w:val="007E2428"/>
    <w:rsid w:val="007E5803"/>
    <w:rsid w:val="007E619D"/>
    <w:rsid w:val="007F0045"/>
    <w:rsid w:val="007F1A32"/>
    <w:rsid w:val="007F477D"/>
    <w:rsid w:val="0080075E"/>
    <w:rsid w:val="00800D16"/>
    <w:rsid w:val="008020D3"/>
    <w:rsid w:val="00804D47"/>
    <w:rsid w:val="0080578C"/>
    <w:rsid w:val="00811423"/>
    <w:rsid w:val="00816507"/>
    <w:rsid w:val="00816D50"/>
    <w:rsid w:val="00817C9D"/>
    <w:rsid w:val="00822861"/>
    <w:rsid w:val="00825B1A"/>
    <w:rsid w:val="00826CAB"/>
    <w:rsid w:val="00827222"/>
    <w:rsid w:val="0083094C"/>
    <w:rsid w:val="00834680"/>
    <w:rsid w:val="00834926"/>
    <w:rsid w:val="0084033C"/>
    <w:rsid w:val="00840C29"/>
    <w:rsid w:val="00841EB6"/>
    <w:rsid w:val="008431A3"/>
    <w:rsid w:val="0084794C"/>
    <w:rsid w:val="00853518"/>
    <w:rsid w:val="00856BAE"/>
    <w:rsid w:val="00861458"/>
    <w:rsid w:val="008655AE"/>
    <w:rsid w:val="0086764C"/>
    <w:rsid w:val="00870318"/>
    <w:rsid w:val="008771D8"/>
    <w:rsid w:val="00880E5C"/>
    <w:rsid w:val="00883170"/>
    <w:rsid w:val="00884842"/>
    <w:rsid w:val="00885812"/>
    <w:rsid w:val="008858C0"/>
    <w:rsid w:val="00885E60"/>
    <w:rsid w:val="00886D41"/>
    <w:rsid w:val="0089136E"/>
    <w:rsid w:val="00893960"/>
    <w:rsid w:val="008952F0"/>
    <w:rsid w:val="00895770"/>
    <w:rsid w:val="0089596E"/>
    <w:rsid w:val="00896CC9"/>
    <w:rsid w:val="008A0D94"/>
    <w:rsid w:val="008A1269"/>
    <w:rsid w:val="008A60EF"/>
    <w:rsid w:val="008A73C7"/>
    <w:rsid w:val="008A79F5"/>
    <w:rsid w:val="008A7E1A"/>
    <w:rsid w:val="008B4F0C"/>
    <w:rsid w:val="008B5C97"/>
    <w:rsid w:val="008C031C"/>
    <w:rsid w:val="008C06CD"/>
    <w:rsid w:val="008C11F8"/>
    <w:rsid w:val="008D1980"/>
    <w:rsid w:val="008D3C36"/>
    <w:rsid w:val="008D3FBE"/>
    <w:rsid w:val="008D5D61"/>
    <w:rsid w:val="008D6BE1"/>
    <w:rsid w:val="008E1787"/>
    <w:rsid w:val="008E6C46"/>
    <w:rsid w:val="00905A3B"/>
    <w:rsid w:val="009063BB"/>
    <w:rsid w:val="00912137"/>
    <w:rsid w:val="009122E8"/>
    <w:rsid w:val="0092284F"/>
    <w:rsid w:val="0093044F"/>
    <w:rsid w:val="00935665"/>
    <w:rsid w:val="00941468"/>
    <w:rsid w:val="00941987"/>
    <w:rsid w:val="00943DD7"/>
    <w:rsid w:val="009448E8"/>
    <w:rsid w:val="00945E51"/>
    <w:rsid w:val="00946EAE"/>
    <w:rsid w:val="0096711D"/>
    <w:rsid w:val="00967160"/>
    <w:rsid w:val="00967512"/>
    <w:rsid w:val="00967E64"/>
    <w:rsid w:val="00970E67"/>
    <w:rsid w:val="0097679E"/>
    <w:rsid w:val="00980176"/>
    <w:rsid w:val="009806F9"/>
    <w:rsid w:val="009826EF"/>
    <w:rsid w:val="0098300B"/>
    <w:rsid w:val="00983A14"/>
    <w:rsid w:val="00986D14"/>
    <w:rsid w:val="0099068F"/>
    <w:rsid w:val="00990A6E"/>
    <w:rsid w:val="00992223"/>
    <w:rsid w:val="009959C3"/>
    <w:rsid w:val="00997240"/>
    <w:rsid w:val="009A3540"/>
    <w:rsid w:val="009A5CBB"/>
    <w:rsid w:val="009A6245"/>
    <w:rsid w:val="009A662F"/>
    <w:rsid w:val="009A6768"/>
    <w:rsid w:val="009A7C6D"/>
    <w:rsid w:val="009B07B9"/>
    <w:rsid w:val="009B3BDD"/>
    <w:rsid w:val="009B7F25"/>
    <w:rsid w:val="009C0B6E"/>
    <w:rsid w:val="009C27C2"/>
    <w:rsid w:val="009C2BAF"/>
    <w:rsid w:val="009C3B43"/>
    <w:rsid w:val="009D2F23"/>
    <w:rsid w:val="009D451A"/>
    <w:rsid w:val="009D75B1"/>
    <w:rsid w:val="009E2259"/>
    <w:rsid w:val="009E711C"/>
    <w:rsid w:val="009F09A6"/>
    <w:rsid w:val="00A02F3A"/>
    <w:rsid w:val="00A03450"/>
    <w:rsid w:val="00A108CD"/>
    <w:rsid w:val="00A10943"/>
    <w:rsid w:val="00A14DCF"/>
    <w:rsid w:val="00A16F34"/>
    <w:rsid w:val="00A170D4"/>
    <w:rsid w:val="00A252CB"/>
    <w:rsid w:val="00A2543F"/>
    <w:rsid w:val="00A26B73"/>
    <w:rsid w:val="00A344E6"/>
    <w:rsid w:val="00A41CD2"/>
    <w:rsid w:val="00A43864"/>
    <w:rsid w:val="00A442E5"/>
    <w:rsid w:val="00A46545"/>
    <w:rsid w:val="00A5285C"/>
    <w:rsid w:val="00A61544"/>
    <w:rsid w:val="00A65BC3"/>
    <w:rsid w:val="00A67123"/>
    <w:rsid w:val="00A676D6"/>
    <w:rsid w:val="00A827E2"/>
    <w:rsid w:val="00A91099"/>
    <w:rsid w:val="00A91523"/>
    <w:rsid w:val="00A9320C"/>
    <w:rsid w:val="00AA2BEA"/>
    <w:rsid w:val="00AA5E99"/>
    <w:rsid w:val="00AA6DFA"/>
    <w:rsid w:val="00AB6054"/>
    <w:rsid w:val="00AB7B8A"/>
    <w:rsid w:val="00AC0349"/>
    <w:rsid w:val="00AC1ECD"/>
    <w:rsid w:val="00AC4BE2"/>
    <w:rsid w:val="00AC4C09"/>
    <w:rsid w:val="00AD2BB8"/>
    <w:rsid w:val="00AD4C11"/>
    <w:rsid w:val="00AD5C10"/>
    <w:rsid w:val="00AE0756"/>
    <w:rsid w:val="00AE094D"/>
    <w:rsid w:val="00AE5FF1"/>
    <w:rsid w:val="00AF4872"/>
    <w:rsid w:val="00AF7D97"/>
    <w:rsid w:val="00B0148F"/>
    <w:rsid w:val="00B04D58"/>
    <w:rsid w:val="00B07545"/>
    <w:rsid w:val="00B119E9"/>
    <w:rsid w:val="00B12E83"/>
    <w:rsid w:val="00B1348E"/>
    <w:rsid w:val="00B16746"/>
    <w:rsid w:val="00B16C33"/>
    <w:rsid w:val="00B17C1C"/>
    <w:rsid w:val="00B2112C"/>
    <w:rsid w:val="00B30BE7"/>
    <w:rsid w:val="00B329D1"/>
    <w:rsid w:val="00B35DA5"/>
    <w:rsid w:val="00B373FB"/>
    <w:rsid w:val="00B419FF"/>
    <w:rsid w:val="00B41D12"/>
    <w:rsid w:val="00B456C7"/>
    <w:rsid w:val="00B4659C"/>
    <w:rsid w:val="00B4772D"/>
    <w:rsid w:val="00B515A3"/>
    <w:rsid w:val="00B528DA"/>
    <w:rsid w:val="00B54F04"/>
    <w:rsid w:val="00B57CD9"/>
    <w:rsid w:val="00B64303"/>
    <w:rsid w:val="00B6482E"/>
    <w:rsid w:val="00B64EAA"/>
    <w:rsid w:val="00B72489"/>
    <w:rsid w:val="00B72E84"/>
    <w:rsid w:val="00B73AFA"/>
    <w:rsid w:val="00B7562B"/>
    <w:rsid w:val="00B91543"/>
    <w:rsid w:val="00BA5749"/>
    <w:rsid w:val="00BB3E2A"/>
    <w:rsid w:val="00BB7574"/>
    <w:rsid w:val="00BC16EB"/>
    <w:rsid w:val="00BC1A9C"/>
    <w:rsid w:val="00BC4324"/>
    <w:rsid w:val="00BC5069"/>
    <w:rsid w:val="00BC7D31"/>
    <w:rsid w:val="00BD0AE0"/>
    <w:rsid w:val="00BD57E9"/>
    <w:rsid w:val="00BE125F"/>
    <w:rsid w:val="00BE159C"/>
    <w:rsid w:val="00BE4357"/>
    <w:rsid w:val="00BE59E5"/>
    <w:rsid w:val="00BF215F"/>
    <w:rsid w:val="00BF2DD6"/>
    <w:rsid w:val="00BF37B1"/>
    <w:rsid w:val="00C05D87"/>
    <w:rsid w:val="00C072BE"/>
    <w:rsid w:val="00C10837"/>
    <w:rsid w:val="00C12222"/>
    <w:rsid w:val="00C23466"/>
    <w:rsid w:val="00C279C6"/>
    <w:rsid w:val="00C31D78"/>
    <w:rsid w:val="00C408BB"/>
    <w:rsid w:val="00C4298D"/>
    <w:rsid w:val="00C449B1"/>
    <w:rsid w:val="00C451FC"/>
    <w:rsid w:val="00C522A7"/>
    <w:rsid w:val="00C5235D"/>
    <w:rsid w:val="00C57D15"/>
    <w:rsid w:val="00C63F1B"/>
    <w:rsid w:val="00C6428C"/>
    <w:rsid w:val="00C64E22"/>
    <w:rsid w:val="00C7010D"/>
    <w:rsid w:val="00C708DF"/>
    <w:rsid w:val="00C74E76"/>
    <w:rsid w:val="00C81DFF"/>
    <w:rsid w:val="00C820F3"/>
    <w:rsid w:val="00CA088A"/>
    <w:rsid w:val="00CA1895"/>
    <w:rsid w:val="00CA7C87"/>
    <w:rsid w:val="00CB022D"/>
    <w:rsid w:val="00CB1D0B"/>
    <w:rsid w:val="00CB3DD4"/>
    <w:rsid w:val="00CB4C42"/>
    <w:rsid w:val="00CB52F3"/>
    <w:rsid w:val="00CB7A1A"/>
    <w:rsid w:val="00CC05C4"/>
    <w:rsid w:val="00CD0F0C"/>
    <w:rsid w:val="00CD13D5"/>
    <w:rsid w:val="00CD1D99"/>
    <w:rsid w:val="00CD5D7D"/>
    <w:rsid w:val="00CE16F4"/>
    <w:rsid w:val="00CE19DC"/>
    <w:rsid w:val="00CE7A87"/>
    <w:rsid w:val="00CF1D65"/>
    <w:rsid w:val="00CF2924"/>
    <w:rsid w:val="00CF3798"/>
    <w:rsid w:val="00CF7947"/>
    <w:rsid w:val="00D0040F"/>
    <w:rsid w:val="00D01C33"/>
    <w:rsid w:val="00D02C41"/>
    <w:rsid w:val="00D03E39"/>
    <w:rsid w:val="00D056A7"/>
    <w:rsid w:val="00D065AD"/>
    <w:rsid w:val="00D06DC9"/>
    <w:rsid w:val="00D11258"/>
    <w:rsid w:val="00D14F32"/>
    <w:rsid w:val="00D17BC7"/>
    <w:rsid w:val="00D23FDC"/>
    <w:rsid w:val="00D2422E"/>
    <w:rsid w:val="00D25CBF"/>
    <w:rsid w:val="00D26B7A"/>
    <w:rsid w:val="00D305BD"/>
    <w:rsid w:val="00D31443"/>
    <w:rsid w:val="00D32DCF"/>
    <w:rsid w:val="00D37197"/>
    <w:rsid w:val="00D402B1"/>
    <w:rsid w:val="00D41EC4"/>
    <w:rsid w:val="00D45FD0"/>
    <w:rsid w:val="00D47BB9"/>
    <w:rsid w:val="00D50BBD"/>
    <w:rsid w:val="00D60466"/>
    <w:rsid w:val="00D61F46"/>
    <w:rsid w:val="00D62A9A"/>
    <w:rsid w:val="00D666CF"/>
    <w:rsid w:val="00D706AA"/>
    <w:rsid w:val="00D773B6"/>
    <w:rsid w:val="00D83731"/>
    <w:rsid w:val="00D84C7A"/>
    <w:rsid w:val="00D870E6"/>
    <w:rsid w:val="00D90A7D"/>
    <w:rsid w:val="00DA67C0"/>
    <w:rsid w:val="00DB3286"/>
    <w:rsid w:val="00DB6782"/>
    <w:rsid w:val="00DB6C2C"/>
    <w:rsid w:val="00DC0091"/>
    <w:rsid w:val="00DC1021"/>
    <w:rsid w:val="00DC53F8"/>
    <w:rsid w:val="00DC576D"/>
    <w:rsid w:val="00DD1778"/>
    <w:rsid w:val="00DE0FB4"/>
    <w:rsid w:val="00DE1065"/>
    <w:rsid w:val="00DE2E5A"/>
    <w:rsid w:val="00DE312C"/>
    <w:rsid w:val="00DE7253"/>
    <w:rsid w:val="00DE79C3"/>
    <w:rsid w:val="00DF1B74"/>
    <w:rsid w:val="00DF1E5F"/>
    <w:rsid w:val="00DF3EF1"/>
    <w:rsid w:val="00DF616D"/>
    <w:rsid w:val="00DF61CA"/>
    <w:rsid w:val="00DF6C7F"/>
    <w:rsid w:val="00E015C5"/>
    <w:rsid w:val="00E04E09"/>
    <w:rsid w:val="00E173ED"/>
    <w:rsid w:val="00E17491"/>
    <w:rsid w:val="00E20981"/>
    <w:rsid w:val="00E233C1"/>
    <w:rsid w:val="00E26161"/>
    <w:rsid w:val="00E31174"/>
    <w:rsid w:val="00E324F5"/>
    <w:rsid w:val="00E33F1C"/>
    <w:rsid w:val="00E3729A"/>
    <w:rsid w:val="00E420DC"/>
    <w:rsid w:val="00E42B5E"/>
    <w:rsid w:val="00E4473A"/>
    <w:rsid w:val="00E5053B"/>
    <w:rsid w:val="00E53347"/>
    <w:rsid w:val="00E55992"/>
    <w:rsid w:val="00E55A10"/>
    <w:rsid w:val="00E56BE0"/>
    <w:rsid w:val="00E76B62"/>
    <w:rsid w:val="00E8067D"/>
    <w:rsid w:val="00E82229"/>
    <w:rsid w:val="00E83D50"/>
    <w:rsid w:val="00E84C80"/>
    <w:rsid w:val="00E84F97"/>
    <w:rsid w:val="00E9206E"/>
    <w:rsid w:val="00E9471F"/>
    <w:rsid w:val="00E977E3"/>
    <w:rsid w:val="00EA0CC4"/>
    <w:rsid w:val="00EA3B24"/>
    <w:rsid w:val="00EA5B06"/>
    <w:rsid w:val="00EA7959"/>
    <w:rsid w:val="00EA7E74"/>
    <w:rsid w:val="00EB3993"/>
    <w:rsid w:val="00EC40C8"/>
    <w:rsid w:val="00EC4C84"/>
    <w:rsid w:val="00ED015C"/>
    <w:rsid w:val="00ED01D0"/>
    <w:rsid w:val="00ED2578"/>
    <w:rsid w:val="00ED694D"/>
    <w:rsid w:val="00ED7662"/>
    <w:rsid w:val="00EE0517"/>
    <w:rsid w:val="00EE2154"/>
    <w:rsid w:val="00EE6ED9"/>
    <w:rsid w:val="00EE78AD"/>
    <w:rsid w:val="00EF33D3"/>
    <w:rsid w:val="00EF5786"/>
    <w:rsid w:val="00F01B27"/>
    <w:rsid w:val="00F02BED"/>
    <w:rsid w:val="00F0521D"/>
    <w:rsid w:val="00F114C8"/>
    <w:rsid w:val="00F116AC"/>
    <w:rsid w:val="00F12044"/>
    <w:rsid w:val="00F13297"/>
    <w:rsid w:val="00F31F0C"/>
    <w:rsid w:val="00F418A6"/>
    <w:rsid w:val="00F4236D"/>
    <w:rsid w:val="00F52E08"/>
    <w:rsid w:val="00F541B1"/>
    <w:rsid w:val="00F60599"/>
    <w:rsid w:val="00F60B9A"/>
    <w:rsid w:val="00F63770"/>
    <w:rsid w:val="00F63D4A"/>
    <w:rsid w:val="00F63E46"/>
    <w:rsid w:val="00F66E52"/>
    <w:rsid w:val="00F738D4"/>
    <w:rsid w:val="00F77E22"/>
    <w:rsid w:val="00F831BE"/>
    <w:rsid w:val="00F96836"/>
    <w:rsid w:val="00FA0B70"/>
    <w:rsid w:val="00FA15F7"/>
    <w:rsid w:val="00FA1E7A"/>
    <w:rsid w:val="00FA3214"/>
    <w:rsid w:val="00FA5791"/>
    <w:rsid w:val="00FA7F1D"/>
    <w:rsid w:val="00FB3714"/>
    <w:rsid w:val="00FB3D38"/>
    <w:rsid w:val="00FC2625"/>
    <w:rsid w:val="00FC3B41"/>
    <w:rsid w:val="00FD24E9"/>
    <w:rsid w:val="00FD2F8E"/>
    <w:rsid w:val="00FD632A"/>
    <w:rsid w:val="00FE0236"/>
    <w:rsid w:val="00FE1C26"/>
    <w:rsid w:val="00FE2CC2"/>
    <w:rsid w:val="00FE3B18"/>
    <w:rsid w:val="00FE3EE9"/>
    <w:rsid w:val="00FE5553"/>
    <w:rsid w:val="00FF0D6A"/>
    <w:rsid w:val="00FF4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6F8D4"/>
  <w15:docId w15:val="{1B49AC99-89FB-464A-951E-96D8A1D07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B3DD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DD7"/>
    <w:pPr>
      <w:ind w:left="720"/>
      <w:contextualSpacing/>
    </w:pPr>
  </w:style>
  <w:style w:type="paragraph" w:styleId="Header">
    <w:name w:val="header"/>
    <w:basedOn w:val="Normal"/>
    <w:link w:val="HeaderChar"/>
    <w:uiPriority w:val="99"/>
    <w:unhideWhenUsed/>
    <w:rsid w:val="00604A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4A49"/>
  </w:style>
  <w:style w:type="paragraph" w:styleId="Footer">
    <w:name w:val="footer"/>
    <w:basedOn w:val="Normal"/>
    <w:link w:val="FooterChar"/>
    <w:uiPriority w:val="99"/>
    <w:unhideWhenUsed/>
    <w:rsid w:val="00604A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A49"/>
  </w:style>
  <w:style w:type="character" w:styleId="CommentReference">
    <w:name w:val="annotation reference"/>
    <w:basedOn w:val="DefaultParagraphFont"/>
    <w:uiPriority w:val="99"/>
    <w:semiHidden/>
    <w:unhideWhenUsed/>
    <w:rsid w:val="00EE78AD"/>
    <w:rPr>
      <w:sz w:val="16"/>
      <w:szCs w:val="16"/>
    </w:rPr>
  </w:style>
  <w:style w:type="paragraph" w:styleId="CommentText">
    <w:name w:val="annotation text"/>
    <w:basedOn w:val="Normal"/>
    <w:link w:val="CommentTextChar"/>
    <w:uiPriority w:val="99"/>
    <w:semiHidden/>
    <w:unhideWhenUsed/>
    <w:rsid w:val="00EE78AD"/>
    <w:pPr>
      <w:spacing w:line="240" w:lineRule="auto"/>
    </w:pPr>
    <w:rPr>
      <w:sz w:val="20"/>
      <w:szCs w:val="20"/>
    </w:rPr>
  </w:style>
  <w:style w:type="character" w:customStyle="1" w:styleId="CommentTextChar">
    <w:name w:val="Comment Text Char"/>
    <w:basedOn w:val="DefaultParagraphFont"/>
    <w:link w:val="CommentText"/>
    <w:uiPriority w:val="99"/>
    <w:semiHidden/>
    <w:rsid w:val="00EE78AD"/>
    <w:rPr>
      <w:sz w:val="20"/>
      <w:szCs w:val="20"/>
    </w:rPr>
  </w:style>
  <w:style w:type="paragraph" w:styleId="CommentSubject">
    <w:name w:val="annotation subject"/>
    <w:basedOn w:val="CommentText"/>
    <w:next w:val="CommentText"/>
    <w:link w:val="CommentSubjectChar"/>
    <w:uiPriority w:val="99"/>
    <w:semiHidden/>
    <w:unhideWhenUsed/>
    <w:rsid w:val="00EE78AD"/>
    <w:rPr>
      <w:b/>
      <w:bCs/>
    </w:rPr>
  </w:style>
  <w:style w:type="character" w:customStyle="1" w:styleId="CommentSubjectChar">
    <w:name w:val="Comment Subject Char"/>
    <w:basedOn w:val="CommentTextChar"/>
    <w:link w:val="CommentSubject"/>
    <w:uiPriority w:val="99"/>
    <w:semiHidden/>
    <w:rsid w:val="00EE78AD"/>
    <w:rPr>
      <w:b/>
      <w:bCs/>
      <w:sz w:val="20"/>
      <w:szCs w:val="20"/>
    </w:rPr>
  </w:style>
  <w:style w:type="paragraph" w:styleId="BalloonText">
    <w:name w:val="Balloon Text"/>
    <w:basedOn w:val="Normal"/>
    <w:link w:val="BalloonTextChar"/>
    <w:uiPriority w:val="99"/>
    <w:semiHidden/>
    <w:unhideWhenUsed/>
    <w:rsid w:val="00EE78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8AD"/>
    <w:rPr>
      <w:rFonts w:ascii="Segoe UI" w:hAnsi="Segoe UI" w:cs="Segoe UI"/>
      <w:sz w:val="18"/>
      <w:szCs w:val="18"/>
    </w:rPr>
  </w:style>
  <w:style w:type="character" w:styleId="Hyperlink">
    <w:name w:val="Hyperlink"/>
    <w:basedOn w:val="DefaultParagraphFont"/>
    <w:uiPriority w:val="99"/>
    <w:unhideWhenUsed/>
    <w:rsid w:val="00B515A3"/>
    <w:rPr>
      <w:color w:val="0563C1" w:themeColor="hyperlink"/>
      <w:u w:val="single"/>
    </w:rPr>
  </w:style>
  <w:style w:type="character" w:customStyle="1" w:styleId="UnresolvedMention1">
    <w:name w:val="Unresolved Mention1"/>
    <w:basedOn w:val="DefaultParagraphFont"/>
    <w:uiPriority w:val="99"/>
    <w:semiHidden/>
    <w:unhideWhenUsed/>
    <w:rsid w:val="00B515A3"/>
    <w:rPr>
      <w:color w:val="605E5C"/>
      <w:shd w:val="clear" w:color="auto" w:fill="E1DFDD"/>
    </w:rPr>
  </w:style>
  <w:style w:type="table" w:styleId="TableGrid">
    <w:name w:val="Table Grid"/>
    <w:basedOn w:val="TableNormal"/>
    <w:uiPriority w:val="39"/>
    <w:rsid w:val="004A5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rsid w:val="00D32DCF"/>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desc">
    <w:name w:val="desc"/>
    <w:basedOn w:val="Normal"/>
    <w:rsid w:val="00D32DCF"/>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apple-converted-space">
    <w:name w:val="apple-converted-space"/>
    <w:basedOn w:val="DefaultParagraphFont"/>
    <w:rsid w:val="00D32DCF"/>
  </w:style>
  <w:style w:type="paragraph" w:customStyle="1" w:styleId="details">
    <w:name w:val="details"/>
    <w:basedOn w:val="Normal"/>
    <w:rsid w:val="00D32DCF"/>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jrnl">
    <w:name w:val="jrnl"/>
    <w:basedOn w:val="DefaultParagraphFont"/>
    <w:rsid w:val="00D32DCF"/>
  </w:style>
  <w:style w:type="character" w:customStyle="1" w:styleId="Heading1Char">
    <w:name w:val="Heading 1 Char"/>
    <w:basedOn w:val="DefaultParagraphFont"/>
    <w:link w:val="Heading1"/>
    <w:uiPriority w:val="9"/>
    <w:rsid w:val="00CB3DD4"/>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615419">
      <w:bodyDiv w:val="1"/>
      <w:marLeft w:val="0"/>
      <w:marRight w:val="0"/>
      <w:marTop w:val="0"/>
      <w:marBottom w:val="0"/>
      <w:divBdr>
        <w:top w:val="none" w:sz="0" w:space="0" w:color="auto"/>
        <w:left w:val="none" w:sz="0" w:space="0" w:color="auto"/>
        <w:bottom w:val="none" w:sz="0" w:space="0" w:color="auto"/>
        <w:right w:val="none" w:sz="0" w:space="0" w:color="auto"/>
      </w:divBdr>
    </w:div>
    <w:div w:id="513302902">
      <w:bodyDiv w:val="1"/>
      <w:marLeft w:val="0"/>
      <w:marRight w:val="0"/>
      <w:marTop w:val="0"/>
      <w:marBottom w:val="0"/>
      <w:divBdr>
        <w:top w:val="none" w:sz="0" w:space="0" w:color="auto"/>
        <w:left w:val="none" w:sz="0" w:space="0" w:color="auto"/>
        <w:bottom w:val="none" w:sz="0" w:space="0" w:color="auto"/>
        <w:right w:val="none" w:sz="0" w:space="0" w:color="auto"/>
      </w:divBdr>
    </w:div>
    <w:div w:id="765198839">
      <w:bodyDiv w:val="1"/>
      <w:marLeft w:val="0"/>
      <w:marRight w:val="0"/>
      <w:marTop w:val="0"/>
      <w:marBottom w:val="0"/>
      <w:divBdr>
        <w:top w:val="none" w:sz="0" w:space="0" w:color="auto"/>
        <w:left w:val="none" w:sz="0" w:space="0" w:color="auto"/>
        <w:bottom w:val="none" w:sz="0" w:space="0" w:color="auto"/>
        <w:right w:val="none" w:sz="0" w:space="0" w:color="auto"/>
      </w:divBdr>
    </w:div>
    <w:div w:id="771364374">
      <w:bodyDiv w:val="1"/>
      <w:marLeft w:val="0"/>
      <w:marRight w:val="0"/>
      <w:marTop w:val="0"/>
      <w:marBottom w:val="0"/>
      <w:divBdr>
        <w:top w:val="none" w:sz="0" w:space="0" w:color="auto"/>
        <w:left w:val="none" w:sz="0" w:space="0" w:color="auto"/>
        <w:bottom w:val="none" w:sz="0" w:space="0" w:color="auto"/>
        <w:right w:val="none" w:sz="0" w:space="0" w:color="auto"/>
      </w:divBdr>
    </w:div>
    <w:div w:id="926381872">
      <w:bodyDiv w:val="1"/>
      <w:marLeft w:val="0"/>
      <w:marRight w:val="0"/>
      <w:marTop w:val="0"/>
      <w:marBottom w:val="0"/>
      <w:divBdr>
        <w:top w:val="none" w:sz="0" w:space="0" w:color="auto"/>
        <w:left w:val="none" w:sz="0" w:space="0" w:color="auto"/>
        <w:bottom w:val="none" w:sz="0" w:space="0" w:color="auto"/>
        <w:right w:val="none" w:sz="0" w:space="0" w:color="auto"/>
      </w:divBdr>
    </w:div>
    <w:div w:id="972371573">
      <w:bodyDiv w:val="1"/>
      <w:marLeft w:val="0"/>
      <w:marRight w:val="0"/>
      <w:marTop w:val="0"/>
      <w:marBottom w:val="0"/>
      <w:divBdr>
        <w:top w:val="none" w:sz="0" w:space="0" w:color="auto"/>
        <w:left w:val="none" w:sz="0" w:space="0" w:color="auto"/>
        <w:bottom w:val="none" w:sz="0" w:space="0" w:color="auto"/>
        <w:right w:val="none" w:sz="0" w:space="0" w:color="auto"/>
      </w:divBdr>
    </w:div>
    <w:div w:id="1274939699">
      <w:bodyDiv w:val="1"/>
      <w:marLeft w:val="0"/>
      <w:marRight w:val="0"/>
      <w:marTop w:val="0"/>
      <w:marBottom w:val="0"/>
      <w:divBdr>
        <w:top w:val="none" w:sz="0" w:space="0" w:color="auto"/>
        <w:left w:val="none" w:sz="0" w:space="0" w:color="auto"/>
        <w:bottom w:val="none" w:sz="0" w:space="0" w:color="auto"/>
        <w:right w:val="none" w:sz="0" w:space="0" w:color="auto"/>
      </w:divBdr>
    </w:div>
    <w:div w:id="1328288287">
      <w:bodyDiv w:val="1"/>
      <w:marLeft w:val="0"/>
      <w:marRight w:val="0"/>
      <w:marTop w:val="0"/>
      <w:marBottom w:val="0"/>
      <w:divBdr>
        <w:top w:val="none" w:sz="0" w:space="0" w:color="auto"/>
        <w:left w:val="none" w:sz="0" w:space="0" w:color="auto"/>
        <w:bottom w:val="none" w:sz="0" w:space="0" w:color="auto"/>
        <w:right w:val="none" w:sz="0" w:space="0" w:color="auto"/>
      </w:divBdr>
    </w:div>
    <w:div w:id="1392920115">
      <w:bodyDiv w:val="1"/>
      <w:marLeft w:val="0"/>
      <w:marRight w:val="0"/>
      <w:marTop w:val="0"/>
      <w:marBottom w:val="0"/>
      <w:divBdr>
        <w:top w:val="none" w:sz="0" w:space="0" w:color="auto"/>
        <w:left w:val="none" w:sz="0" w:space="0" w:color="auto"/>
        <w:bottom w:val="none" w:sz="0" w:space="0" w:color="auto"/>
        <w:right w:val="none" w:sz="0" w:space="0" w:color="auto"/>
      </w:divBdr>
    </w:div>
    <w:div w:id="1735813357">
      <w:bodyDiv w:val="1"/>
      <w:marLeft w:val="0"/>
      <w:marRight w:val="0"/>
      <w:marTop w:val="0"/>
      <w:marBottom w:val="0"/>
      <w:divBdr>
        <w:top w:val="none" w:sz="0" w:space="0" w:color="auto"/>
        <w:left w:val="none" w:sz="0" w:space="0" w:color="auto"/>
        <w:bottom w:val="none" w:sz="0" w:space="0" w:color="auto"/>
        <w:right w:val="none" w:sz="0" w:space="0" w:color="auto"/>
      </w:divBdr>
      <w:divsChild>
        <w:div w:id="2108651521">
          <w:marLeft w:val="0"/>
          <w:marRight w:val="0"/>
          <w:marTop w:val="34"/>
          <w:marBottom w:val="34"/>
          <w:divBdr>
            <w:top w:val="none" w:sz="0" w:space="0" w:color="auto"/>
            <w:left w:val="none" w:sz="0" w:space="0" w:color="auto"/>
            <w:bottom w:val="none" w:sz="0" w:space="0" w:color="auto"/>
            <w:right w:val="none" w:sz="0" w:space="0" w:color="auto"/>
          </w:divBdr>
        </w:div>
      </w:divsChild>
    </w:div>
    <w:div w:id="1939025081">
      <w:bodyDiv w:val="1"/>
      <w:marLeft w:val="0"/>
      <w:marRight w:val="0"/>
      <w:marTop w:val="0"/>
      <w:marBottom w:val="0"/>
      <w:divBdr>
        <w:top w:val="none" w:sz="0" w:space="0" w:color="auto"/>
        <w:left w:val="none" w:sz="0" w:space="0" w:color="auto"/>
        <w:bottom w:val="none" w:sz="0" w:space="0" w:color="auto"/>
        <w:right w:val="none" w:sz="0" w:space="0" w:color="auto"/>
      </w:divBdr>
    </w:div>
    <w:div w:id="2080862232">
      <w:bodyDiv w:val="1"/>
      <w:marLeft w:val="0"/>
      <w:marRight w:val="0"/>
      <w:marTop w:val="0"/>
      <w:marBottom w:val="0"/>
      <w:divBdr>
        <w:top w:val="none" w:sz="0" w:space="0" w:color="auto"/>
        <w:left w:val="none" w:sz="0" w:space="0" w:color="auto"/>
        <w:bottom w:val="none" w:sz="0" w:space="0" w:color="auto"/>
        <w:right w:val="none" w:sz="0" w:space="0" w:color="auto"/>
      </w:divBdr>
    </w:div>
    <w:div w:id="210988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institution/University_Hospitals_Bristol_NHS_Foundation_Trust/department/Bristol_Haematology_and_Oncology_Centre" TargetMode="External"/><Relationship Id="rId3" Type="http://schemas.openxmlformats.org/officeDocument/2006/relationships/settings" Target="settings.xml"/><Relationship Id="rId7" Type="http://schemas.openxmlformats.org/officeDocument/2006/relationships/hyperlink" Target="https://www.researchgate.net/institution/University_Hospitals_Bristol_NHS_Foundation_Tru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25</Pages>
  <Words>6197</Words>
  <Characters>35329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NHS Wirral</Company>
  <LinksUpToDate>false</LinksUpToDate>
  <CharactersWithSpaces>41444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Preston</dc:creator>
  <cp:lastModifiedBy>Janis Troup</cp:lastModifiedBy>
  <cp:revision>3</cp:revision>
  <cp:lastPrinted>2020-03-04T17:15:00Z</cp:lastPrinted>
  <dcterms:created xsi:type="dcterms:W3CDTF">2020-07-13T11:18:00Z</dcterms:created>
  <dcterms:modified xsi:type="dcterms:W3CDTF">2020-07-13T11:47:00Z</dcterms:modified>
</cp:coreProperties>
</file>