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594" w:rsidRDefault="00E51594" w:rsidP="00E51594">
      <w:pPr>
        <w:tabs>
          <w:tab w:val="left" w:pos="2964"/>
        </w:tabs>
        <w:spacing w:line="276" w:lineRule="auto"/>
        <w:rPr>
          <w:rFonts w:cs="Times New Roman"/>
          <w:b/>
          <w:caps/>
          <w:sz w:val="32"/>
          <w:szCs w:val="32"/>
          <w:lang w:val="en-US"/>
        </w:rPr>
      </w:pPr>
      <w:r>
        <w:rPr>
          <w:rFonts w:cs="Times New Roman"/>
          <w:b/>
          <w:caps/>
          <w:sz w:val="32"/>
          <w:szCs w:val="32"/>
          <w:lang w:val="en-US"/>
        </w:rPr>
        <w:t xml:space="preserve">Teaching Science using socioscientific inquiry-based learning: uk pre-service teachers’ perspectives </w:t>
      </w:r>
    </w:p>
    <w:p w:rsidR="00A61B9A" w:rsidRPr="00BB7712" w:rsidRDefault="00A61B9A" w:rsidP="00A61B9A">
      <w:pPr>
        <w:tabs>
          <w:tab w:val="left" w:pos="2964"/>
        </w:tabs>
        <w:spacing w:after="0"/>
        <w:jc w:val="center"/>
        <w:rPr>
          <w:rFonts w:cs="Times New Roman"/>
          <w:i/>
          <w:sz w:val="28"/>
          <w:szCs w:val="24"/>
          <w:lang w:val="en-US"/>
        </w:rPr>
      </w:pPr>
      <w:r>
        <w:rPr>
          <w:rFonts w:cs="Times New Roman"/>
          <w:i/>
          <w:sz w:val="28"/>
          <w:szCs w:val="24"/>
          <w:lang w:val="en-US"/>
        </w:rPr>
        <w:t>Andri Christodoulou</w:t>
      </w:r>
      <w:r w:rsidRPr="00BB7712">
        <w:rPr>
          <w:rFonts w:cs="Times New Roman"/>
          <w:i/>
          <w:sz w:val="28"/>
          <w:szCs w:val="24"/>
          <w:lang w:val="en-US"/>
        </w:rPr>
        <w:t>¹</w:t>
      </w:r>
      <w:r>
        <w:rPr>
          <w:rFonts w:cs="Times New Roman"/>
          <w:i/>
          <w:sz w:val="28"/>
          <w:szCs w:val="24"/>
          <w:lang w:val="en-US"/>
        </w:rPr>
        <w:t>, Ruth Amos</w:t>
      </w:r>
      <w:r w:rsidRPr="00FB0590">
        <w:rPr>
          <w:rFonts w:cs="Times New Roman"/>
          <w:i/>
          <w:sz w:val="28"/>
          <w:szCs w:val="24"/>
          <w:vertAlign w:val="superscript"/>
          <w:lang w:val="en-US"/>
        </w:rPr>
        <w:t>2</w:t>
      </w:r>
      <w:r w:rsidRPr="007417E4">
        <w:rPr>
          <w:rFonts w:cs="Times New Roman"/>
          <w:i/>
          <w:sz w:val="28"/>
          <w:szCs w:val="24"/>
          <w:lang w:val="en-US"/>
        </w:rPr>
        <w:t xml:space="preserve">, </w:t>
      </w:r>
      <w:r>
        <w:rPr>
          <w:rFonts w:cs="Times New Roman"/>
          <w:i/>
          <w:sz w:val="28"/>
          <w:szCs w:val="24"/>
          <w:lang w:val="en-US"/>
        </w:rPr>
        <w:t>Marcus Grace</w:t>
      </w:r>
      <w:r w:rsidRPr="00BB7712">
        <w:rPr>
          <w:rFonts w:cs="Times New Roman"/>
          <w:i/>
          <w:sz w:val="28"/>
          <w:szCs w:val="24"/>
          <w:lang w:val="en-US"/>
        </w:rPr>
        <w:t>¹</w:t>
      </w:r>
      <w:r>
        <w:rPr>
          <w:rFonts w:cs="Times New Roman"/>
          <w:i/>
          <w:sz w:val="28"/>
          <w:szCs w:val="24"/>
          <w:lang w:val="en-US"/>
        </w:rPr>
        <w:t xml:space="preserve"> an</w:t>
      </w:r>
      <w:r w:rsidRPr="00BB7712">
        <w:rPr>
          <w:rFonts w:cs="Times New Roman"/>
          <w:i/>
          <w:sz w:val="28"/>
          <w:szCs w:val="24"/>
          <w:lang w:val="en-US"/>
        </w:rPr>
        <w:t xml:space="preserve">d </w:t>
      </w:r>
      <w:r>
        <w:rPr>
          <w:rFonts w:cs="Times New Roman"/>
          <w:i/>
          <w:sz w:val="28"/>
          <w:szCs w:val="24"/>
          <w:lang w:val="en-US"/>
        </w:rPr>
        <w:t>Ralph Levinson</w:t>
      </w:r>
      <w:r w:rsidRPr="00FB0590">
        <w:rPr>
          <w:rFonts w:cs="Times New Roman"/>
          <w:i/>
          <w:sz w:val="28"/>
          <w:szCs w:val="24"/>
          <w:vertAlign w:val="superscript"/>
          <w:lang w:val="en-US"/>
        </w:rPr>
        <w:t>2</w:t>
      </w:r>
    </w:p>
    <w:p w:rsidR="00A61B9A" w:rsidRDefault="00A61B9A" w:rsidP="00A61B9A">
      <w:pPr>
        <w:tabs>
          <w:tab w:val="left" w:pos="2964"/>
        </w:tabs>
        <w:spacing w:after="0"/>
        <w:jc w:val="center"/>
        <w:rPr>
          <w:rFonts w:cs="Times New Roman"/>
          <w:szCs w:val="24"/>
          <w:lang w:val="en-US"/>
        </w:rPr>
      </w:pPr>
      <w:r w:rsidRPr="00C34301">
        <w:rPr>
          <w:rFonts w:cs="Times New Roman"/>
          <w:szCs w:val="24"/>
          <w:vertAlign w:val="superscript"/>
          <w:lang w:val="en-US"/>
        </w:rPr>
        <w:t>1</w:t>
      </w:r>
      <w:r>
        <w:rPr>
          <w:rFonts w:cs="Times New Roman"/>
          <w:szCs w:val="24"/>
          <w:lang w:val="en-US"/>
        </w:rPr>
        <w:t>University of Southampton, Southampton, UK</w:t>
      </w:r>
    </w:p>
    <w:p w:rsidR="00A61B9A" w:rsidRDefault="00A61B9A" w:rsidP="00A61B9A">
      <w:pPr>
        <w:tabs>
          <w:tab w:val="left" w:pos="2964"/>
        </w:tabs>
        <w:spacing w:after="0"/>
        <w:jc w:val="center"/>
        <w:rPr>
          <w:rFonts w:cs="Times New Roman"/>
          <w:szCs w:val="24"/>
          <w:lang w:val="en-US"/>
        </w:rPr>
      </w:pPr>
      <w:r>
        <w:rPr>
          <w:rFonts w:cs="Times New Roman"/>
          <w:szCs w:val="24"/>
          <w:vertAlign w:val="superscript"/>
          <w:lang w:val="en-US"/>
        </w:rPr>
        <w:t xml:space="preserve">2 </w:t>
      </w:r>
      <w:r>
        <w:rPr>
          <w:rFonts w:cs="Times New Roman"/>
          <w:szCs w:val="24"/>
          <w:lang w:val="en-US"/>
        </w:rPr>
        <w:t>University College London, Institute of Education, London, UK</w:t>
      </w:r>
    </w:p>
    <w:p w:rsidR="00BB7712" w:rsidRDefault="003F1DC7" w:rsidP="00A61B9A">
      <w:pPr>
        <w:tabs>
          <w:tab w:val="left" w:pos="2964"/>
        </w:tabs>
        <w:spacing w:before="120" w:line="276" w:lineRule="auto"/>
        <w:jc w:val="both"/>
        <w:rPr>
          <w:rFonts w:cs="Times New Roman"/>
          <w:i/>
          <w:szCs w:val="24"/>
          <w:lang w:val="en-US"/>
        </w:rPr>
      </w:pPr>
      <w:r>
        <w:rPr>
          <w:rFonts w:cs="Times New Roman"/>
          <w:i/>
          <w:szCs w:val="24"/>
          <w:lang w:val="en-US"/>
        </w:rPr>
        <w:t>In recent times there has been</w:t>
      </w:r>
      <w:r w:rsidR="006A2628" w:rsidRPr="006A2628">
        <w:rPr>
          <w:rFonts w:cs="Times New Roman"/>
          <w:i/>
          <w:szCs w:val="24"/>
          <w:lang w:val="en-US"/>
        </w:rPr>
        <w:t xml:space="preserve"> increased interest in how issues surrounding science for and with society are </w:t>
      </w:r>
      <w:proofErr w:type="spellStart"/>
      <w:r w:rsidR="006A2628" w:rsidRPr="006A2628">
        <w:rPr>
          <w:rFonts w:cs="Times New Roman"/>
          <w:i/>
          <w:szCs w:val="24"/>
          <w:lang w:val="en-US"/>
        </w:rPr>
        <w:t>conceptualised</w:t>
      </w:r>
      <w:proofErr w:type="spellEnd"/>
      <w:r w:rsidR="006A2628" w:rsidRPr="006A2628">
        <w:rPr>
          <w:rFonts w:cs="Times New Roman"/>
          <w:i/>
          <w:szCs w:val="24"/>
          <w:lang w:val="en-US"/>
        </w:rPr>
        <w:t>, presented and discussed in science classrooms in a way that promotes active citizenship. One approach to enabling this way of teaching science is through socio-scientifi</w:t>
      </w:r>
      <w:r w:rsidR="00B94A95">
        <w:rPr>
          <w:rFonts w:cs="Times New Roman"/>
          <w:i/>
          <w:szCs w:val="24"/>
          <w:lang w:val="en-US"/>
        </w:rPr>
        <w:t>c inquiry-based learning</w:t>
      </w:r>
      <w:r w:rsidR="000C1FAE">
        <w:rPr>
          <w:rFonts w:cs="Times New Roman"/>
          <w:i/>
          <w:szCs w:val="24"/>
          <w:lang w:val="en-US"/>
        </w:rPr>
        <w:t xml:space="preserve"> (SSIBL)</w:t>
      </w:r>
      <w:r w:rsidR="006A2628" w:rsidRPr="006A2628">
        <w:rPr>
          <w:rFonts w:cs="Times New Roman"/>
          <w:i/>
          <w:szCs w:val="24"/>
          <w:lang w:val="en-US"/>
        </w:rPr>
        <w:t>.</w:t>
      </w:r>
      <w:r w:rsidR="00B94A95">
        <w:rPr>
          <w:rFonts w:cs="Times New Roman"/>
          <w:i/>
          <w:szCs w:val="24"/>
          <w:lang w:val="en-US"/>
        </w:rPr>
        <w:t xml:space="preserve"> </w:t>
      </w:r>
      <w:r w:rsidR="006A2628" w:rsidRPr="006A2628">
        <w:rPr>
          <w:rFonts w:cs="Times New Roman"/>
          <w:i/>
          <w:szCs w:val="24"/>
          <w:lang w:val="en-US"/>
        </w:rPr>
        <w:t>To promote</w:t>
      </w:r>
      <w:r w:rsidR="000C1FAE">
        <w:rPr>
          <w:rFonts w:cs="Times New Roman"/>
          <w:i/>
          <w:szCs w:val="24"/>
          <w:lang w:val="en-US"/>
        </w:rPr>
        <w:t xml:space="preserve"> the teaching of science using</w:t>
      </w:r>
      <w:r w:rsidR="006A2628" w:rsidRPr="006A2628">
        <w:rPr>
          <w:rFonts w:cs="Times New Roman"/>
          <w:i/>
          <w:szCs w:val="24"/>
          <w:lang w:val="en-US"/>
        </w:rPr>
        <w:t xml:space="preserve"> SSIBL, teachers need to have the appropriate teaching repertoire. Our aim was to work with secondary science pre-service teachers</w:t>
      </w:r>
      <w:r w:rsidR="000C1FAE">
        <w:rPr>
          <w:rFonts w:cs="Times New Roman"/>
          <w:i/>
          <w:szCs w:val="24"/>
          <w:lang w:val="en-US"/>
        </w:rPr>
        <w:t xml:space="preserve"> (PSTs)</w:t>
      </w:r>
      <w:r w:rsidR="006A2628" w:rsidRPr="006A2628">
        <w:rPr>
          <w:rFonts w:cs="Times New Roman"/>
          <w:i/>
          <w:szCs w:val="24"/>
          <w:lang w:val="en-US"/>
        </w:rPr>
        <w:t xml:space="preserve"> to explore the process of developing teaching skills consistent with SSIBL during their training year. Using a quali</w:t>
      </w:r>
      <w:r w:rsidR="000C1FAE">
        <w:rPr>
          <w:rFonts w:cs="Times New Roman"/>
          <w:i/>
          <w:szCs w:val="24"/>
          <w:lang w:val="en-US"/>
        </w:rPr>
        <w:t>tative, interpretative design we report on PSTs’</w:t>
      </w:r>
      <w:r w:rsidR="006A2628" w:rsidRPr="006A2628">
        <w:rPr>
          <w:rFonts w:cs="Times New Roman"/>
          <w:i/>
          <w:szCs w:val="24"/>
          <w:lang w:val="en-US"/>
        </w:rPr>
        <w:t xml:space="preserve"> in-depth views and perspective</w:t>
      </w:r>
      <w:r w:rsidR="00B94A95">
        <w:rPr>
          <w:rFonts w:cs="Times New Roman"/>
          <w:i/>
          <w:szCs w:val="24"/>
          <w:lang w:val="en-US"/>
        </w:rPr>
        <w:t xml:space="preserve">s of </w:t>
      </w:r>
      <w:r w:rsidR="000C1FAE">
        <w:rPr>
          <w:rFonts w:cs="Times New Roman"/>
          <w:i/>
          <w:szCs w:val="24"/>
          <w:lang w:val="en-US"/>
        </w:rPr>
        <w:t>SSIBL</w:t>
      </w:r>
      <w:r w:rsidR="006A2628" w:rsidRPr="006A2628">
        <w:rPr>
          <w:rFonts w:cs="Times New Roman"/>
          <w:i/>
          <w:szCs w:val="24"/>
          <w:lang w:val="en-US"/>
        </w:rPr>
        <w:t>,</w:t>
      </w:r>
      <w:r w:rsidR="000C1FAE">
        <w:rPr>
          <w:rFonts w:cs="Times New Roman"/>
          <w:i/>
          <w:szCs w:val="24"/>
          <w:lang w:val="en-US"/>
        </w:rPr>
        <w:t xml:space="preserve"> and the main affordances and constrains created when attempti</w:t>
      </w:r>
      <w:r>
        <w:rPr>
          <w:rFonts w:cs="Times New Roman"/>
          <w:i/>
          <w:szCs w:val="24"/>
          <w:lang w:val="en-US"/>
        </w:rPr>
        <w:t>ng to teach</w:t>
      </w:r>
      <w:r w:rsidR="000C1FAE">
        <w:rPr>
          <w:rFonts w:cs="Times New Roman"/>
          <w:i/>
          <w:szCs w:val="24"/>
          <w:lang w:val="en-US"/>
        </w:rPr>
        <w:t xml:space="preserve"> science using SSIBL. </w:t>
      </w:r>
      <w:r w:rsidR="006A2628" w:rsidRPr="006A2628">
        <w:rPr>
          <w:rFonts w:cs="Times New Roman"/>
          <w:i/>
          <w:szCs w:val="24"/>
          <w:lang w:val="en-US"/>
        </w:rPr>
        <w:t>The research methods used include focus groups, interviews, lesson observations and evaluations, and field notes. Participants included 284 pre-service science teachers in two UK Hig</w:t>
      </w:r>
      <w:r w:rsidR="00B94A95">
        <w:rPr>
          <w:rFonts w:cs="Times New Roman"/>
          <w:i/>
          <w:szCs w:val="24"/>
          <w:lang w:val="en-US"/>
        </w:rPr>
        <w:t>her Education Institutions</w:t>
      </w:r>
      <w:r w:rsidR="007A5AFC">
        <w:rPr>
          <w:rFonts w:cs="Times New Roman"/>
          <w:i/>
          <w:szCs w:val="24"/>
          <w:lang w:val="en-US"/>
        </w:rPr>
        <w:t>, across two academic years</w:t>
      </w:r>
      <w:r w:rsidR="006A2628" w:rsidRPr="006A2628">
        <w:rPr>
          <w:rFonts w:cs="Times New Roman"/>
          <w:i/>
          <w:szCs w:val="24"/>
          <w:lang w:val="en-US"/>
        </w:rPr>
        <w:t>. Our findings suggest that PSTs viewed SSIBL as a valuable approach for increasing both student attainment and engagement, by providing alternative ways to the traditional ‘teaching-to-the-test’ approaches they had previously experienced either as students themselves</w:t>
      </w:r>
      <w:r>
        <w:rPr>
          <w:rFonts w:cs="Times New Roman"/>
          <w:i/>
          <w:szCs w:val="24"/>
          <w:lang w:val="en-US"/>
        </w:rPr>
        <w:t xml:space="preserve"> or as PSTs</w:t>
      </w:r>
      <w:r w:rsidR="006A2628" w:rsidRPr="006A2628">
        <w:rPr>
          <w:rFonts w:cs="Times New Roman"/>
          <w:i/>
          <w:szCs w:val="24"/>
          <w:lang w:val="en-US"/>
        </w:rPr>
        <w:t xml:space="preserve">. Although PSTs experienced challenges with implementing SSIBL, initially on aligning it with the curriculum and subsequently </w:t>
      </w:r>
      <w:proofErr w:type="spellStart"/>
      <w:r w:rsidR="006A2628" w:rsidRPr="006A2628">
        <w:rPr>
          <w:rFonts w:cs="Times New Roman"/>
          <w:i/>
          <w:szCs w:val="24"/>
          <w:lang w:val="en-US"/>
        </w:rPr>
        <w:t>organising</w:t>
      </w:r>
      <w:proofErr w:type="spellEnd"/>
      <w:r w:rsidR="006A2628" w:rsidRPr="006A2628">
        <w:rPr>
          <w:rFonts w:cs="Times New Roman"/>
          <w:i/>
          <w:szCs w:val="24"/>
          <w:lang w:val="en-US"/>
        </w:rPr>
        <w:t xml:space="preserve"> and managing the learning environment, they continued to value this approach. </w:t>
      </w:r>
      <w:r w:rsidR="00B94A95">
        <w:rPr>
          <w:rFonts w:cs="Times New Roman"/>
          <w:i/>
          <w:szCs w:val="24"/>
          <w:lang w:val="en-US"/>
        </w:rPr>
        <w:t xml:space="preserve">Implications for teacher education are discussed. </w:t>
      </w:r>
    </w:p>
    <w:p w:rsidR="00E229DF" w:rsidRDefault="00E229DF" w:rsidP="00E2434C">
      <w:pPr>
        <w:tabs>
          <w:tab w:val="left" w:pos="2964"/>
        </w:tabs>
        <w:spacing w:line="276" w:lineRule="auto"/>
        <w:rPr>
          <w:rFonts w:cs="Times New Roman"/>
          <w:szCs w:val="24"/>
          <w:lang w:val="en-US"/>
        </w:rPr>
      </w:pPr>
      <w:r w:rsidRPr="00BB7712">
        <w:rPr>
          <w:rFonts w:cs="Times New Roman"/>
          <w:i/>
          <w:szCs w:val="24"/>
          <w:lang w:val="en-US"/>
        </w:rPr>
        <w:t>Keywords</w:t>
      </w:r>
      <w:r w:rsidRPr="00BB7712">
        <w:rPr>
          <w:rFonts w:cs="Times New Roman"/>
          <w:szCs w:val="24"/>
          <w:lang w:val="en-US"/>
        </w:rPr>
        <w:t xml:space="preserve">: </w:t>
      </w:r>
      <w:r w:rsidR="00E2434C">
        <w:rPr>
          <w:rFonts w:cs="Times New Roman"/>
          <w:szCs w:val="24"/>
          <w:lang w:val="en-US"/>
        </w:rPr>
        <w:t>socio-scientific issues</w:t>
      </w:r>
      <w:r w:rsidR="006A2628">
        <w:rPr>
          <w:rFonts w:cs="Times New Roman"/>
          <w:szCs w:val="24"/>
          <w:lang w:val="en-US"/>
        </w:rPr>
        <w:t>; secondary science; pre-service teacher education</w:t>
      </w:r>
    </w:p>
    <w:p w:rsidR="006A2628" w:rsidRDefault="00B94A95" w:rsidP="00542902">
      <w:pPr>
        <w:pStyle w:val="FirstLevelSection"/>
        <w:spacing w:line="276" w:lineRule="auto"/>
      </w:pPr>
      <w:r>
        <w:t>Introduction And</w:t>
      </w:r>
      <w:r w:rsidR="006A2628" w:rsidRPr="006A2628">
        <w:t xml:space="preserve"> Rationale </w:t>
      </w:r>
    </w:p>
    <w:p w:rsidR="006A2628" w:rsidRPr="005E4EBB" w:rsidRDefault="003F1DC7" w:rsidP="00E51594">
      <w:pPr>
        <w:spacing w:line="276" w:lineRule="auto"/>
        <w:jc w:val="both"/>
        <w:rPr>
          <w:lang w:val="en-GB"/>
        </w:rPr>
      </w:pPr>
      <w:r>
        <w:rPr>
          <w:lang w:val="en-GB"/>
        </w:rPr>
        <w:t>In recent times there has been</w:t>
      </w:r>
      <w:r w:rsidR="006A2628" w:rsidRPr="005E4EBB">
        <w:rPr>
          <w:lang w:val="en-GB"/>
        </w:rPr>
        <w:t xml:space="preserve"> increased interest in how issues surrounding science and society are conceptualised, presented and discussed in science classrooms (</w:t>
      </w:r>
      <w:proofErr w:type="spellStart"/>
      <w:r w:rsidR="005E4EBB">
        <w:rPr>
          <w:lang w:val="en-GB"/>
        </w:rPr>
        <w:t>Zeidler</w:t>
      </w:r>
      <w:proofErr w:type="spellEnd"/>
      <w:r w:rsidR="005E4EBB">
        <w:rPr>
          <w:lang w:val="en-GB"/>
        </w:rPr>
        <w:t>, 2014</w:t>
      </w:r>
      <w:r w:rsidR="006A2628" w:rsidRPr="005E4EBB">
        <w:rPr>
          <w:lang w:val="en-GB"/>
        </w:rPr>
        <w:t xml:space="preserve">). One way of promoting this way of teaching </w:t>
      </w:r>
      <w:r w:rsidR="005E4EBB">
        <w:rPr>
          <w:lang w:val="en-GB"/>
        </w:rPr>
        <w:t xml:space="preserve">and learning science is through </w:t>
      </w:r>
      <w:bookmarkStart w:id="0" w:name="_GoBack"/>
      <w:bookmarkEnd w:id="0"/>
      <w:r w:rsidR="005E4EBB">
        <w:rPr>
          <w:lang w:val="en-GB"/>
        </w:rPr>
        <w:t>socio-scientific inquiry based learning (SSIBL), an approach that combines the</w:t>
      </w:r>
      <w:r w:rsidR="00B94A95">
        <w:rPr>
          <w:lang w:val="en-GB"/>
        </w:rPr>
        <w:t xml:space="preserve"> teaching </w:t>
      </w:r>
      <w:r w:rsidR="007C29E1">
        <w:rPr>
          <w:lang w:val="en-GB"/>
        </w:rPr>
        <w:t xml:space="preserve">of </w:t>
      </w:r>
      <w:r w:rsidR="00B94A95">
        <w:rPr>
          <w:lang w:val="en-GB"/>
        </w:rPr>
        <w:t xml:space="preserve">science using </w:t>
      </w:r>
      <w:r w:rsidR="005E4EBB">
        <w:rPr>
          <w:lang w:val="en-GB"/>
        </w:rPr>
        <w:t>socio-scientific issues</w:t>
      </w:r>
      <w:r w:rsidR="009D03AE">
        <w:rPr>
          <w:lang w:val="en-GB"/>
        </w:rPr>
        <w:t xml:space="preserve"> (SSI)</w:t>
      </w:r>
      <w:r w:rsidR="005E4EBB">
        <w:rPr>
          <w:lang w:val="en-GB"/>
        </w:rPr>
        <w:t xml:space="preserve"> with inquiry-based learning</w:t>
      </w:r>
      <w:r w:rsidR="009D03AE">
        <w:rPr>
          <w:lang w:val="en-GB"/>
        </w:rPr>
        <w:t xml:space="preserve"> (IBL)</w:t>
      </w:r>
      <w:r w:rsidR="005E4EBB">
        <w:rPr>
          <w:lang w:val="en-GB"/>
        </w:rPr>
        <w:t xml:space="preserve"> and citizenship education</w:t>
      </w:r>
      <w:r w:rsidR="009D03AE">
        <w:rPr>
          <w:lang w:val="en-GB"/>
        </w:rPr>
        <w:t xml:space="preserve"> (CE)</w:t>
      </w:r>
      <w:r w:rsidR="005E4EBB">
        <w:rPr>
          <w:lang w:val="en-GB"/>
        </w:rPr>
        <w:t xml:space="preserve"> as a way towards achieving increased understanding of responsible researc</w:t>
      </w:r>
      <w:r w:rsidR="005477D8">
        <w:rPr>
          <w:lang w:val="en-GB"/>
        </w:rPr>
        <w:t>h and innovation (RRI)</w:t>
      </w:r>
      <w:r w:rsidR="005E4EBB">
        <w:rPr>
          <w:lang w:val="en-GB"/>
        </w:rPr>
        <w:t xml:space="preserve"> (</w:t>
      </w:r>
      <w:r w:rsidR="00E2434C">
        <w:rPr>
          <w:lang w:val="en-GB"/>
        </w:rPr>
        <w:t>Levinson</w:t>
      </w:r>
      <w:r w:rsidR="009D03AE">
        <w:rPr>
          <w:lang w:val="en-GB"/>
        </w:rPr>
        <w:t xml:space="preserve">, </w:t>
      </w:r>
      <w:r w:rsidR="00AB4F9A">
        <w:rPr>
          <w:lang w:val="en-GB"/>
        </w:rPr>
        <w:t>in review</w:t>
      </w:r>
      <w:r w:rsidR="005E4EBB">
        <w:rPr>
          <w:lang w:val="en-GB"/>
        </w:rPr>
        <w:t>)</w:t>
      </w:r>
      <w:r w:rsidR="006A2628" w:rsidRPr="005E4EBB">
        <w:rPr>
          <w:lang w:val="en-GB"/>
        </w:rPr>
        <w:t xml:space="preserve">. </w:t>
      </w:r>
      <w:r w:rsidR="000C1FAE">
        <w:rPr>
          <w:lang w:val="en-GB"/>
        </w:rPr>
        <w:t>SSIBL can be operationalised in science education by</w:t>
      </w:r>
      <w:r w:rsidR="00B94A95">
        <w:rPr>
          <w:lang w:val="en-GB"/>
        </w:rPr>
        <w:t xml:space="preserve"> (a) contextualising topics into authentic scientific questions and areas for investigation, (b) enacting SSIBL practices using strategies such as mapping controversies of SSIs, deliberation and discussion, scaffolding inquiry and considering the nature of science, and (c) taking action as this </w:t>
      </w:r>
      <w:r w:rsidR="00B94A95" w:rsidRPr="00B94A95">
        <w:rPr>
          <w:lang w:val="en-GB"/>
        </w:rPr>
        <w:t>emerge</w:t>
      </w:r>
      <w:r w:rsidR="00B94A95">
        <w:rPr>
          <w:lang w:val="en-GB"/>
        </w:rPr>
        <w:t>s from students’</w:t>
      </w:r>
      <w:r w:rsidR="005477D8">
        <w:rPr>
          <w:lang w:val="en-GB"/>
        </w:rPr>
        <w:t xml:space="preserve"> inquiry. </w:t>
      </w:r>
      <w:r w:rsidR="006A2628" w:rsidRPr="005E4EBB">
        <w:rPr>
          <w:lang w:val="en-GB"/>
        </w:rPr>
        <w:t>Attempts to implement the principles of SSIBL n</w:t>
      </w:r>
      <w:r w:rsidR="007C29E1">
        <w:rPr>
          <w:lang w:val="en-GB"/>
        </w:rPr>
        <w:t>eed to take into account the</w:t>
      </w:r>
      <w:r w:rsidR="006A2628" w:rsidRPr="005E4EBB">
        <w:rPr>
          <w:lang w:val="en-GB"/>
        </w:rPr>
        <w:t xml:space="preserve"> extent</w:t>
      </w:r>
      <w:r w:rsidR="007C29E1">
        <w:rPr>
          <w:lang w:val="en-GB"/>
        </w:rPr>
        <w:t xml:space="preserve"> to which</w:t>
      </w:r>
      <w:r w:rsidR="006A2628" w:rsidRPr="005E4EBB">
        <w:rPr>
          <w:lang w:val="en-GB"/>
        </w:rPr>
        <w:t xml:space="preserve"> practising and pre-service teachers (PSTs) are willing and prepared to utilise SSIBL</w:t>
      </w:r>
      <w:r w:rsidR="007C29E1">
        <w:rPr>
          <w:lang w:val="en-GB"/>
        </w:rPr>
        <w:t>,</w:t>
      </w:r>
      <w:r w:rsidR="006A2628" w:rsidRPr="005E4EBB">
        <w:rPr>
          <w:lang w:val="en-GB"/>
        </w:rPr>
        <w:t xml:space="preserve"> and how they can be supported in doing so. </w:t>
      </w:r>
      <w:r w:rsidR="007D2D2D">
        <w:rPr>
          <w:lang w:val="en-GB"/>
        </w:rPr>
        <w:t xml:space="preserve">For instance, </w:t>
      </w:r>
      <w:r w:rsidR="006A2628" w:rsidRPr="007A5AFC">
        <w:rPr>
          <w:lang w:val="en-GB"/>
        </w:rPr>
        <w:t xml:space="preserve">Topcu et al. </w:t>
      </w:r>
      <w:r w:rsidR="006A2628" w:rsidRPr="0080772D">
        <w:rPr>
          <w:lang w:val="en-GB"/>
        </w:rPr>
        <w:t>(2010) report that when engaging in SSI scenarios on topics such as gene therapy and human cloning, PSTs’ reasoning and argu</w:t>
      </w:r>
      <w:r w:rsidR="007C29E1" w:rsidRPr="0080772D">
        <w:rPr>
          <w:lang w:val="en-GB"/>
        </w:rPr>
        <w:t>men</w:t>
      </w:r>
      <w:r w:rsidR="007C29E1">
        <w:rPr>
          <w:lang w:val="en-GB"/>
        </w:rPr>
        <w:t>tation during</w:t>
      </w:r>
      <w:r w:rsidR="006A2628" w:rsidRPr="005E4EBB">
        <w:rPr>
          <w:lang w:val="en-GB"/>
        </w:rPr>
        <w:t xml:space="preserve"> activities varied. </w:t>
      </w:r>
      <w:r w:rsidR="006A2628" w:rsidRPr="005E4EBB">
        <w:rPr>
          <w:rFonts w:cs="Arial"/>
          <w:bCs/>
          <w:lang w:val="en-GB"/>
        </w:rPr>
        <w:t>Our aim was to work with secondary science PSTs to explore the process of developing teaching skills consistent with SSIBL. T</w:t>
      </w:r>
      <w:r w:rsidR="00AB4F9A">
        <w:rPr>
          <w:rFonts w:cs="Arial"/>
          <w:bCs/>
          <w:lang w:val="en-GB"/>
        </w:rPr>
        <w:t xml:space="preserve">he research question posed is: </w:t>
      </w:r>
      <w:r w:rsidR="00AB4F9A" w:rsidRPr="00AB4F9A">
        <w:rPr>
          <w:rFonts w:cs="Arial"/>
          <w:bCs/>
          <w:i/>
          <w:iCs/>
          <w:lang w:val="en-GB"/>
        </w:rPr>
        <w:t xml:space="preserve">What are </w:t>
      </w:r>
      <w:r w:rsidR="0080772D" w:rsidRPr="00AB4F9A">
        <w:rPr>
          <w:rFonts w:cs="Arial"/>
          <w:bCs/>
          <w:i/>
          <w:iCs/>
          <w:lang w:val="en-GB"/>
        </w:rPr>
        <w:t>UK</w:t>
      </w:r>
      <w:r w:rsidR="0080772D">
        <w:rPr>
          <w:rFonts w:cs="Arial"/>
          <w:bCs/>
          <w:i/>
          <w:iCs/>
          <w:lang w:val="en-GB"/>
        </w:rPr>
        <w:t xml:space="preserve"> </w:t>
      </w:r>
      <w:r w:rsidR="00733340">
        <w:rPr>
          <w:rFonts w:cs="Arial"/>
          <w:bCs/>
          <w:i/>
          <w:iCs/>
          <w:lang w:val="en-GB"/>
        </w:rPr>
        <w:t xml:space="preserve">pre-service </w:t>
      </w:r>
      <w:r w:rsidR="007C29E1">
        <w:rPr>
          <w:rFonts w:cs="Arial"/>
          <w:bCs/>
          <w:i/>
          <w:iCs/>
          <w:lang w:val="en-GB"/>
        </w:rPr>
        <w:t xml:space="preserve">teachers’ </w:t>
      </w:r>
      <w:r w:rsidR="00AB4F9A">
        <w:rPr>
          <w:rFonts w:cs="Arial"/>
          <w:bCs/>
          <w:i/>
          <w:iCs/>
          <w:lang w:val="en-GB"/>
        </w:rPr>
        <w:t>perspectives on SSIBL and</w:t>
      </w:r>
      <w:r w:rsidR="009D1B26">
        <w:rPr>
          <w:rFonts w:cs="Arial"/>
          <w:bCs/>
          <w:i/>
          <w:iCs/>
          <w:lang w:val="en-GB"/>
        </w:rPr>
        <w:t xml:space="preserve"> on</w:t>
      </w:r>
      <w:r w:rsidR="00AB4F9A">
        <w:rPr>
          <w:rFonts w:cs="Arial"/>
          <w:bCs/>
          <w:i/>
          <w:iCs/>
          <w:lang w:val="en-GB"/>
        </w:rPr>
        <w:t xml:space="preserve"> its enactment as </w:t>
      </w:r>
      <w:r w:rsidR="00733340">
        <w:rPr>
          <w:rFonts w:cs="Arial"/>
          <w:bCs/>
          <w:i/>
          <w:iCs/>
          <w:lang w:val="en-GB"/>
        </w:rPr>
        <w:t>they learn to te</w:t>
      </w:r>
      <w:r w:rsidR="0080772D">
        <w:rPr>
          <w:rFonts w:cs="Arial"/>
          <w:bCs/>
          <w:i/>
          <w:iCs/>
          <w:lang w:val="en-GB"/>
        </w:rPr>
        <w:t>ach science</w:t>
      </w:r>
      <w:r w:rsidR="006A2628" w:rsidRPr="005E4EBB">
        <w:rPr>
          <w:rFonts w:cs="Arial"/>
          <w:bCs/>
          <w:i/>
          <w:iCs/>
          <w:lang w:val="en-GB"/>
        </w:rPr>
        <w:t>?</w:t>
      </w:r>
    </w:p>
    <w:p w:rsidR="006A2628" w:rsidRDefault="006A2628" w:rsidP="00A61B9A">
      <w:pPr>
        <w:pStyle w:val="FirstLevelSection"/>
        <w:spacing w:after="80" w:line="276" w:lineRule="auto"/>
      </w:pPr>
      <w:r w:rsidRPr="006A2628">
        <w:t>Methodology</w:t>
      </w:r>
    </w:p>
    <w:p w:rsidR="006A2628" w:rsidRPr="00510DA2" w:rsidRDefault="000C1FAE" w:rsidP="005477D8">
      <w:pPr>
        <w:spacing w:line="276" w:lineRule="auto"/>
        <w:jc w:val="both"/>
        <w:rPr>
          <w:rFonts w:cs="Times New Roman"/>
          <w:i/>
          <w:szCs w:val="24"/>
          <w:lang w:val="en-US"/>
        </w:rPr>
      </w:pPr>
      <w:r>
        <w:rPr>
          <w:lang w:val="en-US"/>
        </w:rPr>
        <w:t xml:space="preserve">Our study </w:t>
      </w:r>
      <w:proofErr w:type="spellStart"/>
      <w:r>
        <w:rPr>
          <w:lang w:val="en-US"/>
        </w:rPr>
        <w:t>utilises</w:t>
      </w:r>
      <w:proofErr w:type="spellEnd"/>
      <w:r>
        <w:rPr>
          <w:lang w:val="en-US"/>
        </w:rPr>
        <w:t xml:space="preserve"> a</w:t>
      </w:r>
      <w:r w:rsidR="006A2628" w:rsidRPr="006A2628">
        <w:rPr>
          <w:lang w:val="en-US"/>
        </w:rPr>
        <w:t xml:space="preserve"> qualitative, interpretative design, to capture in-depth views </w:t>
      </w:r>
      <w:r w:rsidR="00AC4740">
        <w:rPr>
          <w:lang w:val="en-US"/>
        </w:rPr>
        <w:t>of PSTs (Creswell, 2009</w:t>
      </w:r>
      <w:r w:rsidR="006A2628" w:rsidRPr="006A2628">
        <w:rPr>
          <w:lang w:val="en-US"/>
        </w:rPr>
        <w:t xml:space="preserve">) as they engage in professional development (PD) to develop SSIBL </w:t>
      </w:r>
      <w:r>
        <w:rPr>
          <w:lang w:val="en-US"/>
        </w:rPr>
        <w:t xml:space="preserve">teaching </w:t>
      </w:r>
      <w:r w:rsidR="006A2628" w:rsidRPr="006A2628">
        <w:rPr>
          <w:lang w:val="en-US"/>
        </w:rPr>
        <w:t>skills during their teacher-training year in two UK Higher Education Institutions (HEI</w:t>
      </w:r>
      <w:r w:rsidR="008469A7">
        <w:rPr>
          <w:lang w:val="en-US"/>
        </w:rPr>
        <w:t xml:space="preserve">). </w:t>
      </w:r>
      <w:r w:rsidR="008469A7" w:rsidRPr="008469A7">
        <w:rPr>
          <w:lang w:val="en-US"/>
        </w:rPr>
        <w:t xml:space="preserve">Bell and Gilbert (1996) </w:t>
      </w:r>
      <w:r w:rsidR="005477D8">
        <w:rPr>
          <w:lang w:val="en-US"/>
        </w:rPr>
        <w:t>argue</w:t>
      </w:r>
      <w:r w:rsidR="008469A7" w:rsidRPr="008469A7">
        <w:rPr>
          <w:lang w:val="en-US"/>
        </w:rPr>
        <w:t xml:space="preserve"> that for</w:t>
      </w:r>
      <w:r w:rsidR="005477D8">
        <w:rPr>
          <w:lang w:val="en-US"/>
        </w:rPr>
        <w:t xml:space="preserve"> PD to be effective it needs to be</w:t>
      </w:r>
      <w:r w:rsidR="008469A7" w:rsidRPr="008469A7">
        <w:rPr>
          <w:lang w:val="en-US"/>
        </w:rPr>
        <w:t xml:space="preserve"> (a) social/collaborative, with teachers sharing and exchanging views, (b) professional</w:t>
      </w:r>
      <w:r w:rsidR="005477D8">
        <w:rPr>
          <w:lang w:val="en-US"/>
        </w:rPr>
        <w:t>-based</w:t>
      </w:r>
      <w:r w:rsidR="008469A7" w:rsidRPr="008469A7">
        <w:rPr>
          <w:lang w:val="en-US"/>
        </w:rPr>
        <w:t xml:space="preserve">, </w:t>
      </w:r>
      <w:r w:rsidR="008469A7" w:rsidRPr="008469A7">
        <w:rPr>
          <w:lang w:val="en-US"/>
        </w:rPr>
        <w:lastRenderedPageBreak/>
        <w:t xml:space="preserve">where teachers develop their ideas of the area they are working on, and </w:t>
      </w:r>
      <w:r w:rsidR="005477D8">
        <w:rPr>
          <w:lang w:val="en-US"/>
        </w:rPr>
        <w:t>take action upon it, and</w:t>
      </w:r>
      <w:r w:rsidR="008469A7" w:rsidRPr="008469A7">
        <w:rPr>
          <w:lang w:val="en-US"/>
        </w:rPr>
        <w:t xml:space="preserve"> (c) personal, with teachers developing a positive stance towards the new learning.</w:t>
      </w:r>
      <w:r w:rsidR="006A2628" w:rsidRPr="006A2628">
        <w:rPr>
          <w:lang w:val="en-US"/>
        </w:rPr>
        <w:t xml:space="preserve"> </w:t>
      </w:r>
      <w:r>
        <w:rPr>
          <w:lang w:val="en-US"/>
        </w:rPr>
        <w:t>Based on</w:t>
      </w:r>
      <w:r w:rsidR="008469A7">
        <w:rPr>
          <w:lang w:val="en-US"/>
        </w:rPr>
        <w:t xml:space="preserve"> these principles </w:t>
      </w:r>
      <w:r w:rsidR="008469A7" w:rsidRPr="008469A7">
        <w:rPr>
          <w:rFonts w:cs="Times New Roman"/>
          <w:szCs w:val="24"/>
          <w:lang w:val="en-US"/>
        </w:rPr>
        <w:t xml:space="preserve">we designed a series of </w:t>
      </w:r>
      <w:r>
        <w:rPr>
          <w:rFonts w:cs="Times New Roman"/>
          <w:szCs w:val="24"/>
          <w:lang w:val="en-US"/>
        </w:rPr>
        <w:t>PD</w:t>
      </w:r>
      <w:r w:rsidR="008469A7" w:rsidRPr="008469A7">
        <w:rPr>
          <w:rFonts w:cs="Times New Roman"/>
          <w:szCs w:val="24"/>
          <w:lang w:val="en-US"/>
        </w:rPr>
        <w:t xml:space="preserve"> sessions</w:t>
      </w:r>
      <w:r w:rsidR="008469A7">
        <w:rPr>
          <w:rFonts w:cs="Times New Roman"/>
          <w:szCs w:val="24"/>
          <w:lang w:val="en-US"/>
        </w:rPr>
        <w:t xml:space="preserve"> as </w:t>
      </w:r>
      <w:r w:rsidR="005477D8">
        <w:rPr>
          <w:rFonts w:cs="Times New Roman"/>
          <w:szCs w:val="24"/>
          <w:lang w:val="en-US"/>
        </w:rPr>
        <w:t xml:space="preserve">part of the PSTs’ training year. This included session on SSIs and IBL and their place </w:t>
      </w:r>
      <w:r w:rsidR="005477D8" w:rsidRPr="005477D8">
        <w:rPr>
          <w:rFonts w:cs="Times New Roman"/>
          <w:szCs w:val="24"/>
          <w:lang w:val="en-US"/>
        </w:rPr>
        <w:t xml:space="preserve">in the UK national curriculum, </w:t>
      </w:r>
      <w:r w:rsidR="00510DA2" w:rsidRPr="005477D8">
        <w:rPr>
          <w:rFonts w:cs="Times New Roman"/>
          <w:szCs w:val="24"/>
          <w:lang w:val="en-US"/>
        </w:rPr>
        <w:t>how aspects of SSIBL are</w:t>
      </w:r>
      <w:r w:rsidR="008469A7" w:rsidRPr="005477D8">
        <w:rPr>
          <w:rFonts w:cs="Times New Roman"/>
          <w:szCs w:val="24"/>
          <w:lang w:val="en-US"/>
        </w:rPr>
        <w:t xml:space="preserve"> </w:t>
      </w:r>
      <w:proofErr w:type="spellStart"/>
      <w:r w:rsidR="008469A7" w:rsidRPr="005477D8">
        <w:rPr>
          <w:rFonts w:cs="Times New Roman"/>
          <w:szCs w:val="24"/>
          <w:lang w:val="en-US"/>
        </w:rPr>
        <w:t>practised</w:t>
      </w:r>
      <w:proofErr w:type="spellEnd"/>
      <w:r w:rsidR="008469A7" w:rsidRPr="005477D8">
        <w:rPr>
          <w:rFonts w:cs="Times New Roman"/>
          <w:szCs w:val="24"/>
          <w:lang w:val="en-US"/>
        </w:rPr>
        <w:t xml:space="preserve"> in their placement schools, and how they could </w:t>
      </w:r>
      <w:r w:rsidR="00510DA2" w:rsidRPr="005477D8">
        <w:rPr>
          <w:rFonts w:cs="Times New Roman"/>
          <w:szCs w:val="24"/>
          <w:lang w:val="en-US"/>
        </w:rPr>
        <w:t>enact SSIBL</w:t>
      </w:r>
      <w:r w:rsidR="008469A7" w:rsidRPr="005477D8">
        <w:rPr>
          <w:rFonts w:cs="Times New Roman"/>
          <w:szCs w:val="24"/>
          <w:lang w:val="en-US"/>
        </w:rPr>
        <w:t xml:space="preserve"> </w:t>
      </w:r>
      <w:r w:rsidR="00510DA2" w:rsidRPr="005477D8">
        <w:rPr>
          <w:rFonts w:cs="Times New Roman"/>
          <w:szCs w:val="24"/>
          <w:lang w:val="en-US"/>
        </w:rPr>
        <w:t xml:space="preserve">within their teaching practice. </w:t>
      </w:r>
      <w:r w:rsidR="007A5AFC" w:rsidRPr="005477D8">
        <w:rPr>
          <w:rFonts w:cs="Times New Roman"/>
          <w:szCs w:val="24"/>
          <w:lang w:val="en-US"/>
        </w:rPr>
        <w:t>Participants took part in SSIBL scenarios as learners (e.g. exploring</w:t>
      </w:r>
      <w:r w:rsidR="005477D8" w:rsidRPr="005477D8">
        <w:rPr>
          <w:rFonts w:cs="Times New Roman"/>
          <w:szCs w:val="24"/>
          <w:lang w:val="en-US"/>
        </w:rPr>
        <w:t xml:space="preserve"> questions such as ‘Would you vote against drugs testing on animals?’ and ‘Is it our fault our planet is getting hotter?). They then worked collaboratively in designing lessons around these topics</w:t>
      </w:r>
      <w:r w:rsidR="009D1B26">
        <w:rPr>
          <w:rFonts w:cs="Times New Roman"/>
          <w:szCs w:val="24"/>
          <w:lang w:val="en-US"/>
        </w:rPr>
        <w:t>, which they taught and reflected upon</w:t>
      </w:r>
      <w:r w:rsidR="005477D8" w:rsidRPr="005477D8">
        <w:rPr>
          <w:rFonts w:cs="Times New Roman"/>
          <w:szCs w:val="24"/>
          <w:lang w:val="en-US"/>
        </w:rPr>
        <w:t>.</w:t>
      </w:r>
      <w:r w:rsidR="007A5AFC" w:rsidRPr="005477D8">
        <w:rPr>
          <w:rFonts w:cs="Times New Roman"/>
          <w:szCs w:val="24"/>
          <w:lang w:val="en-US"/>
        </w:rPr>
        <w:t xml:space="preserve"> </w:t>
      </w:r>
      <w:r w:rsidR="006A2628" w:rsidRPr="005477D8">
        <w:rPr>
          <w:lang w:val="en-US"/>
        </w:rPr>
        <w:t>Th</w:t>
      </w:r>
      <w:r w:rsidR="00EF7C48" w:rsidRPr="005477D8">
        <w:rPr>
          <w:lang w:val="en-US"/>
        </w:rPr>
        <w:t xml:space="preserve">e research methods used were </w:t>
      </w:r>
      <w:r w:rsidR="006A2628" w:rsidRPr="005477D8">
        <w:rPr>
          <w:lang w:val="en-US"/>
        </w:rPr>
        <w:t>focus</w:t>
      </w:r>
      <w:r w:rsidR="006A2628" w:rsidRPr="006A2628">
        <w:rPr>
          <w:lang w:val="en-US"/>
        </w:rPr>
        <w:t xml:space="preserve"> groups, interviews, </w:t>
      </w:r>
      <w:r>
        <w:rPr>
          <w:lang w:val="en-US"/>
        </w:rPr>
        <w:t xml:space="preserve">written reflective narratives, </w:t>
      </w:r>
      <w:r w:rsidR="006A2628" w:rsidRPr="006A2628">
        <w:rPr>
          <w:lang w:val="en-US"/>
        </w:rPr>
        <w:t>lesson observations and evaluations, and field notes</w:t>
      </w:r>
      <w:r>
        <w:rPr>
          <w:lang w:val="en-US"/>
        </w:rPr>
        <w:t>, with data colle</w:t>
      </w:r>
      <w:r w:rsidR="003F1DC7">
        <w:rPr>
          <w:lang w:val="en-US"/>
        </w:rPr>
        <w:t xml:space="preserve">cted during 2014-15 and 2015-16. The </w:t>
      </w:r>
      <w:r>
        <w:rPr>
          <w:lang w:val="en-US"/>
        </w:rPr>
        <w:t xml:space="preserve">full </w:t>
      </w:r>
      <w:r w:rsidRPr="006A2628">
        <w:rPr>
          <w:lang w:val="en-US"/>
        </w:rPr>
        <w:t>set of data/findings to be presented at the conference</w:t>
      </w:r>
      <w:r w:rsidR="006A2628" w:rsidRPr="006A2628">
        <w:rPr>
          <w:lang w:val="en-US"/>
        </w:rPr>
        <w:t>. The sample consists of 194 PSTs in HEI1 and 90 PSTs in HEI2. All audio-recorded data were transcribed and the constant comparison method was used to identify key themes</w:t>
      </w:r>
      <w:r>
        <w:rPr>
          <w:lang w:val="en-US"/>
        </w:rPr>
        <w:t xml:space="preserve"> of PSTs’ views of SSIBL and how it was enacted in secondary science classrooms. </w:t>
      </w:r>
    </w:p>
    <w:p w:rsidR="00BB7712" w:rsidRPr="006A2628" w:rsidRDefault="006A2628" w:rsidP="00542902">
      <w:pPr>
        <w:pStyle w:val="FirstLevelSection"/>
        <w:spacing w:line="276" w:lineRule="auto"/>
      </w:pPr>
      <w:r>
        <w:t xml:space="preserve">Findings </w:t>
      </w:r>
    </w:p>
    <w:p w:rsidR="00F150CC" w:rsidRPr="00772326" w:rsidRDefault="005E4EBB" w:rsidP="00A06536">
      <w:pPr>
        <w:spacing w:line="276" w:lineRule="auto"/>
        <w:jc w:val="both"/>
        <w:rPr>
          <w:lang w:val="en-GB"/>
        </w:rPr>
      </w:pPr>
      <w:r w:rsidRPr="005E4EBB">
        <w:rPr>
          <w:lang w:val="en-GB"/>
        </w:rPr>
        <w:t>Overall, findings suggest that PSTs viewed SSIBL as a valuable approach from multiple perspectives (Table 1).</w:t>
      </w:r>
      <w:r w:rsidR="00050A93">
        <w:rPr>
          <w:lang w:val="en-GB"/>
        </w:rPr>
        <w:t xml:space="preserve"> </w:t>
      </w:r>
      <w:r w:rsidR="00542902">
        <w:rPr>
          <w:lang w:val="en-GB"/>
        </w:rPr>
        <w:t>Reflecting on their own experiences as science learners, our participants noted their willingness to teach science in a more engaging and interesti</w:t>
      </w:r>
      <w:r w:rsidR="007C29E1">
        <w:rPr>
          <w:lang w:val="en-GB"/>
        </w:rPr>
        <w:t>ng way compared to their own experiences as students</w:t>
      </w:r>
      <w:r w:rsidR="00542902">
        <w:rPr>
          <w:lang w:val="en-GB"/>
        </w:rPr>
        <w:t xml:space="preserve">. </w:t>
      </w:r>
      <w:r w:rsidR="003F1DC7">
        <w:rPr>
          <w:lang w:val="en-GB"/>
        </w:rPr>
        <w:t>The active engagement of their students</w:t>
      </w:r>
      <w:r w:rsidR="00A06536">
        <w:rPr>
          <w:lang w:val="en-GB"/>
        </w:rPr>
        <w:t xml:space="preserve"> in the learning process was also identified as </w:t>
      </w:r>
      <w:r w:rsidR="00CC2273">
        <w:rPr>
          <w:lang w:val="en-GB"/>
        </w:rPr>
        <w:t xml:space="preserve">important </w:t>
      </w:r>
      <w:r w:rsidR="00A06536">
        <w:rPr>
          <w:lang w:val="en-GB"/>
        </w:rPr>
        <w:t>for</w:t>
      </w:r>
      <w:r w:rsidR="00CC2273">
        <w:rPr>
          <w:lang w:val="en-GB"/>
        </w:rPr>
        <w:t xml:space="preserve"> using </w:t>
      </w:r>
      <w:r w:rsidR="00CC2273" w:rsidRPr="00CC2273">
        <w:rPr>
          <w:lang w:val="en-GB"/>
        </w:rPr>
        <w:t>SSIBL</w:t>
      </w:r>
      <w:r w:rsidR="00A61B9A">
        <w:rPr>
          <w:lang w:val="en-GB"/>
        </w:rPr>
        <w:t>. As one PST noted:</w:t>
      </w:r>
      <w:r w:rsidR="00CC2273">
        <w:rPr>
          <w:lang w:val="en-GB"/>
        </w:rPr>
        <w:t xml:space="preserve"> </w:t>
      </w:r>
      <w:r w:rsidR="00CC2273" w:rsidRPr="00772326">
        <w:rPr>
          <w:i/>
          <w:iCs/>
          <w:sz w:val="22"/>
          <w:lang w:val="en-GB"/>
        </w:rPr>
        <w:t>“SSIBL to me is probably the best way that I think learning should be because it is a way of delivering knowledge but not in a "here's just a bunch of facts"; it's a way of introducing concepts and how scientific processes work but in a way that allows the students to ask lots of questions, and come to their own</w:t>
      </w:r>
      <w:r w:rsidR="003F1DC7">
        <w:rPr>
          <w:i/>
          <w:iCs/>
          <w:sz w:val="22"/>
          <w:lang w:val="en-GB"/>
        </w:rPr>
        <w:t xml:space="preserve"> [view]</w:t>
      </w:r>
      <w:r w:rsidR="00CC2273" w:rsidRPr="00772326">
        <w:rPr>
          <w:i/>
          <w:iCs/>
          <w:sz w:val="22"/>
          <w:lang w:val="en-GB"/>
        </w:rPr>
        <w:t>, sort of create their own knowledge about a particular idea</w:t>
      </w:r>
      <w:r w:rsidR="00772326" w:rsidRPr="00772326">
        <w:rPr>
          <w:i/>
          <w:iCs/>
          <w:sz w:val="22"/>
          <w:lang w:val="en-GB"/>
        </w:rPr>
        <w:t xml:space="preserve"> […]and just their ability to ask why is that happening, how is that happening, should that be happening, which you know it's definitely my type of learning” (PST13, June 2016 interview).</w:t>
      </w:r>
      <w:r w:rsidR="00772326">
        <w:rPr>
          <w:lang w:val="en-GB"/>
        </w:rPr>
        <w:t xml:space="preserve"> </w:t>
      </w:r>
    </w:p>
    <w:tbl>
      <w:tblPr>
        <w:tblStyle w:val="TableGrid"/>
        <w:tblW w:w="10490"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10"/>
        <w:gridCol w:w="8080"/>
      </w:tblGrid>
      <w:tr w:rsidR="005E4EBB" w:rsidRPr="00E51594" w:rsidTr="00A61B9A">
        <w:trPr>
          <w:trHeight w:val="221"/>
          <w:jc w:val="center"/>
        </w:trPr>
        <w:tc>
          <w:tcPr>
            <w:tcW w:w="10490" w:type="dxa"/>
            <w:gridSpan w:val="2"/>
          </w:tcPr>
          <w:p w:rsidR="005E4EBB" w:rsidRPr="006A6183" w:rsidRDefault="005E4EBB" w:rsidP="00F150CC">
            <w:pPr>
              <w:spacing w:after="0"/>
              <w:ind w:left="-108"/>
              <w:rPr>
                <w:rFonts w:eastAsiaTheme="majorEastAsia" w:cs="Arial"/>
                <w:sz w:val="20"/>
                <w:szCs w:val="20"/>
                <w:lang w:val="en-GB"/>
              </w:rPr>
            </w:pPr>
            <w:r w:rsidRPr="006A6183">
              <w:rPr>
                <w:rFonts w:eastAsiaTheme="majorEastAsia" w:cs="Arial"/>
                <w:sz w:val="20"/>
                <w:szCs w:val="20"/>
                <w:lang w:val="en-GB"/>
              </w:rPr>
              <w:t xml:space="preserve">Table 1. The main themes identified of PSTs’ views on the value of SSIBL </w:t>
            </w:r>
          </w:p>
        </w:tc>
      </w:tr>
      <w:tr w:rsidR="005E4EBB" w:rsidRPr="006A6183" w:rsidTr="00A61B9A">
        <w:trPr>
          <w:trHeight w:val="292"/>
          <w:jc w:val="center"/>
        </w:trPr>
        <w:tc>
          <w:tcPr>
            <w:tcW w:w="2410" w:type="dxa"/>
          </w:tcPr>
          <w:p w:rsidR="005E4EBB" w:rsidRPr="00F150CC" w:rsidRDefault="005E4EBB" w:rsidP="00542902">
            <w:pPr>
              <w:spacing w:after="0"/>
              <w:ind w:left="-108"/>
              <w:jc w:val="center"/>
              <w:rPr>
                <w:rFonts w:eastAsiaTheme="majorEastAsia" w:cs="Arial"/>
                <w:b/>
                <w:bCs/>
                <w:sz w:val="20"/>
                <w:szCs w:val="20"/>
                <w:lang w:val="en-GB"/>
              </w:rPr>
            </w:pPr>
            <w:r w:rsidRPr="00F150CC">
              <w:rPr>
                <w:rFonts w:eastAsiaTheme="majorEastAsia" w:cs="Arial"/>
                <w:b/>
                <w:bCs/>
                <w:sz w:val="20"/>
                <w:szCs w:val="20"/>
                <w:lang w:val="en-GB"/>
              </w:rPr>
              <w:t>Theme</w:t>
            </w:r>
          </w:p>
        </w:tc>
        <w:tc>
          <w:tcPr>
            <w:tcW w:w="8080" w:type="dxa"/>
          </w:tcPr>
          <w:p w:rsidR="005E4EBB" w:rsidRPr="00F150CC" w:rsidRDefault="005E4EBB" w:rsidP="00542902">
            <w:pPr>
              <w:spacing w:after="0"/>
              <w:ind w:left="-108" w:right="-132"/>
              <w:jc w:val="center"/>
              <w:rPr>
                <w:rFonts w:eastAsiaTheme="majorEastAsia" w:cs="Arial"/>
                <w:b/>
                <w:bCs/>
                <w:sz w:val="20"/>
                <w:szCs w:val="20"/>
                <w:lang w:val="en-GB"/>
              </w:rPr>
            </w:pPr>
            <w:r w:rsidRPr="00F150CC">
              <w:rPr>
                <w:rFonts w:eastAsiaTheme="majorEastAsia" w:cs="Arial"/>
                <w:b/>
                <w:bCs/>
                <w:sz w:val="20"/>
                <w:szCs w:val="20"/>
                <w:lang w:val="en-GB"/>
              </w:rPr>
              <w:t>Extract</w:t>
            </w:r>
            <w:r w:rsidR="003F1DC7">
              <w:rPr>
                <w:rFonts w:eastAsiaTheme="majorEastAsia" w:cs="Arial"/>
                <w:b/>
                <w:bCs/>
                <w:sz w:val="20"/>
                <w:szCs w:val="20"/>
                <w:lang w:val="en-GB"/>
              </w:rPr>
              <w:t xml:space="preserve"> from PSTs’ comments</w:t>
            </w:r>
          </w:p>
        </w:tc>
      </w:tr>
      <w:tr w:rsidR="005E4EBB" w:rsidRPr="00E51594" w:rsidTr="00A61B9A">
        <w:trPr>
          <w:trHeight w:val="559"/>
          <w:jc w:val="center"/>
        </w:trPr>
        <w:tc>
          <w:tcPr>
            <w:tcW w:w="2410" w:type="dxa"/>
          </w:tcPr>
          <w:p w:rsidR="005E4EBB" w:rsidRPr="00A61B9A" w:rsidRDefault="005E4EBB" w:rsidP="00542902">
            <w:pPr>
              <w:ind w:left="-108"/>
              <w:rPr>
                <w:rFonts w:eastAsiaTheme="majorEastAsia" w:cs="Arial"/>
                <w:b/>
                <w:bCs/>
                <w:sz w:val="20"/>
                <w:szCs w:val="20"/>
                <w:lang w:val="en-GB"/>
              </w:rPr>
            </w:pPr>
            <w:r w:rsidRPr="00A61B9A">
              <w:rPr>
                <w:rFonts w:eastAsiaTheme="majorEastAsia" w:cs="Arial"/>
                <w:b/>
                <w:bCs/>
                <w:sz w:val="20"/>
                <w:szCs w:val="20"/>
                <w:lang w:val="en-GB"/>
              </w:rPr>
              <w:t>Prior experiences as learners of science</w:t>
            </w:r>
          </w:p>
        </w:tc>
        <w:tc>
          <w:tcPr>
            <w:tcW w:w="8080" w:type="dxa"/>
          </w:tcPr>
          <w:p w:rsidR="005E4EBB" w:rsidRPr="006A6183" w:rsidRDefault="007C29E1" w:rsidP="00542902">
            <w:pPr>
              <w:ind w:left="-108" w:right="-132"/>
              <w:rPr>
                <w:rFonts w:eastAsiaTheme="majorEastAsia" w:cs="Arial"/>
                <w:sz w:val="20"/>
                <w:szCs w:val="20"/>
                <w:lang w:val="en-GB"/>
              </w:rPr>
            </w:pPr>
            <w:r>
              <w:rPr>
                <w:rFonts w:eastAsiaTheme="majorEastAsia" w:cs="Arial"/>
                <w:sz w:val="20"/>
                <w:szCs w:val="20"/>
                <w:lang w:val="en-GB"/>
              </w:rPr>
              <w:t>‘</w:t>
            </w:r>
            <w:r w:rsidR="003F1DC7">
              <w:rPr>
                <w:rFonts w:eastAsiaTheme="majorEastAsia" w:cs="Arial"/>
                <w:sz w:val="20"/>
                <w:szCs w:val="20"/>
                <w:lang w:val="en-GB"/>
              </w:rPr>
              <w:t>I</w:t>
            </w:r>
            <w:r w:rsidR="005E4EBB" w:rsidRPr="006A6183">
              <w:rPr>
                <w:rFonts w:eastAsiaTheme="majorEastAsia" w:cs="Arial"/>
                <w:sz w:val="20"/>
                <w:szCs w:val="20"/>
                <w:lang w:val="en-GB"/>
              </w:rPr>
              <w:t>t’s [SSIBL] the only way to go forward really, I'm really quite passionate about science but I found it really boring at school’ (PST6, focus group</w:t>
            </w:r>
            <w:r w:rsidR="0039171F">
              <w:rPr>
                <w:rFonts w:eastAsiaTheme="majorEastAsia" w:cs="Arial"/>
                <w:sz w:val="20"/>
                <w:szCs w:val="20"/>
                <w:lang w:val="en-GB"/>
              </w:rPr>
              <w:t xml:space="preserve"> </w:t>
            </w:r>
            <w:r w:rsidR="005E4EBB" w:rsidRPr="006A6183">
              <w:rPr>
                <w:rFonts w:eastAsiaTheme="majorEastAsia" w:cs="Arial"/>
                <w:sz w:val="20"/>
                <w:szCs w:val="20"/>
                <w:lang w:val="en-GB"/>
              </w:rPr>
              <w:t>Nov15)</w:t>
            </w:r>
          </w:p>
        </w:tc>
      </w:tr>
      <w:tr w:rsidR="005E4EBB" w:rsidRPr="00E51594" w:rsidTr="00A61B9A">
        <w:trPr>
          <w:jc w:val="center"/>
        </w:trPr>
        <w:tc>
          <w:tcPr>
            <w:tcW w:w="2410" w:type="dxa"/>
          </w:tcPr>
          <w:p w:rsidR="005E4EBB" w:rsidRPr="00A61B9A" w:rsidRDefault="005E4EBB" w:rsidP="00542902">
            <w:pPr>
              <w:ind w:left="-108"/>
              <w:rPr>
                <w:rFonts w:eastAsiaTheme="majorEastAsia" w:cs="Arial"/>
                <w:b/>
                <w:bCs/>
                <w:sz w:val="20"/>
                <w:szCs w:val="20"/>
                <w:lang w:val="en-GB"/>
              </w:rPr>
            </w:pPr>
            <w:r w:rsidRPr="00A61B9A">
              <w:rPr>
                <w:rFonts w:eastAsiaTheme="majorEastAsia" w:cs="Arial"/>
                <w:b/>
                <w:bCs/>
                <w:sz w:val="20"/>
                <w:szCs w:val="20"/>
                <w:lang w:val="en-GB"/>
              </w:rPr>
              <w:t>Beliefs about teaching &amp; learning</w:t>
            </w:r>
          </w:p>
        </w:tc>
        <w:tc>
          <w:tcPr>
            <w:tcW w:w="8080" w:type="dxa"/>
          </w:tcPr>
          <w:p w:rsidR="005E4EBB" w:rsidRPr="006A6183" w:rsidRDefault="007C29E1" w:rsidP="00542902">
            <w:pPr>
              <w:ind w:left="-108" w:right="-132"/>
              <w:rPr>
                <w:rFonts w:eastAsiaTheme="majorEastAsia"/>
                <w:sz w:val="20"/>
                <w:szCs w:val="20"/>
                <w:shd w:val="clear" w:color="auto" w:fill="FFFFFF"/>
                <w:lang w:val="en-GB"/>
              </w:rPr>
            </w:pPr>
            <w:r>
              <w:rPr>
                <w:rFonts w:eastAsiaTheme="majorEastAsia"/>
                <w:sz w:val="20"/>
                <w:szCs w:val="20"/>
                <w:shd w:val="clear" w:color="auto" w:fill="FFFFFF"/>
                <w:lang w:val="en-GB"/>
              </w:rPr>
              <w:t>‘</w:t>
            </w:r>
            <w:r w:rsidR="003F1DC7">
              <w:rPr>
                <w:rFonts w:eastAsiaTheme="majorEastAsia"/>
                <w:sz w:val="20"/>
                <w:szCs w:val="20"/>
                <w:shd w:val="clear" w:color="auto" w:fill="FFFFFF"/>
                <w:lang w:val="en-GB"/>
              </w:rPr>
              <w:t>S</w:t>
            </w:r>
            <w:r w:rsidR="005E4EBB" w:rsidRPr="006A6183">
              <w:rPr>
                <w:rFonts w:eastAsiaTheme="majorEastAsia"/>
                <w:sz w:val="20"/>
                <w:szCs w:val="20"/>
                <w:shd w:val="clear" w:color="auto" w:fill="FFFFFF"/>
                <w:lang w:val="en-GB"/>
              </w:rPr>
              <w:t>ay we just got to go through the  exams, so we don't have time to do that, well maybe that's why they [students] are less interested, because at GSCE they are just being told you need this for the exam, you  need this for exams, and they don't get any time to link it to the real world so maybe if you took the time to put the creative effort  on it and made it all more real for them then they would actually enjoy science more and then maybe they would get a better grade because they retain more of it</w:t>
            </w:r>
            <w:r>
              <w:rPr>
                <w:rFonts w:eastAsiaTheme="majorEastAsia"/>
                <w:sz w:val="20"/>
                <w:szCs w:val="20"/>
                <w:shd w:val="clear" w:color="auto" w:fill="FFFFFF"/>
                <w:lang w:val="en-GB"/>
              </w:rPr>
              <w:t>’</w:t>
            </w:r>
            <w:r w:rsidR="005E4EBB" w:rsidRPr="006A6183">
              <w:rPr>
                <w:rFonts w:eastAsiaTheme="majorEastAsia"/>
                <w:sz w:val="20"/>
                <w:szCs w:val="20"/>
                <w:shd w:val="clear" w:color="auto" w:fill="FFFFFF"/>
                <w:lang w:val="en-GB"/>
              </w:rPr>
              <w:t xml:space="preserve"> (PST8, focus group Nov</w:t>
            </w:r>
            <w:r w:rsidR="003F1DC7">
              <w:rPr>
                <w:rFonts w:eastAsiaTheme="majorEastAsia"/>
                <w:sz w:val="20"/>
                <w:szCs w:val="20"/>
                <w:shd w:val="clear" w:color="auto" w:fill="FFFFFF"/>
                <w:lang w:val="en-GB"/>
              </w:rPr>
              <w:t>ember</w:t>
            </w:r>
            <w:r w:rsidR="005E4EBB" w:rsidRPr="006A6183">
              <w:rPr>
                <w:rFonts w:eastAsiaTheme="majorEastAsia"/>
                <w:sz w:val="20"/>
                <w:szCs w:val="20"/>
                <w:shd w:val="clear" w:color="auto" w:fill="FFFFFF"/>
                <w:lang w:val="en-GB"/>
              </w:rPr>
              <w:t>15)</w:t>
            </w:r>
          </w:p>
          <w:p w:rsidR="005E4EBB" w:rsidRPr="006A6183" w:rsidRDefault="005E4EBB" w:rsidP="00542902">
            <w:pPr>
              <w:ind w:left="-108" w:right="-132"/>
              <w:rPr>
                <w:rFonts w:eastAsiaTheme="majorEastAsia"/>
                <w:sz w:val="20"/>
                <w:szCs w:val="20"/>
                <w:shd w:val="clear" w:color="auto" w:fill="FFFFFF"/>
                <w:lang w:val="en-GB"/>
              </w:rPr>
            </w:pPr>
            <w:r w:rsidRPr="006A6183">
              <w:rPr>
                <w:sz w:val="20"/>
                <w:szCs w:val="20"/>
                <w:lang w:val="en-GB"/>
              </w:rPr>
              <w:t xml:space="preserve">‘SSIBL provides an effective mechanism for increasing both student attainment and engagement’ </w:t>
            </w:r>
            <w:r w:rsidR="0039171F">
              <w:rPr>
                <w:sz w:val="20"/>
                <w:szCs w:val="20"/>
                <w:lang w:val="en-GB"/>
              </w:rPr>
              <w:t xml:space="preserve">(PST12, written reflective task </w:t>
            </w:r>
            <w:r w:rsidRPr="006A6183">
              <w:rPr>
                <w:sz w:val="20"/>
                <w:szCs w:val="20"/>
                <w:lang w:val="en-GB"/>
              </w:rPr>
              <w:t>May15)</w:t>
            </w:r>
          </w:p>
        </w:tc>
      </w:tr>
      <w:tr w:rsidR="005E4EBB" w:rsidRPr="00E51594" w:rsidTr="00A61B9A">
        <w:trPr>
          <w:trHeight w:val="552"/>
          <w:jc w:val="center"/>
        </w:trPr>
        <w:tc>
          <w:tcPr>
            <w:tcW w:w="2410" w:type="dxa"/>
          </w:tcPr>
          <w:p w:rsidR="005E4EBB" w:rsidRPr="00A61B9A" w:rsidRDefault="005E4EBB" w:rsidP="00542902">
            <w:pPr>
              <w:ind w:left="-108"/>
              <w:rPr>
                <w:rFonts w:eastAsiaTheme="majorEastAsia" w:cs="Arial"/>
                <w:b/>
                <w:bCs/>
                <w:sz w:val="20"/>
                <w:szCs w:val="20"/>
                <w:lang w:val="en-GB"/>
              </w:rPr>
            </w:pPr>
            <w:r w:rsidRPr="00A61B9A">
              <w:rPr>
                <w:rFonts w:eastAsiaTheme="majorEastAsia" w:cs="Arial"/>
                <w:b/>
                <w:bCs/>
                <w:sz w:val="20"/>
                <w:szCs w:val="20"/>
                <w:lang w:val="en-GB"/>
              </w:rPr>
              <w:t>Experiences as teachers of science</w:t>
            </w:r>
          </w:p>
        </w:tc>
        <w:tc>
          <w:tcPr>
            <w:tcW w:w="8080" w:type="dxa"/>
          </w:tcPr>
          <w:p w:rsidR="005E4EBB" w:rsidRPr="006A6183" w:rsidRDefault="003F1DC7" w:rsidP="00A61B9A">
            <w:pPr>
              <w:spacing w:after="60"/>
              <w:ind w:left="-108" w:right="-130"/>
              <w:rPr>
                <w:rFonts w:eastAsiaTheme="majorEastAsia" w:cs="Arial"/>
                <w:sz w:val="20"/>
                <w:szCs w:val="20"/>
                <w:lang w:val="en-GB"/>
              </w:rPr>
            </w:pPr>
            <w:r>
              <w:rPr>
                <w:rFonts w:eastAsiaTheme="majorEastAsia"/>
                <w:sz w:val="20"/>
                <w:szCs w:val="20"/>
                <w:lang w:val="en-GB"/>
              </w:rPr>
              <w:t>‘S</w:t>
            </w:r>
            <w:r w:rsidR="005E4EBB" w:rsidRPr="006A6183">
              <w:rPr>
                <w:rFonts w:eastAsiaTheme="majorEastAsia"/>
                <w:sz w:val="20"/>
                <w:szCs w:val="20"/>
                <w:lang w:val="en-GB"/>
              </w:rPr>
              <w:t xml:space="preserve">tudents were very engaged and excited about the results they were getting (student-created survey about why teenagers smoke). They could see how they were going to use scientific information in their lives in something that really interested them’ (PST11, lesson </w:t>
            </w:r>
            <w:r w:rsidR="0039171F">
              <w:rPr>
                <w:rFonts w:eastAsiaTheme="majorEastAsia"/>
                <w:sz w:val="20"/>
                <w:szCs w:val="20"/>
                <w:lang w:val="en-GB"/>
              </w:rPr>
              <w:t>evaluation</w:t>
            </w:r>
            <w:r w:rsidR="00E16F99">
              <w:rPr>
                <w:rFonts w:eastAsiaTheme="majorEastAsia"/>
                <w:sz w:val="20"/>
                <w:szCs w:val="20"/>
                <w:lang w:val="en-GB"/>
              </w:rPr>
              <w:t xml:space="preserve"> </w:t>
            </w:r>
            <w:r w:rsidR="00B609A1">
              <w:rPr>
                <w:rFonts w:eastAsiaTheme="majorEastAsia"/>
                <w:sz w:val="20"/>
                <w:szCs w:val="20"/>
                <w:lang w:val="en-GB"/>
              </w:rPr>
              <w:t>Apr</w:t>
            </w:r>
            <w:r>
              <w:rPr>
                <w:rFonts w:eastAsiaTheme="majorEastAsia"/>
                <w:sz w:val="20"/>
                <w:szCs w:val="20"/>
                <w:lang w:val="en-GB"/>
              </w:rPr>
              <w:t>il</w:t>
            </w:r>
            <w:r w:rsidR="005E4EBB" w:rsidRPr="006A6183">
              <w:rPr>
                <w:rFonts w:eastAsiaTheme="majorEastAsia"/>
                <w:sz w:val="20"/>
                <w:szCs w:val="20"/>
                <w:lang w:val="en-GB"/>
              </w:rPr>
              <w:t>14)</w:t>
            </w:r>
          </w:p>
        </w:tc>
      </w:tr>
    </w:tbl>
    <w:p w:rsidR="004E2D2B" w:rsidRPr="004E2D2B" w:rsidRDefault="00CC2273" w:rsidP="00A61B9A">
      <w:pPr>
        <w:spacing w:before="40" w:line="276" w:lineRule="auto"/>
        <w:jc w:val="both"/>
        <w:rPr>
          <w:rFonts w:eastAsiaTheme="majorEastAsia" w:cs="Arial"/>
          <w:szCs w:val="24"/>
          <w:lang w:val="en-GB"/>
        </w:rPr>
      </w:pPr>
      <w:r>
        <w:rPr>
          <w:lang w:val="en-GB"/>
        </w:rPr>
        <w:t xml:space="preserve">PSTs </w:t>
      </w:r>
      <w:r w:rsidRPr="00ED2838">
        <w:rPr>
          <w:lang w:val="en-GB"/>
        </w:rPr>
        <w:t xml:space="preserve">shared some common concerns about </w:t>
      </w:r>
      <w:proofErr w:type="spellStart"/>
      <w:r w:rsidR="00A06536">
        <w:rPr>
          <w:lang w:val="en-GB"/>
        </w:rPr>
        <w:t>enancting</w:t>
      </w:r>
      <w:proofErr w:type="spellEnd"/>
      <w:r w:rsidRPr="00ED2838">
        <w:rPr>
          <w:lang w:val="en-GB"/>
        </w:rPr>
        <w:t xml:space="preserve"> SSIBL, such as the role of science subject knowledge and how this can be taught effectively through SSIBL, and the increased pressures that science teachers </w:t>
      </w:r>
      <w:r>
        <w:rPr>
          <w:lang w:val="en-GB"/>
        </w:rPr>
        <w:t xml:space="preserve">in the UK </w:t>
      </w:r>
      <w:r w:rsidRPr="00ED2838">
        <w:rPr>
          <w:lang w:val="en-GB"/>
        </w:rPr>
        <w:t xml:space="preserve">face to deliver a subject-knowledge heavy National Curriculum. </w:t>
      </w:r>
      <w:r w:rsidR="004E2D2B">
        <w:rPr>
          <w:rFonts w:eastAsiaTheme="majorEastAsia" w:cs="Arial"/>
          <w:szCs w:val="24"/>
          <w:lang w:val="en-GB"/>
        </w:rPr>
        <w:t>PSTs</w:t>
      </w:r>
      <w:r w:rsidR="009B0B5E">
        <w:rPr>
          <w:rFonts w:eastAsiaTheme="majorEastAsia" w:cs="Arial"/>
          <w:szCs w:val="24"/>
          <w:lang w:val="en-GB"/>
        </w:rPr>
        <w:t>’</w:t>
      </w:r>
      <w:r w:rsidR="00A06536">
        <w:rPr>
          <w:rFonts w:eastAsiaTheme="majorEastAsia" w:cs="Arial"/>
          <w:szCs w:val="24"/>
          <w:lang w:val="en-GB"/>
        </w:rPr>
        <w:t xml:space="preserve"> reflections</w:t>
      </w:r>
      <w:r w:rsidR="004E2D2B">
        <w:rPr>
          <w:rFonts w:eastAsiaTheme="majorEastAsia" w:cs="Arial"/>
          <w:szCs w:val="24"/>
          <w:lang w:val="en-GB"/>
        </w:rPr>
        <w:t xml:space="preserve"> of enacting SSIBL lessons </w:t>
      </w:r>
      <w:r w:rsidR="004E2D2B">
        <w:rPr>
          <w:rFonts w:eastAsiaTheme="majorEastAsia"/>
          <w:iCs/>
          <w:szCs w:val="24"/>
          <w:lang w:val="en-GB"/>
        </w:rPr>
        <w:t xml:space="preserve">illustrate the tensions between teaching conceptual knowledge </w:t>
      </w:r>
      <w:r w:rsidR="00A06536">
        <w:rPr>
          <w:rFonts w:eastAsiaTheme="majorEastAsia"/>
          <w:iCs/>
          <w:szCs w:val="24"/>
          <w:lang w:val="en-GB"/>
        </w:rPr>
        <w:t>and science for everyday life</w:t>
      </w:r>
      <w:r w:rsidR="009B0B5E">
        <w:rPr>
          <w:rFonts w:eastAsiaTheme="majorEastAsia"/>
          <w:iCs/>
          <w:szCs w:val="24"/>
          <w:lang w:val="en-GB"/>
        </w:rPr>
        <w:t>:</w:t>
      </w:r>
    </w:p>
    <w:p w:rsidR="009B0B5E" w:rsidRPr="00772326" w:rsidRDefault="009B0B5E" w:rsidP="00A61B9A">
      <w:pPr>
        <w:spacing w:after="80" w:line="276" w:lineRule="auto"/>
        <w:ind w:left="425" w:right="686"/>
        <w:jc w:val="both"/>
        <w:rPr>
          <w:rFonts w:eastAsiaTheme="majorEastAsia"/>
          <w:i/>
          <w:sz w:val="22"/>
          <w:lang w:val="en-GB"/>
        </w:rPr>
      </w:pPr>
      <w:r w:rsidRPr="00772326">
        <w:rPr>
          <w:rFonts w:eastAsiaTheme="majorEastAsia"/>
          <w:i/>
          <w:sz w:val="22"/>
          <w:lang w:val="en-GB"/>
        </w:rPr>
        <w:t>“[I]</w:t>
      </w:r>
      <w:r w:rsidR="004E2D2B" w:rsidRPr="00772326">
        <w:rPr>
          <w:rFonts w:eastAsiaTheme="majorEastAsia"/>
          <w:i/>
          <w:sz w:val="22"/>
          <w:lang w:val="en-GB"/>
        </w:rPr>
        <w:t xml:space="preserve">have witnessed for myself how the interest of the students increases. I also believe giving students the opportunity to explore the range of thinking and skills associated with science is more important than just teaching them facts to regurgitate. However, I have also experienced how hard it is to always incorporate this into your teaching, especially when battling with meeting the high demands of the curriculum” </w:t>
      </w:r>
      <w:r w:rsidR="004E2D2B" w:rsidRPr="003F1DC7">
        <w:rPr>
          <w:rFonts w:eastAsiaTheme="majorEastAsia"/>
          <w:iCs/>
          <w:sz w:val="22"/>
          <w:lang w:val="en-GB"/>
        </w:rPr>
        <w:t>(written task 1, January15</w:t>
      </w:r>
      <w:r w:rsidRPr="003F1DC7">
        <w:rPr>
          <w:rFonts w:eastAsiaTheme="majorEastAsia"/>
          <w:iCs/>
          <w:sz w:val="22"/>
          <w:lang w:val="en-GB"/>
        </w:rPr>
        <w:t>, PST12</w:t>
      </w:r>
      <w:r w:rsidR="004E2D2B" w:rsidRPr="003F1DC7">
        <w:rPr>
          <w:rFonts w:eastAsiaTheme="majorEastAsia"/>
          <w:iCs/>
          <w:sz w:val="22"/>
          <w:lang w:val="en-GB"/>
        </w:rPr>
        <w:t>)</w:t>
      </w:r>
    </w:p>
    <w:p w:rsidR="006A2628" w:rsidRPr="008916E8" w:rsidRDefault="00EF7C48" w:rsidP="00A61B9A">
      <w:pPr>
        <w:spacing w:after="0" w:line="276" w:lineRule="auto"/>
        <w:jc w:val="both"/>
        <w:rPr>
          <w:lang w:val="en-GB"/>
        </w:rPr>
      </w:pPr>
      <w:r w:rsidRPr="00C34E41">
        <w:rPr>
          <w:lang w:val="en-GB"/>
        </w:rPr>
        <w:t>Another</w:t>
      </w:r>
      <w:r w:rsidR="000F618B" w:rsidRPr="00C34E41">
        <w:rPr>
          <w:lang w:val="en-GB"/>
        </w:rPr>
        <w:t xml:space="preserve"> tension that was identified </w:t>
      </w:r>
      <w:r w:rsidR="007C29E1">
        <w:rPr>
          <w:lang w:val="en-GB"/>
        </w:rPr>
        <w:t>in the PSTs’ enactment of SSIBL</w:t>
      </w:r>
      <w:r w:rsidR="000F618B" w:rsidRPr="00C34E41">
        <w:rPr>
          <w:lang w:val="en-GB"/>
        </w:rPr>
        <w:t xml:space="preserve"> was the varying success they had in balancing the SSI with the IBL aspects of SSIBL. For instance, PST12 </w:t>
      </w:r>
      <w:r w:rsidR="00C34E41" w:rsidRPr="00C34E41">
        <w:rPr>
          <w:lang w:val="en-GB"/>
        </w:rPr>
        <w:t xml:space="preserve">chose to teach a series of lessons on </w:t>
      </w:r>
      <w:r w:rsidR="00C34E41" w:rsidRPr="00C34E41">
        <w:rPr>
          <w:lang w:val="en-GB"/>
        </w:rPr>
        <w:lastRenderedPageBreak/>
        <w:t>the effects of drugs to 13-14 year olds, and in doing so she planned her le</w:t>
      </w:r>
      <w:r w:rsidR="003F1DC7">
        <w:rPr>
          <w:lang w:val="en-GB"/>
        </w:rPr>
        <w:t>ssons mainly promoting aspects o</w:t>
      </w:r>
      <w:r w:rsidR="00C34E41" w:rsidRPr="00C34E41">
        <w:rPr>
          <w:lang w:val="en-GB"/>
        </w:rPr>
        <w:t>f IBL, and links</w:t>
      </w:r>
      <w:r w:rsidR="003F1DC7">
        <w:rPr>
          <w:lang w:val="en-GB"/>
        </w:rPr>
        <w:t xml:space="preserve"> between science and society w</w:t>
      </w:r>
      <w:r w:rsidR="00C34E41">
        <w:rPr>
          <w:lang w:val="en-GB"/>
        </w:rPr>
        <w:t>ere not as explicitly addressed or discussed wi</w:t>
      </w:r>
      <w:r w:rsidR="003F1DC7">
        <w:rPr>
          <w:lang w:val="en-GB"/>
        </w:rPr>
        <w:t>th students</w:t>
      </w:r>
      <w:r w:rsidR="007C29E1">
        <w:rPr>
          <w:lang w:val="en-GB"/>
        </w:rPr>
        <w:t>. Conversely, PST13, who</w:t>
      </w:r>
      <w:r w:rsidR="00C34E41">
        <w:rPr>
          <w:lang w:val="en-GB"/>
        </w:rPr>
        <w:t xml:space="preserve"> designed and taught a lesson on organ </w:t>
      </w:r>
      <w:r w:rsidR="00395FE8">
        <w:rPr>
          <w:lang w:val="en-GB"/>
        </w:rPr>
        <w:t>transplantation</w:t>
      </w:r>
      <w:r w:rsidR="00C34E41">
        <w:rPr>
          <w:lang w:val="en-GB"/>
        </w:rPr>
        <w:t xml:space="preserve"> </w:t>
      </w:r>
      <w:r w:rsidR="003F1DC7">
        <w:rPr>
          <w:lang w:val="en-GB"/>
        </w:rPr>
        <w:t xml:space="preserve">and </w:t>
      </w:r>
      <w:r w:rsidR="000F618B">
        <w:rPr>
          <w:lang w:val="en-GB"/>
        </w:rPr>
        <w:t>emphasis</w:t>
      </w:r>
      <w:r w:rsidR="00C34E41">
        <w:rPr>
          <w:lang w:val="en-GB"/>
        </w:rPr>
        <w:t>ed the SSI element of SSIBL</w:t>
      </w:r>
      <w:r w:rsidR="00A61B9A">
        <w:rPr>
          <w:lang w:val="en-GB"/>
        </w:rPr>
        <w:t>, which was</w:t>
      </w:r>
      <w:r w:rsidR="00C34E41">
        <w:rPr>
          <w:lang w:val="en-GB"/>
        </w:rPr>
        <w:t xml:space="preserve"> in line with her views on using SSIBL to teach science since she commented in her interview that she found SSIs easier to implement </w:t>
      </w:r>
      <w:r w:rsidR="00C34E41" w:rsidRPr="00395FE8">
        <w:rPr>
          <w:i/>
          <w:iCs/>
          <w:lang w:val="en-GB"/>
        </w:rPr>
        <w:t xml:space="preserve">‘because inherently they tend to be interesting’ </w:t>
      </w:r>
      <w:r w:rsidR="00C34E41">
        <w:rPr>
          <w:lang w:val="en-GB"/>
        </w:rPr>
        <w:t xml:space="preserve">for </w:t>
      </w:r>
      <w:r w:rsidR="003F1DC7" w:rsidRPr="00A61B9A">
        <w:rPr>
          <w:szCs w:val="24"/>
          <w:lang w:val="en-GB"/>
        </w:rPr>
        <w:t>students</w:t>
      </w:r>
      <w:r w:rsidR="00C34E41" w:rsidRPr="00A61B9A">
        <w:rPr>
          <w:szCs w:val="24"/>
          <w:lang w:val="en-GB"/>
        </w:rPr>
        <w:t xml:space="preserve"> (</w:t>
      </w:r>
      <w:r w:rsidR="00C34E41" w:rsidRPr="00A61B9A">
        <w:rPr>
          <w:rFonts w:eastAsiaTheme="majorEastAsia"/>
          <w:szCs w:val="24"/>
          <w:lang w:val="en-GB"/>
        </w:rPr>
        <w:t>interview</w:t>
      </w:r>
      <w:r w:rsidR="008916E8" w:rsidRPr="00A61B9A">
        <w:rPr>
          <w:rFonts w:eastAsiaTheme="majorEastAsia"/>
          <w:szCs w:val="24"/>
          <w:lang w:val="en-GB"/>
        </w:rPr>
        <w:t>, June</w:t>
      </w:r>
      <w:r w:rsidR="00C34E41" w:rsidRPr="00A61B9A">
        <w:rPr>
          <w:rFonts w:eastAsiaTheme="majorEastAsia"/>
          <w:szCs w:val="24"/>
          <w:lang w:val="en-GB"/>
        </w:rPr>
        <w:t>16, PST13</w:t>
      </w:r>
      <w:r w:rsidR="00C34E41" w:rsidRPr="00A61B9A">
        <w:rPr>
          <w:szCs w:val="24"/>
          <w:lang w:val="en-GB"/>
        </w:rPr>
        <w:t>).</w:t>
      </w:r>
      <w:r w:rsidR="00395FE8">
        <w:rPr>
          <w:lang w:val="en-GB"/>
        </w:rPr>
        <w:t xml:space="preserve"> Another </w:t>
      </w:r>
      <w:r w:rsidR="00A61B9A">
        <w:rPr>
          <w:lang w:val="en-GB"/>
        </w:rPr>
        <w:t>challenge</w:t>
      </w:r>
      <w:r w:rsidR="00395FE8">
        <w:rPr>
          <w:lang w:val="en-GB"/>
        </w:rPr>
        <w:t xml:space="preserve"> was</w:t>
      </w:r>
      <w:r w:rsidR="008916E8">
        <w:rPr>
          <w:lang w:val="en-GB"/>
        </w:rPr>
        <w:t xml:space="preserve"> creating a student-centred environment, discussed mainly in relation to</w:t>
      </w:r>
      <w:r w:rsidR="00395FE8">
        <w:rPr>
          <w:lang w:val="en-GB"/>
        </w:rPr>
        <w:t xml:space="preserve"> the organisation and use of</w:t>
      </w:r>
      <w:r>
        <w:rPr>
          <w:lang w:val="en-GB"/>
        </w:rPr>
        <w:t xml:space="preserve"> argumentation</w:t>
      </w:r>
      <w:r w:rsidR="00395FE8">
        <w:rPr>
          <w:lang w:val="en-GB"/>
        </w:rPr>
        <w:t xml:space="preserve"> </w:t>
      </w:r>
      <w:r w:rsidR="00A61B9A">
        <w:rPr>
          <w:lang w:val="en-GB"/>
        </w:rPr>
        <w:t>collaborative activities</w:t>
      </w:r>
      <w:r>
        <w:rPr>
          <w:lang w:val="en-GB"/>
        </w:rPr>
        <w:t>. Discussion-based activities and the consideration of different types of knowledge and values are im</w:t>
      </w:r>
      <w:r w:rsidR="008916E8">
        <w:rPr>
          <w:lang w:val="en-GB"/>
        </w:rPr>
        <w:t>portant aspects of SSIBL</w:t>
      </w:r>
      <w:r>
        <w:rPr>
          <w:lang w:val="en-GB"/>
        </w:rPr>
        <w:t xml:space="preserve">, but these are </w:t>
      </w:r>
      <w:r w:rsidR="00395FE8">
        <w:rPr>
          <w:lang w:val="en-GB"/>
        </w:rPr>
        <w:t>aspects that</w:t>
      </w:r>
      <w:r>
        <w:rPr>
          <w:lang w:val="en-GB"/>
        </w:rPr>
        <w:t xml:space="preserve"> teachers consider challenging </w:t>
      </w:r>
      <w:r w:rsidR="00395FE8">
        <w:rPr>
          <w:lang w:val="en-GB"/>
        </w:rPr>
        <w:t>and require further suppor</w:t>
      </w:r>
      <w:r w:rsidR="008916E8">
        <w:rPr>
          <w:lang w:val="en-GB"/>
        </w:rPr>
        <w:t>t with</w:t>
      </w:r>
      <w:r w:rsidR="00395FE8">
        <w:rPr>
          <w:lang w:val="en-GB"/>
        </w:rPr>
        <w:t xml:space="preserve"> (Sampson &amp; Bla</w:t>
      </w:r>
      <w:r w:rsidR="000C5FC3">
        <w:rPr>
          <w:lang w:val="en-GB"/>
        </w:rPr>
        <w:t>n</w:t>
      </w:r>
      <w:r w:rsidR="00395FE8">
        <w:rPr>
          <w:lang w:val="en-GB"/>
        </w:rPr>
        <w:t>chard, 2012).</w:t>
      </w:r>
      <w:r>
        <w:rPr>
          <w:lang w:val="en-GB"/>
        </w:rPr>
        <w:t xml:space="preserve"> </w:t>
      </w:r>
      <w:r w:rsidR="00F150CC">
        <w:rPr>
          <w:rFonts w:eastAsiaTheme="majorEastAsia"/>
          <w:iCs/>
          <w:szCs w:val="24"/>
          <w:lang w:val="en-GB"/>
        </w:rPr>
        <w:t>Lesson observation</w:t>
      </w:r>
      <w:r w:rsidR="00772326">
        <w:rPr>
          <w:rFonts w:eastAsiaTheme="majorEastAsia"/>
          <w:iCs/>
          <w:szCs w:val="24"/>
          <w:lang w:val="en-GB"/>
        </w:rPr>
        <w:t xml:space="preserve"> data </w:t>
      </w:r>
      <w:r w:rsidR="008916E8">
        <w:rPr>
          <w:rFonts w:eastAsiaTheme="majorEastAsia"/>
          <w:iCs/>
          <w:szCs w:val="24"/>
          <w:lang w:val="en-GB"/>
        </w:rPr>
        <w:t>further illustrate this challenge</w:t>
      </w:r>
      <w:r w:rsidR="00772326">
        <w:rPr>
          <w:rFonts w:eastAsiaTheme="majorEastAsia"/>
          <w:iCs/>
          <w:szCs w:val="24"/>
          <w:lang w:val="en-GB"/>
        </w:rPr>
        <w:t xml:space="preserve"> as in many of the </w:t>
      </w:r>
      <w:r w:rsidR="00A61B9A">
        <w:rPr>
          <w:rFonts w:eastAsiaTheme="majorEastAsia"/>
          <w:iCs/>
          <w:szCs w:val="24"/>
          <w:lang w:val="en-GB"/>
        </w:rPr>
        <w:t xml:space="preserve">SSIBL </w:t>
      </w:r>
      <w:r w:rsidR="00772326">
        <w:rPr>
          <w:rFonts w:eastAsiaTheme="majorEastAsia"/>
          <w:iCs/>
          <w:szCs w:val="24"/>
          <w:lang w:val="en-GB"/>
        </w:rPr>
        <w:t>lessons observed, the PSTs’</w:t>
      </w:r>
      <w:r w:rsidR="009B0B5E" w:rsidRPr="009B0B5E">
        <w:rPr>
          <w:rFonts w:eastAsiaTheme="majorEastAsia"/>
          <w:iCs/>
          <w:szCs w:val="24"/>
          <w:lang w:val="en-GB"/>
        </w:rPr>
        <w:t xml:space="preserve"> questioning did</w:t>
      </w:r>
      <w:r w:rsidR="000C5FC3">
        <w:rPr>
          <w:rFonts w:eastAsiaTheme="majorEastAsia"/>
          <w:iCs/>
          <w:szCs w:val="24"/>
          <w:lang w:val="en-GB"/>
        </w:rPr>
        <w:t xml:space="preserve"> not link </w:t>
      </w:r>
      <w:r w:rsidR="00A61B9A">
        <w:rPr>
          <w:rFonts w:eastAsiaTheme="majorEastAsia"/>
          <w:iCs/>
          <w:szCs w:val="24"/>
          <w:lang w:val="en-GB"/>
        </w:rPr>
        <w:t xml:space="preserve">prior </w:t>
      </w:r>
      <w:r w:rsidR="000C5FC3">
        <w:rPr>
          <w:rFonts w:eastAsiaTheme="majorEastAsia"/>
          <w:iCs/>
          <w:szCs w:val="24"/>
          <w:lang w:val="en-GB"/>
        </w:rPr>
        <w:t xml:space="preserve">factual knowledge </w:t>
      </w:r>
      <w:r w:rsidR="009B0B5E" w:rsidRPr="004E2D2B">
        <w:rPr>
          <w:rFonts w:eastAsiaTheme="majorEastAsia"/>
          <w:iCs/>
          <w:szCs w:val="24"/>
          <w:lang w:val="en-GB"/>
        </w:rPr>
        <w:t>to students’ reasoning and discussions</w:t>
      </w:r>
      <w:r w:rsidR="00772326">
        <w:rPr>
          <w:rFonts w:eastAsiaTheme="majorEastAsia"/>
          <w:iCs/>
          <w:szCs w:val="24"/>
          <w:lang w:val="en-GB"/>
        </w:rPr>
        <w:t xml:space="preserve">: </w:t>
      </w:r>
      <w:r w:rsidR="009B0B5E" w:rsidRPr="00772326">
        <w:rPr>
          <w:rFonts w:eastAsiaTheme="majorEastAsia"/>
          <w:i/>
          <w:iCs/>
          <w:sz w:val="22"/>
          <w:lang w:val="en-GB"/>
        </w:rPr>
        <w:t>“although I did have scaffolding questions in the lesson none of them really did link back to the science</w:t>
      </w:r>
      <w:r w:rsidR="00772326" w:rsidRPr="00772326">
        <w:rPr>
          <w:rFonts w:eastAsiaTheme="majorEastAsia"/>
          <w:i/>
          <w:iCs/>
          <w:sz w:val="22"/>
          <w:lang w:val="en-GB"/>
        </w:rPr>
        <w:t xml:space="preserve"> [content]</w:t>
      </w:r>
      <w:r w:rsidR="009B0B5E" w:rsidRPr="00772326">
        <w:rPr>
          <w:rFonts w:eastAsiaTheme="majorEastAsia"/>
          <w:i/>
          <w:iCs/>
          <w:sz w:val="22"/>
          <w:lang w:val="en-GB"/>
        </w:rPr>
        <w:t xml:space="preserve"> even though at the time when I did them I thought this will guide them down the right road […]. So how can you actually build that into a lesson?” </w:t>
      </w:r>
      <w:r w:rsidR="009B0B5E" w:rsidRPr="003F1DC7">
        <w:rPr>
          <w:rFonts w:eastAsiaTheme="majorEastAsia"/>
          <w:sz w:val="22"/>
          <w:lang w:val="en-GB"/>
        </w:rPr>
        <w:t>(</w:t>
      </w:r>
      <w:r w:rsidR="00AC4740" w:rsidRPr="003F1DC7">
        <w:rPr>
          <w:rFonts w:eastAsiaTheme="majorEastAsia"/>
          <w:sz w:val="22"/>
          <w:lang w:val="en-GB"/>
        </w:rPr>
        <w:t>Interview</w:t>
      </w:r>
      <w:r w:rsidR="008916E8" w:rsidRPr="003F1DC7">
        <w:rPr>
          <w:rFonts w:eastAsiaTheme="majorEastAsia"/>
          <w:sz w:val="22"/>
          <w:lang w:val="en-GB"/>
        </w:rPr>
        <w:t>, June</w:t>
      </w:r>
      <w:r w:rsidR="009B0B5E" w:rsidRPr="003F1DC7">
        <w:rPr>
          <w:rFonts w:eastAsiaTheme="majorEastAsia"/>
          <w:sz w:val="22"/>
          <w:lang w:val="en-GB"/>
        </w:rPr>
        <w:t>16, PST13)</w:t>
      </w:r>
      <w:r w:rsidR="008916E8" w:rsidRPr="003F1DC7">
        <w:rPr>
          <w:rFonts w:eastAsiaTheme="majorEastAsia"/>
          <w:sz w:val="22"/>
          <w:lang w:val="en-GB"/>
        </w:rPr>
        <w:t>.</w:t>
      </w:r>
      <w:r w:rsidR="008916E8">
        <w:rPr>
          <w:rFonts w:eastAsiaTheme="majorEastAsia"/>
          <w:sz w:val="22"/>
          <w:lang w:val="en-GB"/>
        </w:rPr>
        <w:t xml:space="preserve"> </w:t>
      </w:r>
    </w:p>
    <w:p w:rsidR="00772326" w:rsidRPr="00772326" w:rsidRDefault="00772326" w:rsidP="00542902">
      <w:pPr>
        <w:spacing w:line="276" w:lineRule="auto"/>
        <w:rPr>
          <w:sz w:val="2"/>
          <w:szCs w:val="2"/>
          <w:lang w:val="en-GB"/>
        </w:rPr>
      </w:pPr>
    </w:p>
    <w:p w:rsidR="00556EED" w:rsidRDefault="00556EED" w:rsidP="00542902">
      <w:pPr>
        <w:pStyle w:val="FirstLevelSection"/>
        <w:spacing w:line="276" w:lineRule="auto"/>
      </w:pPr>
      <w:r>
        <w:t>Discussion and Conclusions</w:t>
      </w:r>
    </w:p>
    <w:p w:rsidR="00556EED" w:rsidRPr="00EF7C48" w:rsidRDefault="000C5FC3" w:rsidP="00A61B9A">
      <w:pPr>
        <w:spacing w:line="276" w:lineRule="auto"/>
        <w:jc w:val="both"/>
        <w:rPr>
          <w:lang w:val="en-GB"/>
        </w:rPr>
      </w:pPr>
      <w:r>
        <w:rPr>
          <w:lang w:val="en-GB"/>
        </w:rPr>
        <w:t>PSTs who</w:t>
      </w:r>
      <w:r w:rsidR="00556EED" w:rsidRPr="00556EED">
        <w:rPr>
          <w:lang w:val="en-GB"/>
        </w:rPr>
        <w:t xml:space="preserve"> implemented SSIBL reflected positively on pupil learning and engagement, which supported the PSTs’ sense of success</w:t>
      </w:r>
      <w:r w:rsidR="00E0675F">
        <w:rPr>
          <w:lang w:val="en-GB"/>
        </w:rPr>
        <w:t xml:space="preserve"> and their self-efficacy in relation to their teaching abilities</w:t>
      </w:r>
      <w:r w:rsidR="00556EED" w:rsidRPr="00556EED">
        <w:rPr>
          <w:lang w:val="en-GB"/>
        </w:rPr>
        <w:t>.</w:t>
      </w:r>
      <w:r w:rsidR="009B0B5E">
        <w:rPr>
          <w:lang w:val="en-GB"/>
        </w:rPr>
        <w:t xml:space="preserve"> </w:t>
      </w:r>
      <w:r w:rsidR="000F618B" w:rsidRPr="00E0675F">
        <w:rPr>
          <w:lang w:val="en-GB"/>
        </w:rPr>
        <w:t>The reported impact on students’ engagement and learning seemed to make the participating teachers even more willing and motivated to continue with t</w:t>
      </w:r>
      <w:r w:rsidR="008916E8">
        <w:rPr>
          <w:lang w:val="en-GB"/>
        </w:rPr>
        <w:t xml:space="preserve">heir efforts to adopt a SSIBL-oriented </w:t>
      </w:r>
      <w:r w:rsidR="000F618B" w:rsidRPr="00E0675F">
        <w:rPr>
          <w:lang w:val="en-GB"/>
        </w:rPr>
        <w:t>teaching practice (Shulman &amp; Shulman, 2004).</w:t>
      </w:r>
      <w:r w:rsidR="000F618B">
        <w:rPr>
          <w:rFonts w:eastAsiaTheme="majorEastAsia"/>
          <w:iCs/>
          <w:szCs w:val="24"/>
          <w:lang w:val="en-GB"/>
        </w:rPr>
        <w:t xml:space="preserve"> </w:t>
      </w:r>
      <w:r w:rsidR="003F1DC7">
        <w:rPr>
          <w:rFonts w:eastAsiaTheme="majorEastAsia"/>
          <w:iCs/>
          <w:szCs w:val="24"/>
          <w:lang w:val="en-GB"/>
        </w:rPr>
        <w:t>Creating a more student-centred classroom environment</w:t>
      </w:r>
      <w:r w:rsidR="003F1DC7">
        <w:rPr>
          <w:lang w:val="en-GB"/>
        </w:rPr>
        <w:t xml:space="preserve"> </w:t>
      </w:r>
      <w:r w:rsidR="00E25564">
        <w:rPr>
          <w:lang w:val="en-GB"/>
        </w:rPr>
        <w:t xml:space="preserve">was a </w:t>
      </w:r>
      <w:r w:rsidR="00E25564" w:rsidRPr="00E25564">
        <w:rPr>
          <w:lang w:val="en-GB"/>
        </w:rPr>
        <w:t xml:space="preserve">major challenge for </w:t>
      </w:r>
      <w:r w:rsidR="00E25564">
        <w:rPr>
          <w:lang w:val="en-GB"/>
        </w:rPr>
        <w:t xml:space="preserve">PSTs, a finding which is consistent with related work with </w:t>
      </w:r>
      <w:r w:rsidR="00E25564" w:rsidRPr="00E25564">
        <w:rPr>
          <w:lang w:val="en-GB"/>
        </w:rPr>
        <w:t>in-service teachers (Laius et al., 2009)</w:t>
      </w:r>
      <w:r w:rsidR="003F1DC7">
        <w:rPr>
          <w:lang w:val="en-GB"/>
        </w:rPr>
        <w:t xml:space="preserve">. Therefore, we argue </w:t>
      </w:r>
      <w:r w:rsidR="00E25564">
        <w:rPr>
          <w:lang w:val="en-GB"/>
        </w:rPr>
        <w:t>it is important that t</w:t>
      </w:r>
      <w:r w:rsidR="00E25564" w:rsidRPr="00510DA2">
        <w:rPr>
          <w:lang w:val="en-GB"/>
        </w:rPr>
        <w:t>eacher</w:t>
      </w:r>
      <w:r w:rsidR="00510DA2" w:rsidRPr="00510DA2">
        <w:rPr>
          <w:lang w:val="en-GB"/>
        </w:rPr>
        <w:t xml:space="preserve"> education abo</w:t>
      </w:r>
      <w:r>
        <w:rPr>
          <w:lang w:val="en-GB"/>
        </w:rPr>
        <w:t>ut SSIBL should</w:t>
      </w:r>
      <w:r w:rsidR="00E25564">
        <w:rPr>
          <w:lang w:val="en-GB"/>
        </w:rPr>
        <w:t xml:space="preserve"> co</w:t>
      </w:r>
      <w:r w:rsidR="00762119">
        <w:rPr>
          <w:lang w:val="en-GB"/>
        </w:rPr>
        <w:t>m</w:t>
      </w:r>
      <w:r w:rsidR="00E25564">
        <w:rPr>
          <w:lang w:val="en-GB"/>
        </w:rPr>
        <w:t>bine the need for (a) experiencing SSIBL in action</w:t>
      </w:r>
      <w:r w:rsidR="00772326">
        <w:rPr>
          <w:lang w:val="en-GB"/>
        </w:rPr>
        <w:t xml:space="preserve"> in a supportive, collaborative environment</w:t>
      </w:r>
      <w:r w:rsidR="00E25564">
        <w:rPr>
          <w:lang w:val="en-GB"/>
        </w:rPr>
        <w:t xml:space="preserve"> for developing </w:t>
      </w:r>
      <w:r w:rsidR="00772326">
        <w:rPr>
          <w:lang w:val="en-GB"/>
        </w:rPr>
        <w:t xml:space="preserve">SSIBL teaching </w:t>
      </w:r>
      <w:r w:rsidR="00E25564">
        <w:rPr>
          <w:lang w:val="en-GB"/>
        </w:rPr>
        <w:t>sk</w:t>
      </w:r>
      <w:r w:rsidR="00772326">
        <w:rPr>
          <w:lang w:val="en-GB"/>
        </w:rPr>
        <w:t>ills</w:t>
      </w:r>
      <w:r w:rsidR="00762119">
        <w:rPr>
          <w:lang w:val="en-GB"/>
        </w:rPr>
        <w:t xml:space="preserve">, with (b) </w:t>
      </w:r>
      <w:r w:rsidR="00E25564">
        <w:rPr>
          <w:lang w:val="en-GB"/>
        </w:rPr>
        <w:t>developing</w:t>
      </w:r>
      <w:r w:rsidR="00510DA2" w:rsidRPr="00510DA2">
        <w:rPr>
          <w:lang w:val="en-GB"/>
        </w:rPr>
        <w:t xml:space="preserve"> science teacher</w:t>
      </w:r>
      <w:r w:rsidR="00772326">
        <w:rPr>
          <w:lang w:val="en-GB"/>
        </w:rPr>
        <w:t xml:space="preserve"> identities (</w:t>
      </w:r>
      <w:r w:rsidR="00510DA2" w:rsidRPr="00510DA2">
        <w:rPr>
          <w:lang w:val="en-GB"/>
        </w:rPr>
        <w:t>Avraamidou, 2016) c</w:t>
      </w:r>
      <w:r w:rsidR="00E16F99">
        <w:rPr>
          <w:lang w:val="en-GB"/>
        </w:rPr>
        <w:t>onsistent with such an approach. Implications for teacher education</w:t>
      </w:r>
      <w:r w:rsidR="00762119">
        <w:rPr>
          <w:lang w:val="en-GB"/>
        </w:rPr>
        <w:t xml:space="preserve"> include the need to w</w:t>
      </w:r>
      <w:r w:rsidR="008916E8" w:rsidRPr="00510DA2">
        <w:rPr>
          <w:lang w:val="en-GB"/>
        </w:rPr>
        <w:t>ork more closely with PSTs on identifying critical moments i</w:t>
      </w:r>
      <w:r w:rsidR="00A61B9A">
        <w:rPr>
          <w:lang w:val="en-GB"/>
        </w:rPr>
        <w:t xml:space="preserve">n their training </w:t>
      </w:r>
      <w:r w:rsidR="008916E8" w:rsidRPr="00510DA2">
        <w:rPr>
          <w:lang w:val="en-GB"/>
        </w:rPr>
        <w:t xml:space="preserve">that help them </w:t>
      </w:r>
      <w:r w:rsidR="00772326">
        <w:rPr>
          <w:lang w:val="en-GB"/>
        </w:rPr>
        <w:t>develop</w:t>
      </w:r>
      <w:r w:rsidR="008916E8" w:rsidRPr="00510DA2">
        <w:rPr>
          <w:lang w:val="en-GB"/>
        </w:rPr>
        <w:t xml:space="preserve"> </w:t>
      </w:r>
      <w:r w:rsidR="00A61B9A">
        <w:rPr>
          <w:lang w:val="en-GB"/>
        </w:rPr>
        <w:t xml:space="preserve">SSIBL </w:t>
      </w:r>
      <w:r w:rsidR="008916E8" w:rsidRPr="00510DA2">
        <w:rPr>
          <w:lang w:val="en-GB"/>
        </w:rPr>
        <w:t xml:space="preserve">teaching practices education </w:t>
      </w:r>
      <w:r w:rsidR="00772326">
        <w:rPr>
          <w:lang w:val="en-GB"/>
        </w:rPr>
        <w:t>and</w:t>
      </w:r>
      <w:r w:rsidR="008916E8" w:rsidRPr="00510DA2">
        <w:rPr>
          <w:lang w:val="en-GB"/>
        </w:rPr>
        <w:t xml:space="preserve"> integrating the SSIBL dimensions including personal relevance and taking action (</w:t>
      </w:r>
      <w:proofErr w:type="spellStart"/>
      <w:r w:rsidR="008916E8" w:rsidRPr="00510DA2">
        <w:rPr>
          <w:lang w:val="en-GB"/>
        </w:rPr>
        <w:t>Vesterinen</w:t>
      </w:r>
      <w:proofErr w:type="spellEnd"/>
      <w:r w:rsidR="008916E8" w:rsidRPr="00510DA2">
        <w:rPr>
          <w:lang w:val="en-GB"/>
        </w:rPr>
        <w:t xml:space="preserve"> et al., 2016)</w:t>
      </w:r>
      <w:r w:rsidR="00A61B9A">
        <w:rPr>
          <w:lang w:val="en-GB"/>
        </w:rPr>
        <w:t xml:space="preserve"> in relevant areas </w:t>
      </w:r>
      <w:r w:rsidR="00772326">
        <w:rPr>
          <w:lang w:val="en-GB"/>
        </w:rPr>
        <w:t xml:space="preserve">of the curriculum they are asked to teach. </w:t>
      </w:r>
    </w:p>
    <w:p w:rsidR="006A2628" w:rsidRPr="00050A93" w:rsidRDefault="00E74AE4" w:rsidP="00542902">
      <w:pPr>
        <w:pStyle w:val="FirstLevelSection"/>
        <w:spacing w:after="0" w:line="276" w:lineRule="auto"/>
      </w:pPr>
      <w:r>
        <w:t>REFERENCES</w:t>
      </w:r>
    </w:p>
    <w:p w:rsidR="00EF7C48" w:rsidRPr="000C1FAE" w:rsidRDefault="00EF7C48" w:rsidP="004A0CCD">
      <w:pPr>
        <w:spacing w:after="0"/>
        <w:ind w:left="284" w:hanging="284"/>
        <w:rPr>
          <w:rFonts w:asciiTheme="majorBidi" w:hAnsiTheme="majorBidi" w:cstheme="majorBidi"/>
          <w:sz w:val="22"/>
          <w:lang w:val="en-GB"/>
        </w:rPr>
      </w:pPr>
      <w:r w:rsidRPr="000C1FAE">
        <w:rPr>
          <w:rFonts w:asciiTheme="majorBidi" w:hAnsiTheme="majorBidi" w:cstheme="majorBidi"/>
          <w:sz w:val="22"/>
          <w:lang w:val="en-GB"/>
        </w:rPr>
        <w:t>Avraamidou, L. (Ed.). (2016). </w:t>
      </w:r>
      <w:proofErr w:type="gramStart"/>
      <w:r w:rsidRPr="000C1FAE">
        <w:rPr>
          <w:rFonts w:asciiTheme="majorBidi" w:hAnsiTheme="majorBidi" w:cstheme="majorBidi"/>
          <w:i/>
          <w:iCs/>
          <w:sz w:val="22"/>
          <w:lang w:val="en-GB"/>
        </w:rPr>
        <w:t>Studying</w:t>
      </w:r>
      <w:proofErr w:type="gramEnd"/>
      <w:r w:rsidRPr="000C1FAE">
        <w:rPr>
          <w:rFonts w:asciiTheme="majorBidi" w:hAnsiTheme="majorBidi" w:cstheme="majorBidi"/>
          <w:i/>
          <w:iCs/>
          <w:sz w:val="22"/>
          <w:lang w:val="en-GB"/>
        </w:rPr>
        <w:t xml:space="preserve"> science teacher identity: Theoretical, methodological and empirical explorations</w:t>
      </w:r>
      <w:r w:rsidRPr="000C1FAE">
        <w:rPr>
          <w:rFonts w:asciiTheme="majorBidi" w:hAnsiTheme="majorBidi" w:cstheme="majorBidi"/>
          <w:sz w:val="22"/>
          <w:lang w:val="en-GB"/>
        </w:rPr>
        <w:t>. Springer.</w:t>
      </w:r>
    </w:p>
    <w:p w:rsidR="000C1FAE" w:rsidRPr="000C1FAE" w:rsidRDefault="000C1FAE" w:rsidP="004A0CCD">
      <w:pPr>
        <w:spacing w:after="0"/>
        <w:ind w:left="284" w:hanging="284"/>
        <w:rPr>
          <w:rFonts w:asciiTheme="majorBidi" w:hAnsiTheme="majorBidi" w:cstheme="majorBidi"/>
          <w:sz w:val="22"/>
          <w:lang w:val="en-GB"/>
        </w:rPr>
      </w:pPr>
      <w:r w:rsidRPr="000C1FAE">
        <w:rPr>
          <w:rFonts w:asciiTheme="majorBidi" w:hAnsiTheme="majorBidi" w:cstheme="majorBidi"/>
          <w:sz w:val="22"/>
          <w:lang w:val="en-GB"/>
        </w:rPr>
        <w:t xml:space="preserve">Bell, B., &amp; Gilbert, J. (1996). </w:t>
      </w:r>
      <w:r w:rsidRPr="000C1FAE">
        <w:rPr>
          <w:rFonts w:asciiTheme="majorBidi" w:hAnsiTheme="majorBidi" w:cstheme="majorBidi"/>
          <w:i/>
          <w:iCs/>
          <w:sz w:val="22"/>
          <w:lang w:val="en-GB"/>
        </w:rPr>
        <w:t>Teacher development: A model from science education.</w:t>
      </w:r>
      <w:r w:rsidRPr="000C1FAE">
        <w:rPr>
          <w:rFonts w:asciiTheme="majorBidi" w:hAnsiTheme="majorBidi" w:cstheme="majorBidi"/>
          <w:sz w:val="22"/>
          <w:lang w:val="en-GB"/>
        </w:rPr>
        <w:t xml:space="preserve"> London: </w:t>
      </w:r>
      <w:proofErr w:type="spellStart"/>
      <w:r w:rsidRPr="000C1FAE">
        <w:rPr>
          <w:rFonts w:asciiTheme="majorBidi" w:hAnsiTheme="majorBidi" w:cstheme="majorBidi"/>
          <w:sz w:val="22"/>
          <w:lang w:val="en-GB"/>
        </w:rPr>
        <w:t>Falmer</w:t>
      </w:r>
      <w:proofErr w:type="spellEnd"/>
    </w:p>
    <w:p w:rsidR="006A2628" w:rsidRDefault="006A2628" w:rsidP="004A0CCD">
      <w:pPr>
        <w:spacing w:after="0"/>
        <w:ind w:left="284" w:hanging="284"/>
        <w:rPr>
          <w:rFonts w:asciiTheme="majorBidi" w:hAnsiTheme="majorBidi" w:cstheme="majorBidi"/>
          <w:sz w:val="22"/>
          <w:lang w:val="en-GB"/>
        </w:rPr>
      </w:pPr>
      <w:r w:rsidRPr="000C1FAE">
        <w:rPr>
          <w:rFonts w:asciiTheme="majorBidi" w:hAnsiTheme="majorBidi" w:cstheme="majorBidi"/>
          <w:sz w:val="22"/>
          <w:lang w:val="en-GB"/>
        </w:rPr>
        <w:t>Creswell, J</w:t>
      </w:r>
      <w:r w:rsidR="00EF7C48" w:rsidRPr="000C1FAE">
        <w:rPr>
          <w:rFonts w:asciiTheme="majorBidi" w:hAnsiTheme="majorBidi" w:cstheme="majorBidi"/>
          <w:sz w:val="22"/>
          <w:lang w:val="en-GB"/>
        </w:rPr>
        <w:t xml:space="preserve"> (2009).</w:t>
      </w:r>
      <w:r w:rsidR="00C71FA5">
        <w:rPr>
          <w:rFonts w:asciiTheme="majorBidi" w:hAnsiTheme="majorBidi" w:cstheme="majorBidi"/>
          <w:sz w:val="22"/>
          <w:lang w:val="en-GB"/>
        </w:rPr>
        <w:t xml:space="preserve"> </w:t>
      </w:r>
      <w:r w:rsidR="00EF7C48" w:rsidRPr="000C1FAE">
        <w:rPr>
          <w:rFonts w:asciiTheme="majorBidi" w:hAnsiTheme="majorBidi" w:cstheme="majorBidi"/>
          <w:i/>
          <w:iCs/>
          <w:sz w:val="22"/>
          <w:lang w:val="en-GB"/>
        </w:rPr>
        <w:t>Research design:</w:t>
      </w:r>
      <w:r w:rsidR="00C71FA5">
        <w:rPr>
          <w:rFonts w:asciiTheme="majorBidi" w:hAnsiTheme="majorBidi" w:cstheme="majorBidi"/>
          <w:i/>
          <w:iCs/>
          <w:sz w:val="22"/>
          <w:lang w:val="en-GB"/>
        </w:rPr>
        <w:t xml:space="preserve"> </w:t>
      </w:r>
      <w:r w:rsidRPr="000C1FAE">
        <w:rPr>
          <w:rFonts w:asciiTheme="majorBidi" w:hAnsiTheme="majorBidi" w:cstheme="majorBidi"/>
          <w:i/>
          <w:iCs/>
          <w:sz w:val="22"/>
          <w:lang w:val="en-GB"/>
        </w:rPr>
        <w:t>qualitative, quantitative and mixed methods approaches</w:t>
      </w:r>
      <w:r w:rsidR="00C71FA5">
        <w:rPr>
          <w:rFonts w:asciiTheme="majorBidi" w:hAnsiTheme="majorBidi" w:cstheme="majorBidi"/>
          <w:sz w:val="22"/>
          <w:lang w:val="en-GB"/>
        </w:rPr>
        <w:t xml:space="preserve"> (3rd Ed.). London: </w:t>
      </w:r>
      <w:r w:rsidRPr="000C1FAE">
        <w:rPr>
          <w:rFonts w:asciiTheme="majorBidi" w:hAnsiTheme="majorBidi" w:cstheme="majorBidi"/>
          <w:sz w:val="22"/>
          <w:lang w:val="en-GB"/>
        </w:rPr>
        <w:t>SAGE.</w:t>
      </w:r>
    </w:p>
    <w:p w:rsidR="007B650A" w:rsidRDefault="007B650A" w:rsidP="004A0CCD">
      <w:pPr>
        <w:spacing w:after="0"/>
        <w:ind w:left="284" w:hanging="284"/>
        <w:rPr>
          <w:rFonts w:asciiTheme="majorBidi" w:hAnsiTheme="majorBidi" w:cstheme="majorBidi"/>
          <w:sz w:val="22"/>
          <w:lang w:val="en-GB"/>
        </w:rPr>
      </w:pPr>
      <w:r w:rsidRPr="007B650A">
        <w:rPr>
          <w:rFonts w:asciiTheme="majorBidi" w:hAnsiTheme="majorBidi" w:cstheme="majorBidi"/>
          <w:sz w:val="22"/>
          <w:lang w:val="en-GB"/>
        </w:rPr>
        <w:t xml:space="preserve">Laius, A., </w:t>
      </w:r>
      <w:proofErr w:type="spellStart"/>
      <w:r w:rsidRPr="007B650A">
        <w:rPr>
          <w:rFonts w:asciiTheme="majorBidi" w:hAnsiTheme="majorBidi" w:cstheme="majorBidi"/>
          <w:sz w:val="22"/>
          <w:lang w:val="en-GB"/>
        </w:rPr>
        <w:t>Kask</w:t>
      </w:r>
      <w:proofErr w:type="spellEnd"/>
      <w:r w:rsidRPr="007B650A">
        <w:rPr>
          <w:rFonts w:asciiTheme="majorBidi" w:hAnsiTheme="majorBidi" w:cstheme="majorBidi"/>
          <w:sz w:val="22"/>
          <w:lang w:val="en-GB"/>
        </w:rPr>
        <w:t xml:space="preserve">, K., &amp; </w:t>
      </w:r>
      <w:proofErr w:type="spellStart"/>
      <w:r w:rsidRPr="007B650A">
        <w:rPr>
          <w:rFonts w:asciiTheme="majorBidi" w:hAnsiTheme="majorBidi" w:cstheme="majorBidi"/>
          <w:sz w:val="22"/>
          <w:lang w:val="en-GB"/>
        </w:rPr>
        <w:t>Rannimäe</w:t>
      </w:r>
      <w:proofErr w:type="spellEnd"/>
      <w:r w:rsidRPr="007B650A">
        <w:rPr>
          <w:rFonts w:asciiTheme="majorBidi" w:hAnsiTheme="majorBidi" w:cstheme="majorBidi"/>
          <w:sz w:val="22"/>
          <w:lang w:val="en-GB"/>
        </w:rPr>
        <w:t xml:space="preserve">, M. (2009). Comparing outcomes from two case studies on chemistry teachers’ readiness to change. </w:t>
      </w:r>
      <w:r w:rsidRPr="007B650A">
        <w:rPr>
          <w:rFonts w:asciiTheme="majorBidi" w:hAnsiTheme="majorBidi" w:cstheme="majorBidi"/>
          <w:i/>
          <w:iCs/>
          <w:sz w:val="22"/>
          <w:lang w:val="en-GB"/>
        </w:rPr>
        <w:t>Chemistry Education Research and Practice, 10</w:t>
      </w:r>
      <w:r w:rsidRPr="007B650A">
        <w:rPr>
          <w:rFonts w:asciiTheme="majorBidi" w:hAnsiTheme="majorBidi" w:cstheme="majorBidi"/>
          <w:sz w:val="22"/>
          <w:lang w:val="en-GB"/>
        </w:rPr>
        <w:t>(2), 142-153.</w:t>
      </w:r>
    </w:p>
    <w:p w:rsidR="00AC4740" w:rsidRPr="000C1FAE" w:rsidRDefault="00A06536" w:rsidP="004A0CCD">
      <w:pPr>
        <w:spacing w:after="0"/>
        <w:ind w:left="284" w:hanging="284"/>
        <w:rPr>
          <w:rFonts w:asciiTheme="majorBidi" w:hAnsiTheme="majorBidi" w:cstheme="majorBidi"/>
          <w:sz w:val="22"/>
          <w:lang w:val="en-GB"/>
        </w:rPr>
      </w:pPr>
      <w:r>
        <w:rPr>
          <w:rFonts w:asciiTheme="majorBidi" w:hAnsiTheme="majorBidi" w:cstheme="majorBidi"/>
          <w:sz w:val="22"/>
          <w:lang w:val="en-GB"/>
        </w:rPr>
        <w:t xml:space="preserve">Levinson, R. &amp; PARRISE consortium </w:t>
      </w:r>
      <w:r w:rsidRPr="00A06536">
        <w:rPr>
          <w:rFonts w:asciiTheme="majorBidi" w:hAnsiTheme="majorBidi" w:cstheme="majorBidi"/>
          <w:sz w:val="22"/>
          <w:lang w:val="en-GB"/>
        </w:rPr>
        <w:t xml:space="preserve">(in review). Socio-scientific based learning: taking off from STEPWISE. In J.L. </w:t>
      </w:r>
      <w:proofErr w:type="spellStart"/>
      <w:r w:rsidRPr="00A06536">
        <w:rPr>
          <w:rFonts w:asciiTheme="majorBidi" w:hAnsiTheme="majorBidi" w:cstheme="majorBidi"/>
          <w:sz w:val="22"/>
          <w:lang w:val="en-GB"/>
        </w:rPr>
        <w:t>Bencze</w:t>
      </w:r>
      <w:proofErr w:type="spellEnd"/>
      <w:r w:rsidRPr="00A06536">
        <w:rPr>
          <w:rFonts w:asciiTheme="majorBidi" w:hAnsiTheme="majorBidi" w:cstheme="majorBidi"/>
          <w:sz w:val="22"/>
          <w:lang w:val="en-GB"/>
        </w:rPr>
        <w:t xml:space="preserve"> (Ed.), </w:t>
      </w:r>
      <w:r w:rsidRPr="00A06536">
        <w:rPr>
          <w:rFonts w:asciiTheme="majorBidi" w:hAnsiTheme="majorBidi" w:cstheme="majorBidi"/>
          <w:i/>
          <w:iCs/>
          <w:sz w:val="22"/>
          <w:lang w:val="en-GB"/>
        </w:rPr>
        <w:t>Science &amp; technology education promoting wellbeing for individuals, societies &amp; environments</w:t>
      </w:r>
      <w:r w:rsidRPr="00A06536">
        <w:rPr>
          <w:rFonts w:asciiTheme="majorBidi" w:hAnsiTheme="majorBidi" w:cstheme="majorBidi"/>
          <w:sz w:val="22"/>
          <w:lang w:val="en-GB"/>
        </w:rPr>
        <w:t xml:space="preserve"> (pp. xx-xx). Dordrecht: Springer.  </w:t>
      </w:r>
    </w:p>
    <w:p w:rsidR="00395FE8" w:rsidRDefault="00395FE8" w:rsidP="004A0CCD">
      <w:pPr>
        <w:spacing w:after="0"/>
        <w:ind w:left="284" w:hanging="284"/>
        <w:rPr>
          <w:rFonts w:asciiTheme="majorBidi" w:hAnsiTheme="majorBidi" w:cstheme="majorBidi"/>
          <w:sz w:val="22"/>
          <w:lang w:val="en-GB"/>
        </w:rPr>
      </w:pPr>
      <w:r w:rsidRPr="00395FE8">
        <w:rPr>
          <w:rFonts w:asciiTheme="majorBidi" w:hAnsiTheme="majorBidi" w:cstheme="majorBidi"/>
          <w:sz w:val="22"/>
          <w:lang w:val="en-GB"/>
        </w:rPr>
        <w:t xml:space="preserve">Sampson, V., &amp; Blanchard, M. R. (2012). Science teachers and scientific argumentation: Trends in views and practice. </w:t>
      </w:r>
      <w:r w:rsidRPr="00395FE8">
        <w:rPr>
          <w:rFonts w:asciiTheme="majorBidi" w:hAnsiTheme="majorBidi" w:cstheme="majorBidi"/>
          <w:i/>
          <w:iCs/>
          <w:sz w:val="22"/>
          <w:lang w:val="en-GB"/>
        </w:rPr>
        <w:t>Journal of Research in Science Teaching, 49</w:t>
      </w:r>
      <w:r w:rsidRPr="00395FE8">
        <w:rPr>
          <w:rFonts w:asciiTheme="majorBidi" w:hAnsiTheme="majorBidi" w:cstheme="majorBidi"/>
          <w:sz w:val="22"/>
          <w:lang w:val="en-GB"/>
        </w:rPr>
        <w:t>(9), 1122-1148.</w:t>
      </w:r>
    </w:p>
    <w:p w:rsidR="00395FE8" w:rsidRPr="000C1FAE" w:rsidRDefault="00EF7C48" w:rsidP="004A0CCD">
      <w:pPr>
        <w:spacing w:after="0"/>
        <w:ind w:left="284" w:hanging="284"/>
        <w:rPr>
          <w:rFonts w:asciiTheme="majorBidi" w:hAnsiTheme="majorBidi" w:cstheme="majorBidi"/>
          <w:sz w:val="22"/>
          <w:lang w:val="en-GB"/>
        </w:rPr>
      </w:pPr>
      <w:r w:rsidRPr="000C1FAE">
        <w:rPr>
          <w:rFonts w:asciiTheme="majorBidi" w:hAnsiTheme="majorBidi" w:cstheme="majorBidi"/>
          <w:sz w:val="22"/>
          <w:lang w:val="en-GB"/>
        </w:rPr>
        <w:t xml:space="preserve">Shulman, L. S., &amp; Shulman, J. H. (2004). How and what teachers learn: A shifting perspective. </w:t>
      </w:r>
      <w:r w:rsidRPr="000C1FAE">
        <w:rPr>
          <w:rFonts w:asciiTheme="majorBidi" w:hAnsiTheme="majorBidi" w:cstheme="majorBidi"/>
          <w:i/>
          <w:iCs/>
          <w:sz w:val="22"/>
          <w:lang w:val="en-GB"/>
        </w:rPr>
        <w:t>Journal of Curriculum Studies, 36</w:t>
      </w:r>
      <w:r w:rsidRPr="000C1FAE">
        <w:rPr>
          <w:rFonts w:asciiTheme="majorBidi" w:hAnsiTheme="majorBidi" w:cstheme="majorBidi"/>
          <w:sz w:val="22"/>
          <w:lang w:val="en-GB"/>
        </w:rPr>
        <w:t>(2), 257-271.</w:t>
      </w:r>
    </w:p>
    <w:p w:rsidR="005E4EBB" w:rsidRPr="000C1FAE" w:rsidRDefault="00CC2273" w:rsidP="004A0CCD">
      <w:pPr>
        <w:spacing w:after="0"/>
        <w:ind w:left="284" w:hanging="284"/>
        <w:rPr>
          <w:rFonts w:asciiTheme="majorBidi" w:hAnsiTheme="majorBidi" w:cstheme="majorBidi"/>
          <w:sz w:val="22"/>
          <w:lang w:val="en-GB"/>
        </w:rPr>
      </w:pPr>
      <w:r>
        <w:rPr>
          <w:rFonts w:asciiTheme="majorBidi" w:hAnsiTheme="majorBidi" w:cstheme="majorBidi"/>
          <w:sz w:val="22"/>
          <w:lang w:val="en-GB"/>
        </w:rPr>
        <w:t>Topcu, M, Sadler, T</w:t>
      </w:r>
      <w:r w:rsidR="006A2628" w:rsidRPr="000C1FAE">
        <w:rPr>
          <w:rFonts w:asciiTheme="majorBidi" w:hAnsiTheme="majorBidi" w:cstheme="majorBidi"/>
          <w:sz w:val="22"/>
          <w:lang w:val="en-GB"/>
        </w:rPr>
        <w:t>, &amp; Yilmaz</w:t>
      </w:r>
      <w:r w:rsidR="006A2628" w:rsidRPr="000C1FAE">
        <w:rPr>
          <w:rFonts w:ascii="Cambria Math" w:hAnsi="Cambria Math" w:cs="Cambria Math"/>
          <w:sz w:val="22"/>
          <w:lang w:val="en-GB"/>
        </w:rPr>
        <w:t>‐</w:t>
      </w:r>
      <w:proofErr w:type="spellStart"/>
      <w:r w:rsidR="006A2628" w:rsidRPr="000C1FAE">
        <w:rPr>
          <w:rFonts w:asciiTheme="majorBidi" w:hAnsiTheme="majorBidi" w:cstheme="majorBidi"/>
          <w:sz w:val="22"/>
          <w:lang w:val="en-GB"/>
        </w:rPr>
        <w:t>Tuzun</w:t>
      </w:r>
      <w:proofErr w:type="spellEnd"/>
      <w:r w:rsidR="006A2628" w:rsidRPr="000C1FAE">
        <w:rPr>
          <w:rFonts w:asciiTheme="majorBidi" w:hAnsiTheme="majorBidi" w:cstheme="majorBidi"/>
          <w:sz w:val="22"/>
          <w:lang w:val="en-GB"/>
        </w:rPr>
        <w:t>, O. (2010)</w:t>
      </w:r>
      <w:r>
        <w:rPr>
          <w:rFonts w:asciiTheme="majorBidi" w:hAnsiTheme="majorBidi" w:cstheme="majorBidi"/>
          <w:sz w:val="22"/>
          <w:lang w:val="en-GB"/>
        </w:rPr>
        <w:t>.</w:t>
      </w:r>
      <w:r w:rsidR="006A2628" w:rsidRPr="000C1FAE">
        <w:rPr>
          <w:rFonts w:asciiTheme="majorBidi" w:hAnsiTheme="majorBidi" w:cstheme="majorBidi"/>
          <w:sz w:val="22"/>
          <w:lang w:val="en-GB"/>
        </w:rPr>
        <w:t xml:space="preserve"> Preservice Science Teachers</w:t>
      </w:r>
      <w:r w:rsidR="006A2628" w:rsidRPr="000C1FAE">
        <w:rPr>
          <w:rFonts w:cs="Times New Roman"/>
          <w:sz w:val="22"/>
          <w:lang w:val="en-GB"/>
        </w:rPr>
        <w:t>’</w:t>
      </w:r>
      <w:r w:rsidR="006A2628" w:rsidRPr="000C1FAE">
        <w:rPr>
          <w:rFonts w:asciiTheme="majorBidi" w:hAnsiTheme="majorBidi" w:cstheme="majorBidi"/>
          <w:sz w:val="22"/>
          <w:lang w:val="en-GB"/>
        </w:rPr>
        <w:t xml:space="preserve"> Informal Reason</w:t>
      </w:r>
      <w:r w:rsidR="00A06536">
        <w:rPr>
          <w:rFonts w:asciiTheme="majorBidi" w:hAnsiTheme="majorBidi" w:cstheme="majorBidi"/>
          <w:sz w:val="22"/>
          <w:lang w:val="en-GB"/>
        </w:rPr>
        <w:t>ing about SSIs</w:t>
      </w:r>
      <w:r w:rsidR="006A2628" w:rsidRPr="000C1FAE">
        <w:rPr>
          <w:rFonts w:asciiTheme="majorBidi" w:hAnsiTheme="majorBidi" w:cstheme="majorBidi"/>
          <w:sz w:val="22"/>
          <w:lang w:val="en-GB"/>
        </w:rPr>
        <w:t xml:space="preserve">: The influence of issue context, </w:t>
      </w:r>
      <w:r w:rsidR="006A2628" w:rsidRPr="000C1FAE">
        <w:rPr>
          <w:rFonts w:asciiTheme="majorBidi" w:hAnsiTheme="majorBidi" w:cstheme="majorBidi"/>
          <w:i/>
          <w:iCs/>
          <w:sz w:val="22"/>
          <w:lang w:val="en-GB"/>
        </w:rPr>
        <w:t>International Journal of Science Education, 32</w:t>
      </w:r>
      <w:r w:rsidR="006A2628" w:rsidRPr="000C1FAE">
        <w:rPr>
          <w:rFonts w:asciiTheme="majorBidi" w:hAnsiTheme="majorBidi" w:cstheme="majorBidi"/>
          <w:sz w:val="22"/>
          <w:lang w:val="en-GB"/>
        </w:rPr>
        <w:t xml:space="preserve">(18), 2475-2495 </w:t>
      </w:r>
    </w:p>
    <w:p w:rsidR="009D03AE" w:rsidRDefault="009D03AE" w:rsidP="004A0CCD">
      <w:pPr>
        <w:spacing w:after="0"/>
        <w:ind w:left="284" w:hanging="284"/>
        <w:rPr>
          <w:sz w:val="22"/>
          <w:lang w:val="en-GB"/>
        </w:rPr>
      </w:pPr>
      <w:proofErr w:type="spellStart"/>
      <w:r w:rsidRPr="0080772D">
        <w:rPr>
          <w:sz w:val="22"/>
          <w:lang w:val="de-DE"/>
        </w:rPr>
        <w:t>Vesterinen</w:t>
      </w:r>
      <w:proofErr w:type="spellEnd"/>
      <w:r w:rsidRPr="0080772D">
        <w:rPr>
          <w:sz w:val="22"/>
          <w:lang w:val="de-DE"/>
        </w:rPr>
        <w:t xml:space="preserve">, V. M., </w:t>
      </w:r>
      <w:proofErr w:type="spellStart"/>
      <w:r w:rsidRPr="0080772D">
        <w:rPr>
          <w:sz w:val="22"/>
          <w:lang w:val="de-DE"/>
        </w:rPr>
        <w:t>Tolppanen</w:t>
      </w:r>
      <w:proofErr w:type="spellEnd"/>
      <w:r w:rsidRPr="0080772D">
        <w:rPr>
          <w:sz w:val="22"/>
          <w:lang w:val="de-DE"/>
        </w:rPr>
        <w:t xml:space="preserve">, S., &amp; </w:t>
      </w:r>
      <w:proofErr w:type="spellStart"/>
      <w:r w:rsidRPr="0080772D">
        <w:rPr>
          <w:sz w:val="22"/>
          <w:lang w:val="de-DE"/>
        </w:rPr>
        <w:t>Aksela</w:t>
      </w:r>
      <w:proofErr w:type="spellEnd"/>
      <w:r w:rsidRPr="0080772D">
        <w:rPr>
          <w:sz w:val="22"/>
          <w:lang w:val="de-DE"/>
        </w:rPr>
        <w:t xml:space="preserve">, M. (2016). </w:t>
      </w:r>
      <w:r w:rsidRPr="009B0B5E">
        <w:rPr>
          <w:sz w:val="22"/>
          <w:lang w:val="en-GB"/>
        </w:rPr>
        <w:t>Toward citizenship science education: what students do to</w:t>
      </w:r>
      <w:r w:rsidR="00EF7C48" w:rsidRPr="009B0B5E">
        <w:rPr>
          <w:sz w:val="22"/>
          <w:lang w:val="en-GB"/>
        </w:rPr>
        <w:t xml:space="preserve"> make the world a better place?</w:t>
      </w:r>
      <w:r w:rsidRPr="009B0B5E">
        <w:rPr>
          <w:sz w:val="22"/>
          <w:lang w:val="en-GB"/>
        </w:rPr>
        <w:t> </w:t>
      </w:r>
      <w:r w:rsidRPr="009B0B5E">
        <w:rPr>
          <w:i/>
          <w:iCs/>
          <w:sz w:val="22"/>
          <w:lang w:val="en-GB"/>
        </w:rPr>
        <w:t>International Journal of Science Education</w:t>
      </w:r>
      <w:r w:rsidRPr="009B0B5E">
        <w:rPr>
          <w:sz w:val="22"/>
          <w:lang w:val="en-GB"/>
        </w:rPr>
        <w:t>, </w:t>
      </w:r>
      <w:r w:rsidRPr="009B0B5E">
        <w:rPr>
          <w:i/>
          <w:iCs/>
          <w:sz w:val="22"/>
          <w:lang w:val="en-GB"/>
        </w:rPr>
        <w:t>38</w:t>
      </w:r>
      <w:r w:rsidRPr="009B0B5E">
        <w:rPr>
          <w:sz w:val="22"/>
          <w:lang w:val="en-GB"/>
        </w:rPr>
        <w:t>(1), 30-50.</w:t>
      </w:r>
    </w:p>
    <w:p w:rsidR="007D2D2D" w:rsidRPr="00F150CC" w:rsidRDefault="007D2D2D" w:rsidP="004A0CCD">
      <w:pPr>
        <w:spacing w:after="0"/>
        <w:ind w:left="284" w:hanging="284"/>
        <w:rPr>
          <w:sz w:val="22"/>
          <w:lang w:val="en-GB"/>
        </w:rPr>
      </w:pPr>
      <w:proofErr w:type="spellStart"/>
      <w:r w:rsidRPr="007D2D2D">
        <w:rPr>
          <w:sz w:val="22"/>
          <w:lang w:val="en-GB"/>
        </w:rPr>
        <w:t>Zeidler</w:t>
      </w:r>
      <w:proofErr w:type="spellEnd"/>
      <w:r w:rsidRPr="007D2D2D">
        <w:rPr>
          <w:sz w:val="22"/>
          <w:lang w:val="en-GB"/>
        </w:rPr>
        <w:t xml:space="preserve">, D. L. (2014). Socioscientific issues as a curriculum emphasis. Theory, research, and practice. In NG Lederman &amp; SK </w:t>
      </w:r>
      <w:proofErr w:type="spellStart"/>
      <w:r w:rsidRPr="007D2D2D">
        <w:rPr>
          <w:sz w:val="22"/>
          <w:lang w:val="en-GB"/>
        </w:rPr>
        <w:t>Abell</w:t>
      </w:r>
      <w:proofErr w:type="spellEnd"/>
      <w:r w:rsidRPr="007D2D2D">
        <w:rPr>
          <w:sz w:val="22"/>
          <w:lang w:val="en-GB"/>
        </w:rPr>
        <w:t xml:space="preserve"> (Eds</w:t>
      </w:r>
      <w:r w:rsidRPr="007D2D2D">
        <w:rPr>
          <w:i/>
          <w:iCs/>
          <w:sz w:val="22"/>
          <w:lang w:val="en-GB"/>
        </w:rPr>
        <w:t>.), Handbook of research on science education, (</w:t>
      </w:r>
      <w:proofErr w:type="spellStart"/>
      <w:r w:rsidRPr="007D2D2D">
        <w:rPr>
          <w:i/>
          <w:iCs/>
          <w:sz w:val="22"/>
          <w:lang w:val="en-GB"/>
        </w:rPr>
        <w:t>Vol.II</w:t>
      </w:r>
      <w:proofErr w:type="spellEnd"/>
      <w:r w:rsidRPr="007D2D2D">
        <w:rPr>
          <w:i/>
          <w:iCs/>
          <w:sz w:val="22"/>
          <w:lang w:val="en-GB"/>
        </w:rPr>
        <w:t>),</w:t>
      </w:r>
      <w:r w:rsidRPr="007D2D2D">
        <w:rPr>
          <w:sz w:val="22"/>
          <w:lang w:val="en-GB"/>
        </w:rPr>
        <w:t xml:space="preserve"> 697-726.</w:t>
      </w:r>
    </w:p>
    <w:sectPr w:rsidR="007D2D2D" w:rsidRPr="00F150CC" w:rsidSect="00E74AE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D64" w:rsidRDefault="004B2D64" w:rsidP="00FD2E3B">
      <w:pPr>
        <w:spacing w:after="0"/>
      </w:pPr>
      <w:r>
        <w:separator/>
      </w:r>
    </w:p>
  </w:endnote>
  <w:endnote w:type="continuationSeparator" w:id="0">
    <w:p w:rsidR="004B2D64" w:rsidRDefault="004B2D64" w:rsidP="00FD2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D64" w:rsidRDefault="004B2D64" w:rsidP="00FD2E3B">
      <w:pPr>
        <w:spacing w:after="0"/>
      </w:pPr>
      <w:r>
        <w:separator/>
      </w:r>
    </w:p>
  </w:footnote>
  <w:footnote w:type="continuationSeparator" w:id="0">
    <w:p w:rsidR="004B2D64" w:rsidRDefault="004B2D64" w:rsidP="00FD2E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E3B" w:rsidRDefault="00FD2E3B" w:rsidP="00FD2E3B">
    <w:pPr>
      <w:pStyle w:val="Header"/>
      <w:jc w:val="right"/>
    </w:pPr>
    <w:r>
      <w:rPr>
        <w:noProof/>
        <w:lang w:val="en-GB" w:eastAsia="zh-CN"/>
      </w:rPr>
      <w:drawing>
        <wp:inline distT="0" distB="0" distL="0" distR="0">
          <wp:extent cx="2060452" cy="3657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60452" cy="3657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F1936"/>
    <w:multiLevelType w:val="hybridMultilevel"/>
    <w:tmpl w:val="A9FA50E6"/>
    <w:lvl w:ilvl="0" w:tplc="DE6A3B7A">
      <w:start w:val="1"/>
      <w:numFmt w:val="bullet"/>
      <w:lvlText w:val=""/>
      <w:lvlJc w:val="left"/>
      <w:pPr>
        <w:tabs>
          <w:tab w:val="num" w:pos="720"/>
        </w:tabs>
        <w:ind w:left="720" w:hanging="360"/>
      </w:pPr>
      <w:rPr>
        <w:rFonts w:ascii="Wingdings" w:hAnsi="Wingdings" w:hint="default"/>
      </w:rPr>
    </w:lvl>
    <w:lvl w:ilvl="1" w:tplc="06C86CD4" w:tentative="1">
      <w:start w:val="1"/>
      <w:numFmt w:val="bullet"/>
      <w:lvlText w:val=""/>
      <w:lvlJc w:val="left"/>
      <w:pPr>
        <w:tabs>
          <w:tab w:val="num" w:pos="1440"/>
        </w:tabs>
        <w:ind w:left="1440" w:hanging="360"/>
      </w:pPr>
      <w:rPr>
        <w:rFonts w:ascii="Wingdings" w:hAnsi="Wingdings" w:hint="default"/>
      </w:rPr>
    </w:lvl>
    <w:lvl w:ilvl="2" w:tplc="7DBCF3D0" w:tentative="1">
      <w:start w:val="1"/>
      <w:numFmt w:val="bullet"/>
      <w:lvlText w:val=""/>
      <w:lvlJc w:val="left"/>
      <w:pPr>
        <w:tabs>
          <w:tab w:val="num" w:pos="2160"/>
        </w:tabs>
        <w:ind w:left="2160" w:hanging="360"/>
      </w:pPr>
      <w:rPr>
        <w:rFonts w:ascii="Wingdings" w:hAnsi="Wingdings" w:hint="default"/>
      </w:rPr>
    </w:lvl>
    <w:lvl w:ilvl="3" w:tplc="16865790" w:tentative="1">
      <w:start w:val="1"/>
      <w:numFmt w:val="bullet"/>
      <w:lvlText w:val=""/>
      <w:lvlJc w:val="left"/>
      <w:pPr>
        <w:tabs>
          <w:tab w:val="num" w:pos="2880"/>
        </w:tabs>
        <w:ind w:left="2880" w:hanging="360"/>
      </w:pPr>
      <w:rPr>
        <w:rFonts w:ascii="Wingdings" w:hAnsi="Wingdings" w:hint="default"/>
      </w:rPr>
    </w:lvl>
    <w:lvl w:ilvl="4" w:tplc="B89A8E16" w:tentative="1">
      <w:start w:val="1"/>
      <w:numFmt w:val="bullet"/>
      <w:lvlText w:val=""/>
      <w:lvlJc w:val="left"/>
      <w:pPr>
        <w:tabs>
          <w:tab w:val="num" w:pos="3600"/>
        </w:tabs>
        <w:ind w:left="3600" w:hanging="360"/>
      </w:pPr>
      <w:rPr>
        <w:rFonts w:ascii="Wingdings" w:hAnsi="Wingdings" w:hint="default"/>
      </w:rPr>
    </w:lvl>
    <w:lvl w:ilvl="5" w:tplc="4AAC1332" w:tentative="1">
      <w:start w:val="1"/>
      <w:numFmt w:val="bullet"/>
      <w:lvlText w:val=""/>
      <w:lvlJc w:val="left"/>
      <w:pPr>
        <w:tabs>
          <w:tab w:val="num" w:pos="4320"/>
        </w:tabs>
        <w:ind w:left="4320" w:hanging="360"/>
      </w:pPr>
      <w:rPr>
        <w:rFonts w:ascii="Wingdings" w:hAnsi="Wingdings" w:hint="default"/>
      </w:rPr>
    </w:lvl>
    <w:lvl w:ilvl="6" w:tplc="E4F428E0" w:tentative="1">
      <w:start w:val="1"/>
      <w:numFmt w:val="bullet"/>
      <w:lvlText w:val=""/>
      <w:lvlJc w:val="left"/>
      <w:pPr>
        <w:tabs>
          <w:tab w:val="num" w:pos="5040"/>
        </w:tabs>
        <w:ind w:left="5040" w:hanging="360"/>
      </w:pPr>
      <w:rPr>
        <w:rFonts w:ascii="Wingdings" w:hAnsi="Wingdings" w:hint="default"/>
      </w:rPr>
    </w:lvl>
    <w:lvl w:ilvl="7" w:tplc="5F06D752" w:tentative="1">
      <w:start w:val="1"/>
      <w:numFmt w:val="bullet"/>
      <w:lvlText w:val=""/>
      <w:lvlJc w:val="left"/>
      <w:pPr>
        <w:tabs>
          <w:tab w:val="num" w:pos="5760"/>
        </w:tabs>
        <w:ind w:left="5760" w:hanging="360"/>
      </w:pPr>
      <w:rPr>
        <w:rFonts w:ascii="Wingdings" w:hAnsi="Wingdings" w:hint="default"/>
      </w:rPr>
    </w:lvl>
    <w:lvl w:ilvl="8" w:tplc="17489E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6528C0"/>
    <w:multiLevelType w:val="hybridMultilevel"/>
    <w:tmpl w:val="120C9738"/>
    <w:lvl w:ilvl="0" w:tplc="C2F4C122">
      <w:start w:val="1"/>
      <w:numFmt w:val="bullet"/>
      <w:lvlText w:val="•"/>
      <w:lvlJc w:val="left"/>
      <w:pPr>
        <w:tabs>
          <w:tab w:val="num" w:pos="720"/>
        </w:tabs>
        <w:ind w:left="720" w:hanging="360"/>
      </w:pPr>
      <w:rPr>
        <w:rFonts w:ascii="Arial" w:hAnsi="Arial" w:hint="default"/>
      </w:rPr>
    </w:lvl>
    <w:lvl w:ilvl="1" w:tplc="CB58A762" w:tentative="1">
      <w:start w:val="1"/>
      <w:numFmt w:val="bullet"/>
      <w:lvlText w:val="•"/>
      <w:lvlJc w:val="left"/>
      <w:pPr>
        <w:tabs>
          <w:tab w:val="num" w:pos="1440"/>
        </w:tabs>
        <w:ind w:left="1440" w:hanging="360"/>
      </w:pPr>
      <w:rPr>
        <w:rFonts w:ascii="Arial" w:hAnsi="Arial" w:hint="default"/>
      </w:rPr>
    </w:lvl>
    <w:lvl w:ilvl="2" w:tplc="C5A0002A" w:tentative="1">
      <w:start w:val="1"/>
      <w:numFmt w:val="bullet"/>
      <w:lvlText w:val="•"/>
      <w:lvlJc w:val="left"/>
      <w:pPr>
        <w:tabs>
          <w:tab w:val="num" w:pos="2160"/>
        </w:tabs>
        <w:ind w:left="2160" w:hanging="360"/>
      </w:pPr>
      <w:rPr>
        <w:rFonts w:ascii="Arial" w:hAnsi="Arial" w:hint="default"/>
      </w:rPr>
    </w:lvl>
    <w:lvl w:ilvl="3" w:tplc="C8AE48C8" w:tentative="1">
      <w:start w:val="1"/>
      <w:numFmt w:val="bullet"/>
      <w:lvlText w:val="•"/>
      <w:lvlJc w:val="left"/>
      <w:pPr>
        <w:tabs>
          <w:tab w:val="num" w:pos="2880"/>
        </w:tabs>
        <w:ind w:left="2880" w:hanging="360"/>
      </w:pPr>
      <w:rPr>
        <w:rFonts w:ascii="Arial" w:hAnsi="Arial" w:hint="default"/>
      </w:rPr>
    </w:lvl>
    <w:lvl w:ilvl="4" w:tplc="76203D14" w:tentative="1">
      <w:start w:val="1"/>
      <w:numFmt w:val="bullet"/>
      <w:lvlText w:val="•"/>
      <w:lvlJc w:val="left"/>
      <w:pPr>
        <w:tabs>
          <w:tab w:val="num" w:pos="3600"/>
        </w:tabs>
        <w:ind w:left="3600" w:hanging="360"/>
      </w:pPr>
      <w:rPr>
        <w:rFonts w:ascii="Arial" w:hAnsi="Arial" w:hint="default"/>
      </w:rPr>
    </w:lvl>
    <w:lvl w:ilvl="5" w:tplc="AC5A9D4C" w:tentative="1">
      <w:start w:val="1"/>
      <w:numFmt w:val="bullet"/>
      <w:lvlText w:val="•"/>
      <w:lvlJc w:val="left"/>
      <w:pPr>
        <w:tabs>
          <w:tab w:val="num" w:pos="4320"/>
        </w:tabs>
        <w:ind w:left="4320" w:hanging="360"/>
      </w:pPr>
      <w:rPr>
        <w:rFonts w:ascii="Arial" w:hAnsi="Arial" w:hint="default"/>
      </w:rPr>
    </w:lvl>
    <w:lvl w:ilvl="6" w:tplc="0B901828" w:tentative="1">
      <w:start w:val="1"/>
      <w:numFmt w:val="bullet"/>
      <w:lvlText w:val="•"/>
      <w:lvlJc w:val="left"/>
      <w:pPr>
        <w:tabs>
          <w:tab w:val="num" w:pos="5040"/>
        </w:tabs>
        <w:ind w:left="5040" w:hanging="360"/>
      </w:pPr>
      <w:rPr>
        <w:rFonts w:ascii="Arial" w:hAnsi="Arial" w:hint="default"/>
      </w:rPr>
    </w:lvl>
    <w:lvl w:ilvl="7" w:tplc="F6DCDE90" w:tentative="1">
      <w:start w:val="1"/>
      <w:numFmt w:val="bullet"/>
      <w:lvlText w:val="•"/>
      <w:lvlJc w:val="left"/>
      <w:pPr>
        <w:tabs>
          <w:tab w:val="num" w:pos="5760"/>
        </w:tabs>
        <w:ind w:left="5760" w:hanging="360"/>
      </w:pPr>
      <w:rPr>
        <w:rFonts w:ascii="Arial" w:hAnsi="Arial" w:hint="default"/>
      </w:rPr>
    </w:lvl>
    <w:lvl w:ilvl="8" w:tplc="C13489C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DF"/>
    <w:rsid w:val="00020B3B"/>
    <w:rsid w:val="00050A93"/>
    <w:rsid w:val="000C1FAE"/>
    <w:rsid w:val="000C5FC3"/>
    <w:rsid w:val="000F618B"/>
    <w:rsid w:val="00257F43"/>
    <w:rsid w:val="002F0A9B"/>
    <w:rsid w:val="003218B1"/>
    <w:rsid w:val="0039171F"/>
    <w:rsid w:val="00395FE8"/>
    <w:rsid w:val="003F1DC7"/>
    <w:rsid w:val="00405A26"/>
    <w:rsid w:val="004A0CCD"/>
    <w:rsid w:val="004B2D64"/>
    <w:rsid w:val="004D5C34"/>
    <w:rsid w:val="004E2D2B"/>
    <w:rsid w:val="00510DA2"/>
    <w:rsid w:val="00514206"/>
    <w:rsid w:val="005305B9"/>
    <w:rsid w:val="00542902"/>
    <w:rsid w:val="005477D8"/>
    <w:rsid w:val="00556EED"/>
    <w:rsid w:val="005E4EBB"/>
    <w:rsid w:val="006A2628"/>
    <w:rsid w:val="006A6183"/>
    <w:rsid w:val="00733340"/>
    <w:rsid w:val="00762119"/>
    <w:rsid w:val="00772326"/>
    <w:rsid w:val="007A5AFC"/>
    <w:rsid w:val="007B650A"/>
    <w:rsid w:val="007C29E1"/>
    <w:rsid w:val="007D2D2D"/>
    <w:rsid w:val="0080772D"/>
    <w:rsid w:val="008469A7"/>
    <w:rsid w:val="008916E8"/>
    <w:rsid w:val="009B0B5E"/>
    <w:rsid w:val="009B2DFD"/>
    <w:rsid w:val="009D03AE"/>
    <w:rsid w:val="009D1B26"/>
    <w:rsid w:val="00A06536"/>
    <w:rsid w:val="00A61B9A"/>
    <w:rsid w:val="00AB4F9A"/>
    <w:rsid w:val="00AC4740"/>
    <w:rsid w:val="00B609A1"/>
    <w:rsid w:val="00B94A95"/>
    <w:rsid w:val="00BA48CA"/>
    <w:rsid w:val="00BB7712"/>
    <w:rsid w:val="00C34301"/>
    <w:rsid w:val="00C34E41"/>
    <w:rsid w:val="00C71FA5"/>
    <w:rsid w:val="00C80A2D"/>
    <w:rsid w:val="00CC2273"/>
    <w:rsid w:val="00CE544B"/>
    <w:rsid w:val="00E0675F"/>
    <w:rsid w:val="00E16F99"/>
    <w:rsid w:val="00E229DF"/>
    <w:rsid w:val="00E2434C"/>
    <w:rsid w:val="00E25564"/>
    <w:rsid w:val="00E32008"/>
    <w:rsid w:val="00E45CE3"/>
    <w:rsid w:val="00E51594"/>
    <w:rsid w:val="00E740D5"/>
    <w:rsid w:val="00E74AE4"/>
    <w:rsid w:val="00ED2838"/>
    <w:rsid w:val="00EF7C48"/>
    <w:rsid w:val="00F150CC"/>
    <w:rsid w:val="00F54ECA"/>
    <w:rsid w:val="00F71BD4"/>
    <w:rsid w:val="00FB0590"/>
    <w:rsid w:val="00FB7A2F"/>
    <w:rsid w:val="00FD2E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228B38B6-5E4A-4F57-A8CD-FA3F8432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DF"/>
    <w:pPr>
      <w:spacing w:after="120" w:line="240" w:lineRule="auto"/>
    </w:pPr>
    <w:rPr>
      <w:rFonts w:ascii="Times New Roman" w:hAnsi="Times New Roman"/>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6points">
    <w:name w:val="TITLE 16 points"/>
    <w:basedOn w:val="Normal"/>
    <w:link w:val="TITLE16pointsChar"/>
    <w:qFormat/>
    <w:rsid w:val="00E229DF"/>
    <w:pPr>
      <w:jc w:val="center"/>
    </w:pPr>
    <w:rPr>
      <w:rFonts w:cs="Times New Roman"/>
      <w:b/>
      <w:caps/>
      <w:sz w:val="32"/>
      <w:szCs w:val="32"/>
      <w:lang w:val="en-US"/>
    </w:rPr>
  </w:style>
  <w:style w:type="paragraph" w:customStyle="1" w:styleId="FirstLevelSection">
    <w:name w:val="First Level Section"/>
    <w:basedOn w:val="Normal"/>
    <w:link w:val="FirstLevelSectionChar"/>
    <w:qFormat/>
    <w:rsid w:val="00E229DF"/>
    <w:pPr>
      <w:keepNext/>
      <w:tabs>
        <w:tab w:val="left" w:pos="2964"/>
      </w:tabs>
    </w:pPr>
    <w:rPr>
      <w:rFonts w:cs="Times New Roman"/>
      <w:b/>
      <w:caps/>
      <w:sz w:val="28"/>
      <w:szCs w:val="24"/>
      <w:lang w:val="en-US"/>
    </w:rPr>
  </w:style>
  <w:style w:type="character" w:customStyle="1" w:styleId="TITLE16pointsChar">
    <w:name w:val="TITLE 16 points Char"/>
    <w:basedOn w:val="DefaultParagraphFont"/>
    <w:link w:val="TITLE16points"/>
    <w:rsid w:val="00E229DF"/>
    <w:rPr>
      <w:rFonts w:ascii="Times New Roman" w:hAnsi="Times New Roman" w:cs="Times New Roman"/>
      <w:b/>
      <w:caps/>
      <w:sz w:val="32"/>
      <w:szCs w:val="32"/>
      <w:lang w:val="en-US"/>
    </w:rPr>
  </w:style>
  <w:style w:type="paragraph" w:customStyle="1" w:styleId="SecondLevelSection">
    <w:name w:val="Second Level Section"/>
    <w:basedOn w:val="Normal"/>
    <w:link w:val="SecondLevelSectionChar"/>
    <w:qFormat/>
    <w:rsid w:val="00E229DF"/>
    <w:pPr>
      <w:tabs>
        <w:tab w:val="left" w:pos="2964"/>
      </w:tabs>
    </w:pPr>
    <w:rPr>
      <w:rFonts w:cs="Times New Roman"/>
      <w:b/>
      <w:sz w:val="28"/>
      <w:szCs w:val="24"/>
      <w:lang w:val="en-US"/>
    </w:rPr>
  </w:style>
  <w:style w:type="character" w:customStyle="1" w:styleId="FirstLevelSectionChar">
    <w:name w:val="First Level Section Char"/>
    <w:basedOn w:val="DefaultParagraphFont"/>
    <w:link w:val="FirstLevelSection"/>
    <w:rsid w:val="00E229DF"/>
    <w:rPr>
      <w:rFonts w:ascii="Times New Roman" w:hAnsi="Times New Roman" w:cs="Times New Roman"/>
      <w:b/>
      <w:caps/>
      <w:sz w:val="28"/>
      <w:szCs w:val="24"/>
      <w:lang w:val="en-US"/>
    </w:rPr>
  </w:style>
  <w:style w:type="paragraph" w:customStyle="1" w:styleId="ThirdLevelSection">
    <w:name w:val="Third Level Section"/>
    <w:basedOn w:val="Normal"/>
    <w:link w:val="ThirdLevelSectionChar"/>
    <w:qFormat/>
    <w:rsid w:val="00E229DF"/>
    <w:pPr>
      <w:tabs>
        <w:tab w:val="left" w:pos="2964"/>
      </w:tabs>
    </w:pPr>
    <w:rPr>
      <w:rFonts w:cs="Times New Roman"/>
      <w:i/>
      <w:sz w:val="28"/>
      <w:szCs w:val="24"/>
      <w:lang w:val="en-US"/>
    </w:rPr>
  </w:style>
  <w:style w:type="character" w:customStyle="1" w:styleId="SecondLevelSectionChar">
    <w:name w:val="Second Level Section Char"/>
    <w:basedOn w:val="DefaultParagraphFont"/>
    <w:link w:val="SecondLevelSection"/>
    <w:rsid w:val="00E229DF"/>
    <w:rPr>
      <w:rFonts w:ascii="Times New Roman" w:hAnsi="Times New Roman" w:cs="Times New Roman"/>
      <w:b/>
      <w:sz w:val="28"/>
      <w:szCs w:val="24"/>
      <w:lang w:val="en-US"/>
    </w:rPr>
  </w:style>
  <w:style w:type="character" w:customStyle="1" w:styleId="ThirdLevelSectionChar">
    <w:name w:val="Third Level Section Char"/>
    <w:basedOn w:val="DefaultParagraphFont"/>
    <w:link w:val="ThirdLevelSection"/>
    <w:rsid w:val="00E229DF"/>
    <w:rPr>
      <w:rFonts w:ascii="Times New Roman" w:hAnsi="Times New Roman" w:cs="Times New Roman"/>
      <w:i/>
      <w:sz w:val="28"/>
      <w:szCs w:val="24"/>
      <w:lang w:val="en-US"/>
    </w:rPr>
  </w:style>
  <w:style w:type="paragraph" w:customStyle="1" w:styleId="References">
    <w:name w:val="References"/>
    <w:basedOn w:val="Normal"/>
    <w:link w:val="ReferencesChar"/>
    <w:qFormat/>
    <w:rsid w:val="00E229DF"/>
    <w:pPr>
      <w:tabs>
        <w:tab w:val="left" w:pos="2964"/>
      </w:tabs>
      <w:ind w:left="1134" w:hanging="1134"/>
      <w:contextualSpacing/>
    </w:pPr>
    <w:rPr>
      <w:rFonts w:cs="Times New Roman"/>
      <w:szCs w:val="24"/>
      <w:lang w:val="en-US"/>
    </w:rPr>
  </w:style>
  <w:style w:type="character" w:customStyle="1" w:styleId="ReferencesChar">
    <w:name w:val="References Char"/>
    <w:basedOn w:val="DefaultParagraphFont"/>
    <w:link w:val="References"/>
    <w:rsid w:val="00E229DF"/>
    <w:rPr>
      <w:rFonts w:ascii="Times New Roman" w:hAnsi="Times New Roman" w:cs="Times New Roman"/>
      <w:sz w:val="24"/>
      <w:szCs w:val="24"/>
      <w:lang w:val="en-US"/>
    </w:rPr>
  </w:style>
  <w:style w:type="paragraph" w:styleId="Header">
    <w:name w:val="header"/>
    <w:basedOn w:val="Normal"/>
    <w:link w:val="HeaderChar"/>
    <w:uiPriority w:val="99"/>
    <w:unhideWhenUsed/>
    <w:rsid w:val="00FD2E3B"/>
    <w:pPr>
      <w:tabs>
        <w:tab w:val="center" w:pos="4513"/>
        <w:tab w:val="right" w:pos="9026"/>
      </w:tabs>
      <w:spacing w:after="0"/>
    </w:pPr>
  </w:style>
  <w:style w:type="character" w:customStyle="1" w:styleId="HeaderChar">
    <w:name w:val="Header Char"/>
    <w:basedOn w:val="DefaultParagraphFont"/>
    <w:link w:val="Header"/>
    <w:uiPriority w:val="99"/>
    <w:rsid w:val="00FD2E3B"/>
    <w:rPr>
      <w:rFonts w:ascii="Times New Roman" w:hAnsi="Times New Roman"/>
      <w:sz w:val="24"/>
      <w:lang w:val="el-GR"/>
    </w:rPr>
  </w:style>
  <w:style w:type="paragraph" w:styleId="Footer">
    <w:name w:val="footer"/>
    <w:basedOn w:val="Normal"/>
    <w:link w:val="FooterChar"/>
    <w:uiPriority w:val="99"/>
    <w:unhideWhenUsed/>
    <w:rsid w:val="00FD2E3B"/>
    <w:pPr>
      <w:tabs>
        <w:tab w:val="center" w:pos="4513"/>
        <w:tab w:val="right" w:pos="9026"/>
      </w:tabs>
      <w:spacing w:after="0"/>
    </w:pPr>
  </w:style>
  <w:style w:type="character" w:customStyle="1" w:styleId="FooterChar">
    <w:name w:val="Footer Char"/>
    <w:basedOn w:val="DefaultParagraphFont"/>
    <w:link w:val="Footer"/>
    <w:uiPriority w:val="99"/>
    <w:rsid w:val="00FD2E3B"/>
    <w:rPr>
      <w:rFonts w:ascii="Times New Roman" w:hAnsi="Times New Roman"/>
      <w:sz w:val="24"/>
      <w:lang w:val="el-GR"/>
    </w:rPr>
  </w:style>
  <w:style w:type="paragraph" w:styleId="BalloonText">
    <w:name w:val="Balloon Text"/>
    <w:basedOn w:val="Normal"/>
    <w:link w:val="BalloonTextChar"/>
    <w:uiPriority w:val="99"/>
    <w:semiHidden/>
    <w:unhideWhenUsed/>
    <w:rsid w:val="00FB05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590"/>
    <w:rPr>
      <w:rFonts w:ascii="Tahoma" w:hAnsi="Tahoma" w:cs="Tahoma"/>
      <w:sz w:val="16"/>
      <w:szCs w:val="16"/>
      <w:lang w:val="el-GR"/>
    </w:rPr>
  </w:style>
  <w:style w:type="character" w:styleId="Emphasis">
    <w:name w:val="Emphasis"/>
    <w:basedOn w:val="DefaultParagraphFont"/>
    <w:uiPriority w:val="20"/>
    <w:qFormat/>
    <w:rsid w:val="00E74AE4"/>
    <w:rPr>
      <w:i/>
      <w:iCs/>
    </w:rPr>
  </w:style>
  <w:style w:type="table" w:styleId="TableGrid">
    <w:name w:val="Table Grid"/>
    <w:basedOn w:val="TableNormal"/>
    <w:uiPriority w:val="59"/>
    <w:rsid w:val="006A2628"/>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0DA2"/>
    <w:pPr>
      <w:spacing w:before="100" w:beforeAutospacing="1" w:after="100" w:afterAutospacing="1"/>
    </w:pPr>
    <w:rPr>
      <w:rFonts w:eastAsia="Times New Roman" w:cs="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07281">
      <w:bodyDiv w:val="1"/>
      <w:marLeft w:val="0"/>
      <w:marRight w:val="0"/>
      <w:marTop w:val="0"/>
      <w:marBottom w:val="0"/>
      <w:divBdr>
        <w:top w:val="none" w:sz="0" w:space="0" w:color="auto"/>
        <w:left w:val="none" w:sz="0" w:space="0" w:color="auto"/>
        <w:bottom w:val="none" w:sz="0" w:space="0" w:color="auto"/>
        <w:right w:val="none" w:sz="0" w:space="0" w:color="auto"/>
      </w:divBdr>
    </w:div>
    <w:div w:id="700477864">
      <w:bodyDiv w:val="1"/>
      <w:marLeft w:val="0"/>
      <w:marRight w:val="0"/>
      <w:marTop w:val="0"/>
      <w:marBottom w:val="0"/>
      <w:divBdr>
        <w:top w:val="none" w:sz="0" w:space="0" w:color="auto"/>
        <w:left w:val="none" w:sz="0" w:space="0" w:color="auto"/>
        <w:bottom w:val="none" w:sz="0" w:space="0" w:color="auto"/>
        <w:right w:val="none" w:sz="0" w:space="0" w:color="auto"/>
      </w:divBdr>
      <w:divsChild>
        <w:div w:id="1705475796">
          <w:marLeft w:val="547"/>
          <w:marRight w:val="0"/>
          <w:marTop w:val="96"/>
          <w:marBottom w:val="0"/>
          <w:divBdr>
            <w:top w:val="none" w:sz="0" w:space="0" w:color="auto"/>
            <w:left w:val="none" w:sz="0" w:space="0" w:color="auto"/>
            <w:bottom w:val="none" w:sz="0" w:space="0" w:color="auto"/>
            <w:right w:val="none" w:sz="0" w:space="0" w:color="auto"/>
          </w:divBdr>
        </w:div>
        <w:div w:id="490801224">
          <w:marLeft w:val="547"/>
          <w:marRight w:val="0"/>
          <w:marTop w:val="96"/>
          <w:marBottom w:val="0"/>
          <w:divBdr>
            <w:top w:val="none" w:sz="0" w:space="0" w:color="auto"/>
            <w:left w:val="none" w:sz="0" w:space="0" w:color="auto"/>
            <w:bottom w:val="none" w:sz="0" w:space="0" w:color="auto"/>
            <w:right w:val="none" w:sz="0" w:space="0" w:color="auto"/>
          </w:divBdr>
        </w:div>
      </w:divsChild>
    </w:div>
    <w:div w:id="847981136">
      <w:bodyDiv w:val="1"/>
      <w:marLeft w:val="0"/>
      <w:marRight w:val="0"/>
      <w:marTop w:val="0"/>
      <w:marBottom w:val="0"/>
      <w:divBdr>
        <w:top w:val="none" w:sz="0" w:space="0" w:color="auto"/>
        <w:left w:val="none" w:sz="0" w:space="0" w:color="auto"/>
        <w:bottom w:val="none" w:sz="0" w:space="0" w:color="auto"/>
        <w:right w:val="none" w:sz="0" w:space="0" w:color="auto"/>
      </w:divBdr>
    </w:div>
    <w:div w:id="1296983132">
      <w:bodyDiv w:val="1"/>
      <w:marLeft w:val="0"/>
      <w:marRight w:val="0"/>
      <w:marTop w:val="0"/>
      <w:marBottom w:val="0"/>
      <w:divBdr>
        <w:top w:val="none" w:sz="0" w:space="0" w:color="auto"/>
        <w:left w:val="none" w:sz="0" w:space="0" w:color="auto"/>
        <w:bottom w:val="none" w:sz="0" w:space="0" w:color="auto"/>
        <w:right w:val="none" w:sz="0" w:space="0" w:color="auto"/>
      </w:divBdr>
    </w:div>
    <w:div w:id="1485243872">
      <w:bodyDiv w:val="1"/>
      <w:marLeft w:val="0"/>
      <w:marRight w:val="0"/>
      <w:marTop w:val="0"/>
      <w:marBottom w:val="0"/>
      <w:divBdr>
        <w:top w:val="none" w:sz="0" w:space="0" w:color="auto"/>
        <w:left w:val="none" w:sz="0" w:space="0" w:color="auto"/>
        <w:bottom w:val="none" w:sz="0" w:space="0" w:color="auto"/>
        <w:right w:val="none" w:sz="0" w:space="0" w:color="auto"/>
      </w:divBdr>
    </w:div>
    <w:div w:id="1496803540">
      <w:bodyDiv w:val="1"/>
      <w:marLeft w:val="0"/>
      <w:marRight w:val="0"/>
      <w:marTop w:val="0"/>
      <w:marBottom w:val="0"/>
      <w:divBdr>
        <w:top w:val="none" w:sz="0" w:space="0" w:color="auto"/>
        <w:left w:val="none" w:sz="0" w:space="0" w:color="auto"/>
        <w:bottom w:val="none" w:sz="0" w:space="0" w:color="auto"/>
        <w:right w:val="none" w:sz="0" w:space="0" w:color="auto"/>
      </w:divBdr>
    </w:div>
    <w:div w:id="1742287720">
      <w:bodyDiv w:val="1"/>
      <w:marLeft w:val="0"/>
      <w:marRight w:val="0"/>
      <w:marTop w:val="0"/>
      <w:marBottom w:val="0"/>
      <w:divBdr>
        <w:top w:val="none" w:sz="0" w:space="0" w:color="auto"/>
        <w:left w:val="none" w:sz="0" w:space="0" w:color="auto"/>
        <w:bottom w:val="none" w:sz="0" w:space="0" w:color="auto"/>
        <w:right w:val="none" w:sz="0" w:space="0" w:color="auto"/>
      </w:divBdr>
    </w:div>
    <w:div w:id="1948734693">
      <w:bodyDiv w:val="1"/>
      <w:marLeft w:val="0"/>
      <w:marRight w:val="0"/>
      <w:marTop w:val="0"/>
      <w:marBottom w:val="0"/>
      <w:divBdr>
        <w:top w:val="none" w:sz="0" w:space="0" w:color="auto"/>
        <w:left w:val="none" w:sz="0" w:space="0" w:color="auto"/>
        <w:bottom w:val="none" w:sz="0" w:space="0" w:color="auto"/>
        <w:right w:val="none" w:sz="0" w:space="0" w:color="auto"/>
      </w:divBdr>
      <w:divsChild>
        <w:div w:id="692340204">
          <w:marLeft w:val="547"/>
          <w:marRight w:val="0"/>
          <w:marTop w:val="115"/>
          <w:marBottom w:val="0"/>
          <w:divBdr>
            <w:top w:val="none" w:sz="0" w:space="0" w:color="auto"/>
            <w:left w:val="none" w:sz="0" w:space="0" w:color="auto"/>
            <w:bottom w:val="none" w:sz="0" w:space="0" w:color="auto"/>
            <w:right w:val="none" w:sz="0" w:space="0" w:color="auto"/>
          </w:divBdr>
        </w:div>
        <w:div w:id="344017196">
          <w:marLeft w:val="547"/>
          <w:marRight w:val="0"/>
          <w:marTop w:val="115"/>
          <w:marBottom w:val="0"/>
          <w:divBdr>
            <w:top w:val="none" w:sz="0" w:space="0" w:color="auto"/>
            <w:left w:val="none" w:sz="0" w:space="0" w:color="auto"/>
            <w:bottom w:val="none" w:sz="0" w:space="0" w:color="auto"/>
            <w:right w:val="none" w:sz="0" w:space="0" w:color="auto"/>
          </w:divBdr>
        </w:div>
        <w:div w:id="1303534555">
          <w:marLeft w:val="547"/>
          <w:marRight w:val="0"/>
          <w:marTop w:val="115"/>
          <w:marBottom w:val="0"/>
          <w:divBdr>
            <w:top w:val="none" w:sz="0" w:space="0" w:color="auto"/>
            <w:left w:val="none" w:sz="0" w:space="0" w:color="auto"/>
            <w:bottom w:val="none" w:sz="0" w:space="0" w:color="auto"/>
            <w:right w:val="none" w:sz="0" w:space="0" w:color="auto"/>
          </w:divBdr>
        </w:div>
      </w:divsChild>
    </w:div>
    <w:div w:id="2117365587">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lmitchell</dc:creator>
  <cp:lastModifiedBy>Christodoulou A.</cp:lastModifiedBy>
  <cp:revision>10</cp:revision>
  <dcterms:created xsi:type="dcterms:W3CDTF">2017-01-29T05:48:00Z</dcterms:created>
  <dcterms:modified xsi:type="dcterms:W3CDTF">2017-01-29T07:05:00Z</dcterms:modified>
</cp:coreProperties>
</file>