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9C34D" w14:textId="376302EF" w:rsidR="00341ACA" w:rsidRPr="00B37ABD" w:rsidRDefault="004E5750">
      <w:pPr>
        <w:rPr>
          <w:rFonts w:ascii="Garamond" w:hAnsi="Garamond"/>
          <w:b/>
        </w:rPr>
      </w:pPr>
      <w:bookmarkStart w:id="0" w:name="_GoBack"/>
      <w:bookmarkEnd w:id="0"/>
      <w:r w:rsidRPr="00B37ABD">
        <w:rPr>
          <w:rFonts w:ascii="Garamond" w:hAnsi="Garamond"/>
          <w:b/>
        </w:rPr>
        <w:t xml:space="preserve">Editorial: </w:t>
      </w:r>
      <w:proofErr w:type="spellStart"/>
      <w:r w:rsidRPr="00B37ABD">
        <w:rPr>
          <w:rFonts w:ascii="Garamond" w:hAnsi="Garamond"/>
          <w:b/>
        </w:rPr>
        <w:t>Decoloni</w:t>
      </w:r>
      <w:r w:rsidR="00C826BD" w:rsidRPr="00B37ABD">
        <w:rPr>
          <w:rFonts w:ascii="Garamond" w:hAnsi="Garamond"/>
          <w:b/>
        </w:rPr>
        <w:t>s</w:t>
      </w:r>
      <w:r w:rsidRPr="00B37ABD">
        <w:rPr>
          <w:rFonts w:ascii="Garamond" w:hAnsi="Garamond"/>
          <w:b/>
        </w:rPr>
        <w:t>ing</w:t>
      </w:r>
      <w:proofErr w:type="spellEnd"/>
      <w:r w:rsidRPr="00B37ABD">
        <w:rPr>
          <w:rFonts w:ascii="Garamond" w:hAnsi="Garamond"/>
          <w:b/>
        </w:rPr>
        <w:t xml:space="preserve"> Global Constitutionalism</w:t>
      </w:r>
    </w:p>
    <w:p w14:paraId="6C3624E4" w14:textId="17D1A92E" w:rsidR="004E5750" w:rsidRDefault="004E5750">
      <w:pPr>
        <w:rPr>
          <w:rFonts w:ascii="Garamond" w:hAnsi="Garamond"/>
        </w:rPr>
      </w:pPr>
      <w:r w:rsidRPr="00B37ABD">
        <w:rPr>
          <w:rFonts w:ascii="Garamond" w:hAnsi="Garamond"/>
        </w:rPr>
        <w:t>Jonathan Havercroft, Jacob Eisler, Jo Shaw, Antje Wiener</w:t>
      </w:r>
      <w:r w:rsidR="00B37ABD" w:rsidRPr="00B37ABD">
        <w:rPr>
          <w:rFonts w:ascii="Garamond" w:hAnsi="Garamond"/>
        </w:rPr>
        <w:t>, Val Napoleon</w:t>
      </w:r>
    </w:p>
    <w:p w14:paraId="61540859" w14:textId="2813F7FB" w:rsidR="00B5615B" w:rsidRDefault="00B5615B">
      <w:pPr>
        <w:rPr>
          <w:rFonts w:ascii="Garamond" w:hAnsi="Garamond"/>
        </w:rPr>
      </w:pPr>
      <w:r>
        <w:rPr>
          <w:rFonts w:ascii="Garamond" w:hAnsi="Garamond"/>
          <w:i/>
        </w:rPr>
        <w:t xml:space="preserve">Global Constitutionalism </w:t>
      </w:r>
      <w:r>
        <w:rPr>
          <w:rFonts w:ascii="Garamond" w:hAnsi="Garamond"/>
        </w:rPr>
        <w:t>9:1</w:t>
      </w:r>
    </w:p>
    <w:p w14:paraId="211D12DB" w14:textId="0DA65842" w:rsidR="00B5615B" w:rsidRPr="00B5615B" w:rsidRDefault="00B5615B">
      <w:pPr>
        <w:rPr>
          <w:rFonts w:ascii="Garamond" w:hAnsi="Garamond"/>
        </w:rPr>
      </w:pPr>
      <w:r>
        <w:rPr>
          <w:rFonts w:ascii="Garamond" w:hAnsi="Garamond"/>
        </w:rPr>
        <w:t>February, 2020</w:t>
      </w:r>
    </w:p>
    <w:p w14:paraId="5D147173" w14:textId="7451295B" w:rsidR="004E5750" w:rsidRPr="00B37ABD" w:rsidRDefault="004E5750">
      <w:pPr>
        <w:rPr>
          <w:rFonts w:ascii="Garamond" w:hAnsi="Garamond"/>
        </w:rPr>
      </w:pPr>
    </w:p>
    <w:p w14:paraId="68AC8D6E" w14:textId="53519585" w:rsidR="004E5750" w:rsidRPr="00B37ABD" w:rsidRDefault="004E5750">
      <w:pPr>
        <w:rPr>
          <w:rFonts w:ascii="Garamond" w:hAnsi="Garamond"/>
        </w:rPr>
      </w:pPr>
      <w:r w:rsidRPr="00B37ABD">
        <w:rPr>
          <w:rFonts w:ascii="Garamond" w:hAnsi="Garamond"/>
        </w:rPr>
        <w:tab/>
        <w:t xml:space="preserve">Beginning in 2020 the journal’s editorial offices will be based at the University of Southampton in England. As a port city Southampton is probably most famous for two transatlantic crossings that departed from her </w:t>
      </w:r>
      <w:proofErr w:type="spellStart"/>
      <w:r w:rsidRPr="00B37ABD">
        <w:rPr>
          <w:rFonts w:ascii="Garamond" w:hAnsi="Garamond"/>
        </w:rPr>
        <w:t>harbo</w:t>
      </w:r>
      <w:r w:rsidR="00C826BD" w:rsidRPr="00B37ABD">
        <w:rPr>
          <w:rFonts w:ascii="Garamond" w:hAnsi="Garamond"/>
        </w:rPr>
        <w:t>u</w:t>
      </w:r>
      <w:r w:rsidRPr="00B37ABD">
        <w:rPr>
          <w:rFonts w:ascii="Garamond" w:hAnsi="Garamond"/>
        </w:rPr>
        <w:t>r</w:t>
      </w:r>
      <w:proofErr w:type="spellEnd"/>
      <w:r w:rsidRPr="00B37ABD">
        <w:rPr>
          <w:rFonts w:ascii="Garamond" w:hAnsi="Garamond"/>
        </w:rPr>
        <w:t xml:space="preserve"> – the </w:t>
      </w:r>
      <w:r w:rsidRPr="00B37ABD">
        <w:rPr>
          <w:rFonts w:ascii="Garamond" w:hAnsi="Garamond"/>
          <w:i/>
        </w:rPr>
        <w:t>R.M.S. Titanic</w:t>
      </w:r>
      <w:r w:rsidRPr="00B37ABD">
        <w:rPr>
          <w:rFonts w:ascii="Garamond" w:hAnsi="Garamond"/>
        </w:rPr>
        <w:t xml:space="preserve"> which sailed in 1912, and the departures of the </w:t>
      </w:r>
      <w:r w:rsidRPr="00B37ABD">
        <w:rPr>
          <w:rFonts w:ascii="Garamond" w:hAnsi="Garamond"/>
          <w:i/>
        </w:rPr>
        <w:t xml:space="preserve">Speedwell </w:t>
      </w:r>
      <w:r w:rsidRPr="00B37ABD">
        <w:rPr>
          <w:rFonts w:ascii="Garamond" w:hAnsi="Garamond"/>
        </w:rPr>
        <w:t xml:space="preserve">and the </w:t>
      </w:r>
      <w:r w:rsidRPr="00B37ABD">
        <w:rPr>
          <w:rFonts w:ascii="Garamond" w:hAnsi="Garamond"/>
          <w:i/>
        </w:rPr>
        <w:t>Mayflower</w:t>
      </w:r>
      <w:r w:rsidRPr="00B37ABD">
        <w:rPr>
          <w:rFonts w:ascii="Garamond" w:hAnsi="Garamond"/>
        </w:rPr>
        <w:t xml:space="preserve"> in 1620. While the </w:t>
      </w:r>
      <w:r w:rsidRPr="00B37ABD">
        <w:rPr>
          <w:rFonts w:ascii="Garamond" w:hAnsi="Garamond"/>
          <w:i/>
        </w:rPr>
        <w:t>Titanic</w:t>
      </w:r>
      <w:r w:rsidRPr="00B37ABD">
        <w:rPr>
          <w:rFonts w:ascii="Garamond" w:hAnsi="Garamond"/>
        </w:rPr>
        <w:t xml:space="preserve"> is probably the more famous sailing – having been </w:t>
      </w:r>
      <w:proofErr w:type="spellStart"/>
      <w:r w:rsidRPr="00B37ABD">
        <w:rPr>
          <w:rFonts w:ascii="Garamond" w:hAnsi="Garamond"/>
        </w:rPr>
        <w:t>immortali</w:t>
      </w:r>
      <w:r w:rsidR="00C826BD" w:rsidRPr="00B37ABD">
        <w:rPr>
          <w:rFonts w:ascii="Garamond" w:hAnsi="Garamond"/>
        </w:rPr>
        <w:t>s</w:t>
      </w:r>
      <w:r w:rsidRPr="00B37ABD">
        <w:rPr>
          <w:rFonts w:ascii="Garamond" w:hAnsi="Garamond"/>
        </w:rPr>
        <w:t>ed</w:t>
      </w:r>
      <w:proofErr w:type="spellEnd"/>
      <w:r w:rsidRPr="00B37ABD">
        <w:rPr>
          <w:rFonts w:ascii="Garamond" w:hAnsi="Garamond"/>
        </w:rPr>
        <w:t xml:space="preserve"> in song and film – the sailings of the </w:t>
      </w:r>
      <w:r w:rsidRPr="00B37ABD">
        <w:rPr>
          <w:rFonts w:ascii="Garamond" w:hAnsi="Garamond"/>
          <w:i/>
        </w:rPr>
        <w:t xml:space="preserve">Speedwell </w:t>
      </w:r>
      <w:r w:rsidRPr="00B37ABD">
        <w:rPr>
          <w:rFonts w:ascii="Garamond" w:hAnsi="Garamond"/>
        </w:rPr>
        <w:t xml:space="preserve">and </w:t>
      </w:r>
      <w:r w:rsidRPr="00B37ABD">
        <w:rPr>
          <w:rFonts w:ascii="Garamond" w:hAnsi="Garamond"/>
          <w:i/>
        </w:rPr>
        <w:t>Mayflower</w:t>
      </w:r>
      <w:r w:rsidRPr="00B37ABD">
        <w:rPr>
          <w:rFonts w:ascii="Garamond" w:hAnsi="Garamond"/>
        </w:rPr>
        <w:t xml:space="preserve"> from Southampton </w:t>
      </w:r>
      <w:proofErr w:type="spellStart"/>
      <w:r w:rsidR="006450D3" w:rsidRPr="00B37ABD">
        <w:rPr>
          <w:rFonts w:ascii="Garamond" w:hAnsi="Garamond"/>
        </w:rPr>
        <w:t>h</w:t>
      </w:r>
      <w:r w:rsidRPr="00B37ABD">
        <w:rPr>
          <w:rFonts w:ascii="Garamond" w:hAnsi="Garamond"/>
        </w:rPr>
        <w:t>arbour</w:t>
      </w:r>
      <w:proofErr w:type="spellEnd"/>
      <w:r w:rsidRPr="00B37ABD">
        <w:rPr>
          <w:rFonts w:ascii="Garamond" w:hAnsi="Garamond"/>
        </w:rPr>
        <w:t xml:space="preserve"> precisely 400 years ago </w:t>
      </w:r>
      <w:r w:rsidR="00737135" w:rsidRPr="00B37ABD">
        <w:rPr>
          <w:rFonts w:ascii="Garamond" w:hAnsi="Garamond"/>
        </w:rPr>
        <w:t xml:space="preserve">are </w:t>
      </w:r>
      <w:r w:rsidRPr="00B37ABD">
        <w:rPr>
          <w:rFonts w:ascii="Garamond" w:hAnsi="Garamond"/>
        </w:rPr>
        <w:t>certainly more significant for the history of global constitutionalism.</w:t>
      </w:r>
      <w:r w:rsidR="006450D3" w:rsidRPr="00B37ABD">
        <w:rPr>
          <w:rFonts w:ascii="Garamond" w:hAnsi="Garamond"/>
        </w:rPr>
        <w:t xml:space="preserve"> </w:t>
      </w:r>
    </w:p>
    <w:p w14:paraId="58C783BF" w14:textId="62934E25" w:rsidR="006450D3" w:rsidRPr="00B37ABD" w:rsidRDefault="006450D3">
      <w:pPr>
        <w:rPr>
          <w:rFonts w:ascii="Garamond" w:hAnsi="Garamond"/>
        </w:rPr>
      </w:pPr>
      <w:r w:rsidRPr="00B37ABD">
        <w:rPr>
          <w:rFonts w:ascii="Garamond" w:hAnsi="Garamond"/>
        </w:rPr>
        <w:tab/>
        <w:t xml:space="preserve">Today the </w:t>
      </w:r>
      <w:r w:rsidRPr="00B37ABD">
        <w:rPr>
          <w:rFonts w:ascii="Garamond" w:hAnsi="Garamond"/>
          <w:i/>
        </w:rPr>
        <w:t>Mayflower</w:t>
      </w:r>
      <w:r w:rsidRPr="00B37ABD">
        <w:rPr>
          <w:rFonts w:ascii="Garamond" w:hAnsi="Garamond"/>
        </w:rPr>
        <w:t xml:space="preserve"> sailing is remembered as the event th</w:t>
      </w:r>
      <w:r w:rsidR="00737135" w:rsidRPr="00B37ABD">
        <w:rPr>
          <w:rFonts w:ascii="Garamond" w:hAnsi="Garamond"/>
        </w:rPr>
        <w:t>at</w:t>
      </w:r>
      <w:r w:rsidRPr="00B37ABD">
        <w:rPr>
          <w:rFonts w:ascii="Garamond" w:hAnsi="Garamond"/>
        </w:rPr>
        <w:t xml:space="preserve"> began the European </w:t>
      </w:r>
      <w:proofErr w:type="spellStart"/>
      <w:r w:rsidRPr="00B37ABD">
        <w:rPr>
          <w:rFonts w:ascii="Garamond" w:hAnsi="Garamond"/>
        </w:rPr>
        <w:t>coloni</w:t>
      </w:r>
      <w:r w:rsidR="00C826BD" w:rsidRPr="00B37ABD">
        <w:rPr>
          <w:rFonts w:ascii="Garamond" w:hAnsi="Garamond"/>
        </w:rPr>
        <w:t>s</w:t>
      </w:r>
      <w:r w:rsidRPr="00B37ABD">
        <w:rPr>
          <w:rFonts w:ascii="Garamond" w:hAnsi="Garamond"/>
        </w:rPr>
        <w:t>ation</w:t>
      </w:r>
      <w:proofErr w:type="spellEnd"/>
      <w:r w:rsidRPr="00B37ABD">
        <w:rPr>
          <w:rFonts w:ascii="Garamond" w:hAnsi="Garamond"/>
        </w:rPr>
        <w:t xml:space="preserve"> of </w:t>
      </w:r>
      <w:r w:rsidR="00D66443" w:rsidRPr="00B37ABD">
        <w:rPr>
          <w:rFonts w:ascii="Garamond" w:hAnsi="Garamond"/>
        </w:rPr>
        <w:t xml:space="preserve">North </w:t>
      </w:r>
      <w:r w:rsidRPr="00B37ABD">
        <w:rPr>
          <w:rFonts w:ascii="Garamond" w:hAnsi="Garamond"/>
        </w:rPr>
        <w:t xml:space="preserve">America. It is either </w:t>
      </w:r>
      <w:r w:rsidR="00626558" w:rsidRPr="00B37ABD">
        <w:rPr>
          <w:rFonts w:ascii="Garamond" w:hAnsi="Garamond"/>
        </w:rPr>
        <w:t xml:space="preserve">re-told as a story of pious puritans fleeing religious persecution in Europe, who went to the Americans hoping to establish a new way of life, and who are celebrated each year through the American holiday of Thanksgiving, or as the moment that began the European </w:t>
      </w:r>
      <w:proofErr w:type="spellStart"/>
      <w:r w:rsidR="00626558" w:rsidRPr="00B37ABD">
        <w:rPr>
          <w:rFonts w:ascii="Garamond" w:hAnsi="Garamond"/>
        </w:rPr>
        <w:t>coloni</w:t>
      </w:r>
      <w:r w:rsidR="00C826BD" w:rsidRPr="00B37ABD">
        <w:rPr>
          <w:rFonts w:ascii="Garamond" w:hAnsi="Garamond"/>
        </w:rPr>
        <w:t>s</w:t>
      </w:r>
      <w:r w:rsidR="00626558" w:rsidRPr="00B37ABD">
        <w:rPr>
          <w:rFonts w:ascii="Garamond" w:hAnsi="Garamond"/>
        </w:rPr>
        <w:t>ation</w:t>
      </w:r>
      <w:proofErr w:type="spellEnd"/>
      <w:r w:rsidR="00626558" w:rsidRPr="00B37ABD">
        <w:rPr>
          <w:rFonts w:ascii="Garamond" w:hAnsi="Garamond"/>
        </w:rPr>
        <w:t xml:space="preserve"> of the Americas, the seizure of </w:t>
      </w:r>
      <w:r w:rsidR="00B37ABD" w:rsidRPr="00B37ABD">
        <w:rPr>
          <w:rFonts w:ascii="Garamond" w:hAnsi="Garamond"/>
        </w:rPr>
        <w:t>Indigenous</w:t>
      </w:r>
      <w:r w:rsidR="00626558" w:rsidRPr="00B37ABD">
        <w:rPr>
          <w:rFonts w:ascii="Garamond" w:hAnsi="Garamond"/>
        </w:rPr>
        <w:t xml:space="preserve"> land, and a process of genocide in the Americas that saw an </w:t>
      </w:r>
      <w:r w:rsidR="00B37ABD" w:rsidRPr="00B37ABD">
        <w:rPr>
          <w:rFonts w:ascii="Garamond" w:hAnsi="Garamond"/>
        </w:rPr>
        <w:t>9</w:t>
      </w:r>
      <w:r w:rsidR="00626558" w:rsidRPr="00B37ABD">
        <w:rPr>
          <w:rFonts w:ascii="Garamond" w:hAnsi="Garamond"/>
        </w:rPr>
        <w:t xml:space="preserve">0% reduction in the </w:t>
      </w:r>
      <w:r w:rsidR="00B37ABD" w:rsidRPr="00B37ABD">
        <w:rPr>
          <w:rFonts w:ascii="Garamond" w:hAnsi="Garamond"/>
        </w:rPr>
        <w:t>Indigenous</w:t>
      </w:r>
      <w:r w:rsidR="00626558" w:rsidRPr="00B37ABD">
        <w:rPr>
          <w:rFonts w:ascii="Garamond" w:hAnsi="Garamond"/>
        </w:rPr>
        <w:t xml:space="preserve"> population of the Americas between first contact in 1492 to 1</w:t>
      </w:r>
      <w:r w:rsidR="00B37ABD" w:rsidRPr="00B37ABD">
        <w:rPr>
          <w:rFonts w:ascii="Garamond" w:hAnsi="Garamond"/>
        </w:rPr>
        <w:t>650.</w:t>
      </w:r>
      <w:r w:rsidR="00B37ABD" w:rsidRPr="00B37ABD">
        <w:rPr>
          <w:rStyle w:val="FootnoteReference"/>
          <w:rFonts w:ascii="Garamond" w:hAnsi="Garamond"/>
        </w:rPr>
        <w:footnoteReference w:id="1"/>
      </w:r>
      <w:r w:rsidR="00626558" w:rsidRPr="00B37ABD">
        <w:rPr>
          <w:rFonts w:ascii="Garamond" w:hAnsi="Garamond"/>
        </w:rPr>
        <w:t xml:space="preserve"> There are truths in both of these narratives. The puritan settlers had faced persecution for practicing their form of Christianity in England in the early 1600s and had first fled to Holland before deciding to enter into a contract with the Virginia company to settle in the Americas. However</w:t>
      </w:r>
      <w:r w:rsidR="00737135" w:rsidRPr="00B37ABD">
        <w:rPr>
          <w:rFonts w:ascii="Garamond" w:hAnsi="Garamond"/>
        </w:rPr>
        <w:t>,</w:t>
      </w:r>
      <w:r w:rsidR="00B203A9" w:rsidRPr="00B37ABD">
        <w:rPr>
          <w:rFonts w:ascii="Garamond" w:hAnsi="Garamond"/>
        </w:rPr>
        <w:t xml:space="preserve"> of the 102 settlers on the Mayflower voyage only 28 of the adults were members of the puritan congregation, while a significant </w:t>
      </w:r>
      <w:r w:rsidR="00B37ABD" w:rsidRPr="00B37ABD">
        <w:rPr>
          <w:rFonts w:ascii="Garamond" w:hAnsi="Garamond"/>
        </w:rPr>
        <w:t xml:space="preserve">almost half </w:t>
      </w:r>
      <w:r w:rsidR="00B203A9" w:rsidRPr="00B37ABD">
        <w:rPr>
          <w:rFonts w:ascii="Garamond" w:hAnsi="Garamond"/>
        </w:rPr>
        <w:t xml:space="preserve">of the settlers </w:t>
      </w:r>
      <w:r w:rsidR="00B37ABD" w:rsidRPr="00B37ABD">
        <w:rPr>
          <w:rFonts w:ascii="Garamond" w:hAnsi="Garamond"/>
        </w:rPr>
        <w:t>were not puritans, but passengers who had been recruited by the company sponsoring the voyage.</w:t>
      </w:r>
      <w:r w:rsidR="00B37ABD" w:rsidRPr="00B37ABD">
        <w:rPr>
          <w:rStyle w:val="FootnoteReference"/>
          <w:rFonts w:ascii="Garamond" w:hAnsi="Garamond"/>
        </w:rPr>
        <w:footnoteReference w:id="2"/>
      </w:r>
      <w:r w:rsidR="00B203A9" w:rsidRPr="00B37ABD">
        <w:rPr>
          <w:rFonts w:ascii="Garamond" w:hAnsi="Garamond"/>
        </w:rPr>
        <w:t xml:space="preserve"> The motivations for the </w:t>
      </w:r>
      <w:proofErr w:type="spellStart"/>
      <w:r w:rsidR="00B203A9" w:rsidRPr="00B37ABD">
        <w:rPr>
          <w:rFonts w:ascii="Garamond" w:hAnsi="Garamond"/>
        </w:rPr>
        <w:t>endeavour</w:t>
      </w:r>
      <w:proofErr w:type="spellEnd"/>
      <w:r w:rsidR="00B203A9" w:rsidRPr="00B37ABD">
        <w:rPr>
          <w:rFonts w:ascii="Garamond" w:hAnsi="Garamond"/>
        </w:rPr>
        <w:t xml:space="preserve"> were a mixture of a desire for religious freedom and hope that the new colony would be profitable for the London based financial backers who expected the colonists to do seven years of </w:t>
      </w:r>
      <w:proofErr w:type="spellStart"/>
      <w:r w:rsidR="00B203A9" w:rsidRPr="00B37ABD">
        <w:rPr>
          <w:rFonts w:ascii="Garamond" w:hAnsi="Garamond"/>
        </w:rPr>
        <w:t>labour</w:t>
      </w:r>
      <w:proofErr w:type="spellEnd"/>
      <w:r w:rsidR="00B203A9" w:rsidRPr="00B37ABD">
        <w:rPr>
          <w:rFonts w:ascii="Garamond" w:hAnsi="Garamond"/>
        </w:rPr>
        <w:t xml:space="preserve"> for the investors in exchange for receiving patent for the colonial land. From the perspective of the first nations inhabiting the East Coast the arrival of the colonists was not significant at first. European fisherman had been trading with the </w:t>
      </w:r>
      <w:r w:rsidR="00B37ABD" w:rsidRPr="00B37ABD">
        <w:rPr>
          <w:rFonts w:ascii="Garamond" w:hAnsi="Garamond"/>
        </w:rPr>
        <w:t>Indigenous</w:t>
      </w:r>
      <w:r w:rsidR="00B203A9" w:rsidRPr="00B37ABD">
        <w:rPr>
          <w:rFonts w:ascii="Garamond" w:hAnsi="Garamond"/>
        </w:rPr>
        <w:t xml:space="preserve"> people along the Eastern sea board for nearly a century. Previous European visitors had captured and enslaved some of the </w:t>
      </w:r>
      <w:r w:rsidR="00B37ABD" w:rsidRPr="00B37ABD">
        <w:rPr>
          <w:rFonts w:ascii="Garamond" w:hAnsi="Garamond"/>
        </w:rPr>
        <w:t>Indigenous</w:t>
      </w:r>
      <w:r w:rsidR="00B203A9" w:rsidRPr="00B37ABD">
        <w:rPr>
          <w:rFonts w:ascii="Garamond" w:hAnsi="Garamond"/>
        </w:rPr>
        <w:t xml:space="preserve"> peoples </w:t>
      </w:r>
      <w:proofErr w:type="spellStart"/>
      <w:r w:rsidR="00B203A9" w:rsidRPr="00B37ABD">
        <w:rPr>
          <w:rFonts w:ascii="Garamond" w:hAnsi="Garamond"/>
        </w:rPr>
        <w:t>thay</w:t>
      </w:r>
      <w:proofErr w:type="spellEnd"/>
      <w:r w:rsidR="00B203A9" w:rsidRPr="00B37ABD">
        <w:rPr>
          <w:rFonts w:ascii="Garamond" w:hAnsi="Garamond"/>
        </w:rPr>
        <w:t xml:space="preserve"> had found along the East Coast. And some of these </w:t>
      </w:r>
      <w:r w:rsidR="00B37ABD" w:rsidRPr="00B37ABD">
        <w:rPr>
          <w:rFonts w:ascii="Garamond" w:hAnsi="Garamond"/>
        </w:rPr>
        <w:t>Indigenous</w:t>
      </w:r>
      <w:r w:rsidR="00B203A9" w:rsidRPr="00B37ABD">
        <w:rPr>
          <w:rFonts w:ascii="Garamond" w:hAnsi="Garamond"/>
        </w:rPr>
        <w:t xml:space="preserve"> slaves had traveled to Europe, learned English, returned to the Americas, escaped, and shared their knowledge of Europe with </w:t>
      </w:r>
      <w:r w:rsidR="00B37ABD" w:rsidRPr="00B37ABD">
        <w:rPr>
          <w:rFonts w:ascii="Garamond" w:hAnsi="Garamond"/>
        </w:rPr>
        <w:t>Indigenous</w:t>
      </w:r>
      <w:r w:rsidR="00B203A9" w:rsidRPr="00B37ABD">
        <w:rPr>
          <w:rFonts w:ascii="Garamond" w:hAnsi="Garamond"/>
        </w:rPr>
        <w:t xml:space="preserve"> nations living along the east coast. In the years prior to the arrival of the Mayflower</w:t>
      </w:r>
      <w:r w:rsidR="00ED2C14" w:rsidRPr="00B37ABD">
        <w:rPr>
          <w:rFonts w:ascii="Garamond" w:hAnsi="Garamond"/>
        </w:rPr>
        <w:t xml:space="preserve"> bubonic plague had been introduced by European fishers to the </w:t>
      </w:r>
      <w:r w:rsidR="00B37ABD" w:rsidRPr="00B37ABD">
        <w:rPr>
          <w:rFonts w:ascii="Garamond" w:hAnsi="Garamond"/>
        </w:rPr>
        <w:t>Indigenous</w:t>
      </w:r>
      <w:r w:rsidR="00F641B3" w:rsidRPr="00B37ABD">
        <w:rPr>
          <w:rFonts w:ascii="Garamond" w:hAnsi="Garamond"/>
        </w:rPr>
        <w:t xml:space="preserve"> communities on the east coast of the Americas wiping out several villages prior to the arrival of the Mayflower settlers. In the early days of their settlement the Mayflower colonists were able to reach accommodation with the nearby Wampanoag and their Sachem Massasoit. Yet in the subsequent generations the accord between the settlers and the Massasoit broke down</w:t>
      </w:r>
      <w:r w:rsidR="00DA3FA8" w:rsidRPr="00B37ABD">
        <w:rPr>
          <w:rFonts w:ascii="Garamond" w:hAnsi="Garamond"/>
        </w:rPr>
        <w:t xml:space="preserve">, with two wars – the Pequot War of 1637 and King Philip’s War of 1675 – led to massacres of the </w:t>
      </w:r>
      <w:r w:rsidR="00B37ABD" w:rsidRPr="00B37ABD">
        <w:rPr>
          <w:rFonts w:ascii="Garamond" w:hAnsi="Garamond"/>
        </w:rPr>
        <w:t>Indigenous</w:t>
      </w:r>
      <w:r w:rsidR="00DA3FA8" w:rsidRPr="00B37ABD">
        <w:rPr>
          <w:rFonts w:ascii="Garamond" w:hAnsi="Garamond"/>
        </w:rPr>
        <w:t xml:space="preserve"> populations by European colonists, and the enslavement and forced expu</w:t>
      </w:r>
      <w:r w:rsidR="00737135" w:rsidRPr="00B37ABD">
        <w:rPr>
          <w:rFonts w:ascii="Garamond" w:hAnsi="Garamond"/>
        </w:rPr>
        <w:t>l</w:t>
      </w:r>
      <w:r w:rsidR="00DA3FA8" w:rsidRPr="00B37ABD">
        <w:rPr>
          <w:rFonts w:ascii="Garamond" w:hAnsi="Garamond"/>
        </w:rPr>
        <w:t xml:space="preserve">sion of many surviving </w:t>
      </w:r>
      <w:r w:rsidR="00B37ABD" w:rsidRPr="00B37ABD">
        <w:rPr>
          <w:rFonts w:ascii="Garamond" w:hAnsi="Garamond"/>
        </w:rPr>
        <w:t>Indigenous</w:t>
      </w:r>
      <w:r w:rsidR="00DA3FA8" w:rsidRPr="00B37ABD">
        <w:rPr>
          <w:rFonts w:ascii="Garamond" w:hAnsi="Garamond"/>
        </w:rPr>
        <w:t xml:space="preserve"> peoples. Within 60 years the </w:t>
      </w:r>
      <w:r w:rsidR="00B37ABD" w:rsidRPr="00B37ABD">
        <w:rPr>
          <w:rFonts w:ascii="Garamond" w:hAnsi="Garamond"/>
        </w:rPr>
        <w:t>Indigenous</w:t>
      </w:r>
      <w:r w:rsidR="00DA3FA8" w:rsidRPr="00B37ABD">
        <w:rPr>
          <w:rFonts w:ascii="Garamond" w:hAnsi="Garamond"/>
        </w:rPr>
        <w:t xml:space="preserve"> population around the original Plymouth Colony had been almost completely obliterated through a combination of disease, warfare, massacre, and slavery, paving the way for a rapid expansion of English </w:t>
      </w:r>
      <w:proofErr w:type="spellStart"/>
      <w:r w:rsidR="00C826BD" w:rsidRPr="00B37ABD">
        <w:rPr>
          <w:rFonts w:ascii="Garamond" w:hAnsi="Garamond"/>
        </w:rPr>
        <w:t>colonisation</w:t>
      </w:r>
      <w:proofErr w:type="spellEnd"/>
      <w:r w:rsidR="00C826BD" w:rsidRPr="00B37ABD">
        <w:rPr>
          <w:rFonts w:ascii="Garamond" w:hAnsi="Garamond"/>
        </w:rPr>
        <w:t xml:space="preserve"> </w:t>
      </w:r>
      <w:r w:rsidR="00DA3FA8" w:rsidRPr="00B37ABD">
        <w:rPr>
          <w:rFonts w:ascii="Garamond" w:hAnsi="Garamond"/>
        </w:rPr>
        <w:t>of the Eastern seaboard.</w:t>
      </w:r>
    </w:p>
    <w:p w14:paraId="5E064666" w14:textId="27C685C4" w:rsidR="00DA3FA8" w:rsidRPr="00B37ABD" w:rsidRDefault="00DA3FA8">
      <w:pPr>
        <w:rPr>
          <w:rFonts w:ascii="Garamond" w:hAnsi="Garamond"/>
        </w:rPr>
      </w:pPr>
      <w:r w:rsidRPr="00B37ABD">
        <w:rPr>
          <w:rFonts w:ascii="Garamond" w:hAnsi="Garamond"/>
        </w:rPr>
        <w:lastRenderedPageBreak/>
        <w:tab/>
      </w:r>
      <w:r w:rsidR="00542DC3" w:rsidRPr="00B37ABD">
        <w:rPr>
          <w:rFonts w:ascii="Garamond" w:hAnsi="Garamond"/>
        </w:rPr>
        <w:t>While a significant portion of this colonial practice was driven by pestilence and violence, it was enabled at every turn by a legal process.</w:t>
      </w:r>
      <w:r w:rsidR="0028561C" w:rsidRPr="00B37ABD">
        <w:rPr>
          <w:rFonts w:ascii="Garamond" w:hAnsi="Garamond"/>
        </w:rPr>
        <w:t xml:space="preserve"> Three legal agreements in particular made the Mayflower colony possible. The first, and most famous, is the </w:t>
      </w:r>
      <w:r w:rsidR="0028561C" w:rsidRPr="00B37ABD">
        <w:rPr>
          <w:rFonts w:ascii="Garamond" w:hAnsi="Garamond"/>
          <w:i/>
        </w:rPr>
        <w:t>Mayflower</w:t>
      </w:r>
      <w:r w:rsidR="0028561C" w:rsidRPr="00B37ABD">
        <w:rPr>
          <w:rFonts w:ascii="Garamond" w:hAnsi="Garamond"/>
        </w:rPr>
        <w:t xml:space="preserve"> Compact. The Mayflower had originally intended to settle in the Virginia colony along the Hudson river. But due to difficulties in the crossing and a navigation error the ship made landfall at Cape Cod. Many passengers on the ship </w:t>
      </w:r>
      <w:proofErr w:type="spellStart"/>
      <w:r w:rsidR="0028561C" w:rsidRPr="00B37ABD">
        <w:rPr>
          <w:rFonts w:ascii="Garamond" w:hAnsi="Garamond"/>
        </w:rPr>
        <w:t>reali</w:t>
      </w:r>
      <w:r w:rsidR="00C826BD" w:rsidRPr="00B37ABD">
        <w:rPr>
          <w:rFonts w:ascii="Garamond" w:hAnsi="Garamond"/>
        </w:rPr>
        <w:t>s</w:t>
      </w:r>
      <w:r w:rsidR="0028561C" w:rsidRPr="00B37ABD">
        <w:rPr>
          <w:rFonts w:ascii="Garamond" w:hAnsi="Garamond"/>
        </w:rPr>
        <w:t>ed</w:t>
      </w:r>
      <w:proofErr w:type="spellEnd"/>
      <w:r w:rsidR="0028561C" w:rsidRPr="00B37ABD">
        <w:rPr>
          <w:rFonts w:ascii="Garamond" w:hAnsi="Garamond"/>
        </w:rPr>
        <w:t xml:space="preserve"> that the letters patent from the </w:t>
      </w:r>
      <w:r w:rsidR="0028561C" w:rsidRPr="00B37ABD">
        <w:rPr>
          <w:rFonts w:ascii="Garamond" w:hAnsi="Garamond"/>
          <w:i/>
        </w:rPr>
        <w:t>Company of Merchant Adventurers of London</w:t>
      </w:r>
      <w:r w:rsidR="0028561C" w:rsidRPr="00B37ABD">
        <w:rPr>
          <w:rFonts w:ascii="Garamond" w:hAnsi="Garamond"/>
        </w:rPr>
        <w:t xml:space="preserve"> did not apply to the region where the settlers had landed, and some passengers insisted this meant that they were free to do as they wished. Fearing that this would make any settlement un</w:t>
      </w:r>
      <w:r w:rsidR="00144A65" w:rsidRPr="00B37ABD">
        <w:rPr>
          <w:rFonts w:ascii="Garamond" w:hAnsi="Garamond"/>
        </w:rPr>
        <w:t xml:space="preserve">governable, the passengers on the ship </w:t>
      </w:r>
      <w:r w:rsidR="00D66443" w:rsidRPr="00B37ABD">
        <w:rPr>
          <w:rFonts w:ascii="Garamond" w:hAnsi="Garamond"/>
        </w:rPr>
        <w:t>committed to</w:t>
      </w:r>
      <w:r w:rsidR="00144A65" w:rsidRPr="00B37ABD">
        <w:rPr>
          <w:rFonts w:ascii="Garamond" w:hAnsi="Garamond"/>
        </w:rPr>
        <w:t xml:space="preserve"> “covenant and combine ourselves together into a civil Body </w:t>
      </w:r>
      <w:proofErr w:type="spellStart"/>
      <w:r w:rsidR="00144A65" w:rsidRPr="00B37ABD">
        <w:rPr>
          <w:rFonts w:ascii="Garamond" w:hAnsi="Garamond"/>
        </w:rPr>
        <w:t>Politik</w:t>
      </w:r>
      <w:proofErr w:type="spellEnd"/>
      <w:r w:rsidR="00144A65" w:rsidRPr="00B37ABD">
        <w:rPr>
          <w:rFonts w:ascii="Garamond" w:hAnsi="Garamond"/>
        </w:rPr>
        <w:t>, for our better Ordering and Preservation” and promis</w:t>
      </w:r>
      <w:r w:rsidR="00D66443" w:rsidRPr="00B37ABD">
        <w:rPr>
          <w:rFonts w:ascii="Garamond" w:hAnsi="Garamond"/>
        </w:rPr>
        <w:t>ed</w:t>
      </w:r>
      <w:r w:rsidR="00144A65" w:rsidRPr="00B37ABD">
        <w:rPr>
          <w:rFonts w:ascii="Garamond" w:hAnsi="Garamond"/>
        </w:rPr>
        <w:t xml:space="preserve"> “all due Submission and Obedience” to “such just and equal Laws, Ordinances, Acts, Constitutions, and Officers, from time to time, as shall be thought most meet and convenient for the general Good of the Colony”.</w:t>
      </w:r>
      <w:r w:rsidR="00B37ABD" w:rsidRPr="00B37ABD">
        <w:rPr>
          <w:rStyle w:val="FootnoteReference"/>
          <w:rFonts w:ascii="Garamond" w:hAnsi="Garamond"/>
        </w:rPr>
        <w:footnoteReference w:id="3"/>
      </w:r>
      <w:r w:rsidR="00144A65" w:rsidRPr="00B37ABD">
        <w:rPr>
          <w:rFonts w:ascii="Garamond" w:hAnsi="Garamond"/>
        </w:rPr>
        <w:t xml:space="preserve"> Together with the Declaration of Independence and the United States Constitution the Mayflower Compact is often seen as one of the three foundational constitutional documents of the U.S. It constituted the Mayflower settlers as a body politic, created a basic version of rule of law in the new colony, and enshrined the principle of democratic rule in which laws would be passed by a vote of the colonists and the governor of the colony would be elected by its members. While there was no language of rights in the Mayflower Compact, the document did contain two of the other three pillars of global constitutionalism – democracy and the rule of law.</w:t>
      </w:r>
    </w:p>
    <w:p w14:paraId="2267AC48" w14:textId="77777777" w:rsidR="00E16981" w:rsidRPr="00B37ABD" w:rsidRDefault="00144A65">
      <w:pPr>
        <w:rPr>
          <w:rFonts w:ascii="Garamond" w:hAnsi="Garamond"/>
        </w:rPr>
      </w:pPr>
      <w:r w:rsidRPr="00B37ABD">
        <w:rPr>
          <w:rFonts w:ascii="Garamond" w:hAnsi="Garamond"/>
        </w:rPr>
        <w:tab/>
        <w:t xml:space="preserve">The other two, lesser known agreements also established </w:t>
      </w:r>
      <w:r w:rsidR="00E16981" w:rsidRPr="00B37ABD">
        <w:rPr>
          <w:rFonts w:ascii="Garamond" w:hAnsi="Garamond"/>
        </w:rPr>
        <w:t>and secured the settlement. The first were the legal agreements between the settlers and the Plymouth Company – a joint stock corporation established by King James to settle the area along the east coast of America North of the 40</w:t>
      </w:r>
      <w:r w:rsidR="00E16981" w:rsidRPr="00B37ABD">
        <w:rPr>
          <w:rFonts w:ascii="Garamond" w:hAnsi="Garamond"/>
          <w:vertAlign w:val="superscript"/>
        </w:rPr>
        <w:t>th</w:t>
      </w:r>
      <w:r w:rsidR="00E16981" w:rsidRPr="00B37ABD">
        <w:rPr>
          <w:rFonts w:ascii="Garamond" w:hAnsi="Garamond"/>
        </w:rPr>
        <w:t xml:space="preserve"> parallel. While the pilgrims’ motivation for emigrating to America was to found a new community where they could practice their religion without persecution, the motivation of the investors in the Plymouth Colony was entirely commercial. Letters patents were granted to settlers which gave them title to land in exchange for providing goods to the company – normally for a period of seven years. The primary interest at this point in time were the fur trade, timber, and cod. All of which the colonists were expected to acquire and ship back to England in exchange for eventually receiving title to their land. </w:t>
      </w:r>
    </w:p>
    <w:p w14:paraId="0045DF22" w14:textId="3E1970BB" w:rsidR="00144A65" w:rsidRPr="00B37ABD" w:rsidRDefault="00E16981" w:rsidP="00E16981">
      <w:pPr>
        <w:ind w:firstLine="720"/>
        <w:rPr>
          <w:rFonts w:ascii="Garamond" w:hAnsi="Garamond"/>
        </w:rPr>
      </w:pPr>
      <w:r w:rsidRPr="00B37ABD">
        <w:rPr>
          <w:rFonts w:ascii="Garamond" w:hAnsi="Garamond"/>
        </w:rPr>
        <w:t>The third agreement was between the settlers and the Wampanoag nation</w:t>
      </w:r>
      <w:r w:rsidR="00E72ACB" w:rsidRPr="00B37ABD">
        <w:rPr>
          <w:rFonts w:ascii="Garamond" w:hAnsi="Garamond"/>
        </w:rPr>
        <w:t xml:space="preserve"> negotiated by their Sachem Massasoit and a bilingual member of </w:t>
      </w:r>
      <w:proofErr w:type="spellStart"/>
      <w:r w:rsidR="00E72ACB" w:rsidRPr="00B37ABD">
        <w:rPr>
          <w:rFonts w:ascii="Garamond" w:hAnsi="Garamond"/>
        </w:rPr>
        <w:t>Patuxet</w:t>
      </w:r>
      <w:proofErr w:type="spellEnd"/>
      <w:r w:rsidR="00E72ACB" w:rsidRPr="00B37ABD">
        <w:rPr>
          <w:rFonts w:ascii="Garamond" w:hAnsi="Garamond"/>
        </w:rPr>
        <w:t xml:space="preserve"> nation Squanto</w:t>
      </w:r>
      <w:r w:rsidR="00E72ACB" w:rsidRPr="00B37ABD">
        <w:rPr>
          <w:rStyle w:val="FootnoteReference"/>
          <w:rFonts w:ascii="Garamond" w:hAnsi="Garamond"/>
        </w:rPr>
        <w:footnoteReference w:id="4"/>
      </w:r>
      <w:r w:rsidR="00E72ACB" w:rsidRPr="00B37ABD">
        <w:rPr>
          <w:rFonts w:ascii="Garamond" w:hAnsi="Garamond"/>
        </w:rPr>
        <w:t xml:space="preserve"> and the Plymouth Colony Governor John Carver. The agreement</w:t>
      </w:r>
      <w:r w:rsidR="004B6A44" w:rsidRPr="00B37ABD">
        <w:rPr>
          <w:rFonts w:ascii="Garamond" w:hAnsi="Garamond"/>
        </w:rPr>
        <w:t xml:space="preserve"> was as follows:</w:t>
      </w:r>
    </w:p>
    <w:p w14:paraId="2B890167" w14:textId="7ADDDFE2" w:rsidR="004B6A44" w:rsidRPr="00B37ABD" w:rsidRDefault="004B6A44" w:rsidP="004B6A44">
      <w:pPr>
        <w:ind w:firstLine="720"/>
        <w:rPr>
          <w:rFonts w:ascii="Garamond" w:hAnsi="Garamond"/>
        </w:rPr>
      </w:pPr>
      <w:r w:rsidRPr="00B37ABD">
        <w:rPr>
          <w:rFonts w:ascii="Garamond" w:hAnsi="Garamond"/>
        </w:rPr>
        <w:t>“1. That neither he nor any of his should injure or do harm to any of our people.</w:t>
      </w:r>
    </w:p>
    <w:p w14:paraId="3A09932E" w14:textId="3BE0B7F8" w:rsidR="004B6A44" w:rsidRPr="00B37ABD" w:rsidRDefault="004B6A44" w:rsidP="004B6A44">
      <w:pPr>
        <w:ind w:left="720"/>
        <w:rPr>
          <w:rFonts w:ascii="Garamond" w:hAnsi="Garamond"/>
        </w:rPr>
      </w:pPr>
      <w:r w:rsidRPr="00B37ABD">
        <w:rPr>
          <w:rFonts w:ascii="Garamond" w:hAnsi="Garamond"/>
        </w:rPr>
        <w:t xml:space="preserve"> 2. And i</w:t>
      </w:r>
      <w:r w:rsidR="005D2E39" w:rsidRPr="00B37ABD">
        <w:rPr>
          <w:rFonts w:ascii="Garamond" w:hAnsi="Garamond"/>
        </w:rPr>
        <w:t>f</w:t>
      </w:r>
      <w:r w:rsidRPr="00B37ABD">
        <w:rPr>
          <w:rFonts w:ascii="Garamond" w:hAnsi="Garamond"/>
        </w:rPr>
        <w:t xml:space="preserve"> any of his did hurt any of ours, he should send the offender, that we might punish him.</w:t>
      </w:r>
    </w:p>
    <w:p w14:paraId="05EE0431" w14:textId="377A9621" w:rsidR="004B6A44" w:rsidRPr="00B37ABD" w:rsidRDefault="004B6A44" w:rsidP="004B6A44">
      <w:pPr>
        <w:ind w:left="720"/>
        <w:rPr>
          <w:rFonts w:ascii="Garamond" w:hAnsi="Garamond"/>
        </w:rPr>
      </w:pPr>
      <w:r w:rsidRPr="00B37ABD">
        <w:rPr>
          <w:rFonts w:ascii="Garamond" w:hAnsi="Garamond"/>
        </w:rPr>
        <w:t>3. That i</w:t>
      </w:r>
      <w:r w:rsidR="005D2E39" w:rsidRPr="00B37ABD">
        <w:rPr>
          <w:rFonts w:ascii="Garamond" w:hAnsi="Garamond"/>
        </w:rPr>
        <w:t>f</w:t>
      </w:r>
      <w:r w:rsidRPr="00B37ABD">
        <w:rPr>
          <w:rFonts w:ascii="Garamond" w:hAnsi="Garamond"/>
        </w:rPr>
        <w:t xml:space="preserve"> any of our tools were taken away when our people were at work, he should cause them to be restored, and if ours did any harm to any of his, we would do the like to him.</w:t>
      </w:r>
    </w:p>
    <w:p w14:paraId="0DE628F4" w14:textId="6DFA237E" w:rsidR="004B6A44" w:rsidRPr="00B37ABD" w:rsidRDefault="004B6A44" w:rsidP="004B6A44">
      <w:pPr>
        <w:ind w:left="720"/>
        <w:rPr>
          <w:rFonts w:ascii="Garamond" w:hAnsi="Garamond"/>
        </w:rPr>
      </w:pPr>
      <w:r w:rsidRPr="00B37ABD">
        <w:rPr>
          <w:rFonts w:ascii="Garamond" w:hAnsi="Garamond"/>
        </w:rPr>
        <w:t>4. If any did unjustly war against him, we would aid him; if any did war against us, he should aid us.</w:t>
      </w:r>
    </w:p>
    <w:p w14:paraId="30309C20" w14:textId="63B69263" w:rsidR="004B6A44" w:rsidRPr="00B37ABD" w:rsidRDefault="004B6A44" w:rsidP="004B6A44">
      <w:pPr>
        <w:ind w:left="720"/>
        <w:rPr>
          <w:rFonts w:ascii="Garamond" w:hAnsi="Garamond"/>
        </w:rPr>
      </w:pPr>
      <w:r w:rsidRPr="00B37ABD">
        <w:rPr>
          <w:rFonts w:ascii="Garamond" w:hAnsi="Garamond"/>
        </w:rPr>
        <w:t>5. He should send to his neighbor confederates, to certify them of this, that they might not wrong us, but might be likewise comprised in the conditions of peace.</w:t>
      </w:r>
    </w:p>
    <w:p w14:paraId="6E1AD107" w14:textId="5A8DBC24" w:rsidR="004B6A44" w:rsidRPr="00B37ABD" w:rsidRDefault="004B6A44" w:rsidP="004B6A44">
      <w:pPr>
        <w:ind w:left="720"/>
        <w:rPr>
          <w:rFonts w:ascii="Garamond" w:hAnsi="Garamond"/>
        </w:rPr>
      </w:pPr>
      <w:r w:rsidRPr="00B37ABD">
        <w:rPr>
          <w:rFonts w:ascii="Garamond" w:hAnsi="Garamond"/>
        </w:rPr>
        <w:lastRenderedPageBreak/>
        <w:t>6. That when their men came to us, they should leave their bows and arrows behind them, as we should do our pieces when we came to them</w:t>
      </w:r>
      <w:r w:rsidR="00B37ABD" w:rsidRPr="00B37ABD">
        <w:rPr>
          <w:rFonts w:ascii="Garamond" w:hAnsi="Garamond"/>
        </w:rPr>
        <w:t>.</w:t>
      </w:r>
      <w:r w:rsidRPr="00B37ABD">
        <w:rPr>
          <w:rFonts w:ascii="Garamond" w:hAnsi="Garamond"/>
        </w:rPr>
        <w:t>”</w:t>
      </w:r>
      <w:r w:rsidR="00B37ABD" w:rsidRPr="00B37ABD">
        <w:rPr>
          <w:rStyle w:val="FootnoteReference"/>
          <w:rFonts w:ascii="Garamond" w:hAnsi="Garamond"/>
        </w:rPr>
        <w:footnoteReference w:id="5"/>
      </w:r>
    </w:p>
    <w:p w14:paraId="7F495071" w14:textId="73F6953D" w:rsidR="00E677C6" w:rsidRPr="00B37ABD" w:rsidRDefault="004B6A44" w:rsidP="004B6A44">
      <w:pPr>
        <w:rPr>
          <w:rFonts w:ascii="Garamond" w:hAnsi="Garamond"/>
        </w:rPr>
      </w:pPr>
      <w:r w:rsidRPr="00B37ABD">
        <w:rPr>
          <w:rFonts w:ascii="Garamond" w:hAnsi="Garamond"/>
        </w:rPr>
        <w:t>The agreement</w:t>
      </w:r>
      <w:r w:rsidR="00643717" w:rsidRPr="00B37ABD">
        <w:rPr>
          <w:rFonts w:ascii="Garamond" w:hAnsi="Garamond"/>
        </w:rPr>
        <w:t xml:space="preserve"> was just as significant as the Mayflower Compact as it established peaceful relations between Wampanoag and the Plymouth Colony on the basis of mutual protection of life and property, collective security, and a basic immigration agreement between the two communities.</w:t>
      </w:r>
      <w:r w:rsidR="00E677C6" w:rsidRPr="00B37ABD">
        <w:rPr>
          <w:rFonts w:ascii="Garamond" w:hAnsi="Garamond"/>
        </w:rPr>
        <w:t xml:space="preserve"> </w:t>
      </w:r>
      <w:r w:rsidR="00643717" w:rsidRPr="00B37ABD">
        <w:rPr>
          <w:rFonts w:ascii="Garamond" w:hAnsi="Garamond"/>
        </w:rPr>
        <w:t>Unfortunately</w:t>
      </w:r>
      <w:r w:rsidR="00737135" w:rsidRPr="00B37ABD">
        <w:rPr>
          <w:rFonts w:ascii="Garamond" w:hAnsi="Garamond"/>
        </w:rPr>
        <w:t>,</w:t>
      </w:r>
      <w:r w:rsidR="00643717" w:rsidRPr="00B37ABD">
        <w:rPr>
          <w:rFonts w:ascii="Garamond" w:hAnsi="Garamond"/>
        </w:rPr>
        <w:t xml:space="preserve"> as the number of settlers in the Plymouth Colony grew</w:t>
      </w:r>
      <w:r w:rsidR="00737135" w:rsidRPr="00B37ABD">
        <w:rPr>
          <w:rFonts w:ascii="Garamond" w:hAnsi="Garamond"/>
        </w:rPr>
        <w:t>,</w:t>
      </w:r>
      <w:r w:rsidR="00643717" w:rsidRPr="00B37ABD">
        <w:rPr>
          <w:rFonts w:ascii="Garamond" w:hAnsi="Garamond"/>
        </w:rPr>
        <w:t xml:space="preserve"> the agreement between the Wampanoag and Pilgrims would break</w:t>
      </w:r>
      <w:r w:rsidR="00737135" w:rsidRPr="00B37ABD">
        <w:rPr>
          <w:rFonts w:ascii="Garamond" w:hAnsi="Garamond"/>
        </w:rPr>
        <w:t xml:space="preserve"> </w:t>
      </w:r>
      <w:r w:rsidR="00643717" w:rsidRPr="00B37ABD">
        <w:rPr>
          <w:rFonts w:ascii="Garamond" w:hAnsi="Garamond"/>
        </w:rPr>
        <w:t>down, leading eventually to</w:t>
      </w:r>
      <w:r w:rsidR="00E677C6" w:rsidRPr="00B37ABD">
        <w:rPr>
          <w:rFonts w:ascii="Garamond" w:hAnsi="Garamond"/>
        </w:rPr>
        <w:t xml:space="preserve"> King Philip’s War in 1675 – 1676 that killed 40% of the population of the Wampanoag nation, and the enslavement of the remaining </w:t>
      </w:r>
      <w:r w:rsidR="00B37ABD" w:rsidRPr="00B37ABD">
        <w:rPr>
          <w:rFonts w:ascii="Garamond" w:hAnsi="Garamond"/>
        </w:rPr>
        <w:t>Indigenous</w:t>
      </w:r>
      <w:r w:rsidR="00E677C6" w:rsidRPr="00B37ABD">
        <w:rPr>
          <w:rFonts w:ascii="Garamond" w:hAnsi="Garamond"/>
        </w:rPr>
        <w:t xml:space="preserve"> population.</w:t>
      </w:r>
      <w:r w:rsidR="00B37ABD" w:rsidRPr="00B37ABD">
        <w:rPr>
          <w:rStyle w:val="FootnoteReference"/>
          <w:rFonts w:ascii="Garamond" w:hAnsi="Garamond"/>
        </w:rPr>
        <w:footnoteReference w:id="6"/>
      </w:r>
      <w:r w:rsidR="00E677C6" w:rsidRPr="00B37ABD">
        <w:rPr>
          <w:rFonts w:ascii="Garamond" w:hAnsi="Garamond"/>
        </w:rPr>
        <w:t xml:space="preserve"> </w:t>
      </w:r>
    </w:p>
    <w:p w14:paraId="587DD94C" w14:textId="47CA1D42" w:rsidR="00643717" w:rsidRPr="00B37ABD" w:rsidRDefault="00E677C6" w:rsidP="00E677C6">
      <w:pPr>
        <w:ind w:firstLine="720"/>
        <w:rPr>
          <w:rFonts w:ascii="Garamond" w:hAnsi="Garamond"/>
          <w:iCs/>
        </w:rPr>
      </w:pPr>
      <w:r w:rsidRPr="00B37ABD">
        <w:rPr>
          <w:rFonts w:ascii="Garamond" w:hAnsi="Garamond"/>
        </w:rPr>
        <w:t>From a global constitutionalist p</w:t>
      </w:r>
      <w:r w:rsidR="00737135" w:rsidRPr="00B37ABD">
        <w:rPr>
          <w:rFonts w:ascii="Garamond" w:hAnsi="Garamond"/>
        </w:rPr>
        <w:t>er</w:t>
      </w:r>
      <w:r w:rsidRPr="00B37ABD">
        <w:rPr>
          <w:rFonts w:ascii="Garamond" w:hAnsi="Garamond"/>
        </w:rPr>
        <w:t xml:space="preserve">spective, the story of the </w:t>
      </w:r>
      <w:r w:rsidRPr="00B37ABD">
        <w:rPr>
          <w:rFonts w:ascii="Garamond" w:hAnsi="Garamond"/>
          <w:i/>
        </w:rPr>
        <w:t>Mayflower</w:t>
      </w:r>
      <w:r w:rsidRPr="00B37ABD">
        <w:rPr>
          <w:rFonts w:ascii="Garamond" w:hAnsi="Garamond"/>
          <w:iCs/>
        </w:rPr>
        <w:t xml:space="preserve"> hig</w:t>
      </w:r>
      <w:r w:rsidR="00AA5861" w:rsidRPr="00B37ABD">
        <w:rPr>
          <w:rFonts w:ascii="Garamond" w:hAnsi="Garamond"/>
          <w:iCs/>
        </w:rPr>
        <w:t>h</w:t>
      </w:r>
      <w:r w:rsidRPr="00B37ABD">
        <w:rPr>
          <w:rFonts w:ascii="Garamond" w:hAnsi="Garamond"/>
          <w:iCs/>
        </w:rPr>
        <w:t xml:space="preserve">lights both the promise and the precarity of transnational law. The </w:t>
      </w:r>
      <w:r w:rsidRPr="00B37ABD">
        <w:rPr>
          <w:rFonts w:ascii="Garamond" w:hAnsi="Garamond"/>
          <w:i/>
        </w:rPr>
        <w:t>Mayflower</w:t>
      </w:r>
      <w:r w:rsidRPr="00B37ABD">
        <w:rPr>
          <w:rFonts w:ascii="Garamond" w:hAnsi="Garamond"/>
          <w:iCs/>
        </w:rPr>
        <w:t xml:space="preserve"> enterprise was only possible because of the three bedrock agreements: the Mayflower Compact to establish democracy and three rule of law amongst the settlers</w:t>
      </w:r>
      <w:r w:rsidR="00AA5861" w:rsidRPr="00B37ABD">
        <w:rPr>
          <w:rFonts w:ascii="Garamond" w:hAnsi="Garamond"/>
          <w:iCs/>
        </w:rPr>
        <w:t>;</w:t>
      </w:r>
      <w:r w:rsidRPr="00B37ABD">
        <w:rPr>
          <w:rFonts w:ascii="Garamond" w:hAnsi="Garamond"/>
          <w:iCs/>
        </w:rPr>
        <w:t xml:space="preserve"> the treaty with the Wampanoag </w:t>
      </w:r>
      <w:r w:rsidR="00AA5861" w:rsidRPr="00B37ABD">
        <w:rPr>
          <w:rFonts w:ascii="Garamond" w:hAnsi="Garamond"/>
          <w:iCs/>
        </w:rPr>
        <w:t xml:space="preserve">to provide </w:t>
      </w:r>
      <w:r w:rsidRPr="00B37ABD">
        <w:rPr>
          <w:rFonts w:ascii="Garamond" w:hAnsi="Garamond"/>
          <w:iCs/>
        </w:rPr>
        <w:t>the trade and security that enabled the settlers to survive their first years in the Americas</w:t>
      </w:r>
      <w:r w:rsidR="00AA5861" w:rsidRPr="00B37ABD">
        <w:rPr>
          <w:rFonts w:ascii="Garamond" w:hAnsi="Garamond"/>
          <w:iCs/>
        </w:rPr>
        <w:t>;</w:t>
      </w:r>
      <w:r w:rsidRPr="00B37ABD">
        <w:rPr>
          <w:rFonts w:ascii="Garamond" w:hAnsi="Garamond"/>
          <w:iCs/>
        </w:rPr>
        <w:t xml:space="preserve"> and the contract between the settlers and the investors back in England </w:t>
      </w:r>
      <w:r w:rsidR="00AA5861" w:rsidRPr="00B37ABD">
        <w:rPr>
          <w:rFonts w:ascii="Garamond" w:hAnsi="Garamond"/>
          <w:iCs/>
        </w:rPr>
        <w:t xml:space="preserve">to </w:t>
      </w:r>
      <w:r w:rsidRPr="00B37ABD">
        <w:rPr>
          <w:rFonts w:ascii="Garamond" w:hAnsi="Garamond"/>
          <w:iCs/>
        </w:rPr>
        <w:t xml:space="preserve">provide the initial funding for the expedition in exchange for the </w:t>
      </w:r>
      <w:r w:rsidR="008A195F" w:rsidRPr="00B37ABD">
        <w:rPr>
          <w:rFonts w:ascii="Garamond" w:hAnsi="Garamond"/>
          <w:iCs/>
        </w:rPr>
        <w:t xml:space="preserve">indentured </w:t>
      </w:r>
      <w:proofErr w:type="spellStart"/>
      <w:r w:rsidR="008A195F" w:rsidRPr="00B37ABD">
        <w:rPr>
          <w:rFonts w:ascii="Garamond" w:hAnsi="Garamond"/>
          <w:iCs/>
        </w:rPr>
        <w:t>labour</w:t>
      </w:r>
      <w:proofErr w:type="spellEnd"/>
      <w:r w:rsidR="008A195F" w:rsidRPr="00B37ABD">
        <w:rPr>
          <w:rFonts w:ascii="Garamond" w:hAnsi="Garamond"/>
          <w:iCs/>
        </w:rPr>
        <w:t xml:space="preserve"> and resource expropriation of the Americas by the colonists. Over the next 55 years the avarice of the commercial motivations for the settlement and the conflict </w:t>
      </w:r>
      <w:r w:rsidR="00AA5861" w:rsidRPr="00B37ABD">
        <w:rPr>
          <w:rFonts w:ascii="Garamond" w:hAnsi="Garamond"/>
          <w:iCs/>
        </w:rPr>
        <w:t xml:space="preserve">that </w:t>
      </w:r>
      <w:r w:rsidR="008A195F" w:rsidRPr="00B37ABD">
        <w:rPr>
          <w:rFonts w:ascii="Garamond" w:hAnsi="Garamond"/>
          <w:iCs/>
        </w:rPr>
        <w:t xml:space="preserve">resulted as more and more European settlers displaced the </w:t>
      </w:r>
      <w:r w:rsidR="00B37ABD" w:rsidRPr="00B37ABD">
        <w:rPr>
          <w:rFonts w:ascii="Garamond" w:hAnsi="Garamond"/>
          <w:iCs/>
        </w:rPr>
        <w:t>Indigenous</w:t>
      </w:r>
      <w:r w:rsidR="008A195F" w:rsidRPr="00B37ABD">
        <w:rPr>
          <w:rFonts w:ascii="Garamond" w:hAnsi="Garamond"/>
          <w:iCs/>
        </w:rPr>
        <w:t xml:space="preserve"> populations led to a breakdown of the constitutional order in the new world, </w:t>
      </w:r>
      <w:r w:rsidR="00AA5861" w:rsidRPr="00B37ABD">
        <w:rPr>
          <w:rFonts w:ascii="Garamond" w:hAnsi="Garamond"/>
          <w:iCs/>
        </w:rPr>
        <w:t xml:space="preserve">to </w:t>
      </w:r>
      <w:r w:rsidR="008A195F" w:rsidRPr="00B37ABD">
        <w:rPr>
          <w:rFonts w:ascii="Garamond" w:hAnsi="Garamond"/>
          <w:iCs/>
        </w:rPr>
        <w:t>war, and ultimately</w:t>
      </w:r>
      <w:r w:rsidR="00AA5861" w:rsidRPr="00B37ABD">
        <w:rPr>
          <w:rFonts w:ascii="Garamond" w:hAnsi="Garamond"/>
          <w:iCs/>
        </w:rPr>
        <w:t xml:space="preserve"> to</w:t>
      </w:r>
      <w:r w:rsidR="008A195F" w:rsidRPr="00B37ABD">
        <w:rPr>
          <w:rFonts w:ascii="Garamond" w:hAnsi="Garamond"/>
          <w:iCs/>
        </w:rPr>
        <w:t xml:space="preserve"> genocide.</w:t>
      </w:r>
    </w:p>
    <w:p w14:paraId="02CE06A2" w14:textId="39C9F33D" w:rsidR="008A195F" w:rsidRPr="00B37ABD" w:rsidRDefault="008A195F" w:rsidP="00E677C6">
      <w:pPr>
        <w:ind w:firstLine="720"/>
        <w:rPr>
          <w:rFonts w:ascii="Garamond" w:hAnsi="Garamond"/>
          <w:iCs/>
        </w:rPr>
      </w:pPr>
    </w:p>
    <w:p w14:paraId="13853977" w14:textId="4FD1BACF" w:rsidR="008A195F" w:rsidRPr="00B37ABD" w:rsidRDefault="00C826BD" w:rsidP="00E677C6">
      <w:pPr>
        <w:ind w:firstLine="720"/>
        <w:rPr>
          <w:rFonts w:ascii="Garamond" w:hAnsi="Garamond"/>
          <w:b/>
          <w:bCs/>
          <w:iCs/>
        </w:rPr>
      </w:pPr>
      <w:proofErr w:type="spellStart"/>
      <w:r w:rsidRPr="00B37ABD">
        <w:rPr>
          <w:rFonts w:ascii="Garamond" w:hAnsi="Garamond"/>
          <w:b/>
          <w:bCs/>
          <w:iCs/>
        </w:rPr>
        <w:t>Decolonising</w:t>
      </w:r>
      <w:proofErr w:type="spellEnd"/>
      <w:r w:rsidRPr="00B37ABD">
        <w:rPr>
          <w:rFonts w:ascii="Garamond" w:hAnsi="Garamond"/>
          <w:b/>
          <w:bCs/>
          <w:iCs/>
        </w:rPr>
        <w:t xml:space="preserve"> </w:t>
      </w:r>
      <w:r w:rsidR="008A195F" w:rsidRPr="00B37ABD">
        <w:rPr>
          <w:rFonts w:ascii="Garamond" w:hAnsi="Garamond"/>
          <w:b/>
          <w:bCs/>
          <w:iCs/>
        </w:rPr>
        <w:t>Global Constitutionalism</w:t>
      </w:r>
    </w:p>
    <w:p w14:paraId="117B488F" w14:textId="419B423B" w:rsidR="008A195F" w:rsidRPr="00B37ABD" w:rsidRDefault="008A195F" w:rsidP="00E677C6">
      <w:pPr>
        <w:ind w:firstLine="720"/>
        <w:rPr>
          <w:rFonts w:ascii="Garamond" w:hAnsi="Garamond"/>
          <w:b/>
          <w:bCs/>
          <w:iCs/>
        </w:rPr>
      </w:pPr>
    </w:p>
    <w:p w14:paraId="2830248F" w14:textId="6A4B3058" w:rsidR="00F21149" w:rsidRPr="00B37ABD" w:rsidRDefault="008A195F" w:rsidP="00E677C6">
      <w:pPr>
        <w:ind w:firstLine="720"/>
        <w:rPr>
          <w:rFonts w:ascii="Garamond" w:hAnsi="Garamond"/>
          <w:iCs/>
        </w:rPr>
      </w:pPr>
      <w:r w:rsidRPr="00B37ABD">
        <w:rPr>
          <w:rFonts w:ascii="Garamond" w:hAnsi="Garamond"/>
          <w:iCs/>
        </w:rPr>
        <w:t xml:space="preserve">To properly understand the significance of the </w:t>
      </w:r>
      <w:r w:rsidRPr="00B37ABD">
        <w:rPr>
          <w:rFonts w:ascii="Garamond" w:hAnsi="Garamond"/>
          <w:i/>
        </w:rPr>
        <w:t xml:space="preserve">Mayflower </w:t>
      </w:r>
      <w:r w:rsidRPr="00B37ABD">
        <w:rPr>
          <w:rFonts w:ascii="Garamond" w:hAnsi="Garamond"/>
          <w:iCs/>
        </w:rPr>
        <w:t>voyage</w:t>
      </w:r>
      <w:r w:rsidR="0091688D" w:rsidRPr="00B37ABD">
        <w:rPr>
          <w:rFonts w:ascii="Garamond" w:hAnsi="Garamond"/>
          <w:iCs/>
        </w:rPr>
        <w:t xml:space="preserve"> for global constitutionalism is to begin the process of </w:t>
      </w:r>
      <w:proofErr w:type="spellStart"/>
      <w:r w:rsidR="00C826BD" w:rsidRPr="00B37ABD">
        <w:rPr>
          <w:rFonts w:ascii="Garamond" w:hAnsi="Garamond"/>
          <w:iCs/>
        </w:rPr>
        <w:t>decolonising</w:t>
      </w:r>
      <w:proofErr w:type="spellEnd"/>
      <w:r w:rsidR="00C826BD" w:rsidRPr="00B37ABD">
        <w:rPr>
          <w:rFonts w:ascii="Garamond" w:hAnsi="Garamond"/>
          <w:iCs/>
        </w:rPr>
        <w:t xml:space="preserve"> </w:t>
      </w:r>
      <w:r w:rsidR="0091688D" w:rsidRPr="00B37ABD">
        <w:rPr>
          <w:rFonts w:ascii="Garamond" w:hAnsi="Garamond"/>
          <w:iCs/>
        </w:rPr>
        <w:t xml:space="preserve">how global constitutionalism is practiced and studied. </w:t>
      </w:r>
      <w:r w:rsidRPr="00B37ABD">
        <w:rPr>
          <w:rFonts w:ascii="Garamond" w:hAnsi="Garamond"/>
          <w:iCs/>
        </w:rPr>
        <w:t xml:space="preserve"> </w:t>
      </w:r>
      <w:r w:rsidR="0091688D" w:rsidRPr="00B37ABD">
        <w:rPr>
          <w:rFonts w:ascii="Garamond" w:hAnsi="Garamond"/>
          <w:iCs/>
        </w:rPr>
        <w:t xml:space="preserve">We follow </w:t>
      </w:r>
      <w:proofErr w:type="spellStart"/>
      <w:r w:rsidR="0091688D" w:rsidRPr="00B37ABD">
        <w:rPr>
          <w:rFonts w:ascii="Garamond" w:hAnsi="Garamond"/>
          <w:iCs/>
        </w:rPr>
        <w:t>Rutazibwa</w:t>
      </w:r>
      <w:proofErr w:type="spellEnd"/>
      <w:r w:rsidR="0091688D" w:rsidRPr="00B37ABD">
        <w:rPr>
          <w:rFonts w:ascii="Garamond" w:hAnsi="Garamond"/>
          <w:iCs/>
        </w:rPr>
        <w:t xml:space="preserve"> and </w:t>
      </w:r>
      <w:proofErr w:type="spellStart"/>
      <w:r w:rsidR="0091688D" w:rsidRPr="00B37ABD">
        <w:rPr>
          <w:rFonts w:ascii="Garamond" w:hAnsi="Garamond"/>
          <w:iCs/>
        </w:rPr>
        <w:t>Shilliam</w:t>
      </w:r>
      <w:proofErr w:type="spellEnd"/>
      <w:r w:rsidR="0091688D" w:rsidRPr="00B37ABD">
        <w:rPr>
          <w:rFonts w:ascii="Garamond" w:hAnsi="Garamond"/>
          <w:iCs/>
        </w:rPr>
        <w:t xml:space="preserve"> in defining </w:t>
      </w:r>
      <w:proofErr w:type="spellStart"/>
      <w:r w:rsidR="0091688D" w:rsidRPr="00B37ABD">
        <w:rPr>
          <w:rFonts w:ascii="Garamond" w:hAnsi="Garamond"/>
          <w:iCs/>
        </w:rPr>
        <w:t>decoloni</w:t>
      </w:r>
      <w:r w:rsidR="00C826BD" w:rsidRPr="00B37ABD">
        <w:rPr>
          <w:rFonts w:ascii="Garamond" w:hAnsi="Garamond"/>
          <w:iCs/>
        </w:rPr>
        <w:t>s</w:t>
      </w:r>
      <w:r w:rsidR="0091688D" w:rsidRPr="00B37ABD">
        <w:rPr>
          <w:rFonts w:ascii="Garamond" w:hAnsi="Garamond"/>
          <w:iCs/>
        </w:rPr>
        <w:t>ation</w:t>
      </w:r>
      <w:proofErr w:type="spellEnd"/>
      <w:r w:rsidR="0091688D" w:rsidRPr="00B37ABD">
        <w:rPr>
          <w:rFonts w:ascii="Garamond" w:hAnsi="Garamond"/>
          <w:iCs/>
        </w:rPr>
        <w:t xml:space="preserve"> as a “heuristic device that </w:t>
      </w:r>
      <w:proofErr w:type="spellStart"/>
      <w:r w:rsidR="0091688D" w:rsidRPr="00B37ABD">
        <w:rPr>
          <w:rFonts w:ascii="Garamond" w:hAnsi="Garamond"/>
          <w:iCs/>
        </w:rPr>
        <w:t>sensitises</w:t>
      </w:r>
      <w:proofErr w:type="spellEnd"/>
      <w:r w:rsidR="0091688D" w:rsidRPr="00B37ABD">
        <w:rPr>
          <w:rFonts w:ascii="Garamond" w:hAnsi="Garamond"/>
          <w:iCs/>
        </w:rPr>
        <w:t xml:space="preserve"> the thinker to the multiple, contending and overlapping legacies of colonial rule and imperial administration that inform contemporary global politics”.</w:t>
      </w:r>
      <w:r w:rsidR="00B37ABD" w:rsidRPr="00B37ABD">
        <w:rPr>
          <w:rStyle w:val="FootnoteReference"/>
          <w:rFonts w:ascii="Garamond" w:hAnsi="Garamond"/>
          <w:iCs/>
        </w:rPr>
        <w:footnoteReference w:id="7"/>
      </w:r>
      <w:r w:rsidR="0091688D" w:rsidRPr="00B37ABD">
        <w:rPr>
          <w:rFonts w:ascii="Garamond" w:hAnsi="Garamond"/>
          <w:iCs/>
        </w:rPr>
        <w:t xml:space="preserve"> Building upon last year’s editorial calling for greater diversity in the study of global constitutionalism, this year the editors would like to use the connection between the </w:t>
      </w:r>
      <w:r w:rsidR="0091688D" w:rsidRPr="00B37ABD">
        <w:rPr>
          <w:rFonts w:ascii="Garamond" w:hAnsi="Garamond"/>
          <w:i/>
        </w:rPr>
        <w:t>Mayflower</w:t>
      </w:r>
      <w:r w:rsidR="0091688D" w:rsidRPr="00B37ABD">
        <w:rPr>
          <w:rFonts w:ascii="Garamond" w:hAnsi="Garamond"/>
          <w:iCs/>
        </w:rPr>
        <w:t xml:space="preserve"> anniversary and the</w:t>
      </w:r>
      <w:r w:rsidR="009F2710" w:rsidRPr="00B37ABD">
        <w:rPr>
          <w:rFonts w:ascii="Garamond" w:hAnsi="Garamond"/>
          <w:iCs/>
        </w:rPr>
        <w:t xml:space="preserve"> relocation of the journal to Southampton to call upon our readers to reflect upon how colonial and imperial order have shaped democracy, the rule of law, and human rights across the global normative order. </w:t>
      </w:r>
    </w:p>
    <w:p w14:paraId="7C6A6106" w14:textId="77777777" w:rsidR="00F21149" w:rsidRPr="00B37ABD" w:rsidRDefault="00F21149" w:rsidP="00E677C6">
      <w:pPr>
        <w:ind w:firstLine="720"/>
        <w:rPr>
          <w:rFonts w:ascii="Garamond" w:hAnsi="Garamond"/>
          <w:iCs/>
        </w:rPr>
      </w:pPr>
    </w:p>
    <w:p w14:paraId="52F5EBD4" w14:textId="2F1A423E" w:rsidR="000430BF" w:rsidRPr="00B37ABD" w:rsidRDefault="000430BF" w:rsidP="000430BF">
      <w:pPr>
        <w:ind w:firstLine="720"/>
        <w:rPr>
          <w:rFonts w:ascii="Garamond" w:hAnsi="Garamond"/>
          <w:iCs/>
        </w:rPr>
      </w:pPr>
      <w:r w:rsidRPr="00B37ABD">
        <w:rPr>
          <w:rFonts w:ascii="Garamond" w:hAnsi="Garamond"/>
          <w:iCs/>
        </w:rPr>
        <w:t xml:space="preserve">From a substantive perspective, </w:t>
      </w:r>
      <w:r w:rsidR="00EB617E" w:rsidRPr="00B37ABD">
        <w:rPr>
          <w:rFonts w:ascii="Garamond" w:hAnsi="Garamond"/>
          <w:iCs/>
        </w:rPr>
        <w:t xml:space="preserve">as editors of </w:t>
      </w:r>
      <w:r w:rsidRPr="00B37ABD">
        <w:rPr>
          <w:rFonts w:ascii="Garamond" w:hAnsi="Garamond"/>
          <w:i/>
          <w:iCs/>
        </w:rPr>
        <w:t>Global Constitutionalism</w:t>
      </w:r>
      <w:r w:rsidRPr="00B37ABD">
        <w:rPr>
          <w:rFonts w:ascii="Garamond" w:hAnsi="Garamond"/>
          <w:iCs/>
        </w:rPr>
        <w:t xml:space="preserve"> </w:t>
      </w:r>
      <w:r w:rsidR="00EB617E" w:rsidRPr="00B37ABD">
        <w:rPr>
          <w:rFonts w:ascii="Garamond" w:hAnsi="Garamond"/>
          <w:iCs/>
        </w:rPr>
        <w:t>(</w:t>
      </w:r>
      <w:proofErr w:type="spellStart"/>
      <w:r w:rsidR="00EB617E" w:rsidRPr="00B37ABD">
        <w:rPr>
          <w:rFonts w:ascii="Garamond" w:hAnsi="Garamond"/>
          <w:i/>
          <w:iCs/>
        </w:rPr>
        <w:t>GlobCon</w:t>
      </w:r>
      <w:proofErr w:type="spellEnd"/>
      <w:r w:rsidR="00EB617E" w:rsidRPr="00B37ABD">
        <w:rPr>
          <w:rFonts w:ascii="Garamond" w:hAnsi="Garamond"/>
          <w:iCs/>
        </w:rPr>
        <w:t>) we are conscious of the fact</w:t>
      </w:r>
      <w:r w:rsidRPr="00B37ABD">
        <w:rPr>
          <w:rFonts w:ascii="Garamond" w:hAnsi="Garamond"/>
          <w:iCs/>
        </w:rPr>
        <w:t xml:space="preserve"> that the most common frames in the discipline have been the beneficiaries and vehicles of a colonialist legacy</w:t>
      </w:r>
      <w:r w:rsidR="00EB617E" w:rsidRPr="00B37ABD">
        <w:rPr>
          <w:rFonts w:ascii="Garamond" w:hAnsi="Garamond"/>
          <w:iCs/>
        </w:rPr>
        <w:t xml:space="preserve">. </w:t>
      </w:r>
      <w:proofErr w:type="spellStart"/>
      <w:r w:rsidR="00EB617E" w:rsidRPr="00B37ABD">
        <w:rPr>
          <w:rFonts w:ascii="Garamond" w:hAnsi="Garamond"/>
          <w:i/>
          <w:iCs/>
        </w:rPr>
        <w:t>GlobCon</w:t>
      </w:r>
      <w:proofErr w:type="spellEnd"/>
      <w:r w:rsidR="00EB617E" w:rsidRPr="00B37ABD">
        <w:rPr>
          <w:rFonts w:ascii="Garamond" w:hAnsi="Garamond"/>
          <w:iCs/>
        </w:rPr>
        <w:t xml:space="preserve"> therefore</w:t>
      </w:r>
      <w:r w:rsidRPr="00B37ABD">
        <w:rPr>
          <w:rFonts w:ascii="Garamond" w:hAnsi="Garamond"/>
          <w:iCs/>
        </w:rPr>
        <w:t xml:space="preserve"> </w:t>
      </w:r>
      <w:r w:rsidR="00EB617E" w:rsidRPr="00B37ABD">
        <w:rPr>
          <w:rFonts w:ascii="Garamond" w:hAnsi="Garamond"/>
          <w:iCs/>
        </w:rPr>
        <w:t xml:space="preserve">seeks to </w:t>
      </w:r>
      <w:proofErr w:type="spellStart"/>
      <w:r w:rsidRPr="00B37ABD">
        <w:rPr>
          <w:rFonts w:ascii="Garamond" w:hAnsi="Garamond"/>
          <w:iCs/>
        </w:rPr>
        <w:t>emphasi</w:t>
      </w:r>
      <w:r w:rsidR="00C826BD" w:rsidRPr="00B37ABD">
        <w:rPr>
          <w:rFonts w:ascii="Garamond" w:hAnsi="Garamond"/>
          <w:iCs/>
        </w:rPr>
        <w:t>s</w:t>
      </w:r>
      <w:r w:rsidRPr="00B37ABD">
        <w:rPr>
          <w:rFonts w:ascii="Garamond" w:hAnsi="Garamond"/>
          <w:iCs/>
        </w:rPr>
        <w:t>e</w:t>
      </w:r>
      <w:proofErr w:type="spellEnd"/>
      <w:r w:rsidRPr="00B37ABD">
        <w:rPr>
          <w:rFonts w:ascii="Garamond" w:hAnsi="Garamond"/>
          <w:iCs/>
        </w:rPr>
        <w:t xml:space="preserve"> the presence and validity of alternative frames. Dominant </w:t>
      </w:r>
      <w:r w:rsidR="00EB617E" w:rsidRPr="00B37ABD">
        <w:rPr>
          <w:rFonts w:ascii="Garamond" w:hAnsi="Garamond"/>
          <w:iCs/>
        </w:rPr>
        <w:t>‘Western’</w:t>
      </w:r>
      <w:r w:rsidR="007A4DDA" w:rsidRPr="00B37ABD">
        <w:rPr>
          <w:rFonts w:ascii="Garamond" w:hAnsi="Garamond"/>
          <w:iCs/>
        </w:rPr>
        <w:t xml:space="preserve"> </w:t>
      </w:r>
      <w:r w:rsidRPr="00B37ABD">
        <w:rPr>
          <w:rFonts w:ascii="Garamond" w:hAnsi="Garamond"/>
          <w:iCs/>
        </w:rPr>
        <w:t>understandings of the</w:t>
      </w:r>
      <w:r w:rsidR="007A4DDA" w:rsidRPr="00B37ABD">
        <w:rPr>
          <w:rFonts w:ascii="Garamond" w:hAnsi="Garamond"/>
          <w:iCs/>
        </w:rPr>
        <w:t xml:space="preserve"> modern liberal</w:t>
      </w:r>
      <w:r w:rsidRPr="00B37ABD">
        <w:rPr>
          <w:rFonts w:ascii="Garamond" w:hAnsi="Garamond"/>
          <w:iCs/>
        </w:rPr>
        <w:t xml:space="preserve"> constitutional order and rule of law have been transmitted along with colonial political power, and used to justify the prevalence and continued advancement of these ideas</w:t>
      </w:r>
      <w:r w:rsidR="00B37ABD" w:rsidRPr="00B37ABD">
        <w:rPr>
          <w:rFonts w:ascii="Garamond" w:hAnsi="Garamond"/>
          <w:iCs/>
        </w:rPr>
        <w:t>.</w:t>
      </w:r>
      <w:r w:rsidR="00B37ABD" w:rsidRPr="00B37ABD">
        <w:rPr>
          <w:rStyle w:val="FootnoteReference"/>
          <w:rFonts w:ascii="Garamond" w:hAnsi="Garamond"/>
          <w:iCs/>
        </w:rPr>
        <w:footnoteReference w:id="8"/>
      </w:r>
      <w:r w:rsidR="00312A87" w:rsidRPr="00B37ABD">
        <w:rPr>
          <w:rFonts w:ascii="Garamond" w:hAnsi="Garamond"/>
          <w:iCs/>
        </w:rPr>
        <w:t xml:space="preserve"> </w:t>
      </w:r>
      <w:r w:rsidRPr="00B37ABD">
        <w:rPr>
          <w:rFonts w:ascii="Garamond" w:hAnsi="Garamond"/>
          <w:iCs/>
        </w:rPr>
        <w:t>There have been moments where the relationship between colonialist impulses and claims to normative legitimacy have been explicit. One cogent claim available to the</w:t>
      </w:r>
      <w:r w:rsidR="00312A87" w:rsidRPr="00B37ABD">
        <w:rPr>
          <w:rFonts w:ascii="Garamond" w:hAnsi="Garamond"/>
          <w:iCs/>
        </w:rPr>
        <w:t xml:space="preserve"> ‘global</w:t>
      </w:r>
      <w:r w:rsidRPr="00B37ABD">
        <w:rPr>
          <w:rFonts w:ascii="Garamond" w:hAnsi="Garamond"/>
          <w:iCs/>
        </w:rPr>
        <w:t xml:space="preserve"> West</w:t>
      </w:r>
      <w:r w:rsidR="00312A87" w:rsidRPr="00B37ABD">
        <w:rPr>
          <w:rFonts w:ascii="Garamond" w:hAnsi="Garamond"/>
          <w:iCs/>
        </w:rPr>
        <w:t>’</w:t>
      </w:r>
      <w:r w:rsidRPr="00B37ABD">
        <w:rPr>
          <w:rFonts w:ascii="Garamond" w:hAnsi="Garamond"/>
          <w:iCs/>
        </w:rPr>
        <w:t xml:space="preserve"> during the Cold War was that its political structures were </w:t>
      </w:r>
      <w:proofErr w:type="spellStart"/>
      <w:r w:rsidRPr="00B37ABD">
        <w:rPr>
          <w:rFonts w:ascii="Garamond" w:hAnsi="Garamond"/>
          <w:iCs/>
        </w:rPr>
        <w:t>legitimi</w:t>
      </w:r>
      <w:r w:rsidR="00C826BD" w:rsidRPr="00B37ABD">
        <w:rPr>
          <w:rFonts w:ascii="Garamond" w:hAnsi="Garamond"/>
          <w:iCs/>
        </w:rPr>
        <w:t>s</w:t>
      </w:r>
      <w:r w:rsidRPr="00B37ABD">
        <w:rPr>
          <w:rFonts w:ascii="Garamond" w:hAnsi="Garamond"/>
          <w:iCs/>
        </w:rPr>
        <w:t>ed</w:t>
      </w:r>
      <w:proofErr w:type="spellEnd"/>
      <w:r w:rsidRPr="00B37ABD">
        <w:rPr>
          <w:rFonts w:ascii="Garamond" w:hAnsi="Garamond"/>
          <w:iCs/>
        </w:rPr>
        <w:t xml:space="preserve"> by constitutional and rule of law norms</w:t>
      </w:r>
      <w:r w:rsidR="00312A87" w:rsidRPr="00B37ABD">
        <w:rPr>
          <w:rFonts w:ascii="Garamond" w:hAnsi="Garamond"/>
          <w:iCs/>
        </w:rPr>
        <w:t xml:space="preserve"> which </w:t>
      </w:r>
      <w:r w:rsidR="00312A87" w:rsidRPr="00B37ABD">
        <w:rPr>
          <w:rFonts w:ascii="Garamond" w:hAnsi="Garamond"/>
          <w:iCs/>
        </w:rPr>
        <w:lastRenderedPageBreak/>
        <w:t>subsequently</w:t>
      </w:r>
      <w:r w:rsidRPr="00B37ABD">
        <w:rPr>
          <w:rFonts w:ascii="Garamond" w:hAnsi="Garamond"/>
          <w:iCs/>
        </w:rPr>
        <w:t xml:space="preserve"> served as vehicles for advancing hegemonic ideology. Likewise, the second war in Iraq was legitimated in part by claims regarding the constitutional and legal features of America, and the assertion that these </w:t>
      </w:r>
      <w:r w:rsidR="00312A87" w:rsidRPr="00B37ABD">
        <w:rPr>
          <w:rFonts w:ascii="Garamond" w:hAnsi="Garamond"/>
          <w:iCs/>
        </w:rPr>
        <w:t>fundamental</w:t>
      </w:r>
      <w:r w:rsidRPr="00B37ABD">
        <w:rPr>
          <w:rFonts w:ascii="Garamond" w:hAnsi="Garamond"/>
          <w:iCs/>
        </w:rPr>
        <w:t xml:space="preserve"> norms would form the basis for a new Iraqi government. The</w:t>
      </w:r>
      <w:r w:rsidR="003F6551" w:rsidRPr="00B37ABD">
        <w:rPr>
          <w:rFonts w:ascii="Garamond" w:hAnsi="Garamond"/>
          <w:iCs/>
        </w:rPr>
        <w:t>se</w:t>
      </w:r>
      <w:r w:rsidRPr="00B37ABD">
        <w:rPr>
          <w:rFonts w:ascii="Garamond" w:hAnsi="Garamond"/>
          <w:iCs/>
        </w:rPr>
        <w:t xml:space="preserve"> </w:t>
      </w:r>
      <w:r w:rsidR="00C15517" w:rsidRPr="00B37ABD">
        <w:rPr>
          <w:rFonts w:ascii="Garamond" w:hAnsi="Garamond"/>
          <w:iCs/>
        </w:rPr>
        <w:t>declarations</w:t>
      </w:r>
      <w:r w:rsidR="003F6551" w:rsidRPr="00B37ABD">
        <w:rPr>
          <w:rFonts w:ascii="Garamond" w:hAnsi="Garamond"/>
          <w:iCs/>
        </w:rPr>
        <w:t xml:space="preserve"> of</w:t>
      </w:r>
      <w:r w:rsidRPr="00B37ABD">
        <w:rPr>
          <w:rFonts w:ascii="Garamond" w:hAnsi="Garamond"/>
          <w:iCs/>
        </w:rPr>
        <w:t xml:space="preserve"> moral standing form a striking parallel with the claims to spiritual rectitude that motivated the puritans and provided them with internal legitimation in their dealing with the inhabitants of the new world. </w:t>
      </w:r>
    </w:p>
    <w:p w14:paraId="3F650EA4" w14:textId="77777777" w:rsidR="000430BF" w:rsidRPr="00B37ABD" w:rsidRDefault="000430BF" w:rsidP="000430BF">
      <w:pPr>
        <w:ind w:firstLine="720"/>
        <w:rPr>
          <w:rFonts w:ascii="Garamond" w:hAnsi="Garamond"/>
          <w:iCs/>
        </w:rPr>
      </w:pPr>
    </w:p>
    <w:p w14:paraId="22EF6F43" w14:textId="06C8DC3F" w:rsidR="000430BF" w:rsidRPr="00B37ABD" w:rsidRDefault="000430BF" w:rsidP="000430BF">
      <w:pPr>
        <w:ind w:firstLine="720"/>
        <w:rPr>
          <w:rFonts w:ascii="Garamond" w:hAnsi="Garamond"/>
          <w:iCs/>
        </w:rPr>
      </w:pPr>
      <w:r w:rsidRPr="00B37ABD">
        <w:rPr>
          <w:rFonts w:ascii="Garamond" w:hAnsi="Garamond"/>
          <w:iCs/>
        </w:rPr>
        <w:t xml:space="preserve">Beyond identifying and </w:t>
      </w:r>
      <w:proofErr w:type="spellStart"/>
      <w:r w:rsidRPr="00B37ABD">
        <w:rPr>
          <w:rFonts w:ascii="Garamond" w:hAnsi="Garamond"/>
          <w:iCs/>
        </w:rPr>
        <w:t>analy</w:t>
      </w:r>
      <w:r w:rsidR="00C826BD" w:rsidRPr="00B37ABD">
        <w:rPr>
          <w:rFonts w:ascii="Garamond" w:hAnsi="Garamond"/>
          <w:iCs/>
        </w:rPr>
        <w:t>s</w:t>
      </w:r>
      <w:r w:rsidRPr="00B37ABD">
        <w:rPr>
          <w:rFonts w:ascii="Garamond" w:hAnsi="Garamond"/>
          <w:iCs/>
        </w:rPr>
        <w:t>ing</w:t>
      </w:r>
      <w:proofErr w:type="spellEnd"/>
      <w:r w:rsidRPr="00B37ABD">
        <w:rPr>
          <w:rFonts w:ascii="Garamond" w:hAnsi="Garamond"/>
          <w:iCs/>
        </w:rPr>
        <w:t xml:space="preserve"> the ways in which constitutional ideology has depended upon colonialism for its ascendance, </w:t>
      </w:r>
      <w:proofErr w:type="spellStart"/>
      <w:r w:rsidRPr="00B37ABD">
        <w:rPr>
          <w:rFonts w:ascii="Garamond" w:hAnsi="Garamond"/>
          <w:i/>
          <w:iCs/>
        </w:rPr>
        <w:t>GlobCon</w:t>
      </w:r>
      <w:proofErr w:type="spellEnd"/>
      <w:r w:rsidRPr="00B37ABD">
        <w:rPr>
          <w:rFonts w:ascii="Garamond" w:hAnsi="Garamond"/>
          <w:iCs/>
        </w:rPr>
        <w:t xml:space="preserve"> </w:t>
      </w:r>
      <w:r w:rsidR="00312A87" w:rsidRPr="00B37ABD">
        <w:rPr>
          <w:rFonts w:ascii="Garamond" w:hAnsi="Garamond"/>
          <w:iCs/>
        </w:rPr>
        <w:t>aims to</w:t>
      </w:r>
      <w:r w:rsidRPr="00B37ABD">
        <w:rPr>
          <w:rFonts w:ascii="Garamond" w:hAnsi="Garamond"/>
          <w:iCs/>
        </w:rPr>
        <w:t xml:space="preserve"> de-</w:t>
      </w:r>
      <w:proofErr w:type="spellStart"/>
      <w:r w:rsidRPr="00B37ABD">
        <w:rPr>
          <w:rFonts w:ascii="Garamond" w:hAnsi="Garamond"/>
          <w:iCs/>
        </w:rPr>
        <w:t>coloni</w:t>
      </w:r>
      <w:r w:rsidR="00C826BD" w:rsidRPr="00B37ABD">
        <w:rPr>
          <w:rFonts w:ascii="Garamond" w:hAnsi="Garamond"/>
          <w:iCs/>
        </w:rPr>
        <w:t>s</w:t>
      </w:r>
      <w:r w:rsidRPr="00B37ABD">
        <w:rPr>
          <w:rFonts w:ascii="Garamond" w:hAnsi="Garamond"/>
          <w:iCs/>
        </w:rPr>
        <w:t>e</w:t>
      </w:r>
      <w:proofErr w:type="spellEnd"/>
      <w:r w:rsidRPr="00B37ABD">
        <w:rPr>
          <w:rFonts w:ascii="Garamond" w:hAnsi="Garamond"/>
          <w:iCs/>
        </w:rPr>
        <w:t xml:space="preserve"> by providing an academic forum for other forms of legal and political ordering. We have already taken initial steps towards this goal with an upcoming symposium on global constitutionalism in Asia and the Pacific. Considering the </w:t>
      </w:r>
      <w:proofErr w:type="spellStart"/>
      <w:r w:rsidRPr="00B37ABD">
        <w:rPr>
          <w:rFonts w:ascii="Garamond" w:hAnsi="Garamond"/>
          <w:iCs/>
        </w:rPr>
        <w:t>decoloni</w:t>
      </w:r>
      <w:r w:rsidR="00C826BD" w:rsidRPr="00B37ABD">
        <w:rPr>
          <w:rFonts w:ascii="Garamond" w:hAnsi="Garamond"/>
          <w:iCs/>
        </w:rPr>
        <w:t>s</w:t>
      </w:r>
      <w:r w:rsidRPr="00B37ABD">
        <w:rPr>
          <w:rFonts w:ascii="Garamond" w:hAnsi="Garamond"/>
          <w:iCs/>
        </w:rPr>
        <w:t>ation</w:t>
      </w:r>
      <w:proofErr w:type="spellEnd"/>
      <w:r w:rsidRPr="00B37ABD">
        <w:rPr>
          <w:rFonts w:ascii="Garamond" w:hAnsi="Garamond"/>
          <w:iCs/>
        </w:rPr>
        <w:t xml:space="preserve"> of the journal, however, will require further work of this type, and a sustained dedication to </w:t>
      </w:r>
      <w:r w:rsidR="00493505" w:rsidRPr="00B37ABD">
        <w:rPr>
          <w:rFonts w:ascii="Garamond" w:hAnsi="Garamond"/>
          <w:iCs/>
        </w:rPr>
        <w:t>considering</w:t>
      </w:r>
      <w:r w:rsidRPr="00B37ABD">
        <w:rPr>
          <w:rFonts w:ascii="Garamond" w:hAnsi="Garamond"/>
          <w:iCs/>
        </w:rPr>
        <w:t xml:space="preserve"> alternative forms of political and legal </w:t>
      </w:r>
      <w:proofErr w:type="spellStart"/>
      <w:r w:rsidRPr="00B37ABD">
        <w:rPr>
          <w:rFonts w:ascii="Garamond" w:hAnsi="Garamond"/>
          <w:iCs/>
        </w:rPr>
        <w:t>organi</w:t>
      </w:r>
      <w:r w:rsidR="00C826BD" w:rsidRPr="00B37ABD">
        <w:rPr>
          <w:rFonts w:ascii="Garamond" w:hAnsi="Garamond"/>
          <w:iCs/>
        </w:rPr>
        <w:t>s</w:t>
      </w:r>
      <w:r w:rsidRPr="00B37ABD">
        <w:rPr>
          <w:rFonts w:ascii="Garamond" w:hAnsi="Garamond"/>
          <w:iCs/>
        </w:rPr>
        <w:t>ation</w:t>
      </w:r>
      <w:proofErr w:type="spellEnd"/>
      <w:r w:rsidRPr="00B37ABD">
        <w:rPr>
          <w:rFonts w:ascii="Garamond" w:hAnsi="Garamond"/>
          <w:iCs/>
        </w:rPr>
        <w:t xml:space="preserve"> on their own terms. Such a project will require not merely </w:t>
      </w:r>
      <w:r w:rsidR="00493505" w:rsidRPr="00B37ABD">
        <w:rPr>
          <w:rFonts w:ascii="Garamond" w:hAnsi="Garamond"/>
          <w:iCs/>
        </w:rPr>
        <w:t>acknowledging</w:t>
      </w:r>
      <w:r w:rsidRPr="00B37ABD">
        <w:rPr>
          <w:rFonts w:ascii="Garamond" w:hAnsi="Garamond"/>
          <w:iCs/>
        </w:rPr>
        <w:t xml:space="preserve"> how dominant ideas in global constitutionalism have </w:t>
      </w:r>
      <w:r w:rsidR="00A92EFB" w:rsidRPr="00B37ABD">
        <w:rPr>
          <w:rFonts w:ascii="Garamond" w:hAnsi="Garamond"/>
          <w:iCs/>
        </w:rPr>
        <w:t xml:space="preserve">had </w:t>
      </w:r>
      <w:r w:rsidRPr="00B37ABD">
        <w:rPr>
          <w:rFonts w:ascii="Garamond" w:hAnsi="Garamond"/>
          <w:iCs/>
        </w:rPr>
        <w:t xml:space="preserve">a wide influence, but </w:t>
      </w:r>
      <w:r w:rsidR="00A92EFB" w:rsidRPr="00B37ABD">
        <w:rPr>
          <w:rFonts w:ascii="Garamond" w:hAnsi="Garamond"/>
          <w:iCs/>
        </w:rPr>
        <w:t xml:space="preserve">rather </w:t>
      </w:r>
      <w:r w:rsidRPr="00B37ABD">
        <w:rPr>
          <w:rFonts w:ascii="Garamond" w:hAnsi="Garamond"/>
          <w:iCs/>
        </w:rPr>
        <w:t xml:space="preserve">a willingness to consider systems </w:t>
      </w:r>
      <w:r w:rsidR="00493505" w:rsidRPr="00B37ABD">
        <w:rPr>
          <w:rFonts w:ascii="Garamond" w:hAnsi="Garamond"/>
          <w:iCs/>
        </w:rPr>
        <w:t xml:space="preserve">from outside the colonial tradition </w:t>
      </w:r>
      <w:r w:rsidRPr="00B37ABD">
        <w:rPr>
          <w:rFonts w:ascii="Garamond" w:hAnsi="Garamond"/>
          <w:iCs/>
        </w:rPr>
        <w:t xml:space="preserve">on their own terms. In this regard, we will need to stand in direct opposition to the </w:t>
      </w:r>
      <w:proofErr w:type="spellStart"/>
      <w:r w:rsidRPr="00B37ABD">
        <w:rPr>
          <w:rFonts w:ascii="Garamond" w:hAnsi="Garamond"/>
          <w:iCs/>
        </w:rPr>
        <w:t>proselyti</w:t>
      </w:r>
      <w:r w:rsidR="00C826BD" w:rsidRPr="00B37ABD">
        <w:rPr>
          <w:rFonts w:ascii="Garamond" w:hAnsi="Garamond"/>
          <w:iCs/>
        </w:rPr>
        <w:t>s</w:t>
      </w:r>
      <w:r w:rsidRPr="00B37ABD">
        <w:rPr>
          <w:rFonts w:ascii="Garamond" w:hAnsi="Garamond"/>
          <w:iCs/>
        </w:rPr>
        <w:t>ing</w:t>
      </w:r>
      <w:proofErr w:type="spellEnd"/>
      <w:r w:rsidRPr="00B37ABD">
        <w:rPr>
          <w:rFonts w:ascii="Garamond" w:hAnsi="Garamond"/>
          <w:iCs/>
        </w:rPr>
        <w:t xml:space="preserve"> and dogmatic attitude so frequently adopted by the West (and not the least by the </w:t>
      </w:r>
      <w:r w:rsidRPr="00B37ABD">
        <w:rPr>
          <w:rFonts w:ascii="Garamond" w:hAnsi="Garamond"/>
          <w:i/>
          <w:iCs/>
        </w:rPr>
        <w:t>Mayflower</w:t>
      </w:r>
      <w:r w:rsidRPr="00B37ABD">
        <w:rPr>
          <w:rFonts w:ascii="Garamond" w:hAnsi="Garamond"/>
          <w:iCs/>
        </w:rPr>
        <w:t xml:space="preserve"> colonists themselves).</w:t>
      </w:r>
    </w:p>
    <w:p w14:paraId="5F6502E5" w14:textId="6AED07D4" w:rsidR="009F2710" w:rsidRPr="00B37ABD" w:rsidRDefault="009F2710" w:rsidP="00E677C6">
      <w:pPr>
        <w:ind w:firstLine="720"/>
        <w:rPr>
          <w:rFonts w:ascii="Garamond" w:hAnsi="Garamond"/>
          <w:iCs/>
        </w:rPr>
      </w:pPr>
    </w:p>
    <w:p w14:paraId="2EFC5347" w14:textId="6EF833E6" w:rsidR="00355B20" w:rsidRPr="00B37ABD" w:rsidRDefault="00355B20">
      <w:pPr>
        <w:ind w:firstLine="720"/>
        <w:rPr>
          <w:rFonts w:ascii="Garamond" w:hAnsi="Garamond"/>
          <w:b/>
          <w:i/>
          <w:iCs/>
        </w:rPr>
      </w:pPr>
      <w:r w:rsidRPr="00B37ABD">
        <w:rPr>
          <w:rFonts w:ascii="Garamond" w:hAnsi="Garamond"/>
          <w:iCs/>
        </w:rPr>
        <w:t xml:space="preserve">Following on from </w:t>
      </w:r>
      <w:r w:rsidR="00B37ABD" w:rsidRPr="00B37ABD">
        <w:rPr>
          <w:rFonts w:ascii="Garamond" w:hAnsi="Garamond"/>
          <w:iCs/>
        </w:rPr>
        <w:t>our editorial last year,</w:t>
      </w:r>
      <w:r w:rsidR="00B37ABD">
        <w:rPr>
          <w:rStyle w:val="FootnoteReference"/>
          <w:rFonts w:ascii="Garamond" w:hAnsi="Garamond"/>
          <w:iCs/>
        </w:rPr>
        <w:footnoteReference w:id="9"/>
      </w:r>
      <w:r w:rsidR="00B37ABD">
        <w:rPr>
          <w:rFonts w:ascii="Garamond" w:hAnsi="Garamond"/>
          <w:iCs/>
        </w:rPr>
        <w:t xml:space="preserve"> </w:t>
      </w:r>
      <w:r w:rsidR="00B37ABD" w:rsidRPr="00B37ABD">
        <w:rPr>
          <w:rFonts w:ascii="Garamond" w:hAnsi="Garamond"/>
          <w:iCs/>
        </w:rPr>
        <w:t xml:space="preserve"> </w:t>
      </w:r>
      <w:r w:rsidRPr="00B37ABD">
        <w:rPr>
          <w:rFonts w:ascii="Garamond" w:hAnsi="Garamond"/>
          <w:iCs/>
        </w:rPr>
        <w:t xml:space="preserve">we </w:t>
      </w:r>
      <w:r w:rsidR="00D66443" w:rsidRPr="00B37ABD">
        <w:rPr>
          <w:rFonts w:ascii="Garamond" w:hAnsi="Garamond"/>
          <w:iCs/>
        </w:rPr>
        <w:t>further</w:t>
      </w:r>
      <w:r w:rsidRPr="00B37ABD">
        <w:rPr>
          <w:rFonts w:ascii="Garamond" w:hAnsi="Garamond"/>
          <w:iCs/>
        </w:rPr>
        <w:t xml:space="preserve"> call </w:t>
      </w:r>
      <w:r w:rsidR="00D66443" w:rsidRPr="00B37ABD">
        <w:rPr>
          <w:rFonts w:ascii="Garamond" w:hAnsi="Garamond"/>
          <w:iCs/>
        </w:rPr>
        <w:t>up</w:t>
      </w:r>
      <w:r w:rsidRPr="00B37ABD">
        <w:rPr>
          <w:rFonts w:ascii="Garamond" w:hAnsi="Garamond"/>
          <w:iCs/>
        </w:rPr>
        <w:t xml:space="preserve">on </w:t>
      </w:r>
      <w:r w:rsidR="00D77310" w:rsidRPr="00B37ABD">
        <w:rPr>
          <w:rFonts w:ascii="Garamond" w:hAnsi="Garamond"/>
          <w:iCs/>
        </w:rPr>
        <w:t xml:space="preserve">scholars of </w:t>
      </w:r>
      <w:r w:rsidRPr="00B37ABD">
        <w:rPr>
          <w:rFonts w:ascii="Garamond" w:hAnsi="Garamond"/>
          <w:iCs/>
        </w:rPr>
        <w:t>global constitutional</w:t>
      </w:r>
      <w:r w:rsidR="00D77310" w:rsidRPr="00B37ABD">
        <w:rPr>
          <w:rFonts w:ascii="Garamond" w:hAnsi="Garamond"/>
          <w:iCs/>
        </w:rPr>
        <w:t>ism</w:t>
      </w:r>
      <w:r w:rsidRPr="00B37ABD">
        <w:rPr>
          <w:rFonts w:ascii="Garamond" w:hAnsi="Garamond"/>
          <w:iCs/>
        </w:rPr>
        <w:t xml:space="preserve"> to </w:t>
      </w:r>
      <w:r w:rsidR="00D66443" w:rsidRPr="00B37ABD">
        <w:rPr>
          <w:rFonts w:ascii="Garamond" w:hAnsi="Garamond"/>
          <w:iCs/>
        </w:rPr>
        <w:t xml:space="preserve">dedicate themselves </w:t>
      </w:r>
      <w:proofErr w:type="spellStart"/>
      <w:r w:rsidR="00D66443" w:rsidRPr="00B37ABD">
        <w:rPr>
          <w:rFonts w:ascii="Garamond" w:hAnsi="Garamond"/>
          <w:iCs/>
        </w:rPr>
        <w:t>decolonising</w:t>
      </w:r>
      <w:proofErr w:type="spellEnd"/>
      <w:r w:rsidR="00D66443" w:rsidRPr="00B37ABD">
        <w:rPr>
          <w:rFonts w:ascii="Garamond" w:hAnsi="Garamond"/>
          <w:iCs/>
        </w:rPr>
        <w:t xml:space="preserve"> our field</w:t>
      </w:r>
      <w:r w:rsidRPr="00B37ABD">
        <w:rPr>
          <w:rFonts w:ascii="Garamond" w:hAnsi="Garamond"/>
          <w:iCs/>
        </w:rPr>
        <w:t>.</w:t>
      </w:r>
      <w:r w:rsidR="00EA058E" w:rsidRPr="00B37ABD">
        <w:rPr>
          <w:rFonts w:ascii="Garamond" w:hAnsi="Garamond"/>
          <w:iCs/>
        </w:rPr>
        <w:t xml:space="preserve"> This will require </w:t>
      </w:r>
      <w:r w:rsidR="00D77310" w:rsidRPr="00B37ABD">
        <w:rPr>
          <w:rFonts w:ascii="Garamond" w:hAnsi="Garamond"/>
          <w:iCs/>
        </w:rPr>
        <w:t xml:space="preserve">researchers take </w:t>
      </w:r>
      <w:r w:rsidR="00EA058E" w:rsidRPr="00B37ABD">
        <w:rPr>
          <w:rFonts w:ascii="Garamond" w:hAnsi="Garamond"/>
          <w:iCs/>
        </w:rPr>
        <w:t xml:space="preserve">a pluralist view towards the rule of law, human rights, and democratic theory. It will also require </w:t>
      </w:r>
      <w:r w:rsidR="009D4335" w:rsidRPr="00B37ABD">
        <w:rPr>
          <w:rFonts w:ascii="Garamond" w:hAnsi="Garamond"/>
          <w:iCs/>
        </w:rPr>
        <w:t xml:space="preserve">a commitment to </w:t>
      </w:r>
      <w:proofErr w:type="spellStart"/>
      <w:r w:rsidR="009D4335" w:rsidRPr="00B37ABD">
        <w:rPr>
          <w:rFonts w:ascii="Garamond" w:hAnsi="Garamond"/>
          <w:iCs/>
        </w:rPr>
        <w:t>analysing</w:t>
      </w:r>
      <w:proofErr w:type="spellEnd"/>
      <w:r w:rsidR="00EA058E" w:rsidRPr="00B37ABD">
        <w:rPr>
          <w:rFonts w:ascii="Garamond" w:hAnsi="Garamond"/>
          <w:iCs/>
        </w:rPr>
        <w:t xml:space="preserve"> the colonial legacy in constitutional formation, the contemporary rights regime, and international public law</w:t>
      </w:r>
      <w:r w:rsidR="009D4335" w:rsidRPr="00B37ABD">
        <w:rPr>
          <w:rFonts w:ascii="Garamond" w:hAnsi="Garamond"/>
          <w:iCs/>
        </w:rPr>
        <w:t>, from</w:t>
      </w:r>
      <w:r w:rsidR="00823CF1" w:rsidRPr="00B37ABD">
        <w:rPr>
          <w:rFonts w:ascii="Garamond" w:hAnsi="Garamond"/>
          <w:iCs/>
        </w:rPr>
        <w:t xml:space="preserve"> both theoretical and historical </w:t>
      </w:r>
      <w:r w:rsidR="009D4335" w:rsidRPr="00B37ABD">
        <w:rPr>
          <w:rFonts w:ascii="Garamond" w:hAnsi="Garamond"/>
          <w:iCs/>
        </w:rPr>
        <w:t>perspectives</w:t>
      </w:r>
      <w:r w:rsidR="00EA058E" w:rsidRPr="00B37ABD">
        <w:rPr>
          <w:rFonts w:ascii="Garamond" w:hAnsi="Garamond"/>
          <w:iCs/>
        </w:rPr>
        <w:t xml:space="preserve">. </w:t>
      </w:r>
      <w:r w:rsidR="00D77310" w:rsidRPr="00B37ABD">
        <w:rPr>
          <w:rFonts w:ascii="Garamond" w:hAnsi="Garamond"/>
          <w:iCs/>
        </w:rPr>
        <w:t xml:space="preserve">Finally, it can only occur if </w:t>
      </w:r>
      <w:r w:rsidR="009D4335" w:rsidRPr="00B37ABD">
        <w:rPr>
          <w:rFonts w:ascii="Garamond" w:hAnsi="Garamond"/>
          <w:iCs/>
        </w:rPr>
        <w:t xml:space="preserve">forums for scholarship </w:t>
      </w:r>
      <w:r w:rsidR="00D77310" w:rsidRPr="00B37ABD">
        <w:rPr>
          <w:rFonts w:ascii="Garamond" w:hAnsi="Garamond"/>
          <w:iCs/>
        </w:rPr>
        <w:t xml:space="preserve">are open to </w:t>
      </w:r>
      <w:r w:rsidR="009D4335" w:rsidRPr="00B37ABD">
        <w:rPr>
          <w:rFonts w:ascii="Garamond" w:hAnsi="Garamond"/>
          <w:iCs/>
        </w:rPr>
        <w:t xml:space="preserve">opportunities for persons from formerly </w:t>
      </w:r>
      <w:proofErr w:type="spellStart"/>
      <w:r w:rsidR="009D4335" w:rsidRPr="00B37ABD">
        <w:rPr>
          <w:rFonts w:ascii="Garamond" w:hAnsi="Garamond"/>
          <w:iCs/>
        </w:rPr>
        <w:t>colonised</w:t>
      </w:r>
      <w:proofErr w:type="spellEnd"/>
      <w:r w:rsidR="009D4335" w:rsidRPr="00B37ABD">
        <w:rPr>
          <w:rFonts w:ascii="Garamond" w:hAnsi="Garamond"/>
          <w:iCs/>
        </w:rPr>
        <w:t xml:space="preserve"> spaces to critique the colonial legacy and robustly express new ideas in and ideals of global constitutionalism. Through facilitating these efforts, </w:t>
      </w:r>
      <w:proofErr w:type="spellStart"/>
      <w:r w:rsidR="009D4335" w:rsidRPr="00B37ABD">
        <w:rPr>
          <w:rFonts w:ascii="Garamond" w:hAnsi="Garamond"/>
          <w:i/>
          <w:iCs/>
        </w:rPr>
        <w:t>GlobCon</w:t>
      </w:r>
      <w:proofErr w:type="spellEnd"/>
      <w:r w:rsidR="009D4335" w:rsidRPr="00B37ABD">
        <w:rPr>
          <w:rFonts w:ascii="Garamond" w:hAnsi="Garamond"/>
          <w:iCs/>
        </w:rPr>
        <w:t xml:space="preserve"> hopes to be a part of this process of critically reviewing, and in time transforming, the colonial legacy.</w:t>
      </w:r>
      <w:r w:rsidR="009D4335" w:rsidRPr="00B37ABD">
        <w:rPr>
          <w:rFonts w:ascii="Garamond" w:hAnsi="Garamond"/>
          <w:b/>
          <w:i/>
          <w:iCs/>
        </w:rPr>
        <w:t xml:space="preserve"> </w:t>
      </w:r>
    </w:p>
    <w:p w14:paraId="7B0B3F9E" w14:textId="77777777" w:rsidR="008A195F" w:rsidRPr="00B37ABD" w:rsidRDefault="008A195F" w:rsidP="00E677C6">
      <w:pPr>
        <w:ind w:firstLine="720"/>
        <w:rPr>
          <w:rFonts w:ascii="Garamond" w:hAnsi="Garamond"/>
          <w:iCs/>
        </w:rPr>
      </w:pPr>
    </w:p>
    <w:p w14:paraId="2CE48509" w14:textId="55D06A2F" w:rsidR="004E5750" w:rsidRPr="00B37ABD" w:rsidRDefault="004E5750">
      <w:pPr>
        <w:rPr>
          <w:rFonts w:ascii="Garamond" w:hAnsi="Garamond"/>
        </w:rPr>
      </w:pPr>
      <w:r w:rsidRPr="00B37ABD">
        <w:rPr>
          <w:rFonts w:ascii="Garamond" w:hAnsi="Garamond"/>
        </w:rPr>
        <w:tab/>
      </w:r>
    </w:p>
    <w:sectPr w:rsidR="004E5750" w:rsidRPr="00B37ABD" w:rsidSect="0097429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EB535" w14:textId="77777777" w:rsidR="00B9234D" w:rsidRDefault="00B9234D" w:rsidP="00E72ACB">
      <w:r>
        <w:separator/>
      </w:r>
    </w:p>
  </w:endnote>
  <w:endnote w:type="continuationSeparator" w:id="0">
    <w:p w14:paraId="1C78C5E0" w14:textId="77777777" w:rsidR="00B9234D" w:rsidRDefault="00B9234D" w:rsidP="00E7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07B4" w14:textId="77777777" w:rsidR="00B9234D" w:rsidRDefault="00B9234D" w:rsidP="00E72ACB">
      <w:r>
        <w:separator/>
      </w:r>
    </w:p>
  </w:footnote>
  <w:footnote w:type="continuationSeparator" w:id="0">
    <w:p w14:paraId="4DDB2DB0" w14:textId="77777777" w:rsidR="00B9234D" w:rsidRDefault="00B9234D" w:rsidP="00E72ACB">
      <w:r>
        <w:continuationSeparator/>
      </w:r>
    </w:p>
  </w:footnote>
  <w:footnote w:id="1">
    <w:p w14:paraId="21801A48" w14:textId="75F0E3E3" w:rsidR="00B37ABD" w:rsidRPr="00B37ABD" w:rsidRDefault="00B37ABD" w:rsidP="00B37ABD">
      <w:pPr>
        <w:rPr>
          <w:rFonts w:ascii="Garamond" w:eastAsia="Times New Roman" w:hAnsi="Garamond" w:cs="Times New Roman"/>
        </w:rPr>
      </w:pPr>
      <w:r w:rsidRPr="00B37ABD">
        <w:rPr>
          <w:rStyle w:val="FootnoteReference"/>
          <w:rFonts w:ascii="Garamond" w:hAnsi="Garamond"/>
        </w:rPr>
        <w:footnoteRef/>
      </w:r>
      <w:r w:rsidRPr="00B37ABD">
        <w:rPr>
          <w:rFonts w:ascii="Garamond" w:hAnsi="Garamond"/>
        </w:rPr>
        <w:t xml:space="preserve"> </w:t>
      </w:r>
      <w:r w:rsidRPr="00B37ABD">
        <w:rPr>
          <w:rFonts w:ascii="Garamond" w:eastAsia="Times New Roman" w:hAnsi="Garamond" w:cs="Arial"/>
          <w:color w:val="222222"/>
          <w:shd w:val="clear" w:color="auto" w:fill="FFFFFF"/>
        </w:rPr>
        <w:t>Newson, Linda A. "The demographic collapse of native peoples of the Americas, 1492-1650." In </w:t>
      </w:r>
      <w:r w:rsidRPr="00B37ABD">
        <w:rPr>
          <w:rFonts w:ascii="Garamond" w:eastAsia="Times New Roman" w:hAnsi="Garamond" w:cs="Arial"/>
          <w:i/>
          <w:iCs/>
          <w:color w:val="222222"/>
          <w:shd w:val="clear" w:color="auto" w:fill="FFFFFF"/>
        </w:rPr>
        <w:t>Proceedings of the British Academy</w:t>
      </w:r>
      <w:r w:rsidRPr="00B37ABD">
        <w:rPr>
          <w:rFonts w:ascii="Garamond" w:eastAsia="Times New Roman" w:hAnsi="Garamond" w:cs="Arial"/>
          <w:color w:val="222222"/>
          <w:shd w:val="clear" w:color="auto" w:fill="FFFFFF"/>
        </w:rPr>
        <w:t>, vol. 81, pp. 247-288. Oxford University Press, 1993, 277.</w:t>
      </w:r>
    </w:p>
    <w:p w14:paraId="56DBC07A" w14:textId="46A92EAF" w:rsidR="00B37ABD" w:rsidRPr="00B37ABD" w:rsidRDefault="00B37ABD">
      <w:pPr>
        <w:pStyle w:val="FootnoteText"/>
        <w:rPr>
          <w:rFonts w:ascii="Garamond" w:hAnsi="Garamond"/>
          <w:sz w:val="24"/>
          <w:szCs w:val="24"/>
        </w:rPr>
      </w:pPr>
    </w:p>
  </w:footnote>
  <w:footnote w:id="2">
    <w:p w14:paraId="30BFBF4C" w14:textId="6451E3F4" w:rsidR="00B37ABD" w:rsidRPr="00B37ABD" w:rsidRDefault="00B37ABD" w:rsidP="00B37ABD">
      <w:pPr>
        <w:rPr>
          <w:rFonts w:ascii="Garamond" w:eastAsia="Times New Roman" w:hAnsi="Garamond" w:cs="Times New Roman"/>
        </w:rPr>
      </w:pPr>
      <w:r w:rsidRPr="00B37ABD">
        <w:rPr>
          <w:rStyle w:val="FootnoteReference"/>
          <w:rFonts w:ascii="Garamond" w:hAnsi="Garamond"/>
        </w:rPr>
        <w:footnoteRef/>
      </w:r>
      <w:r w:rsidRPr="00B37ABD">
        <w:rPr>
          <w:rFonts w:ascii="Garamond" w:hAnsi="Garamond"/>
        </w:rPr>
        <w:t xml:space="preserve"> </w:t>
      </w:r>
      <w:r w:rsidRPr="00B37ABD">
        <w:rPr>
          <w:rFonts w:ascii="Garamond" w:eastAsia="Times New Roman" w:hAnsi="Garamond" w:cs="Arial"/>
          <w:color w:val="222222"/>
          <w:shd w:val="clear" w:color="auto" w:fill="FFFFFF"/>
        </w:rPr>
        <w:t>Philbrick, Nathaniel. </w:t>
      </w:r>
      <w:r w:rsidRPr="00B37ABD">
        <w:rPr>
          <w:rFonts w:ascii="Garamond" w:eastAsia="Times New Roman" w:hAnsi="Garamond" w:cs="Arial"/>
          <w:i/>
          <w:iCs/>
          <w:color w:val="222222"/>
          <w:shd w:val="clear" w:color="auto" w:fill="FFFFFF"/>
        </w:rPr>
        <w:t>Mayflower: A story of courage, community, and war</w:t>
      </w:r>
      <w:r w:rsidRPr="00B37ABD">
        <w:rPr>
          <w:rFonts w:ascii="Garamond" w:eastAsia="Times New Roman" w:hAnsi="Garamond" w:cs="Arial"/>
          <w:color w:val="222222"/>
          <w:shd w:val="clear" w:color="auto" w:fill="FFFFFF"/>
        </w:rPr>
        <w:t>. Penguin, 2006, 25.</w:t>
      </w:r>
    </w:p>
    <w:p w14:paraId="463523DB" w14:textId="3890C125" w:rsidR="00B37ABD" w:rsidRPr="00B37ABD" w:rsidRDefault="00B37ABD">
      <w:pPr>
        <w:pStyle w:val="FootnoteText"/>
        <w:rPr>
          <w:rFonts w:ascii="Garamond" w:hAnsi="Garamond"/>
          <w:sz w:val="24"/>
          <w:szCs w:val="24"/>
        </w:rPr>
      </w:pPr>
    </w:p>
  </w:footnote>
  <w:footnote w:id="3">
    <w:p w14:paraId="0606767D" w14:textId="6545D5E7" w:rsidR="00B37ABD" w:rsidRPr="00B37ABD" w:rsidRDefault="00B37ABD">
      <w:pPr>
        <w:pStyle w:val="FootnoteText"/>
        <w:rPr>
          <w:rFonts w:ascii="Garamond" w:hAnsi="Garamond"/>
          <w:sz w:val="24"/>
          <w:szCs w:val="24"/>
        </w:rPr>
      </w:pPr>
      <w:r w:rsidRPr="00B37ABD">
        <w:rPr>
          <w:rStyle w:val="FootnoteReference"/>
          <w:rFonts w:ascii="Garamond" w:hAnsi="Garamond"/>
          <w:sz w:val="24"/>
          <w:szCs w:val="24"/>
        </w:rPr>
        <w:footnoteRef/>
      </w:r>
      <w:r w:rsidRPr="00B37ABD">
        <w:rPr>
          <w:rFonts w:ascii="Garamond" w:hAnsi="Garamond"/>
          <w:sz w:val="24"/>
          <w:szCs w:val="24"/>
        </w:rPr>
        <w:t xml:space="preserve"> Philbrick, </w:t>
      </w:r>
      <w:r w:rsidRPr="00B37ABD">
        <w:rPr>
          <w:rFonts w:ascii="Garamond" w:hAnsi="Garamond"/>
          <w:i/>
          <w:sz w:val="24"/>
          <w:szCs w:val="24"/>
        </w:rPr>
        <w:t>Mayflower</w:t>
      </w:r>
      <w:r w:rsidRPr="00B37ABD">
        <w:rPr>
          <w:rFonts w:ascii="Garamond" w:hAnsi="Garamond"/>
          <w:sz w:val="24"/>
          <w:szCs w:val="24"/>
        </w:rPr>
        <w:t>, 40 – 42.</w:t>
      </w:r>
    </w:p>
  </w:footnote>
  <w:footnote w:id="4">
    <w:p w14:paraId="0608CEBE" w14:textId="258D23DA" w:rsidR="00E72ACB" w:rsidRPr="00B37ABD" w:rsidRDefault="00E72ACB">
      <w:pPr>
        <w:pStyle w:val="FootnoteText"/>
        <w:rPr>
          <w:rFonts w:ascii="Garamond" w:hAnsi="Garamond"/>
          <w:sz w:val="24"/>
          <w:szCs w:val="24"/>
        </w:rPr>
      </w:pPr>
      <w:r w:rsidRPr="00B37ABD">
        <w:rPr>
          <w:rStyle w:val="FootnoteReference"/>
          <w:rFonts w:ascii="Garamond" w:hAnsi="Garamond"/>
          <w:sz w:val="24"/>
          <w:szCs w:val="24"/>
        </w:rPr>
        <w:footnoteRef/>
      </w:r>
      <w:r w:rsidRPr="00B37ABD">
        <w:rPr>
          <w:rFonts w:ascii="Garamond" w:hAnsi="Garamond"/>
          <w:sz w:val="24"/>
          <w:szCs w:val="24"/>
        </w:rPr>
        <w:t xml:space="preserve"> Squanto had been </w:t>
      </w:r>
      <w:proofErr w:type="spellStart"/>
      <w:proofErr w:type="gramStart"/>
      <w:r w:rsidRPr="00B37ABD">
        <w:rPr>
          <w:rFonts w:ascii="Garamond" w:hAnsi="Garamond"/>
          <w:sz w:val="24"/>
          <w:szCs w:val="24"/>
        </w:rPr>
        <w:t>been</w:t>
      </w:r>
      <w:proofErr w:type="spellEnd"/>
      <w:proofErr w:type="gramEnd"/>
      <w:r w:rsidRPr="00B37ABD">
        <w:rPr>
          <w:rFonts w:ascii="Garamond" w:hAnsi="Garamond"/>
          <w:sz w:val="24"/>
          <w:szCs w:val="24"/>
        </w:rPr>
        <w:t xml:space="preserve"> kidnapped by English explorers in 1614 and taken back to Europe as a slave. Over the next five years he had lived in Spain and England and had learned European languages. In 1619 he returned to the Americas acting as a guide for English explorers, but managed to escape when the English ship was attacked by the Massasoit. Because of his knowledge of English and European culture he was able to act as a negotiator on behalf of the Massasoit in their discussions with the Plymouth colonists.</w:t>
      </w:r>
    </w:p>
  </w:footnote>
  <w:footnote w:id="5">
    <w:p w14:paraId="0A779B68" w14:textId="33039D41" w:rsidR="00B37ABD" w:rsidRPr="00B37ABD" w:rsidRDefault="00B37ABD">
      <w:pPr>
        <w:pStyle w:val="FootnoteText"/>
        <w:rPr>
          <w:rFonts w:ascii="Garamond" w:hAnsi="Garamond"/>
          <w:sz w:val="24"/>
          <w:szCs w:val="24"/>
        </w:rPr>
      </w:pPr>
      <w:r w:rsidRPr="00B37ABD">
        <w:rPr>
          <w:rStyle w:val="FootnoteReference"/>
          <w:rFonts w:ascii="Garamond" w:hAnsi="Garamond"/>
          <w:sz w:val="24"/>
          <w:szCs w:val="24"/>
        </w:rPr>
        <w:footnoteRef/>
      </w:r>
      <w:r w:rsidRPr="00B37ABD">
        <w:rPr>
          <w:rFonts w:ascii="Garamond" w:hAnsi="Garamond"/>
          <w:sz w:val="24"/>
          <w:szCs w:val="24"/>
        </w:rPr>
        <w:t xml:space="preserve"> Philbrick, </w:t>
      </w:r>
      <w:r w:rsidRPr="00B37ABD">
        <w:rPr>
          <w:rFonts w:ascii="Garamond" w:hAnsi="Garamond"/>
          <w:i/>
          <w:sz w:val="24"/>
          <w:szCs w:val="24"/>
        </w:rPr>
        <w:t>Mayflower</w:t>
      </w:r>
      <w:r w:rsidRPr="00B37ABD">
        <w:rPr>
          <w:rFonts w:ascii="Garamond" w:hAnsi="Garamond"/>
          <w:sz w:val="24"/>
          <w:szCs w:val="24"/>
        </w:rPr>
        <w:t>, 99.</w:t>
      </w:r>
    </w:p>
  </w:footnote>
  <w:footnote w:id="6">
    <w:p w14:paraId="55C8370D" w14:textId="0CE009A2" w:rsidR="00B37ABD" w:rsidRPr="00B37ABD" w:rsidRDefault="00B37ABD">
      <w:pPr>
        <w:pStyle w:val="FootnoteText"/>
        <w:rPr>
          <w:rFonts w:ascii="Garamond" w:hAnsi="Garamond"/>
          <w:sz w:val="24"/>
          <w:szCs w:val="24"/>
        </w:rPr>
      </w:pPr>
      <w:r w:rsidRPr="00B37ABD">
        <w:rPr>
          <w:rStyle w:val="FootnoteReference"/>
          <w:rFonts w:ascii="Garamond" w:hAnsi="Garamond"/>
          <w:sz w:val="24"/>
          <w:szCs w:val="24"/>
        </w:rPr>
        <w:footnoteRef/>
      </w:r>
      <w:r w:rsidRPr="00B37ABD">
        <w:rPr>
          <w:rFonts w:ascii="Garamond" w:hAnsi="Garamond"/>
          <w:sz w:val="24"/>
          <w:szCs w:val="24"/>
        </w:rPr>
        <w:t xml:space="preserve"> Philbrick, </w:t>
      </w:r>
      <w:r w:rsidRPr="00B37ABD">
        <w:rPr>
          <w:rFonts w:ascii="Garamond" w:hAnsi="Garamond"/>
          <w:i/>
          <w:sz w:val="24"/>
          <w:szCs w:val="24"/>
        </w:rPr>
        <w:t>Mayflower</w:t>
      </w:r>
      <w:r w:rsidRPr="00B37ABD">
        <w:rPr>
          <w:rFonts w:ascii="Garamond" w:hAnsi="Garamond"/>
          <w:sz w:val="24"/>
          <w:szCs w:val="24"/>
        </w:rPr>
        <w:t>, xv.</w:t>
      </w:r>
    </w:p>
  </w:footnote>
  <w:footnote w:id="7">
    <w:p w14:paraId="335086DA" w14:textId="12F4CCCE" w:rsidR="00B37ABD" w:rsidRPr="00B37ABD" w:rsidRDefault="00B37ABD" w:rsidP="00B37ABD">
      <w:pPr>
        <w:rPr>
          <w:rFonts w:ascii="Garamond" w:eastAsia="Times New Roman" w:hAnsi="Garamond" w:cs="Times New Roman"/>
        </w:rPr>
      </w:pPr>
      <w:r w:rsidRPr="00B37ABD">
        <w:rPr>
          <w:rStyle w:val="FootnoteReference"/>
          <w:rFonts w:ascii="Garamond" w:hAnsi="Garamond"/>
        </w:rPr>
        <w:footnoteRef/>
      </w:r>
      <w:r w:rsidRPr="00B37ABD">
        <w:rPr>
          <w:rFonts w:ascii="Garamond" w:hAnsi="Garamond"/>
        </w:rPr>
        <w:t xml:space="preserve"> </w:t>
      </w:r>
      <w:proofErr w:type="spellStart"/>
      <w:r w:rsidRPr="00B37ABD">
        <w:rPr>
          <w:rFonts w:ascii="Garamond" w:eastAsia="Times New Roman" w:hAnsi="Garamond" w:cs="Arial"/>
          <w:color w:val="222222"/>
          <w:shd w:val="clear" w:color="auto" w:fill="FFFFFF"/>
        </w:rPr>
        <w:t>Rutazibwa</w:t>
      </w:r>
      <w:proofErr w:type="spellEnd"/>
      <w:r w:rsidRPr="00B37ABD">
        <w:rPr>
          <w:rFonts w:ascii="Garamond" w:eastAsia="Times New Roman" w:hAnsi="Garamond" w:cs="Arial"/>
          <w:color w:val="222222"/>
          <w:shd w:val="clear" w:color="auto" w:fill="FFFFFF"/>
        </w:rPr>
        <w:t xml:space="preserve">, Olivia U., and Robbie </w:t>
      </w:r>
      <w:proofErr w:type="spellStart"/>
      <w:r w:rsidRPr="00B37ABD">
        <w:rPr>
          <w:rFonts w:ascii="Garamond" w:eastAsia="Times New Roman" w:hAnsi="Garamond" w:cs="Arial"/>
          <w:color w:val="222222"/>
          <w:shd w:val="clear" w:color="auto" w:fill="FFFFFF"/>
        </w:rPr>
        <w:t>Shilliam</w:t>
      </w:r>
      <w:proofErr w:type="spellEnd"/>
      <w:r w:rsidRPr="00B37ABD">
        <w:rPr>
          <w:rFonts w:ascii="Garamond" w:eastAsia="Times New Roman" w:hAnsi="Garamond" w:cs="Arial"/>
          <w:color w:val="222222"/>
          <w:shd w:val="clear" w:color="auto" w:fill="FFFFFF"/>
        </w:rPr>
        <w:t>. "Postcolonial politics: an introduction." In </w:t>
      </w:r>
      <w:r w:rsidRPr="00B37ABD">
        <w:rPr>
          <w:rFonts w:ascii="Garamond" w:eastAsia="Times New Roman" w:hAnsi="Garamond" w:cs="Arial"/>
          <w:i/>
          <w:iCs/>
          <w:color w:val="222222"/>
          <w:shd w:val="clear" w:color="auto" w:fill="FFFFFF"/>
        </w:rPr>
        <w:t>Routledge Handbook of Postcolonial Politics</w:t>
      </w:r>
      <w:r w:rsidRPr="00B37ABD">
        <w:rPr>
          <w:rFonts w:ascii="Garamond" w:eastAsia="Times New Roman" w:hAnsi="Garamond" w:cs="Arial"/>
          <w:color w:val="222222"/>
          <w:shd w:val="clear" w:color="auto" w:fill="FFFFFF"/>
        </w:rPr>
        <w:t>, pp. 1-15. Routledge, 2018, 1.</w:t>
      </w:r>
    </w:p>
  </w:footnote>
  <w:footnote w:id="8">
    <w:p w14:paraId="7221B0C5" w14:textId="77777777" w:rsidR="00B37ABD" w:rsidRPr="00B37ABD" w:rsidRDefault="00B37ABD" w:rsidP="00B37ABD">
      <w:pPr>
        <w:rPr>
          <w:rFonts w:ascii="Garamond" w:eastAsia="Times New Roman" w:hAnsi="Garamond" w:cs="Times New Roman"/>
        </w:rPr>
      </w:pPr>
      <w:r w:rsidRPr="00B37ABD">
        <w:rPr>
          <w:rStyle w:val="FootnoteReference"/>
          <w:rFonts w:ascii="Garamond" w:hAnsi="Garamond"/>
        </w:rPr>
        <w:footnoteRef/>
      </w:r>
      <w:r w:rsidRPr="00B37ABD">
        <w:rPr>
          <w:rFonts w:ascii="Garamond" w:hAnsi="Garamond"/>
        </w:rPr>
        <w:t xml:space="preserve"> </w:t>
      </w:r>
      <w:r w:rsidRPr="00B37ABD">
        <w:rPr>
          <w:rFonts w:ascii="Garamond" w:eastAsia="Times New Roman" w:hAnsi="Garamond" w:cs="Arial"/>
          <w:color w:val="222222"/>
          <w:shd w:val="clear" w:color="auto" w:fill="FFFFFF"/>
        </w:rPr>
        <w:t>Tully, James. "The unfreedom of the moderns in comparison to their ideals of constitutional democracy." </w:t>
      </w:r>
      <w:r w:rsidRPr="00B37ABD">
        <w:rPr>
          <w:rFonts w:ascii="Garamond" w:eastAsia="Times New Roman" w:hAnsi="Garamond" w:cs="Arial"/>
          <w:i/>
          <w:iCs/>
          <w:color w:val="222222"/>
          <w:shd w:val="clear" w:color="auto" w:fill="FFFFFF"/>
        </w:rPr>
        <w:t>The Modern Law Review</w:t>
      </w:r>
      <w:r w:rsidRPr="00B37ABD">
        <w:rPr>
          <w:rFonts w:ascii="Garamond" w:eastAsia="Times New Roman" w:hAnsi="Garamond" w:cs="Arial"/>
          <w:color w:val="222222"/>
          <w:shd w:val="clear" w:color="auto" w:fill="FFFFFF"/>
        </w:rPr>
        <w:t> 65, no. 2 (2002): 204-228.</w:t>
      </w:r>
    </w:p>
    <w:p w14:paraId="675F25FA" w14:textId="7985A8B7" w:rsidR="00B37ABD" w:rsidRPr="00B37ABD" w:rsidRDefault="00B37ABD">
      <w:pPr>
        <w:pStyle w:val="FootnoteText"/>
        <w:rPr>
          <w:rFonts w:ascii="Garamond" w:hAnsi="Garamond"/>
          <w:sz w:val="24"/>
          <w:szCs w:val="24"/>
        </w:rPr>
      </w:pPr>
    </w:p>
  </w:footnote>
  <w:footnote w:id="9">
    <w:p w14:paraId="41D8DB65" w14:textId="13517BCB" w:rsidR="00B37ABD" w:rsidRPr="00B37ABD" w:rsidRDefault="00B37ABD" w:rsidP="00B37ABD">
      <w:pPr>
        <w:rPr>
          <w:rFonts w:ascii="Garamond" w:eastAsia="Times New Roman" w:hAnsi="Garamond" w:cs="Times New Roman"/>
        </w:rPr>
      </w:pPr>
      <w:r w:rsidRPr="00B37ABD">
        <w:rPr>
          <w:rStyle w:val="FootnoteReference"/>
          <w:rFonts w:ascii="Garamond" w:hAnsi="Garamond"/>
        </w:rPr>
        <w:footnoteRef/>
      </w:r>
      <w:r w:rsidRPr="00B37ABD">
        <w:rPr>
          <w:rFonts w:ascii="Garamond" w:hAnsi="Garamond"/>
        </w:rPr>
        <w:t xml:space="preserve"> </w:t>
      </w:r>
      <w:r w:rsidRPr="00B37ABD">
        <w:rPr>
          <w:rFonts w:ascii="Garamond" w:eastAsia="Times New Roman" w:hAnsi="Garamond" w:cs="Arial"/>
          <w:color w:val="222222"/>
          <w:shd w:val="clear" w:color="auto" w:fill="FFFFFF"/>
        </w:rPr>
        <w:t xml:space="preserve">Wiener, Antje, Jeffrey L. </w:t>
      </w:r>
      <w:proofErr w:type="spellStart"/>
      <w:r w:rsidRPr="00B37ABD">
        <w:rPr>
          <w:rFonts w:ascii="Garamond" w:eastAsia="Times New Roman" w:hAnsi="Garamond" w:cs="Arial"/>
          <w:color w:val="222222"/>
          <w:shd w:val="clear" w:color="auto" w:fill="FFFFFF"/>
        </w:rPr>
        <w:t>Dunoff</w:t>
      </w:r>
      <w:proofErr w:type="spellEnd"/>
      <w:r w:rsidRPr="00B37ABD">
        <w:rPr>
          <w:rFonts w:ascii="Garamond" w:eastAsia="Times New Roman" w:hAnsi="Garamond" w:cs="Arial"/>
          <w:color w:val="222222"/>
          <w:shd w:val="clear" w:color="auto" w:fill="FFFFFF"/>
        </w:rPr>
        <w:t xml:space="preserve">, Jonathan </w:t>
      </w:r>
      <w:proofErr w:type="spellStart"/>
      <w:r w:rsidRPr="00B37ABD">
        <w:rPr>
          <w:rFonts w:ascii="Garamond" w:eastAsia="Times New Roman" w:hAnsi="Garamond" w:cs="Arial"/>
          <w:color w:val="222222"/>
          <w:shd w:val="clear" w:color="auto" w:fill="FFFFFF"/>
        </w:rPr>
        <w:t>Havercroft</w:t>
      </w:r>
      <w:proofErr w:type="spellEnd"/>
      <w:r w:rsidRPr="00B37ABD">
        <w:rPr>
          <w:rFonts w:ascii="Garamond" w:eastAsia="Times New Roman" w:hAnsi="Garamond" w:cs="Arial"/>
          <w:color w:val="222222"/>
          <w:shd w:val="clear" w:color="auto" w:fill="FFFFFF"/>
        </w:rPr>
        <w:t xml:space="preserve">, </w:t>
      </w:r>
      <w:proofErr w:type="spellStart"/>
      <w:r w:rsidRPr="00B37ABD">
        <w:rPr>
          <w:rFonts w:ascii="Garamond" w:eastAsia="Times New Roman" w:hAnsi="Garamond" w:cs="Arial"/>
          <w:color w:val="222222"/>
          <w:shd w:val="clear" w:color="auto" w:fill="FFFFFF"/>
        </w:rPr>
        <w:t>Mattias</w:t>
      </w:r>
      <w:proofErr w:type="spellEnd"/>
      <w:r w:rsidRPr="00B37ABD">
        <w:rPr>
          <w:rFonts w:ascii="Garamond" w:eastAsia="Times New Roman" w:hAnsi="Garamond" w:cs="Arial"/>
          <w:color w:val="222222"/>
          <w:shd w:val="clear" w:color="auto" w:fill="FFFFFF"/>
        </w:rPr>
        <w:t xml:space="preserve"> </w:t>
      </w:r>
      <w:proofErr w:type="spellStart"/>
      <w:r w:rsidRPr="00B37ABD">
        <w:rPr>
          <w:rFonts w:ascii="Garamond" w:eastAsia="Times New Roman" w:hAnsi="Garamond" w:cs="Arial"/>
          <w:color w:val="222222"/>
          <w:shd w:val="clear" w:color="auto" w:fill="FFFFFF"/>
        </w:rPr>
        <w:t>Kumm</w:t>
      </w:r>
      <w:proofErr w:type="spellEnd"/>
      <w:r w:rsidRPr="00B37ABD">
        <w:rPr>
          <w:rFonts w:ascii="Garamond" w:eastAsia="Times New Roman" w:hAnsi="Garamond" w:cs="Arial"/>
          <w:color w:val="222222"/>
          <w:shd w:val="clear" w:color="auto" w:fill="FFFFFF"/>
        </w:rPr>
        <w:t xml:space="preserve">, and </w:t>
      </w:r>
      <w:proofErr w:type="spellStart"/>
      <w:r w:rsidRPr="00B37ABD">
        <w:rPr>
          <w:rFonts w:ascii="Garamond" w:eastAsia="Times New Roman" w:hAnsi="Garamond" w:cs="Arial"/>
          <w:color w:val="222222"/>
          <w:shd w:val="clear" w:color="auto" w:fill="FFFFFF"/>
        </w:rPr>
        <w:t>Kriszta</w:t>
      </w:r>
      <w:proofErr w:type="spellEnd"/>
      <w:r w:rsidRPr="00B37ABD">
        <w:rPr>
          <w:rFonts w:ascii="Garamond" w:eastAsia="Times New Roman" w:hAnsi="Garamond" w:cs="Arial"/>
          <w:color w:val="222222"/>
          <w:shd w:val="clear" w:color="auto" w:fill="FFFFFF"/>
        </w:rPr>
        <w:t xml:space="preserve"> Kovacs. "Global Constitutionalism as agora: Interdisciplinary encounters, cultural recognition and global diversity." </w:t>
      </w:r>
      <w:r w:rsidRPr="00B37ABD">
        <w:rPr>
          <w:rFonts w:ascii="Garamond" w:eastAsia="Times New Roman" w:hAnsi="Garamond" w:cs="Arial"/>
          <w:i/>
          <w:iCs/>
          <w:color w:val="222222"/>
          <w:shd w:val="clear" w:color="auto" w:fill="FFFFFF"/>
        </w:rPr>
        <w:t>Global Constitutionalism</w:t>
      </w:r>
      <w:r w:rsidRPr="00B37ABD">
        <w:rPr>
          <w:rFonts w:ascii="Garamond" w:eastAsia="Times New Roman" w:hAnsi="Garamond" w:cs="Arial"/>
          <w:color w:val="222222"/>
          <w:shd w:val="clear" w:color="auto" w:fill="FFFFFF"/>
        </w:rPr>
        <w:t> 8, no. 1 (2019): 1-11.</w:t>
      </w:r>
    </w:p>
    <w:p w14:paraId="42EBE1D6" w14:textId="32CA0345" w:rsidR="00B37ABD" w:rsidRPr="00B37ABD" w:rsidRDefault="00B37ABD">
      <w:pPr>
        <w:pStyle w:val="FootnoteText"/>
        <w:rPr>
          <w:rFonts w:ascii="Garamond" w:hAnsi="Garamond"/>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50"/>
    <w:rsid w:val="000208ED"/>
    <w:rsid w:val="000430BF"/>
    <w:rsid w:val="0008150B"/>
    <w:rsid w:val="00144A65"/>
    <w:rsid w:val="001F3E21"/>
    <w:rsid w:val="0028561C"/>
    <w:rsid w:val="0029092F"/>
    <w:rsid w:val="002B6692"/>
    <w:rsid w:val="002E1855"/>
    <w:rsid w:val="00312A87"/>
    <w:rsid w:val="00322EC9"/>
    <w:rsid w:val="00355B20"/>
    <w:rsid w:val="0036645E"/>
    <w:rsid w:val="003F6551"/>
    <w:rsid w:val="003F70D0"/>
    <w:rsid w:val="0041120C"/>
    <w:rsid w:val="00493505"/>
    <w:rsid w:val="004B6A44"/>
    <w:rsid w:val="004E5750"/>
    <w:rsid w:val="00542DC3"/>
    <w:rsid w:val="00575B9C"/>
    <w:rsid w:val="005A0227"/>
    <w:rsid w:val="005B6422"/>
    <w:rsid w:val="005D06D4"/>
    <w:rsid w:val="005D2AAB"/>
    <w:rsid w:val="005D2E39"/>
    <w:rsid w:val="00626558"/>
    <w:rsid w:val="00643717"/>
    <w:rsid w:val="006450D3"/>
    <w:rsid w:val="00737135"/>
    <w:rsid w:val="007A4DDA"/>
    <w:rsid w:val="007B5637"/>
    <w:rsid w:val="00823CF1"/>
    <w:rsid w:val="008A195F"/>
    <w:rsid w:val="008F24EC"/>
    <w:rsid w:val="0091688D"/>
    <w:rsid w:val="0097429B"/>
    <w:rsid w:val="00992470"/>
    <w:rsid w:val="009D4335"/>
    <w:rsid w:val="009F2710"/>
    <w:rsid w:val="00A9233C"/>
    <w:rsid w:val="00A92EFB"/>
    <w:rsid w:val="00AA5861"/>
    <w:rsid w:val="00AE0C3D"/>
    <w:rsid w:val="00AF16AD"/>
    <w:rsid w:val="00B203A9"/>
    <w:rsid w:val="00B37ABD"/>
    <w:rsid w:val="00B44B42"/>
    <w:rsid w:val="00B5615B"/>
    <w:rsid w:val="00B9234D"/>
    <w:rsid w:val="00C15517"/>
    <w:rsid w:val="00C26048"/>
    <w:rsid w:val="00C826BD"/>
    <w:rsid w:val="00CC6EFA"/>
    <w:rsid w:val="00D251C2"/>
    <w:rsid w:val="00D66443"/>
    <w:rsid w:val="00D77310"/>
    <w:rsid w:val="00DA3FA8"/>
    <w:rsid w:val="00DD3FCD"/>
    <w:rsid w:val="00E16981"/>
    <w:rsid w:val="00E677C6"/>
    <w:rsid w:val="00E72ACB"/>
    <w:rsid w:val="00EA058E"/>
    <w:rsid w:val="00EB617E"/>
    <w:rsid w:val="00ED2C14"/>
    <w:rsid w:val="00F21149"/>
    <w:rsid w:val="00F640A4"/>
    <w:rsid w:val="00F64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8CB4"/>
  <w15:chartTrackingRefBased/>
  <w15:docId w15:val="{7634FD3F-47DE-EB47-8ECE-14EB680D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558"/>
    <w:rPr>
      <w:sz w:val="16"/>
      <w:szCs w:val="16"/>
    </w:rPr>
  </w:style>
  <w:style w:type="paragraph" w:styleId="CommentText">
    <w:name w:val="annotation text"/>
    <w:basedOn w:val="Normal"/>
    <w:link w:val="CommentTextChar"/>
    <w:uiPriority w:val="99"/>
    <w:semiHidden/>
    <w:unhideWhenUsed/>
    <w:rsid w:val="00626558"/>
    <w:rPr>
      <w:sz w:val="20"/>
      <w:szCs w:val="20"/>
    </w:rPr>
  </w:style>
  <w:style w:type="character" w:customStyle="1" w:styleId="CommentTextChar">
    <w:name w:val="Comment Text Char"/>
    <w:basedOn w:val="DefaultParagraphFont"/>
    <w:link w:val="CommentText"/>
    <w:uiPriority w:val="99"/>
    <w:semiHidden/>
    <w:rsid w:val="00626558"/>
    <w:rPr>
      <w:sz w:val="20"/>
      <w:szCs w:val="20"/>
    </w:rPr>
  </w:style>
  <w:style w:type="paragraph" w:styleId="CommentSubject">
    <w:name w:val="annotation subject"/>
    <w:basedOn w:val="CommentText"/>
    <w:next w:val="CommentText"/>
    <w:link w:val="CommentSubjectChar"/>
    <w:uiPriority w:val="99"/>
    <w:semiHidden/>
    <w:unhideWhenUsed/>
    <w:rsid w:val="00626558"/>
    <w:rPr>
      <w:b/>
      <w:bCs/>
    </w:rPr>
  </w:style>
  <w:style w:type="character" w:customStyle="1" w:styleId="CommentSubjectChar">
    <w:name w:val="Comment Subject Char"/>
    <w:basedOn w:val="CommentTextChar"/>
    <w:link w:val="CommentSubject"/>
    <w:uiPriority w:val="99"/>
    <w:semiHidden/>
    <w:rsid w:val="00626558"/>
    <w:rPr>
      <w:b/>
      <w:bCs/>
      <w:sz w:val="20"/>
      <w:szCs w:val="20"/>
    </w:rPr>
  </w:style>
  <w:style w:type="paragraph" w:styleId="BalloonText">
    <w:name w:val="Balloon Text"/>
    <w:basedOn w:val="Normal"/>
    <w:link w:val="BalloonTextChar"/>
    <w:uiPriority w:val="99"/>
    <w:semiHidden/>
    <w:unhideWhenUsed/>
    <w:rsid w:val="006265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558"/>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72ACB"/>
    <w:rPr>
      <w:sz w:val="20"/>
      <w:szCs w:val="20"/>
    </w:rPr>
  </w:style>
  <w:style w:type="character" w:customStyle="1" w:styleId="FootnoteTextChar">
    <w:name w:val="Footnote Text Char"/>
    <w:basedOn w:val="DefaultParagraphFont"/>
    <w:link w:val="FootnoteText"/>
    <w:uiPriority w:val="99"/>
    <w:semiHidden/>
    <w:rsid w:val="00E72ACB"/>
    <w:rPr>
      <w:sz w:val="20"/>
      <w:szCs w:val="20"/>
    </w:rPr>
  </w:style>
  <w:style w:type="character" w:styleId="FootnoteReference">
    <w:name w:val="footnote reference"/>
    <w:basedOn w:val="DefaultParagraphFont"/>
    <w:uiPriority w:val="99"/>
    <w:semiHidden/>
    <w:unhideWhenUsed/>
    <w:rsid w:val="00E72ACB"/>
    <w:rPr>
      <w:vertAlign w:val="superscript"/>
    </w:rPr>
  </w:style>
  <w:style w:type="paragraph" w:styleId="Revision">
    <w:name w:val="Revision"/>
    <w:hidden/>
    <w:uiPriority w:val="99"/>
    <w:semiHidden/>
    <w:rsid w:val="00B37ABD"/>
  </w:style>
  <w:style w:type="paragraph" w:styleId="Header">
    <w:name w:val="header"/>
    <w:basedOn w:val="Normal"/>
    <w:link w:val="HeaderChar"/>
    <w:uiPriority w:val="99"/>
    <w:unhideWhenUsed/>
    <w:rsid w:val="00B37ABD"/>
    <w:pPr>
      <w:tabs>
        <w:tab w:val="center" w:pos="4680"/>
        <w:tab w:val="right" w:pos="9360"/>
      </w:tabs>
    </w:pPr>
  </w:style>
  <w:style w:type="character" w:customStyle="1" w:styleId="HeaderChar">
    <w:name w:val="Header Char"/>
    <w:basedOn w:val="DefaultParagraphFont"/>
    <w:link w:val="Header"/>
    <w:uiPriority w:val="99"/>
    <w:rsid w:val="00B37ABD"/>
  </w:style>
  <w:style w:type="paragraph" w:styleId="Footer">
    <w:name w:val="footer"/>
    <w:basedOn w:val="Normal"/>
    <w:link w:val="FooterChar"/>
    <w:uiPriority w:val="99"/>
    <w:unhideWhenUsed/>
    <w:rsid w:val="00B37ABD"/>
    <w:pPr>
      <w:tabs>
        <w:tab w:val="center" w:pos="4680"/>
        <w:tab w:val="right" w:pos="9360"/>
      </w:tabs>
    </w:pPr>
  </w:style>
  <w:style w:type="character" w:customStyle="1" w:styleId="FooterChar">
    <w:name w:val="Footer Char"/>
    <w:basedOn w:val="DefaultParagraphFont"/>
    <w:link w:val="Footer"/>
    <w:uiPriority w:val="99"/>
    <w:rsid w:val="00B3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17969">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620839260">
      <w:bodyDiv w:val="1"/>
      <w:marLeft w:val="0"/>
      <w:marRight w:val="0"/>
      <w:marTop w:val="0"/>
      <w:marBottom w:val="0"/>
      <w:divBdr>
        <w:top w:val="none" w:sz="0" w:space="0" w:color="auto"/>
        <w:left w:val="none" w:sz="0" w:space="0" w:color="auto"/>
        <w:bottom w:val="none" w:sz="0" w:space="0" w:color="auto"/>
        <w:right w:val="none" w:sz="0" w:space="0" w:color="auto"/>
      </w:divBdr>
    </w:div>
    <w:div w:id="1731729859">
      <w:bodyDiv w:val="1"/>
      <w:marLeft w:val="0"/>
      <w:marRight w:val="0"/>
      <w:marTop w:val="0"/>
      <w:marBottom w:val="0"/>
      <w:divBdr>
        <w:top w:val="none" w:sz="0" w:space="0" w:color="auto"/>
        <w:left w:val="none" w:sz="0" w:space="0" w:color="auto"/>
        <w:bottom w:val="none" w:sz="0" w:space="0" w:color="auto"/>
        <w:right w:val="none" w:sz="0" w:space="0" w:color="auto"/>
      </w:divBdr>
    </w:div>
    <w:div w:id="1936282348">
      <w:bodyDiv w:val="1"/>
      <w:marLeft w:val="0"/>
      <w:marRight w:val="0"/>
      <w:marTop w:val="0"/>
      <w:marBottom w:val="0"/>
      <w:divBdr>
        <w:top w:val="none" w:sz="0" w:space="0" w:color="auto"/>
        <w:left w:val="none" w:sz="0" w:space="0" w:color="auto"/>
        <w:bottom w:val="none" w:sz="0" w:space="0" w:color="auto"/>
        <w:right w:val="none" w:sz="0" w:space="0" w:color="auto"/>
      </w:divBdr>
    </w:div>
    <w:div w:id="20985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Havercroft J.J.</dc:creator>
  <cp:keywords/>
  <dc:description/>
  <cp:lastModifiedBy>Timothy Wright</cp:lastModifiedBy>
  <cp:revision>2</cp:revision>
  <dcterms:created xsi:type="dcterms:W3CDTF">2021-01-06T13:38:00Z</dcterms:created>
  <dcterms:modified xsi:type="dcterms:W3CDTF">2021-01-06T13:38:00Z</dcterms:modified>
</cp:coreProperties>
</file>