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61C58" w14:textId="77777777" w:rsidR="00EE1503" w:rsidRPr="00EE1503" w:rsidRDefault="00EE1503" w:rsidP="00EE1503">
      <w:pPr>
        <w:shd w:val="clear" w:color="auto" w:fill="FFFFFF"/>
        <w:spacing w:before="120" w:after="120" w:line="450" w:lineRule="atLeast"/>
        <w:outlineLvl w:val="0"/>
        <w:rPr>
          <w:rFonts w:ascii="Arial" w:eastAsia="Times New Roman" w:hAnsi="Arial" w:cs="Arial"/>
          <w:b/>
          <w:bCs/>
          <w:color w:val="1C1D1E"/>
          <w:kern w:val="36"/>
          <w:sz w:val="48"/>
          <w:szCs w:val="48"/>
          <w:lang w:eastAsia="en-GB"/>
        </w:rPr>
      </w:pPr>
      <w:bookmarkStart w:id="0" w:name="_GoBack"/>
      <w:r w:rsidRPr="00EE1503">
        <w:rPr>
          <w:rFonts w:ascii="Arial" w:eastAsia="Times New Roman" w:hAnsi="Arial" w:cs="Arial"/>
          <w:b/>
          <w:bCs/>
          <w:color w:val="1C1D1E"/>
          <w:kern w:val="36"/>
          <w:sz w:val="48"/>
          <w:szCs w:val="48"/>
          <w:lang w:eastAsia="en-GB"/>
        </w:rPr>
        <w:t>Moderate fixed</w:t>
      </w:r>
      <w:r w:rsidRPr="00EE1503">
        <w:rPr>
          <w:rFonts w:ascii="Cambria Math" w:eastAsia="Times New Roman" w:hAnsi="Cambria Math" w:cs="Cambria Math"/>
          <w:b/>
          <w:bCs/>
          <w:color w:val="1C1D1E"/>
          <w:kern w:val="36"/>
          <w:sz w:val="48"/>
          <w:szCs w:val="48"/>
          <w:lang w:eastAsia="en-GB"/>
        </w:rPr>
        <w:t>‐</w:t>
      </w:r>
      <w:r w:rsidRPr="00EE1503">
        <w:rPr>
          <w:rFonts w:ascii="Arial" w:eastAsia="Times New Roman" w:hAnsi="Arial" w:cs="Arial"/>
          <w:b/>
          <w:bCs/>
          <w:color w:val="1C1D1E"/>
          <w:kern w:val="36"/>
          <w:sz w:val="48"/>
          <w:szCs w:val="48"/>
          <w:lang w:eastAsia="en-GB"/>
        </w:rPr>
        <w:t xml:space="preserve">dose hydroxyurea </w:t>
      </w:r>
      <w:bookmarkEnd w:id="0"/>
      <w:r w:rsidRPr="00EE1503">
        <w:rPr>
          <w:rFonts w:ascii="Arial" w:eastAsia="Times New Roman" w:hAnsi="Arial" w:cs="Arial"/>
          <w:b/>
          <w:bCs/>
          <w:color w:val="1C1D1E"/>
          <w:kern w:val="36"/>
          <w:sz w:val="48"/>
          <w:szCs w:val="48"/>
          <w:lang w:eastAsia="en-GB"/>
        </w:rPr>
        <w:t xml:space="preserve">for primary prevention of strokes in Nigerian children with sickle cell disease: </w:t>
      </w:r>
      <w:proofErr w:type="gramStart"/>
      <w:r w:rsidRPr="00EE1503">
        <w:rPr>
          <w:rFonts w:ascii="Arial" w:eastAsia="Times New Roman" w:hAnsi="Arial" w:cs="Arial"/>
          <w:b/>
          <w:bCs/>
          <w:color w:val="1C1D1E"/>
          <w:kern w:val="36"/>
          <w:sz w:val="48"/>
          <w:szCs w:val="48"/>
          <w:lang w:eastAsia="en-GB"/>
        </w:rPr>
        <w:t>Final results</w:t>
      </w:r>
      <w:proofErr w:type="gramEnd"/>
      <w:r w:rsidRPr="00EE1503">
        <w:rPr>
          <w:rFonts w:ascii="Arial" w:eastAsia="Times New Roman" w:hAnsi="Arial" w:cs="Arial"/>
          <w:b/>
          <w:bCs/>
          <w:color w:val="1C1D1E"/>
          <w:kern w:val="36"/>
          <w:sz w:val="48"/>
          <w:szCs w:val="48"/>
          <w:lang w:eastAsia="en-GB"/>
        </w:rPr>
        <w:t xml:space="preserve"> of the SPIN trial</w:t>
      </w:r>
    </w:p>
    <w:p w14:paraId="148A2E9E" w14:textId="77777777" w:rsidR="00EE1503" w:rsidRPr="00EE1503" w:rsidRDefault="008A5B50" w:rsidP="00EE1503">
      <w:pPr>
        <w:shd w:val="clear" w:color="auto" w:fill="FFFFFF"/>
        <w:spacing w:after="0" w:line="240" w:lineRule="auto"/>
        <w:rPr>
          <w:rFonts w:ascii="Arial" w:eastAsia="Times New Roman" w:hAnsi="Arial" w:cs="Arial"/>
          <w:sz w:val="21"/>
          <w:szCs w:val="21"/>
          <w:lang w:eastAsia="en-GB"/>
        </w:rPr>
      </w:pPr>
      <w:hyperlink r:id="rId5" w:history="1">
        <w:proofErr w:type="spellStart"/>
        <w:r w:rsidR="00EE1503" w:rsidRPr="00EE1503">
          <w:rPr>
            <w:rFonts w:ascii="Arial" w:eastAsia="Times New Roman" w:hAnsi="Arial" w:cs="Arial"/>
            <w:sz w:val="21"/>
            <w:szCs w:val="21"/>
            <w:lang w:eastAsia="en-GB"/>
          </w:rPr>
          <w:t>Najibah</w:t>
        </w:r>
        <w:proofErr w:type="spellEnd"/>
        <w:r w:rsidR="00EE1503" w:rsidRPr="00EE1503">
          <w:rPr>
            <w:rFonts w:ascii="Arial" w:eastAsia="Times New Roman" w:hAnsi="Arial" w:cs="Arial"/>
            <w:sz w:val="21"/>
            <w:szCs w:val="21"/>
            <w:lang w:eastAsia="en-GB"/>
          </w:rPr>
          <w:t xml:space="preserve"> A. </w:t>
        </w:r>
        <w:proofErr w:type="spellStart"/>
        <w:r w:rsidR="00EE1503" w:rsidRPr="00EE1503">
          <w:rPr>
            <w:rFonts w:ascii="Arial" w:eastAsia="Times New Roman" w:hAnsi="Arial" w:cs="Arial"/>
            <w:sz w:val="21"/>
            <w:szCs w:val="21"/>
            <w:lang w:eastAsia="en-GB"/>
          </w:rPr>
          <w:t>Galadanci</w:t>
        </w:r>
        <w:proofErr w:type="spellEnd"/>
      </w:hyperlink>
      <w:r w:rsidR="00EE1503" w:rsidRPr="00EE1503">
        <w:rPr>
          <w:rFonts w:ascii="Arial" w:eastAsia="Times New Roman" w:hAnsi="Arial" w:cs="Arial"/>
          <w:sz w:val="21"/>
          <w:szCs w:val="21"/>
          <w:lang w:eastAsia="en-GB"/>
        </w:rPr>
        <w:t> </w:t>
      </w:r>
    </w:p>
    <w:p w14:paraId="142B244A" w14:textId="77777777" w:rsidR="00EE1503" w:rsidRPr="00EE1503" w:rsidRDefault="00EE1503" w:rsidP="00EE1503">
      <w:pPr>
        <w:shd w:val="clear" w:color="auto" w:fill="FFFFFF"/>
        <w:spacing w:after="0" w:line="240" w:lineRule="auto"/>
        <w:rPr>
          <w:rFonts w:ascii="Arial" w:eastAsia="Times New Roman" w:hAnsi="Arial" w:cs="Arial"/>
          <w:sz w:val="21"/>
          <w:szCs w:val="21"/>
          <w:lang w:eastAsia="en-GB"/>
        </w:rPr>
      </w:pPr>
      <w:r w:rsidRPr="00EE1503">
        <w:rPr>
          <w:rFonts w:ascii="Arial" w:eastAsia="Times New Roman" w:hAnsi="Arial" w:cs="Arial"/>
          <w:sz w:val="21"/>
          <w:szCs w:val="21"/>
          <w:lang w:eastAsia="en-GB"/>
        </w:rPr>
        <w:t> </w:t>
      </w:r>
    </w:p>
    <w:p w14:paraId="561BE9E6" w14:textId="77777777" w:rsidR="00EE1503" w:rsidRPr="00EE1503" w:rsidRDefault="008A5B50" w:rsidP="00EE1503">
      <w:pPr>
        <w:shd w:val="clear" w:color="auto" w:fill="FFFFFF"/>
        <w:spacing w:after="0" w:line="240" w:lineRule="auto"/>
        <w:rPr>
          <w:rFonts w:ascii="Arial" w:eastAsia="Times New Roman" w:hAnsi="Arial" w:cs="Arial"/>
          <w:sz w:val="21"/>
          <w:szCs w:val="21"/>
          <w:lang w:eastAsia="en-GB"/>
        </w:rPr>
      </w:pPr>
      <w:hyperlink r:id="rId6" w:history="1">
        <w:r w:rsidR="00EE1503" w:rsidRPr="00EE1503">
          <w:rPr>
            <w:rFonts w:ascii="Arial" w:eastAsia="Times New Roman" w:hAnsi="Arial" w:cs="Arial"/>
            <w:sz w:val="21"/>
            <w:szCs w:val="21"/>
            <w:lang w:eastAsia="en-GB"/>
          </w:rPr>
          <w:t>Shehu U. Abdullahi</w:t>
        </w:r>
      </w:hyperlink>
      <w:r w:rsidR="00EE1503" w:rsidRPr="00EE1503">
        <w:rPr>
          <w:rFonts w:ascii="Arial" w:eastAsia="Times New Roman" w:hAnsi="Arial" w:cs="Arial"/>
          <w:sz w:val="21"/>
          <w:szCs w:val="21"/>
          <w:lang w:eastAsia="en-GB"/>
        </w:rPr>
        <w:t> </w:t>
      </w:r>
    </w:p>
    <w:p w14:paraId="07E8ED2E" w14:textId="77777777" w:rsidR="00EE1503" w:rsidRPr="00EE1503" w:rsidRDefault="00EE1503" w:rsidP="00EE1503">
      <w:pPr>
        <w:shd w:val="clear" w:color="auto" w:fill="FFFFFF"/>
        <w:spacing w:after="0" w:line="240" w:lineRule="auto"/>
        <w:rPr>
          <w:rFonts w:ascii="Arial" w:eastAsia="Times New Roman" w:hAnsi="Arial" w:cs="Arial"/>
          <w:sz w:val="21"/>
          <w:szCs w:val="21"/>
          <w:lang w:eastAsia="en-GB"/>
        </w:rPr>
      </w:pPr>
      <w:r w:rsidRPr="00EE1503">
        <w:rPr>
          <w:rFonts w:ascii="Arial" w:eastAsia="Times New Roman" w:hAnsi="Arial" w:cs="Arial"/>
          <w:sz w:val="21"/>
          <w:szCs w:val="21"/>
          <w:lang w:eastAsia="en-GB"/>
        </w:rPr>
        <w:t> </w:t>
      </w:r>
    </w:p>
    <w:p w14:paraId="0DDFC246" w14:textId="77777777" w:rsidR="00EE1503" w:rsidRPr="00EE1503" w:rsidRDefault="008A5B50" w:rsidP="00EE1503">
      <w:pPr>
        <w:shd w:val="clear" w:color="auto" w:fill="FFFFFF"/>
        <w:spacing w:after="0" w:line="240" w:lineRule="auto"/>
        <w:rPr>
          <w:rFonts w:ascii="Arial" w:eastAsia="Times New Roman" w:hAnsi="Arial" w:cs="Arial"/>
          <w:sz w:val="21"/>
          <w:szCs w:val="21"/>
          <w:lang w:eastAsia="en-GB"/>
        </w:rPr>
      </w:pPr>
      <w:hyperlink r:id="rId7" w:history="1">
        <w:proofErr w:type="spellStart"/>
        <w:r w:rsidR="00EE1503" w:rsidRPr="00EE1503">
          <w:rPr>
            <w:rFonts w:ascii="Arial" w:eastAsia="Times New Roman" w:hAnsi="Arial" w:cs="Arial"/>
            <w:sz w:val="21"/>
            <w:szCs w:val="21"/>
            <w:lang w:eastAsia="en-GB"/>
          </w:rPr>
          <w:t>Shehi</w:t>
        </w:r>
        <w:proofErr w:type="spellEnd"/>
        <w:r w:rsidR="00EE1503" w:rsidRPr="00EE1503">
          <w:rPr>
            <w:rFonts w:ascii="Arial" w:eastAsia="Times New Roman" w:hAnsi="Arial" w:cs="Arial"/>
            <w:sz w:val="21"/>
            <w:szCs w:val="21"/>
            <w:lang w:eastAsia="en-GB"/>
          </w:rPr>
          <w:t xml:space="preserve"> Ali Abubakar</w:t>
        </w:r>
      </w:hyperlink>
      <w:r w:rsidR="00EE1503" w:rsidRPr="00EE1503">
        <w:rPr>
          <w:rFonts w:ascii="Arial" w:eastAsia="Times New Roman" w:hAnsi="Arial" w:cs="Arial"/>
          <w:sz w:val="21"/>
          <w:szCs w:val="21"/>
          <w:lang w:eastAsia="en-GB"/>
        </w:rPr>
        <w:t> </w:t>
      </w:r>
    </w:p>
    <w:p w14:paraId="5C2CB29F" w14:textId="77777777" w:rsidR="00EE1503" w:rsidRPr="00EE1503" w:rsidRDefault="00EE1503" w:rsidP="00EE1503">
      <w:pPr>
        <w:shd w:val="clear" w:color="auto" w:fill="FFFFFF"/>
        <w:spacing w:after="0" w:line="240" w:lineRule="auto"/>
        <w:rPr>
          <w:rFonts w:ascii="Arial" w:eastAsia="Times New Roman" w:hAnsi="Arial" w:cs="Arial"/>
          <w:sz w:val="21"/>
          <w:szCs w:val="21"/>
          <w:lang w:eastAsia="en-GB"/>
        </w:rPr>
      </w:pPr>
      <w:r w:rsidRPr="00EE1503">
        <w:rPr>
          <w:rFonts w:ascii="Arial" w:eastAsia="Times New Roman" w:hAnsi="Arial" w:cs="Arial"/>
          <w:sz w:val="21"/>
          <w:szCs w:val="21"/>
          <w:lang w:eastAsia="en-GB"/>
        </w:rPr>
        <w:t> </w:t>
      </w:r>
    </w:p>
    <w:p w14:paraId="39CD6AA2" w14:textId="77777777" w:rsidR="00EE1503" w:rsidRPr="00EE1503" w:rsidRDefault="008A5B50" w:rsidP="00EE1503">
      <w:pPr>
        <w:shd w:val="clear" w:color="auto" w:fill="FFFFFF"/>
        <w:spacing w:after="0" w:line="240" w:lineRule="auto"/>
        <w:rPr>
          <w:rFonts w:ascii="Arial" w:eastAsia="Times New Roman" w:hAnsi="Arial" w:cs="Arial"/>
          <w:sz w:val="21"/>
          <w:szCs w:val="21"/>
          <w:lang w:eastAsia="en-GB"/>
        </w:rPr>
      </w:pPr>
      <w:hyperlink r:id="rId8" w:history="1">
        <w:proofErr w:type="spellStart"/>
        <w:r w:rsidR="00EE1503" w:rsidRPr="00EE1503">
          <w:rPr>
            <w:rFonts w:ascii="Arial" w:eastAsia="Times New Roman" w:hAnsi="Arial" w:cs="Arial"/>
            <w:sz w:val="21"/>
            <w:szCs w:val="21"/>
            <w:lang w:eastAsia="en-GB"/>
          </w:rPr>
          <w:t>Binta</w:t>
        </w:r>
        <w:proofErr w:type="spellEnd"/>
        <w:r w:rsidR="00EE1503" w:rsidRPr="00EE1503">
          <w:rPr>
            <w:rFonts w:ascii="Arial" w:eastAsia="Times New Roman" w:hAnsi="Arial" w:cs="Arial"/>
            <w:sz w:val="21"/>
            <w:szCs w:val="21"/>
            <w:lang w:eastAsia="en-GB"/>
          </w:rPr>
          <w:t xml:space="preserve"> </w:t>
        </w:r>
        <w:proofErr w:type="spellStart"/>
        <w:r w:rsidR="00EE1503" w:rsidRPr="00EE1503">
          <w:rPr>
            <w:rFonts w:ascii="Arial" w:eastAsia="Times New Roman" w:hAnsi="Arial" w:cs="Arial"/>
            <w:sz w:val="21"/>
            <w:szCs w:val="21"/>
            <w:lang w:eastAsia="en-GB"/>
          </w:rPr>
          <w:t>Wudil</w:t>
        </w:r>
        <w:proofErr w:type="spellEnd"/>
        <w:r w:rsidR="00EE1503" w:rsidRPr="00EE1503">
          <w:rPr>
            <w:rFonts w:ascii="Arial" w:eastAsia="Times New Roman" w:hAnsi="Arial" w:cs="Arial"/>
            <w:sz w:val="21"/>
            <w:szCs w:val="21"/>
            <w:lang w:eastAsia="en-GB"/>
          </w:rPr>
          <w:t xml:space="preserve"> </w:t>
        </w:r>
        <w:proofErr w:type="spellStart"/>
        <w:r w:rsidR="00EE1503" w:rsidRPr="00EE1503">
          <w:rPr>
            <w:rFonts w:ascii="Arial" w:eastAsia="Times New Roman" w:hAnsi="Arial" w:cs="Arial"/>
            <w:sz w:val="21"/>
            <w:szCs w:val="21"/>
            <w:lang w:eastAsia="en-GB"/>
          </w:rPr>
          <w:t>Jibir</w:t>
        </w:r>
        <w:proofErr w:type="spellEnd"/>
      </w:hyperlink>
      <w:r w:rsidR="00EE1503" w:rsidRPr="00EE1503">
        <w:rPr>
          <w:rFonts w:ascii="Arial" w:eastAsia="Times New Roman" w:hAnsi="Arial" w:cs="Arial"/>
          <w:sz w:val="21"/>
          <w:szCs w:val="21"/>
          <w:lang w:eastAsia="en-GB"/>
        </w:rPr>
        <w:t> </w:t>
      </w:r>
    </w:p>
    <w:p w14:paraId="18809FC5" w14:textId="77777777" w:rsidR="00EE1503" w:rsidRPr="00EE1503" w:rsidRDefault="00EE1503" w:rsidP="00EE1503">
      <w:pPr>
        <w:shd w:val="clear" w:color="auto" w:fill="FFFFFF"/>
        <w:spacing w:after="0" w:line="240" w:lineRule="auto"/>
        <w:rPr>
          <w:rFonts w:ascii="Arial" w:eastAsia="Times New Roman" w:hAnsi="Arial" w:cs="Arial"/>
          <w:sz w:val="21"/>
          <w:szCs w:val="21"/>
          <w:lang w:eastAsia="en-GB"/>
        </w:rPr>
      </w:pPr>
      <w:r w:rsidRPr="00EE1503">
        <w:rPr>
          <w:rFonts w:ascii="Arial" w:eastAsia="Times New Roman" w:hAnsi="Arial" w:cs="Arial"/>
          <w:sz w:val="21"/>
          <w:szCs w:val="21"/>
          <w:lang w:eastAsia="en-GB"/>
        </w:rPr>
        <w:t> </w:t>
      </w:r>
    </w:p>
    <w:p w14:paraId="197E1705" w14:textId="77777777" w:rsidR="00EE1503" w:rsidRPr="00EE1503" w:rsidRDefault="008A5B50" w:rsidP="00EE1503">
      <w:pPr>
        <w:shd w:val="clear" w:color="auto" w:fill="FFFFFF"/>
        <w:spacing w:after="0" w:line="240" w:lineRule="auto"/>
        <w:rPr>
          <w:rFonts w:ascii="Arial" w:eastAsia="Times New Roman" w:hAnsi="Arial" w:cs="Arial"/>
          <w:sz w:val="21"/>
          <w:szCs w:val="21"/>
          <w:lang w:eastAsia="en-GB"/>
        </w:rPr>
      </w:pPr>
      <w:hyperlink r:id="rId9" w:history="1">
        <w:proofErr w:type="spellStart"/>
        <w:r w:rsidR="00EE1503" w:rsidRPr="00EE1503">
          <w:rPr>
            <w:rFonts w:ascii="Arial" w:eastAsia="Times New Roman" w:hAnsi="Arial" w:cs="Arial"/>
            <w:sz w:val="21"/>
            <w:szCs w:val="21"/>
            <w:lang w:eastAsia="en-GB"/>
          </w:rPr>
          <w:t>Hauwa</w:t>
        </w:r>
        <w:proofErr w:type="spellEnd"/>
        <w:r w:rsidR="00EE1503" w:rsidRPr="00EE1503">
          <w:rPr>
            <w:rFonts w:ascii="Arial" w:eastAsia="Times New Roman" w:hAnsi="Arial" w:cs="Arial"/>
            <w:sz w:val="21"/>
            <w:szCs w:val="21"/>
            <w:lang w:eastAsia="en-GB"/>
          </w:rPr>
          <w:t xml:space="preserve"> Aminu</w:t>
        </w:r>
      </w:hyperlink>
      <w:r w:rsidR="00EE1503" w:rsidRPr="00EE1503">
        <w:rPr>
          <w:rFonts w:ascii="Arial" w:eastAsia="Times New Roman" w:hAnsi="Arial" w:cs="Arial"/>
          <w:sz w:val="21"/>
          <w:szCs w:val="21"/>
          <w:lang w:eastAsia="en-GB"/>
        </w:rPr>
        <w:t> </w:t>
      </w:r>
    </w:p>
    <w:p w14:paraId="1545D51D" w14:textId="77777777" w:rsidR="00EE1503" w:rsidRPr="00EE1503" w:rsidRDefault="00EE1503" w:rsidP="00EE1503">
      <w:pPr>
        <w:shd w:val="clear" w:color="auto" w:fill="FFFFFF"/>
        <w:spacing w:after="0" w:line="240" w:lineRule="auto"/>
        <w:rPr>
          <w:rFonts w:ascii="Arial" w:eastAsia="Times New Roman" w:hAnsi="Arial" w:cs="Arial"/>
          <w:sz w:val="21"/>
          <w:szCs w:val="21"/>
          <w:lang w:eastAsia="en-GB"/>
        </w:rPr>
      </w:pPr>
      <w:r w:rsidRPr="00EE1503">
        <w:rPr>
          <w:rFonts w:ascii="Arial" w:eastAsia="Times New Roman" w:hAnsi="Arial" w:cs="Arial"/>
          <w:sz w:val="21"/>
          <w:szCs w:val="21"/>
          <w:lang w:eastAsia="en-GB"/>
        </w:rPr>
        <w:t> </w:t>
      </w:r>
    </w:p>
    <w:p w14:paraId="330D7927" w14:textId="77777777" w:rsidR="00EE1503" w:rsidRPr="00EE1503" w:rsidRDefault="008A5B50" w:rsidP="00EE1503">
      <w:pPr>
        <w:shd w:val="clear" w:color="auto" w:fill="FFFFFF"/>
        <w:spacing w:after="0" w:line="240" w:lineRule="auto"/>
        <w:rPr>
          <w:rFonts w:ascii="Arial" w:eastAsia="Times New Roman" w:hAnsi="Arial" w:cs="Arial"/>
          <w:sz w:val="21"/>
          <w:szCs w:val="21"/>
          <w:lang w:eastAsia="en-GB"/>
        </w:rPr>
      </w:pPr>
      <w:hyperlink r:id="rId10" w:history="1">
        <w:r w:rsidR="00EE1503" w:rsidRPr="00EE1503">
          <w:rPr>
            <w:rFonts w:ascii="Arial" w:eastAsia="Times New Roman" w:hAnsi="Arial" w:cs="Arial"/>
            <w:sz w:val="21"/>
            <w:szCs w:val="21"/>
            <w:lang w:eastAsia="en-GB"/>
          </w:rPr>
          <w:t xml:space="preserve">Aliyu </w:t>
        </w:r>
        <w:proofErr w:type="spellStart"/>
        <w:r w:rsidR="00EE1503" w:rsidRPr="00EE1503">
          <w:rPr>
            <w:rFonts w:ascii="Arial" w:eastAsia="Times New Roman" w:hAnsi="Arial" w:cs="Arial"/>
            <w:sz w:val="21"/>
            <w:szCs w:val="21"/>
            <w:lang w:eastAsia="en-GB"/>
          </w:rPr>
          <w:t>Tijjani</w:t>
        </w:r>
        <w:proofErr w:type="spellEnd"/>
      </w:hyperlink>
      <w:r w:rsidR="00EE1503" w:rsidRPr="00EE1503">
        <w:rPr>
          <w:rFonts w:ascii="Arial" w:eastAsia="Times New Roman" w:hAnsi="Arial" w:cs="Arial"/>
          <w:sz w:val="21"/>
          <w:szCs w:val="21"/>
          <w:lang w:eastAsia="en-GB"/>
        </w:rPr>
        <w:t> </w:t>
      </w:r>
    </w:p>
    <w:p w14:paraId="26ED88D0" w14:textId="77777777" w:rsidR="00EE1503" w:rsidRPr="00EE1503" w:rsidRDefault="00EE1503" w:rsidP="00EE1503">
      <w:pPr>
        <w:shd w:val="clear" w:color="auto" w:fill="FFFFFF"/>
        <w:spacing w:after="0" w:line="240" w:lineRule="auto"/>
        <w:rPr>
          <w:rFonts w:ascii="Arial" w:eastAsia="Times New Roman" w:hAnsi="Arial" w:cs="Arial"/>
          <w:sz w:val="21"/>
          <w:szCs w:val="21"/>
          <w:lang w:eastAsia="en-GB"/>
        </w:rPr>
      </w:pPr>
      <w:r w:rsidRPr="00EE1503">
        <w:rPr>
          <w:rFonts w:ascii="Arial" w:eastAsia="Times New Roman" w:hAnsi="Arial" w:cs="Arial"/>
          <w:sz w:val="21"/>
          <w:szCs w:val="21"/>
          <w:lang w:eastAsia="en-GB"/>
        </w:rPr>
        <w:t> </w:t>
      </w:r>
    </w:p>
    <w:p w14:paraId="01A65D85" w14:textId="77777777" w:rsidR="00EE1503" w:rsidRPr="00EE1503" w:rsidRDefault="008A5B50" w:rsidP="00EE1503">
      <w:pPr>
        <w:shd w:val="clear" w:color="auto" w:fill="FFFFFF"/>
        <w:spacing w:after="0" w:line="240" w:lineRule="auto"/>
        <w:rPr>
          <w:rFonts w:ascii="Arial" w:eastAsia="Times New Roman" w:hAnsi="Arial" w:cs="Arial"/>
          <w:sz w:val="21"/>
          <w:szCs w:val="21"/>
          <w:lang w:eastAsia="en-GB"/>
        </w:rPr>
      </w:pPr>
      <w:hyperlink r:id="rId11" w:history="1">
        <w:r w:rsidR="00EE1503" w:rsidRPr="00EE1503">
          <w:rPr>
            <w:rFonts w:ascii="Arial" w:eastAsia="Times New Roman" w:hAnsi="Arial" w:cs="Arial"/>
            <w:sz w:val="21"/>
            <w:szCs w:val="21"/>
            <w:lang w:eastAsia="en-GB"/>
          </w:rPr>
          <w:t>Muhammad S. Abba</w:t>
        </w:r>
      </w:hyperlink>
      <w:r w:rsidR="00EE1503" w:rsidRPr="00EE1503">
        <w:rPr>
          <w:rFonts w:ascii="Arial" w:eastAsia="Times New Roman" w:hAnsi="Arial" w:cs="Arial"/>
          <w:sz w:val="21"/>
          <w:szCs w:val="21"/>
          <w:lang w:eastAsia="en-GB"/>
        </w:rPr>
        <w:t> </w:t>
      </w:r>
    </w:p>
    <w:p w14:paraId="665E7581" w14:textId="77777777" w:rsidR="00EE1503" w:rsidRPr="00EE1503" w:rsidRDefault="00EE1503" w:rsidP="00EE1503">
      <w:pPr>
        <w:shd w:val="clear" w:color="auto" w:fill="FFFFFF"/>
        <w:spacing w:after="0" w:line="240" w:lineRule="auto"/>
        <w:rPr>
          <w:rFonts w:ascii="Arial" w:eastAsia="Times New Roman" w:hAnsi="Arial" w:cs="Arial"/>
          <w:sz w:val="21"/>
          <w:szCs w:val="21"/>
          <w:lang w:eastAsia="en-GB"/>
        </w:rPr>
      </w:pPr>
      <w:r w:rsidRPr="00EE1503">
        <w:rPr>
          <w:rFonts w:ascii="Arial" w:eastAsia="Times New Roman" w:hAnsi="Arial" w:cs="Arial"/>
          <w:sz w:val="21"/>
          <w:szCs w:val="21"/>
          <w:lang w:eastAsia="en-GB"/>
        </w:rPr>
        <w:t> </w:t>
      </w:r>
    </w:p>
    <w:p w14:paraId="50CECCED" w14:textId="77777777" w:rsidR="00EE1503" w:rsidRPr="00EE1503" w:rsidRDefault="008A5B50" w:rsidP="00EE1503">
      <w:pPr>
        <w:shd w:val="clear" w:color="auto" w:fill="FFFFFF"/>
        <w:spacing w:after="0" w:line="240" w:lineRule="auto"/>
        <w:rPr>
          <w:rFonts w:ascii="Arial" w:eastAsia="Times New Roman" w:hAnsi="Arial" w:cs="Arial"/>
          <w:sz w:val="21"/>
          <w:szCs w:val="21"/>
          <w:lang w:eastAsia="en-GB"/>
        </w:rPr>
      </w:pPr>
      <w:hyperlink r:id="rId12" w:history="1">
        <w:r w:rsidR="00EE1503" w:rsidRPr="00EE1503">
          <w:rPr>
            <w:rFonts w:ascii="Arial" w:eastAsia="Times New Roman" w:hAnsi="Arial" w:cs="Arial"/>
            <w:sz w:val="21"/>
            <w:szCs w:val="21"/>
            <w:lang w:eastAsia="en-GB"/>
          </w:rPr>
          <w:t>Musa A. Tabari</w:t>
        </w:r>
      </w:hyperlink>
      <w:r w:rsidR="00EE1503" w:rsidRPr="00EE1503">
        <w:rPr>
          <w:rFonts w:ascii="Arial" w:eastAsia="Times New Roman" w:hAnsi="Arial" w:cs="Arial"/>
          <w:sz w:val="21"/>
          <w:szCs w:val="21"/>
          <w:lang w:eastAsia="en-GB"/>
        </w:rPr>
        <w:t> </w:t>
      </w:r>
    </w:p>
    <w:p w14:paraId="28987717" w14:textId="77777777" w:rsidR="00EE1503" w:rsidRPr="00EE1503" w:rsidRDefault="00EE1503" w:rsidP="00EE1503">
      <w:pPr>
        <w:shd w:val="clear" w:color="auto" w:fill="FFFFFF"/>
        <w:spacing w:after="0" w:line="240" w:lineRule="auto"/>
        <w:rPr>
          <w:rFonts w:ascii="Arial" w:eastAsia="Times New Roman" w:hAnsi="Arial" w:cs="Arial"/>
          <w:sz w:val="21"/>
          <w:szCs w:val="21"/>
          <w:lang w:eastAsia="en-GB"/>
        </w:rPr>
      </w:pPr>
      <w:r w:rsidRPr="00EE1503">
        <w:rPr>
          <w:rFonts w:ascii="Arial" w:eastAsia="Times New Roman" w:hAnsi="Arial" w:cs="Arial"/>
          <w:sz w:val="21"/>
          <w:szCs w:val="21"/>
          <w:lang w:eastAsia="en-GB"/>
        </w:rPr>
        <w:t> </w:t>
      </w:r>
    </w:p>
    <w:p w14:paraId="7C1D82C5" w14:textId="77777777" w:rsidR="00EE1503" w:rsidRPr="00EE1503" w:rsidRDefault="008A5B50" w:rsidP="00EE1503">
      <w:pPr>
        <w:shd w:val="clear" w:color="auto" w:fill="FFFFFF"/>
        <w:spacing w:after="0" w:line="240" w:lineRule="auto"/>
        <w:rPr>
          <w:rFonts w:ascii="Arial" w:eastAsia="Times New Roman" w:hAnsi="Arial" w:cs="Arial"/>
          <w:sz w:val="21"/>
          <w:szCs w:val="21"/>
          <w:lang w:eastAsia="en-GB"/>
        </w:rPr>
      </w:pPr>
      <w:hyperlink r:id="rId13" w:history="1">
        <w:r w:rsidR="00EE1503" w:rsidRPr="00EE1503">
          <w:rPr>
            <w:rFonts w:ascii="Arial" w:eastAsia="Times New Roman" w:hAnsi="Arial" w:cs="Arial"/>
            <w:sz w:val="21"/>
            <w:szCs w:val="21"/>
            <w:lang w:eastAsia="en-GB"/>
          </w:rPr>
          <w:t xml:space="preserve">Aisha </w:t>
        </w:r>
        <w:proofErr w:type="spellStart"/>
        <w:r w:rsidR="00EE1503" w:rsidRPr="00EE1503">
          <w:rPr>
            <w:rFonts w:ascii="Arial" w:eastAsia="Times New Roman" w:hAnsi="Arial" w:cs="Arial"/>
            <w:sz w:val="21"/>
            <w:szCs w:val="21"/>
            <w:lang w:eastAsia="en-GB"/>
          </w:rPr>
          <w:t>Galadanci</w:t>
        </w:r>
        <w:proofErr w:type="spellEnd"/>
      </w:hyperlink>
      <w:r w:rsidR="00EE1503" w:rsidRPr="00EE1503">
        <w:rPr>
          <w:rFonts w:ascii="Arial" w:eastAsia="Times New Roman" w:hAnsi="Arial" w:cs="Arial"/>
          <w:sz w:val="21"/>
          <w:szCs w:val="21"/>
          <w:lang w:eastAsia="en-GB"/>
        </w:rPr>
        <w:t> </w:t>
      </w:r>
    </w:p>
    <w:p w14:paraId="132EC278" w14:textId="77777777" w:rsidR="00EE1503" w:rsidRPr="00EE1503" w:rsidRDefault="00EE1503" w:rsidP="00EE1503">
      <w:pPr>
        <w:shd w:val="clear" w:color="auto" w:fill="FFFFFF"/>
        <w:spacing w:after="0" w:line="240" w:lineRule="auto"/>
        <w:rPr>
          <w:rFonts w:ascii="Arial" w:eastAsia="Times New Roman" w:hAnsi="Arial" w:cs="Arial"/>
          <w:sz w:val="21"/>
          <w:szCs w:val="21"/>
          <w:lang w:eastAsia="en-GB"/>
        </w:rPr>
      </w:pPr>
      <w:r w:rsidRPr="00EE1503">
        <w:rPr>
          <w:rFonts w:ascii="Arial" w:eastAsia="Times New Roman" w:hAnsi="Arial" w:cs="Arial"/>
          <w:sz w:val="21"/>
          <w:szCs w:val="21"/>
          <w:lang w:eastAsia="en-GB"/>
        </w:rPr>
        <w:t> </w:t>
      </w:r>
    </w:p>
    <w:p w14:paraId="03E735A9" w14:textId="77777777" w:rsidR="00EE1503" w:rsidRPr="00EE1503" w:rsidRDefault="008A5B50" w:rsidP="00EE1503">
      <w:pPr>
        <w:shd w:val="clear" w:color="auto" w:fill="FFFFFF"/>
        <w:spacing w:after="0" w:line="240" w:lineRule="auto"/>
        <w:rPr>
          <w:rFonts w:ascii="Arial" w:eastAsia="Times New Roman" w:hAnsi="Arial" w:cs="Arial"/>
          <w:sz w:val="21"/>
          <w:szCs w:val="21"/>
          <w:lang w:eastAsia="en-GB"/>
        </w:rPr>
      </w:pPr>
      <w:hyperlink r:id="rId14" w:history="1">
        <w:proofErr w:type="spellStart"/>
        <w:r w:rsidR="00EE1503" w:rsidRPr="00EE1503">
          <w:rPr>
            <w:rFonts w:ascii="Arial" w:eastAsia="Times New Roman" w:hAnsi="Arial" w:cs="Arial"/>
            <w:sz w:val="21"/>
            <w:szCs w:val="21"/>
            <w:lang w:eastAsia="en-GB"/>
          </w:rPr>
          <w:t>Awwal</w:t>
        </w:r>
        <w:proofErr w:type="spellEnd"/>
        <w:r w:rsidR="00EE1503" w:rsidRPr="00EE1503">
          <w:rPr>
            <w:rFonts w:ascii="Arial" w:eastAsia="Times New Roman" w:hAnsi="Arial" w:cs="Arial"/>
            <w:sz w:val="21"/>
            <w:szCs w:val="21"/>
            <w:lang w:eastAsia="en-GB"/>
          </w:rPr>
          <w:t xml:space="preserve"> Musa </w:t>
        </w:r>
        <w:proofErr w:type="spellStart"/>
        <w:r w:rsidR="00EE1503" w:rsidRPr="00EE1503">
          <w:rPr>
            <w:rFonts w:ascii="Arial" w:eastAsia="Times New Roman" w:hAnsi="Arial" w:cs="Arial"/>
            <w:sz w:val="21"/>
            <w:szCs w:val="21"/>
            <w:lang w:eastAsia="en-GB"/>
          </w:rPr>
          <w:t>Borodo</w:t>
        </w:r>
        <w:proofErr w:type="spellEnd"/>
      </w:hyperlink>
      <w:r w:rsidR="00EE1503" w:rsidRPr="00EE1503">
        <w:rPr>
          <w:rFonts w:ascii="Arial" w:eastAsia="Times New Roman" w:hAnsi="Arial" w:cs="Arial"/>
          <w:sz w:val="21"/>
          <w:szCs w:val="21"/>
          <w:lang w:eastAsia="en-GB"/>
        </w:rPr>
        <w:t> </w:t>
      </w:r>
    </w:p>
    <w:p w14:paraId="5802537C" w14:textId="77777777" w:rsidR="00EE1503" w:rsidRPr="00EE1503" w:rsidRDefault="00EE1503" w:rsidP="00EE1503">
      <w:pPr>
        <w:shd w:val="clear" w:color="auto" w:fill="FFFFFF"/>
        <w:spacing w:after="0" w:line="240" w:lineRule="auto"/>
        <w:rPr>
          <w:rFonts w:ascii="Arial" w:eastAsia="Times New Roman" w:hAnsi="Arial" w:cs="Arial"/>
          <w:sz w:val="21"/>
          <w:szCs w:val="21"/>
          <w:lang w:eastAsia="en-GB"/>
        </w:rPr>
      </w:pPr>
      <w:r w:rsidRPr="00EE1503">
        <w:rPr>
          <w:rFonts w:ascii="Arial" w:eastAsia="Times New Roman" w:hAnsi="Arial" w:cs="Arial"/>
          <w:sz w:val="21"/>
          <w:szCs w:val="21"/>
          <w:lang w:eastAsia="en-GB"/>
        </w:rPr>
        <w:t> </w:t>
      </w:r>
    </w:p>
    <w:p w14:paraId="6C4993A3" w14:textId="77777777" w:rsidR="00EE1503" w:rsidRPr="00EE1503" w:rsidRDefault="008A5B50" w:rsidP="00EE1503">
      <w:pPr>
        <w:shd w:val="clear" w:color="auto" w:fill="FFFFFF"/>
        <w:spacing w:after="0" w:line="240" w:lineRule="auto"/>
        <w:rPr>
          <w:rFonts w:ascii="Arial" w:eastAsia="Times New Roman" w:hAnsi="Arial" w:cs="Arial"/>
          <w:sz w:val="21"/>
          <w:szCs w:val="21"/>
          <w:lang w:eastAsia="en-GB"/>
        </w:rPr>
      </w:pPr>
      <w:hyperlink r:id="rId15" w:history="1">
        <w:r w:rsidR="00EE1503" w:rsidRPr="00EE1503">
          <w:rPr>
            <w:rFonts w:ascii="Arial" w:eastAsia="Times New Roman" w:hAnsi="Arial" w:cs="Arial"/>
            <w:sz w:val="21"/>
            <w:szCs w:val="21"/>
            <w:lang w:eastAsia="en-GB"/>
          </w:rPr>
          <w:t xml:space="preserve">Raymond </w:t>
        </w:r>
        <w:proofErr w:type="spellStart"/>
        <w:r w:rsidR="00EE1503" w:rsidRPr="00EE1503">
          <w:rPr>
            <w:rFonts w:ascii="Arial" w:eastAsia="Times New Roman" w:hAnsi="Arial" w:cs="Arial"/>
            <w:sz w:val="21"/>
            <w:szCs w:val="21"/>
            <w:lang w:eastAsia="en-GB"/>
          </w:rPr>
          <w:t>Belonwu</w:t>
        </w:r>
        <w:proofErr w:type="spellEnd"/>
      </w:hyperlink>
      <w:r w:rsidR="00EE1503" w:rsidRPr="00EE1503">
        <w:rPr>
          <w:rFonts w:ascii="Arial" w:eastAsia="Times New Roman" w:hAnsi="Arial" w:cs="Arial"/>
          <w:sz w:val="21"/>
          <w:szCs w:val="21"/>
          <w:lang w:eastAsia="en-GB"/>
        </w:rPr>
        <w:t> </w:t>
      </w:r>
    </w:p>
    <w:p w14:paraId="5DB1BB04" w14:textId="77777777" w:rsidR="00EE1503" w:rsidRPr="00EE1503" w:rsidRDefault="00EE1503" w:rsidP="00EE1503">
      <w:pPr>
        <w:shd w:val="clear" w:color="auto" w:fill="FFFFFF"/>
        <w:spacing w:after="0" w:line="240" w:lineRule="auto"/>
        <w:rPr>
          <w:rFonts w:ascii="Arial" w:eastAsia="Times New Roman" w:hAnsi="Arial" w:cs="Arial"/>
          <w:sz w:val="21"/>
          <w:szCs w:val="21"/>
          <w:lang w:eastAsia="en-GB"/>
        </w:rPr>
      </w:pPr>
      <w:r w:rsidRPr="00EE1503">
        <w:rPr>
          <w:rFonts w:ascii="Arial" w:eastAsia="Times New Roman" w:hAnsi="Arial" w:cs="Arial"/>
          <w:sz w:val="21"/>
          <w:szCs w:val="21"/>
          <w:lang w:eastAsia="en-GB"/>
        </w:rPr>
        <w:t> </w:t>
      </w:r>
    </w:p>
    <w:p w14:paraId="06606A63" w14:textId="77777777" w:rsidR="00EE1503" w:rsidRPr="00EE1503" w:rsidRDefault="008A5B50" w:rsidP="00EE1503">
      <w:pPr>
        <w:shd w:val="clear" w:color="auto" w:fill="FFFFFF"/>
        <w:spacing w:after="0" w:line="240" w:lineRule="auto"/>
        <w:rPr>
          <w:rFonts w:ascii="Arial" w:eastAsia="Times New Roman" w:hAnsi="Arial" w:cs="Arial"/>
          <w:sz w:val="21"/>
          <w:szCs w:val="21"/>
          <w:lang w:eastAsia="en-GB"/>
        </w:rPr>
      </w:pPr>
      <w:hyperlink r:id="rId16" w:history="1">
        <w:proofErr w:type="spellStart"/>
        <w:r w:rsidR="00EE1503" w:rsidRPr="00EE1503">
          <w:rPr>
            <w:rFonts w:ascii="Arial" w:eastAsia="Times New Roman" w:hAnsi="Arial" w:cs="Arial"/>
            <w:sz w:val="21"/>
            <w:szCs w:val="21"/>
            <w:lang w:eastAsia="en-GB"/>
          </w:rPr>
          <w:t>Auwal</w:t>
        </w:r>
        <w:proofErr w:type="spellEnd"/>
        <w:r w:rsidR="00EE1503" w:rsidRPr="00EE1503">
          <w:rPr>
            <w:rFonts w:ascii="Arial" w:eastAsia="Times New Roman" w:hAnsi="Arial" w:cs="Arial"/>
            <w:sz w:val="21"/>
            <w:szCs w:val="21"/>
            <w:lang w:eastAsia="en-GB"/>
          </w:rPr>
          <w:t xml:space="preserve"> S. </w:t>
        </w:r>
        <w:proofErr w:type="spellStart"/>
        <w:r w:rsidR="00EE1503" w:rsidRPr="00EE1503">
          <w:rPr>
            <w:rFonts w:ascii="Arial" w:eastAsia="Times New Roman" w:hAnsi="Arial" w:cs="Arial"/>
            <w:sz w:val="21"/>
            <w:szCs w:val="21"/>
            <w:lang w:eastAsia="en-GB"/>
          </w:rPr>
          <w:t>Salihu</w:t>
        </w:r>
        <w:proofErr w:type="spellEnd"/>
      </w:hyperlink>
      <w:r w:rsidR="00EE1503" w:rsidRPr="00EE1503">
        <w:rPr>
          <w:rFonts w:ascii="Arial" w:eastAsia="Times New Roman" w:hAnsi="Arial" w:cs="Arial"/>
          <w:sz w:val="21"/>
          <w:szCs w:val="21"/>
          <w:lang w:eastAsia="en-GB"/>
        </w:rPr>
        <w:t> </w:t>
      </w:r>
    </w:p>
    <w:p w14:paraId="3BDE1AF4" w14:textId="77777777" w:rsidR="00EE1503" w:rsidRPr="00EE1503" w:rsidRDefault="00EE1503" w:rsidP="00EE1503">
      <w:pPr>
        <w:shd w:val="clear" w:color="auto" w:fill="FFFFFF"/>
        <w:spacing w:after="0" w:line="240" w:lineRule="auto"/>
        <w:rPr>
          <w:rFonts w:ascii="Arial" w:eastAsia="Times New Roman" w:hAnsi="Arial" w:cs="Arial"/>
          <w:sz w:val="21"/>
          <w:szCs w:val="21"/>
          <w:lang w:eastAsia="en-GB"/>
        </w:rPr>
      </w:pPr>
      <w:r w:rsidRPr="00EE1503">
        <w:rPr>
          <w:rFonts w:ascii="Arial" w:eastAsia="Times New Roman" w:hAnsi="Arial" w:cs="Arial"/>
          <w:sz w:val="21"/>
          <w:szCs w:val="21"/>
          <w:lang w:eastAsia="en-GB"/>
        </w:rPr>
        <w:t> </w:t>
      </w:r>
    </w:p>
    <w:p w14:paraId="52BCC4F4" w14:textId="77777777" w:rsidR="00EE1503" w:rsidRPr="00EE1503" w:rsidRDefault="008A5B50" w:rsidP="00EE1503">
      <w:pPr>
        <w:shd w:val="clear" w:color="auto" w:fill="FFFFFF"/>
        <w:spacing w:after="0" w:line="240" w:lineRule="auto"/>
        <w:rPr>
          <w:rFonts w:ascii="Arial" w:eastAsia="Times New Roman" w:hAnsi="Arial" w:cs="Arial"/>
          <w:sz w:val="21"/>
          <w:szCs w:val="21"/>
          <w:lang w:eastAsia="en-GB"/>
        </w:rPr>
      </w:pPr>
      <w:hyperlink r:id="rId17" w:history="1">
        <w:r w:rsidR="00EE1503" w:rsidRPr="00EE1503">
          <w:rPr>
            <w:rFonts w:ascii="Arial" w:eastAsia="Times New Roman" w:hAnsi="Arial" w:cs="Arial"/>
            <w:sz w:val="21"/>
            <w:szCs w:val="21"/>
            <w:lang w:eastAsia="en-GB"/>
          </w:rPr>
          <w:t xml:space="preserve">Mark </w:t>
        </w:r>
        <w:proofErr w:type="spellStart"/>
        <w:r w:rsidR="00EE1503" w:rsidRPr="00EE1503">
          <w:rPr>
            <w:rFonts w:ascii="Arial" w:eastAsia="Times New Roman" w:hAnsi="Arial" w:cs="Arial"/>
            <w:sz w:val="21"/>
            <w:szCs w:val="21"/>
            <w:lang w:eastAsia="en-GB"/>
          </w:rPr>
          <w:t>Rodeghier</w:t>
        </w:r>
        <w:proofErr w:type="spellEnd"/>
      </w:hyperlink>
      <w:r w:rsidR="00EE1503" w:rsidRPr="00EE1503">
        <w:rPr>
          <w:rFonts w:ascii="Arial" w:eastAsia="Times New Roman" w:hAnsi="Arial" w:cs="Arial"/>
          <w:sz w:val="21"/>
          <w:szCs w:val="21"/>
          <w:lang w:eastAsia="en-GB"/>
        </w:rPr>
        <w:t> </w:t>
      </w:r>
    </w:p>
    <w:p w14:paraId="2EDC94F7" w14:textId="77777777" w:rsidR="00EE1503" w:rsidRPr="00EE1503" w:rsidRDefault="00EE1503" w:rsidP="00EE1503">
      <w:pPr>
        <w:shd w:val="clear" w:color="auto" w:fill="FFFFFF"/>
        <w:spacing w:after="0" w:line="240" w:lineRule="auto"/>
        <w:rPr>
          <w:rFonts w:ascii="Arial" w:eastAsia="Times New Roman" w:hAnsi="Arial" w:cs="Arial"/>
          <w:sz w:val="21"/>
          <w:szCs w:val="21"/>
          <w:lang w:eastAsia="en-GB"/>
        </w:rPr>
      </w:pPr>
      <w:r w:rsidRPr="00EE1503">
        <w:rPr>
          <w:rFonts w:ascii="Arial" w:eastAsia="Times New Roman" w:hAnsi="Arial" w:cs="Arial"/>
          <w:sz w:val="21"/>
          <w:szCs w:val="21"/>
          <w:lang w:eastAsia="en-GB"/>
        </w:rPr>
        <w:t> </w:t>
      </w:r>
    </w:p>
    <w:p w14:paraId="5F4B96C7" w14:textId="77777777" w:rsidR="00EE1503" w:rsidRPr="00EE1503" w:rsidRDefault="008A5B50" w:rsidP="00EE1503">
      <w:pPr>
        <w:shd w:val="clear" w:color="auto" w:fill="FFFFFF"/>
        <w:spacing w:after="0" w:line="240" w:lineRule="auto"/>
        <w:rPr>
          <w:rFonts w:ascii="Arial" w:eastAsia="Times New Roman" w:hAnsi="Arial" w:cs="Arial"/>
          <w:sz w:val="21"/>
          <w:szCs w:val="21"/>
          <w:lang w:eastAsia="en-GB"/>
        </w:rPr>
      </w:pPr>
      <w:hyperlink r:id="rId18" w:history="1">
        <w:proofErr w:type="spellStart"/>
        <w:r w:rsidR="00EE1503" w:rsidRPr="00EE1503">
          <w:rPr>
            <w:rFonts w:ascii="Arial" w:eastAsia="Times New Roman" w:hAnsi="Arial" w:cs="Arial"/>
            <w:sz w:val="21"/>
            <w:szCs w:val="21"/>
            <w:lang w:eastAsia="en-GB"/>
          </w:rPr>
          <w:t>Djamila</w:t>
        </w:r>
        <w:proofErr w:type="spellEnd"/>
        <w:r w:rsidR="00EE1503" w:rsidRPr="00EE1503">
          <w:rPr>
            <w:rFonts w:ascii="Arial" w:eastAsia="Times New Roman" w:hAnsi="Arial" w:cs="Arial"/>
            <w:sz w:val="21"/>
            <w:szCs w:val="21"/>
            <w:lang w:eastAsia="en-GB"/>
          </w:rPr>
          <w:t xml:space="preserve"> L. </w:t>
        </w:r>
        <w:proofErr w:type="spellStart"/>
        <w:r w:rsidR="00EE1503" w:rsidRPr="00EE1503">
          <w:rPr>
            <w:rFonts w:ascii="Arial" w:eastAsia="Times New Roman" w:hAnsi="Arial" w:cs="Arial"/>
            <w:sz w:val="21"/>
            <w:szCs w:val="21"/>
            <w:lang w:eastAsia="en-GB"/>
          </w:rPr>
          <w:t>Ghafuri</w:t>
        </w:r>
        <w:proofErr w:type="spellEnd"/>
      </w:hyperlink>
      <w:r w:rsidR="00EE1503" w:rsidRPr="00EE1503">
        <w:rPr>
          <w:rFonts w:ascii="Arial" w:eastAsia="Times New Roman" w:hAnsi="Arial" w:cs="Arial"/>
          <w:sz w:val="21"/>
          <w:szCs w:val="21"/>
          <w:lang w:eastAsia="en-GB"/>
        </w:rPr>
        <w:t> </w:t>
      </w:r>
    </w:p>
    <w:p w14:paraId="71E44255" w14:textId="77777777" w:rsidR="00EE1503" w:rsidRPr="00EE1503" w:rsidRDefault="00EE1503" w:rsidP="00EE1503">
      <w:pPr>
        <w:shd w:val="clear" w:color="auto" w:fill="FFFFFF"/>
        <w:spacing w:after="0" w:line="240" w:lineRule="auto"/>
        <w:rPr>
          <w:rFonts w:ascii="Arial" w:eastAsia="Times New Roman" w:hAnsi="Arial" w:cs="Arial"/>
          <w:sz w:val="21"/>
          <w:szCs w:val="21"/>
          <w:lang w:eastAsia="en-GB"/>
        </w:rPr>
      </w:pPr>
      <w:r w:rsidRPr="00EE1503">
        <w:rPr>
          <w:rFonts w:ascii="Arial" w:eastAsia="Times New Roman" w:hAnsi="Arial" w:cs="Arial"/>
          <w:sz w:val="21"/>
          <w:szCs w:val="21"/>
          <w:lang w:eastAsia="en-GB"/>
        </w:rPr>
        <w:t> </w:t>
      </w:r>
    </w:p>
    <w:p w14:paraId="5CD1A240" w14:textId="77777777" w:rsidR="00EE1503" w:rsidRPr="00EE1503" w:rsidRDefault="008A5B50" w:rsidP="00EE1503">
      <w:pPr>
        <w:shd w:val="clear" w:color="auto" w:fill="FFFFFF"/>
        <w:spacing w:after="0" w:line="240" w:lineRule="auto"/>
        <w:rPr>
          <w:rFonts w:ascii="Arial" w:eastAsia="Times New Roman" w:hAnsi="Arial" w:cs="Arial"/>
          <w:sz w:val="21"/>
          <w:szCs w:val="21"/>
          <w:lang w:eastAsia="en-GB"/>
        </w:rPr>
      </w:pPr>
      <w:hyperlink r:id="rId19" w:history="1">
        <w:r w:rsidR="00EE1503" w:rsidRPr="00EE1503">
          <w:rPr>
            <w:rFonts w:ascii="Arial" w:eastAsia="Times New Roman" w:hAnsi="Arial" w:cs="Arial"/>
            <w:sz w:val="21"/>
            <w:szCs w:val="21"/>
            <w:lang w:eastAsia="en-GB"/>
          </w:rPr>
          <w:t>Brittany V. Covert C Greene</w:t>
        </w:r>
      </w:hyperlink>
      <w:r w:rsidR="00EE1503" w:rsidRPr="00EE1503">
        <w:rPr>
          <w:rFonts w:ascii="Arial" w:eastAsia="Times New Roman" w:hAnsi="Arial" w:cs="Arial"/>
          <w:sz w:val="21"/>
          <w:szCs w:val="21"/>
          <w:lang w:eastAsia="en-GB"/>
        </w:rPr>
        <w:t> </w:t>
      </w:r>
    </w:p>
    <w:p w14:paraId="714A5653" w14:textId="77777777" w:rsidR="00EE1503" w:rsidRPr="00EE1503" w:rsidRDefault="00EE1503" w:rsidP="00EE1503">
      <w:pPr>
        <w:shd w:val="clear" w:color="auto" w:fill="FFFFFF"/>
        <w:spacing w:after="0" w:line="240" w:lineRule="auto"/>
        <w:rPr>
          <w:rFonts w:ascii="Arial" w:eastAsia="Times New Roman" w:hAnsi="Arial" w:cs="Arial"/>
          <w:sz w:val="21"/>
          <w:szCs w:val="21"/>
          <w:lang w:eastAsia="en-GB"/>
        </w:rPr>
      </w:pPr>
      <w:r w:rsidRPr="00EE1503">
        <w:rPr>
          <w:rFonts w:ascii="Arial" w:eastAsia="Times New Roman" w:hAnsi="Arial" w:cs="Arial"/>
          <w:sz w:val="21"/>
          <w:szCs w:val="21"/>
          <w:lang w:eastAsia="en-GB"/>
        </w:rPr>
        <w:t> </w:t>
      </w:r>
    </w:p>
    <w:p w14:paraId="4BDEAFA1" w14:textId="77777777" w:rsidR="00EE1503" w:rsidRPr="00EE1503" w:rsidRDefault="008A5B50" w:rsidP="00EE1503">
      <w:pPr>
        <w:shd w:val="clear" w:color="auto" w:fill="FFFFFF"/>
        <w:spacing w:after="0" w:line="240" w:lineRule="auto"/>
        <w:rPr>
          <w:rFonts w:ascii="Arial" w:eastAsia="Times New Roman" w:hAnsi="Arial" w:cs="Arial"/>
          <w:sz w:val="21"/>
          <w:szCs w:val="21"/>
          <w:lang w:eastAsia="en-GB"/>
        </w:rPr>
      </w:pPr>
      <w:hyperlink r:id="rId20" w:history="1">
        <w:r w:rsidR="00EE1503" w:rsidRPr="00EE1503">
          <w:rPr>
            <w:rFonts w:ascii="Arial" w:eastAsia="Times New Roman" w:hAnsi="Arial" w:cs="Arial"/>
            <w:sz w:val="21"/>
            <w:szCs w:val="21"/>
            <w:lang w:eastAsia="en-GB"/>
          </w:rPr>
          <w:t>Kathleen Neville</w:t>
        </w:r>
      </w:hyperlink>
      <w:r w:rsidR="00EE1503" w:rsidRPr="00EE1503">
        <w:rPr>
          <w:rFonts w:ascii="Arial" w:eastAsia="Times New Roman" w:hAnsi="Arial" w:cs="Arial"/>
          <w:sz w:val="21"/>
          <w:szCs w:val="21"/>
          <w:lang w:eastAsia="en-GB"/>
        </w:rPr>
        <w:t> </w:t>
      </w:r>
    </w:p>
    <w:p w14:paraId="39048888" w14:textId="77777777" w:rsidR="00EE1503" w:rsidRPr="00EE1503" w:rsidRDefault="00EE1503" w:rsidP="00EE1503">
      <w:pPr>
        <w:shd w:val="clear" w:color="auto" w:fill="FFFFFF"/>
        <w:spacing w:after="0" w:line="240" w:lineRule="auto"/>
        <w:rPr>
          <w:rFonts w:ascii="Arial" w:eastAsia="Times New Roman" w:hAnsi="Arial" w:cs="Arial"/>
          <w:sz w:val="21"/>
          <w:szCs w:val="21"/>
          <w:lang w:eastAsia="en-GB"/>
        </w:rPr>
      </w:pPr>
      <w:r w:rsidRPr="00EE1503">
        <w:rPr>
          <w:rFonts w:ascii="Arial" w:eastAsia="Times New Roman" w:hAnsi="Arial" w:cs="Arial"/>
          <w:sz w:val="21"/>
          <w:szCs w:val="21"/>
          <w:lang w:eastAsia="en-GB"/>
        </w:rPr>
        <w:t> </w:t>
      </w:r>
    </w:p>
    <w:p w14:paraId="7DF6A976" w14:textId="77777777" w:rsidR="00EE1503" w:rsidRPr="00EE1503" w:rsidRDefault="008A5B50" w:rsidP="00EE1503">
      <w:pPr>
        <w:shd w:val="clear" w:color="auto" w:fill="FFFFFF"/>
        <w:spacing w:after="0" w:line="240" w:lineRule="auto"/>
        <w:rPr>
          <w:rFonts w:ascii="Arial" w:eastAsia="Times New Roman" w:hAnsi="Arial" w:cs="Arial"/>
          <w:sz w:val="21"/>
          <w:szCs w:val="21"/>
          <w:lang w:eastAsia="en-GB"/>
        </w:rPr>
      </w:pPr>
      <w:hyperlink r:id="rId21" w:history="1">
        <w:proofErr w:type="spellStart"/>
        <w:r w:rsidR="00EE1503" w:rsidRPr="00EE1503">
          <w:rPr>
            <w:rFonts w:ascii="Arial" w:eastAsia="Times New Roman" w:hAnsi="Arial" w:cs="Arial"/>
            <w:sz w:val="21"/>
            <w:szCs w:val="21"/>
            <w:lang w:eastAsia="en-GB"/>
          </w:rPr>
          <w:t>Adetola</w:t>
        </w:r>
        <w:proofErr w:type="spellEnd"/>
        <w:r w:rsidR="00EE1503" w:rsidRPr="00EE1503">
          <w:rPr>
            <w:rFonts w:ascii="Arial" w:eastAsia="Times New Roman" w:hAnsi="Arial" w:cs="Arial"/>
            <w:sz w:val="21"/>
            <w:szCs w:val="21"/>
            <w:lang w:eastAsia="en-GB"/>
          </w:rPr>
          <w:t xml:space="preserve"> A. </w:t>
        </w:r>
        <w:proofErr w:type="spellStart"/>
        <w:r w:rsidR="00EE1503" w:rsidRPr="00EE1503">
          <w:rPr>
            <w:rFonts w:ascii="Arial" w:eastAsia="Times New Roman" w:hAnsi="Arial" w:cs="Arial"/>
            <w:sz w:val="21"/>
            <w:szCs w:val="21"/>
            <w:lang w:eastAsia="en-GB"/>
          </w:rPr>
          <w:t>Kassim</w:t>
        </w:r>
        <w:proofErr w:type="spellEnd"/>
      </w:hyperlink>
      <w:r w:rsidR="00EE1503" w:rsidRPr="00EE1503">
        <w:rPr>
          <w:rFonts w:ascii="Arial" w:eastAsia="Times New Roman" w:hAnsi="Arial" w:cs="Arial"/>
          <w:sz w:val="21"/>
          <w:szCs w:val="21"/>
          <w:lang w:eastAsia="en-GB"/>
        </w:rPr>
        <w:t> </w:t>
      </w:r>
    </w:p>
    <w:p w14:paraId="7AD00ED2" w14:textId="77777777" w:rsidR="00EE1503" w:rsidRPr="00EE1503" w:rsidRDefault="00EE1503" w:rsidP="00EE1503">
      <w:pPr>
        <w:shd w:val="clear" w:color="auto" w:fill="FFFFFF"/>
        <w:spacing w:after="0" w:line="240" w:lineRule="auto"/>
        <w:rPr>
          <w:rFonts w:ascii="Arial" w:eastAsia="Times New Roman" w:hAnsi="Arial" w:cs="Arial"/>
          <w:sz w:val="21"/>
          <w:szCs w:val="21"/>
          <w:lang w:eastAsia="en-GB"/>
        </w:rPr>
      </w:pPr>
      <w:r w:rsidRPr="00EE1503">
        <w:rPr>
          <w:rFonts w:ascii="Arial" w:eastAsia="Times New Roman" w:hAnsi="Arial" w:cs="Arial"/>
          <w:sz w:val="21"/>
          <w:szCs w:val="21"/>
          <w:lang w:eastAsia="en-GB"/>
        </w:rPr>
        <w:t> </w:t>
      </w:r>
    </w:p>
    <w:p w14:paraId="1AD59157" w14:textId="77777777" w:rsidR="00EE1503" w:rsidRPr="00EE1503" w:rsidRDefault="008A5B50" w:rsidP="00EE1503">
      <w:pPr>
        <w:shd w:val="clear" w:color="auto" w:fill="FFFFFF"/>
        <w:spacing w:after="0" w:line="240" w:lineRule="auto"/>
        <w:rPr>
          <w:rFonts w:ascii="Arial" w:eastAsia="Times New Roman" w:hAnsi="Arial" w:cs="Arial"/>
          <w:sz w:val="21"/>
          <w:szCs w:val="21"/>
          <w:lang w:eastAsia="en-GB"/>
        </w:rPr>
      </w:pPr>
      <w:hyperlink r:id="rId22" w:history="1">
        <w:r w:rsidR="00EE1503" w:rsidRPr="00EE1503">
          <w:rPr>
            <w:rFonts w:ascii="Arial" w:eastAsia="Times New Roman" w:hAnsi="Arial" w:cs="Arial"/>
            <w:sz w:val="21"/>
            <w:szCs w:val="21"/>
            <w:lang w:eastAsia="en-GB"/>
          </w:rPr>
          <w:t>Fenella J. Kirkham</w:t>
        </w:r>
      </w:hyperlink>
      <w:r w:rsidR="00EE1503" w:rsidRPr="00EE1503">
        <w:rPr>
          <w:rFonts w:ascii="Arial" w:eastAsia="Times New Roman" w:hAnsi="Arial" w:cs="Arial"/>
          <w:sz w:val="21"/>
          <w:szCs w:val="21"/>
          <w:lang w:eastAsia="en-GB"/>
        </w:rPr>
        <w:t> </w:t>
      </w:r>
    </w:p>
    <w:p w14:paraId="0E35849C" w14:textId="77777777" w:rsidR="00EE1503" w:rsidRPr="00EE1503" w:rsidRDefault="00EE1503" w:rsidP="00EE1503">
      <w:pPr>
        <w:shd w:val="clear" w:color="auto" w:fill="FFFFFF"/>
        <w:spacing w:after="0" w:line="240" w:lineRule="auto"/>
        <w:rPr>
          <w:rFonts w:ascii="Arial" w:eastAsia="Times New Roman" w:hAnsi="Arial" w:cs="Arial"/>
          <w:sz w:val="21"/>
          <w:szCs w:val="21"/>
          <w:lang w:eastAsia="en-GB"/>
        </w:rPr>
      </w:pPr>
      <w:r w:rsidRPr="00EE1503">
        <w:rPr>
          <w:rFonts w:ascii="Arial" w:eastAsia="Times New Roman" w:hAnsi="Arial" w:cs="Arial"/>
          <w:sz w:val="21"/>
          <w:szCs w:val="21"/>
          <w:lang w:eastAsia="en-GB"/>
        </w:rPr>
        <w:t> </w:t>
      </w:r>
    </w:p>
    <w:p w14:paraId="362D0B85" w14:textId="77777777" w:rsidR="00EE1503" w:rsidRPr="00EE1503" w:rsidRDefault="008A5B50" w:rsidP="00EE1503">
      <w:pPr>
        <w:shd w:val="clear" w:color="auto" w:fill="FFFFFF"/>
        <w:spacing w:after="0" w:line="240" w:lineRule="auto"/>
        <w:rPr>
          <w:rFonts w:ascii="Arial" w:eastAsia="Times New Roman" w:hAnsi="Arial" w:cs="Arial"/>
          <w:sz w:val="21"/>
          <w:szCs w:val="21"/>
          <w:lang w:eastAsia="en-GB"/>
        </w:rPr>
      </w:pPr>
      <w:hyperlink r:id="rId23" w:history="1">
        <w:r w:rsidR="00EE1503" w:rsidRPr="00EE1503">
          <w:rPr>
            <w:rFonts w:ascii="Arial" w:eastAsia="Times New Roman" w:hAnsi="Arial" w:cs="Arial"/>
            <w:sz w:val="21"/>
            <w:szCs w:val="21"/>
            <w:lang w:eastAsia="en-GB"/>
          </w:rPr>
          <w:t>Lori C. Jordan</w:t>
        </w:r>
      </w:hyperlink>
      <w:r w:rsidR="00EE1503" w:rsidRPr="00EE1503">
        <w:rPr>
          <w:rFonts w:ascii="Arial" w:eastAsia="Times New Roman" w:hAnsi="Arial" w:cs="Arial"/>
          <w:sz w:val="21"/>
          <w:szCs w:val="21"/>
          <w:lang w:eastAsia="en-GB"/>
        </w:rPr>
        <w:t> </w:t>
      </w:r>
    </w:p>
    <w:p w14:paraId="791FC5A7" w14:textId="77777777" w:rsidR="00EE1503" w:rsidRPr="00EE1503" w:rsidRDefault="00EE1503" w:rsidP="00EE1503">
      <w:pPr>
        <w:shd w:val="clear" w:color="auto" w:fill="FFFFFF"/>
        <w:spacing w:after="0" w:line="240" w:lineRule="auto"/>
        <w:rPr>
          <w:rFonts w:ascii="Arial" w:eastAsia="Times New Roman" w:hAnsi="Arial" w:cs="Arial"/>
          <w:sz w:val="21"/>
          <w:szCs w:val="21"/>
          <w:lang w:eastAsia="en-GB"/>
        </w:rPr>
      </w:pPr>
      <w:r w:rsidRPr="00EE1503">
        <w:rPr>
          <w:rFonts w:ascii="Arial" w:eastAsia="Times New Roman" w:hAnsi="Arial" w:cs="Arial"/>
          <w:sz w:val="21"/>
          <w:szCs w:val="21"/>
          <w:lang w:eastAsia="en-GB"/>
        </w:rPr>
        <w:t> </w:t>
      </w:r>
    </w:p>
    <w:p w14:paraId="52EE9DCA" w14:textId="77777777" w:rsidR="00EE1503" w:rsidRPr="00EE1503" w:rsidRDefault="008A5B50" w:rsidP="00EE1503">
      <w:pPr>
        <w:shd w:val="clear" w:color="auto" w:fill="FFFFFF"/>
        <w:spacing w:after="0" w:line="240" w:lineRule="auto"/>
        <w:rPr>
          <w:rFonts w:ascii="Arial" w:eastAsia="Times New Roman" w:hAnsi="Arial" w:cs="Arial"/>
          <w:sz w:val="21"/>
          <w:szCs w:val="21"/>
          <w:lang w:eastAsia="en-GB"/>
        </w:rPr>
      </w:pPr>
      <w:hyperlink r:id="rId24" w:history="1">
        <w:proofErr w:type="spellStart"/>
        <w:r w:rsidR="00EE1503" w:rsidRPr="00EE1503">
          <w:rPr>
            <w:rFonts w:ascii="Arial" w:eastAsia="Times New Roman" w:hAnsi="Arial" w:cs="Arial"/>
            <w:sz w:val="21"/>
            <w:szCs w:val="21"/>
            <w:lang w:eastAsia="en-GB"/>
          </w:rPr>
          <w:t>Muktar</w:t>
        </w:r>
        <w:proofErr w:type="spellEnd"/>
        <w:r w:rsidR="00EE1503" w:rsidRPr="00EE1503">
          <w:rPr>
            <w:rFonts w:ascii="Arial" w:eastAsia="Times New Roman" w:hAnsi="Arial" w:cs="Arial"/>
            <w:sz w:val="21"/>
            <w:szCs w:val="21"/>
            <w:lang w:eastAsia="en-GB"/>
          </w:rPr>
          <w:t xml:space="preserve"> H. Aliyu</w:t>
        </w:r>
      </w:hyperlink>
      <w:r w:rsidR="00EE1503" w:rsidRPr="00EE1503">
        <w:rPr>
          <w:rFonts w:ascii="Arial" w:eastAsia="Times New Roman" w:hAnsi="Arial" w:cs="Arial"/>
          <w:sz w:val="21"/>
          <w:szCs w:val="21"/>
          <w:lang w:eastAsia="en-GB"/>
        </w:rPr>
        <w:t> </w:t>
      </w:r>
    </w:p>
    <w:p w14:paraId="27282D9E" w14:textId="77777777" w:rsidR="00EE1503" w:rsidRPr="00EE1503" w:rsidRDefault="00EE1503" w:rsidP="00EE1503">
      <w:pPr>
        <w:shd w:val="clear" w:color="auto" w:fill="FFFFFF"/>
        <w:spacing w:after="0" w:line="240" w:lineRule="auto"/>
        <w:rPr>
          <w:rFonts w:ascii="Arial" w:eastAsia="Times New Roman" w:hAnsi="Arial" w:cs="Arial"/>
          <w:sz w:val="21"/>
          <w:szCs w:val="21"/>
          <w:lang w:eastAsia="en-GB"/>
        </w:rPr>
      </w:pPr>
      <w:r w:rsidRPr="00EE1503">
        <w:rPr>
          <w:rFonts w:ascii="Arial" w:eastAsia="Times New Roman" w:hAnsi="Arial" w:cs="Arial"/>
          <w:sz w:val="21"/>
          <w:szCs w:val="21"/>
          <w:lang w:eastAsia="en-GB"/>
        </w:rPr>
        <w:t> </w:t>
      </w:r>
    </w:p>
    <w:p w14:paraId="4B6ADB11" w14:textId="77777777" w:rsidR="00EE1503" w:rsidRPr="00EE1503" w:rsidRDefault="008A5B50" w:rsidP="00EE1503">
      <w:pPr>
        <w:shd w:val="clear" w:color="auto" w:fill="FFFFFF"/>
        <w:spacing w:line="240" w:lineRule="auto"/>
        <w:rPr>
          <w:rFonts w:ascii="Arial" w:eastAsia="Times New Roman" w:hAnsi="Arial" w:cs="Arial"/>
          <w:sz w:val="21"/>
          <w:szCs w:val="21"/>
          <w:lang w:eastAsia="en-GB"/>
        </w:rPr>
      </w:pPr>
      <w:hyperlink r:id="rId25" w:history="1">
        <w:r w:rsidR="00EE1503" w:rsidRPr="00EE1503">
          <w:rPr>
            <w:rFonts w:ascii="Arial" w:eastAsia="Times New Roman" w:hAnsi="Arial" w:cs="Arial"/>
            <w:sz w:val="21"/>
            <w:szCs w:val="21"/>
            <w:lang w:eastAsia="en-GB"/>
          </w:rPr>
          <w:t>Michael R. DeBaun</w:t>
        </w:r>
      </w:hyperlink>
    </w:p>
    <w:p w14:paraId="5D62FEC1" w14:textId="4AE706F8" w:rsidR="00EE1503" w:rsidRPr="00EE1503" w:rsidRDefault="00EE1503" w:rsidP="00EE1503">
      <w:pPr>
        <w:shd w:val="clear" w:color="auto" w:fill="FFFFFF"/>
        <w:spacing w:after="0" w:line="240" w:lineRule="auto"/>
        <w:rPr>
          <w:rFonts w:ascii="Arial" w:eastAsia="Times New Roman" w:hAnsi="Arial" w:cs="Arial"/>
          <w:color w:val="767676"/>
          <w:sz w:val="21"/>
          <w:szCs w:val="21"/>
          <w:lang w:eastAsia="en-GB"/>
        </w:rPr>
      </w:pPr>
    </w:p>
    <w:p w14:paraId="1928A6CE" w14:textId="2F8AABE7" w:rsidR="00EE1503" w:rsidRPr="00EE1503" w:rsidRDefault="00EE1503" w:rsidP="00EE1503">
      <w:pPr>
        <w:shd w:val="clear" w:color="auto" w:fill="FFFFFF"/>
        <w:spacing w:after="0" w:line="240" w:lineRule="auto"/>
        <w:rPr>
          <w:rFonts w:ascii="Arial" w:eastAsia="Times New Roman" w:hAnsi="Arial" w:cs="Arial"/>
          <w:color w:val="767676"/>
          <w:sz w:val="21"/>
          <w:szCs w:val="21"/>
          <w:lang w:eastAsia="en-GB"/>
        </w:rPr>
      </w:pPr>
      <w:r w:rsidRPr="00EE1503">
        <w:rPr>
          <w:rFonts w:ascii="Arial" w:eastAsia="Times New Roman" w:hAnsi="Arial" w:cs="Arial"/>
          <w:color w:val="767676"/>
          <w:sz w:val="21"/>
          <w:szCs w:val="21"/>
          <w:lang w:eastAsia="en-GB"/>
        </w:rPr>
        <w:t> </w:t>
      </w:r>
    </w:p>
    <w:p w14:paraId="0EE050F0" w14:textId="77777777" w:rsidR="00EE1503" w:rsidRPr="00EE1503" w:rsidRDefault="00EE1503" w:rsidP="00EE1503">
      <w:pPr>
        <w:shd w:val="clear" w:color="auto" w:fill="FFFFFF"/>
        <w:spacing w:line="240" w:lineRule="auto"/>
        <w:rPr>
          <w:rFonts w:ascii="Arial" w:eastAsia="Times New Roman" w:hAnsi="Arial" w:cs="Arial"/>
          <w:color w:val="767676"/>
          <w:sz w:val="21"/>
          <w:szCs w:val="21"/>
          <w:lang w:eastAsia="en-GB"/>
        </w:rPr>
      </w:pPr>
      <w:r w:rsidRPr="00EE1503">
        <w:rPr>
          <w:rFonts w:ascii="Arial" w:eastAsia="Times New Roman" w:hAnsi="Arial" w:cs="Arial"/>
          <w:b/>
          <w:bCs/>
          <w:color w:val="767676"/>
          <w:sz w:val="21"/>
          <w:szCs w:val="21"/>
          <w:lang w:eastAsia="en-GB"/>
        </w:rPr>
        <w:t>Funding information: </w:t>
      </w:r>
      <w:r w:rsidRPr="00EE1503">
        <w:rPr>
          <w:rFonts w:ascii="Arial" w:eastAsia="Times New Roman" w:hAnsi="Arial" w:cs="Arial"/>
          <w:color w:val="767676"/>
          <w:sz w:val="21"/>
          <w:szCs w:val="21"/>
          <w:lang w:eastAsia="en-GB"/>
        </w:rPr>
        <w:t>Afolabi Family Donation; National Institutes of Health/National Institute of Neurological Disorder and Stroke, Grant/Award Number: 1R01NS094041; Phillips Family Donation</w:t>
      </w:r>
    </w:p>
    <w:p w14:paraId="573FC846" w14:textId="77777777" w:rsidR="00EE1503" w:rsidRPr="00EE1503" w:rsidRDefault="00EE1503" w:rsidP="00EE1503">
      <w:pPr>
        <w:shd w:val="clear" w:color="auto" w:fill="FFFFFF"/>
        <w:spacing w:after="240" w:line="360" w:lineRule="atLeast"/>
        <w:rPr>
          <w:rFonts w:ascii="Arial" w:eastAsia="Times New Roman" w:hAnsi="Arial" w:cs="Arial"/>
          <w:color w:val="1C1D1E"/>
          <w:sz w:val="21"/>
          <w:szCs w:val="21"/>
          <w:lang w:eastAsia="en-GB"/>
        </w:rPr>
      </w:pPr>
      <w:r w:rsidRPr="00EE1503">
        <w:rPr>
          <w:rFonts w:ascii="Arial" w:eastAsia="Times New Roman" w:hAnsi="Arial" w:cs="Arial"/>
          <w:color w:val="1C1D1E"/>
          <w:sz w:val="21"/>
          <w:szCs w:val="21"/>
          <w:lang w:eastAsia="en-GB"/>
        </w:rPr>
        <w:lastRenderedPageBreak/>
        <w:t>To the Editor:</w:t>
      </w:r>
    </w:p>
    <w:p w14:paraId="44F31440" w14:textId="77777777" w:rsidR="00EE1503" w:rsidRPr="00EE1503" w:rsidRDefault="00EE1503" w:rsidP="00EE1503">
      <w:pPr>
        <w:shd w:val="clear" w:color="auto" w:fill="FFFFFF"/>
        <w:spacing w:before="75" w:after="240" w:line="360" w:lineRule="atLeast"/>
        <w:rPr>
          <w:rFonts w:ascii="Arial" w:eastAsia="Times New Roman" w:hAnsi="Arial" w:cs="Arial"/>
          <w:color w:val="1C1D1E"/>
          <w:sz w:val="21"/>
          <w:szCs w:val="21"/>
          <w:lang w:eastAsia="en-GB"/>
        </w:rPr>
      </w:pPr>
      <w:r w:rsidRPr="00EE1503">
        <w:rPr>
          <w:rFonts w:ascii="Arial" w:eastAsia="Times New Roman" w:hAnsi="Arial" w:cs="Arial"/>
          <w:color w:val="1C1D1E"/>
          <w:sz w:val="21"/>
          <w:szCs w:val="21"/>
          <w:lang w:eastAsia="en-GB"/>
        </w:rPr>
        <w:t xml:space="preserve">In children with sickle cell </w:t>
      </w:r>
      <w:proofErr w:type="spellStart"/>
      <w:r w:rsidRPr="00EE1503">
        <w:rPr>
          <w:rFonts w:ascii="Arial" w:eastAsia="Times New Roman" w:hAnsi="Arial" w:cs="Arial"/>
          <w:color w:val="1C1D1E"/>
          <w:sz w:val="21"/>
          <w:szCs w:val="21"/>
          <w:lang w:eastAsia="en-GB"/>
        </w:rPr>
        <w:t>anemia</w:t>
      </w:r>
      <w:proofErr w:type="spellEnd"/>
      <w:r w:rsidRPr="00EE1503">
        <w:rPr>
          <w:rFonts w:ascii="Arial" w:eastAsia="Times New Roman" w:hAnsi="Arial" w:cs="Arial"/>
          <w:color w:val="1C1D1E"/>
          <w:sz w:val="21"/>
          <w:szCs w:val="21"/>
          <w:lang w:eastAsia="en-GB"/>
        </w:rPr>
        <w:t xml:space="preserve"> (SCA) living in high</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income settings, the routine use of transcranial Doppler (TCD) measurements, coupled with monthly blood transfusion therapy for children with abnormal velocities (≥200 cm/s, non</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imaging), resulted in a 92% relative risk reduction in strokes when compared to no treatment.</w:t>
      </w:r>
      <w:hyperlink r:id="rId26" w:anchor="ajh25900-bib-0001" w:history="1">
        <w:r w:rsidRPr="00EE1503">
          <w:rPr>
            <w:rFonts w:ascii="Arial" w:eastAsia="Times New Roman" w:hAnsi="Arial" w:cs="Arial"/>
            <w:color w:val="000000"/>
            <w:sz w:val="18"/>
            <w:szCs w:val="18"/>
            <w:u w:val="single"/>
            <w:vertAlign w:val="superscript"/>
            <w:lang w:eastAsia="en-GB"/>
          </w:rPr>
          <w:t>1</w:t>
        </w:r>
      </w:hyperlink>
      <w:r w:rsidRPr="00EE1503">
        <w:rPr>
          <w:rFonts w:ascii="Arial" w:eastAsia="Times New Roman" w:hAnsi="Arial" w:cs="Arial"/>
          <w:color w:val="1C1D1E"/>
          <w:sz w:val="21"/>
          <w:szCs w:val="21"/>
          <w:lang w:eastAsia="en-GB"/>
        </w:rPr>
        <w:t> More recently, the TWITCH Trial demonstrated that children with abnormal TCD measurements and no evidence of magnetic resonance angiography</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defined cerebral vasculopathy, after 1 year of initial regular blood transfusion therapy, could be transitioned to hydroxyurea therapy at the maximum tolerated dose.</w:t>
      </w:r>
      <w:hyperlink r:id="rId27" w:anchor="ajh25900-bib-0002" w:history="1">
        <w:r w:rsidRPr="00EE1503">
          <w:rPr>
            <w:rFonts w:ascii="Arial" w:eastAsia="Times New Roman" w:hAnsi="Arial" w:cs="Arial"/>
            <w:color w:val="000000"/>
            <w:sz w:val="18"/>
            <w:szCs w:val="18"/>
            <w:u w:val="single"/>
            <w:vertAlign w:val="superscript"/>
            <w:lang w:eastAsia="en-GB"/>
          </w:rPr>
          <w:t>2</w:t>
        </w:r>
      </w:hyperlink>
      <w:r w:rsidRPr="00EE1503">
        <w:rPr>
          <w:rFonts w:ascii="Arial" w:eastAsia="Times New Roman" w:hAnsi="Arial" w:cs="Arial"/>
          <w:color w:val="1C1D1E"/>
          <w:sz w:val="21"/>
          <w:szCs w:val="21"/>
          <w:lang w:eastAsia="en-GB"/>
        </w:rPr>
        <w:t> However, initial regular blood transfusion therapy for primary stroke prevention is not feasible for the vast majority of the children with SCA living in low</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 xml:space="preserve"> and middle</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income settings.</w:t>
      </w:r>
      <w:hyperlink r:id="rId28" w:anchor="ajh25900-bib-0003" w:history="1">
        <w:r w:rsidRPr="00EE1503">
          <w:rPr>
            <w:rFonts w:ascii="Arial" w:eastAsia="Times New Roman" w:hAnsi="Arial" w:cs="Arial"/>
            <w:color w:val="000000"/>
            <w:sz w:val="18"/>
            <w:szCs w:val="18"/>
            <w:u w:val="single"/>
            <w:vertAlign w:val="superscript"/>
            <w:lang w:eastAsia="en-GB"/>
          </w:rPr>
          <w:t>3</w:t>
        </w:r>
      </w:hyperlink>
      <w:r w:rsidRPr="00EE1503">
        <w:rPr>
          <w:rFonts w:ascii="Arial" w:eastAsia="Times New Roman" w:hAnsi="Arial" w:cs="Arial"/>
          <w:color w:val="1C1D1E"/>
          <w:sz w:val="21"/>
          <w:szCs w:val="21"/>
          <w:lang w:eastAsia="en-GB"/>
        </w:rPr>
        <w:t> Furthermore, limited data are available to determine whether initial treatment with hydroxyurea rather than blood transfusion therapy is a durable therapy for primary stroke prevention.</w:t>
      </w:r>
    </w:p>
    <w:p w14:paraId="3C5CA787" w14:textId="77777777" w:rsidR="00EE1503" w:rsidRPr="00EE1503" w:rsidRDefault="00EE1503" w:rsidP="00EE1503">
      <w:pPr>
        <w:shd w:val="clear" w:color="auto" w:fill="FFFFFF"/>
        <w:spacing w:before="75" w:after="240" w:line="360" w:lineRule="atLeast"/>
        <w:rPr>
          <w:rFonts w:ascii="Arial" w:eastAsia="Times New Roman" w:hAnsi="Arial" w:cs="Arial"/>
          <w:color w:val="1C1D1E"/>
          <w:sz w:val="21"/>
          <w:szCs w:val="21"/>
          <w:lang w:eastAsia="en-GB"/>
        </w:rPr>
      </w:pPr>
      <w:r w:rsidRPr="00EE1503">
        <w:rPr>
          <w:rFonts w:ascii="Arial" w:eastAsia="Times New Roman" w:hAnsi="Arial" w:cs="Arial"/>
          <w:color w:val="1C1D1E"/>
          <w:sz w:val="21"/>
          <w:szCs w:val="21"/>
          <w:lang w:eastAsia="en-GB"/>
        </w:rPr>
        <w:t>To address this gap in knowledge for preventing strokes in children with SCA living in Africa, we tested the hypothesis that moderate fixed</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dose hydroxyurea (~20 mg/kg/d) for primary stroke prevention was feasible in a low</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income setting (Kano, Nigeria). We previously demonstrated in the Stroke Prevention in Nigeria (SPIN) Trial (NCT01801423) that hydroxyurea was acceptable and safe for children with SCA and abnormal TCD measurements.</w:t>
      </w:r>
      <w:hyperlink r:id="rId29" w:anchor="ajh25900-bib-0004" w:history="1">
        <w:r w:rsidRPr="00EE1503">
          <w:rPr>
            <w:rFonts w:ascii="Arial" w:eastAsia="Times New Roman" w:hAnsi="Arial" w:cs="Arial"/>
            <w:color w:val="000000"/>
            <w:sz w:val="18"/>
            <w:szCs w:val="18"/>
            <w:u w:val="single"/>
            <w:vertAlign w:val="superscript"/>
            <w:lang w:eastAsia="en-GB"/>
          </w:rPr>
          <w:t>4</w:t>
        </w:r>
      </w:hyperlink>
      <w:r w:rsidRPr="00EE1503">
        <w:rPr>
          <w:rFonts w:ascii="Arial" w:eastAsia="Times New Roman" w:hAnsi="Arial" w:cs="Arial"/>
          <w:color w:val="1C1D1E"/>
          <w:sz w:val="21"/>
          <w:szCs w:val="21"/>
          <w:lang w:eastAsia="en-GB"/>
        </w:rPr>
        <w:t> We have extended the feasibility trial for approximately 5 years to test the hypotheses that moderate fixed</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dose hydroxyurea will: (a) not result in an excess incidence rate of serious adverse events (death or stroke) when compared to a group of children with SCA and TCD measurements &lt;200 cm/s not receiving hydroxyurea; (b) be comparable to the stroke incidence rate in children with abnormal TCD measurements in the STOP Trial that were initially and only treated with regular blood transfusion therapy.</w:t>
      </w:r>
      <w:hyperlink r:id="rId30" w:anchor="ajh25900-bib-0001" w:history="1">
        <w:r w:rsidRPr="00EE1503">
          <w:rPr>
            <w:rFonts w:ascii="Arial" w:eastAsia="Times New Roman" w:hAnsi="Arial" w:cs="Arial"/>
            <w:color w:val="000000"/>
            <w:sz w:val="18"/>
            <w:szCs w:val="18"/>
            <w:u w:val="single"/>
            <w:vertAlign w:val="superscript"/>
            <w:lang w:eastAsia="en-GB"/>
          </w:rPr>
          <w:t>1</w:t>
        </w:r>
      </w:hyperlink>
      <w:r w:rsidRPr="00EE1503">
        <w:rPr>
          <w:rFonts w:ascii="Arial" w:eastAsia="Times New Roman" w:hAnsi="Arial" w:cs="Arial"/>
          <w:color w:val="1C1D1E"/>
          <w:sz w:val="21"/>
          <w:szCs w:val="21"/>
          <w:lang w:eastAsia="en-GB"/>
        </w:rPr>
        <w:t> We report the final results of the SPIN Trial.</w:t>
      </w:r>
    </w:p>
    <w:p w14:paraId="4993BC6F" w14:textId="77777777" w:rsidR="00EE1503" w:rsidRPr="00EE1503" w:rsidRDefault="00EE1503" w:rsidP="00EE1503">
      <w:pPr>
        <w:shd w:val="clear" w:color="auto" w:fill="FFFFFF"/>
        <w:spacing w:before="75" w:after="240" w:line="360" w:lineRule="atLeast"/>
        <w:rPr>
          <w:rFonts w:ascii="Arial" w:eastAsia="Times New Roman" w:hAnsi="Arial" w:cs="Arial"/>
          <w:color w:val="1C1D1E"/>
          <w:sz w:val="21"/>
          <w:szCs w:val="21"/>
          <w:lang w:eastAsia="en-GB"/>
        </w:rPr>
      </w:pPr>
      <w:r w:rsidRPr="00EE1503">
        <w:rPr>
          <w:rFonts w:ascii="Arial" w:eastAsia="Times New Roman" w:hAnsi="Arial" w:cs="Arial"/>
          <w:color w:val="1C1D1E"/>
          <w:sz w:val="21"/>
          <w:szCs w:val="21"/>
          <w:lang w:eastAsia="en-GB"/>
        </w:rPr>
        <w:t>At trial entry, eligible participants were screened with the TCD non</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imaging technique to determine increased stroke risk, defined as two independent measurements of time</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averaged mean maximum velocity (TAMMV) of ≥200 cm/s or one measurement of ≥220 cm/s in the middle cerebral artery (MCA). Families of children with abnormal TCDs were offered regular blood transfusion therapy as standard care. If families refused regular blood transfusion, moderate fixed</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 xml:space="preserve">dose hydroxyurea (~20 mg/kg/d) was offered via the SPIN trial; children were evaluated monthly with surveillance complete blood counts (CBCs). To primarily address whether hydroxyurea was associated with an increased incidence of death when compared to children with SCA in the same age group not treated with hydroxyurea, we included a comparison group of children with SCA who were screened and had a TCD measurement of &lt;200 cm/s and who agreed to be followed as part of routine care. Malaria prophylaxis and penicillin prophylaxis were prescribed to all participants as standard care. Serious adverse events including death or stroke </w:t>
      </w:r>
      <w:r w:rsidRPr="00EE1503">
        <w:rPr>
          <w:rFonts w:ascii="Arial" w:eastAsia="Times New Roman" w:hAnsi="Arial" w:cs="Arial"/>
          <w:color w:val="1C1D1E"/>
          <w:sz w:val="21"/>
          <w:szCs w:val="21"/>
          <w:lang w:eastAsia="en-GB"/>
        </w:rPr>
        <w:lastRenderedPageBreak/>
        <w:t>in the treatment and comparison groups, based on the World Health Organization criteria,</w:t>
      </w:r>
      <w:hyperlink r:id="rId31" w:anchor="ajh25900-bib-0005" w:history="1">
        <w:r w:rsidRPr="00EE1503">
          <w:rPr>
            <w:rFonts w:ascii="Arial" w:eastAsia="Times New Roman" w:hAnsi="Arial" w:cs="Arial"/>
            <w:color w:val="000000"/>
            <w:sz w:val="18"/>
            <w:szCs w:val="18"/>
            <w:u w:val="single"/>
            <w:vertAlign w:val="superscript"/>
            <w:lang w:eastAsia="en-GB"/>
          </w:rPr>
          <w:t>5</w:t>
        </w:r>
      </w:hyperlink>
      <w:r w:rsidRPr="00EE1503">
        <w:rPr>
          <w:rFonts w:ascii="Arial" w:eastAsia="Times New Roman" w:hAnsi="Arial" w:cs="Arial"/>
          <w:color w:val="1C1D1E"/>
          <w:sz w:val="21"/>
          <w:szCs w:val="21"/>
          <w:lang w:eastAsia="en-GB"/>
        </w:rPr>
        <w:t> were recorded and compared.</w:t>
      </w:r>
    </w:p>
    <w:p w14:paraId="43B0D8B9" w14:textId="77777777" w:rsidR="00EE1503" w:rsidRPr="00EE1503" w:rsidRDefault="00EE1503" w:rsidP="00EE1503">
      <w:pPr>
        <w:shd w:val="clear" w:color="auto" w:fill="FFFFFF"/>
        <w:spacing w:before="75" w:after="240" w:line="360" w:lineRule="atLeast"/>
        <w:rPr>
          <w:rFonts w:ascii="Arial" w:eastAsia="Times New Roman" w:hAnsi="Arial" w:cs="Arial"/>
          <w:color w:val="1C1D1E"/>
          <w:sz w:val="21"/>
          <w:szCs w:val="21"/>
          <w:lang w:eastAsia="en-GB"/>
        </w:rPr>
      </w:pPr>
      <w:r w:rsidRPr="00EE1503">
        <w:rPr>
          <w:rFonts w:ascii="Arial" w:eastAsia="Times New Roman" w:hAnsi="Arial" w:cs="Arial"/>
          <w:color w:val="1C1D1E"/>
          <w:sz w:val="21"/>
          <w:szCs w:val="21"/>
          <w:lang w:eastAsia="en-GB"/>
        </w:rPr>
        <w:t>Twenty</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nine children with abnormal TCD measurements were identified and treated with moderate fixed</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dose hydroxyurea for primary stroke prevention, and 206 children were included in the comparison group. No caregiver of a child with abnormal TCD measurements elected to have their child treated with regular blood transfusion therapy. Among the comparison group, standard care TCD screening was performed on average every 12 months. Four children developed abnormal TCD measurements and crossed over to the treatment group. Baseline features and clinical outcomes of the treatment and comparison groups are shown in Table </w:t>
      </w:r>
      <w:hyperlink r:id="rId32" w:anchor="ajh25900-tbl-0001" w:tooltip="Link to table" w:history="1">
        <w:r w:rsidRPr="00EE1503">
          <w:rPr>
            <w:rFonts w:ascii="Arial" w:eastAsia="Times New Roman" w:hAnsi="Arial" w:cs="Arial"/>
            <w:b/>
            <w:bCs/>
            <w:color w:val="005274"/>
            <w:sz w:val="21"/>
            <w:szCs w:val="21"/>
            <w:u w:val="single"/>
            <w:lang w:eastAsia="en-GB"/>
          </w:rPr>
          <w:t>1</w:t>
        </w:r>
      </w:hyperlink>
      <w:r w:rsidRPr="00EE1503">
        <w:rPr>
          <w:rFonts w:ascii="Arial" w:eastAsia="Times New Roman" w:hAnsi="Arial" w:cs="Arial"/>
          <w:color w:val="1C1D1E"/>
          <w:sz w:val="21"/>
          <w:szCs w:val="21"/>
          <w:lang w:eastAsia="en-GB"/>
        </w:rPr>
        <w:t>.</w:t>
      </w:r>
    </w:p>
    <w:p w14:paraId="41391AF4" w14:textId="77777777" w:rsidR="00EE1503" w:rsidRPr="00EE1503" w:rsidRDefault="00EE1503" w:rsidP="00EE1503">
      <w:pPr>
        <w:pStyle w:val="NormalWeb"/>
        <w:shd w:val="clear" w:color="auto" w:fill="FFFFFF"/>
        <w:spacing w:before="75" w:beforeAutospacing="0" w:after="240" w:afterAutospacing="0" w:line="360" w:lineRule="atLeast"/>
        <w:rPr>
          <w:rFonts w:ascii="Arial" w:hAnsi="Arial" w:cs="Arial"/>
          <w:color w:val="1C1D1E"/>
        </w:rPr>
      </w:pPr>
      <w:r w:rsidRPr="00EE1503">
        <w:rPr>
          <w:rFonts w:ascii="Arial" w:hAnsi="Arial" w:cs="Arial"/>
          <w:color w:val="1C1D1E"/>
        </w:rPr>
        <w:t>The median time on hydroxyurea therapy (follow</w:t>
      </w:r>
      <w:r w:rsidRPr="00EE1503">
        <w:rPr>
          <w:rFonts w:ascii="Cambria Math" w:hAnsi="Cambria Math" w:cs="Cambria Math"/>
          <w:color w:val="1C1D1E"/>
        </w:rPr>
        <w:t>‐</w:t>
      </w:r>
      <w:r w:rsidRPr="00EE1503">
        <w:rPr>
          <w:rFonts w:ascii="Arial" w:hAnsi="Arial" w:cs="Arial"/>
          <w:color w:val="1C1D1E"/>
        </w:rPr>
        <w:t>up time) was 4.8 years (IQR: 3.7</w:t>
      </w:r>
      <w:r w:rsidRPr="00EE1503">
        <w:rPr>
          <w:rFonts w:ascii="Cambria Math" w:hAnsi="Cambria Math" w:cs="Cambria Math"/>
          <w:color w:val="1C1D1E"/>
        </w:rPr>
        <w:t>‐</w:t>
      </w:r>
      <w:r w:rsidRPr="00EE1503">
        <w:rPr>
          <w:rFonts w:ascii="Arial" w:hAnsi="Arial" w:cs="Arial"/>
          <w:color w:val="1C1D1E"/>
        </w:rPr>
        <w:t>5.6). The stroke incidence rate among participants on hydroxyurea was 0.76 per 100 person</w:t>
      </w:r>
      <w:r w:rsidRPr="00EE1503">
        <w:rPr>
          <w:rFonts w:ascii="Cambria Math" w:hAnsi="Cambria Math" w:cs="Cambria Math"/>
          <w:color w:val="1C1D1E"/>
        </w:rPr>
        <w:t>‐</w:t>
      </w:r>
      <w:r w:rsidRPr="00EE1503">
        <w:rPr>
          <w:rFonts w:ascii="Arial" w:hAnsi="Arial" w:cs="Arial"/>
          <w:color w:val="1C1D1E"/>
        </w:rPr>
        <w:t>years (95% CI: 0.11</w:t>
      </w:r>
      <w:r w:rsidRPr="00EE1503">
        <w:rPr>
          <w:rFonts w:ascii="Cambria Math" w:hAnsi="Cambria Math" w:cs="Cambria Math"/>
          <w:color w:val="1C1D1E"/>
        </w:rPr>
        <w:t>‐</w:t>
      </w:r>
      <w:r w:rsidRPr="00EE1503">
        <w:rPr>
          <w:rFonts w:ascii="Arial" w:hAnsi="Arial" w:cs="Arial"/>
          <w:color w:val="1C1D1E"/>
        </w:rPr>
        <w:t>5.24), which was not significantly different from participants in the comparison group who did not have an abnormal TCD velocity (incidence rate 0.43 per 100 person</w:t>
      </w:r>
      <w:r w:rsidRPr="00EE1503">
        <w:rPr>
          <w:rFonts w:ascii="Cambria Math" w:hAnsi="Cambria Math" w:cs="Cambria Math"/>
          <w:color w:val="1C1D1E"/>
        </w:rPr>
        <w:t>‐</w:t>
      </w:r>
      <w:r w:rsidRPr="00EE1503">
        <w:rPr>
          <w:rFonts w:ascii="Arial" w:hAnsi="Arial" w:cs="Arial"/>
          <w:color w:val="1C1D1E"/>
        </w:rPr>
        <w:t>years; 95% CI: 0.16</w:t>
      </w:r>
      <w:r w:rsidRPr="00EE1503">
        <w:rPr>
          <w:rFonts w:ascii="Cambria Math" w:hAnsi="Cambria Math" w:cs="Cambria Math"/>
          <w:color w:val="1C1D1E"/>
        </w:rPr>
        <w:t>‐</w:t>
      </w:r>
      <w:r w:rsidRPr="00EE1503">
        <w:rPr>
          <w:rFonts w:ascii="Arial" w:hAnsi="Arial" w:cs="Arial"/>
          <w:color w:val="1C1D1E"/>
        </w:rPr>
        <w:t>1.15) (</w:t>
      </w:r>
      <w:r w:rsidRPr="00EE1503">
        <w:rPr>
          <w:rFonts w:ascii="Arial" w:hAnsi="Arial" w:cs="Arial"/>
          <w:i/>
          <w:iCs/>
          <w:color w:val="1C1D1E"/>
        </w:rPr>
        <w:t>P</w:t>
      </w:r>
      <w:r w:rsidRPr="00EE1503">
        <w:rPr>
          <w:rFonts w:ascii="Arial" w:hAnsi="Arial" w:cs="Arial"/>
          <w:color w:val="1C1D1E"/>
        </w:rPr>
        <w:t> = .603). Importantly, the incidence rate of strokes was significantly lower than the stroke incidence rate reported in the standard care group for the STOP trial (10.7 per 100 person</w:t>
      </w:r>
      <w:r w:rsidRPr="00EE1503">
        <w:rPr>
          <w:rFonts w:ascii="Cambria Math" w:hAnsi="Cambria Math" w:cs="Cambria Math"/>
          <w:color w:val="1C1D1E"/>
        </w:rPr>
        <w:t>‐</w:t>
      </w:r>
      <w:r w:rsidRPr="00EE1503">
        <w:rPr>
          <w:rFonts w:ascii="Arial" w:hAnsi="Arial" w:cs="Arial"/>
          <w:color w:val="1C1D1E"/>
        </w:rPr>
        <w:t>years, with a total of 102 person</w:t>
      </w:r>
      <w:r w:rsidRPr="00EE1503">
        <w:rPr>
          <w:rFonts w:ascii="Cambria Math" w:hAnsi="Cambria Math" w:cs="Cambria Math"/>
          <w:color w:val="1C1D1E"/>
        </w:rPr>
        <w:t>‐</w:t>
      </w:r>
      <w:r w:rsidRPr="00EE1503">
        <w:rPr>
          <w:rFonts w:ascii="Arial" w:hAnsi="Arial" w:cs="Arial"/>
          <w:color w:val="1C1D1E"/>
        </w:rPr>
        <w:t>years), where all children had abnormal TCD velocity.</w:t>
      </w:r>
      <w:hyperlink r:id="rId33" w:anchor="ajh25900-bib-0001" w:history="1">
        <w:r w:rsidRPr="00EE1503">
          <w:rPr>
            <w:rStyle w:val="Hyperlink"/>
            <w:rFonts w:ascii="Arial" w:hAnsi="Arial" w:cs="Arial"/>
            <w:color w:val="000000"/>
            <w:sz w:val="18"/>
            <w:szCs w:val="18"/>
            <w:vertAlign w:val="superscript"/>
          </w:rPr>
          <w:t>1</w:t>
        </w:r>
      </w:hyperlink>
      <w:r w:rsidRPr="00EE1503">
        <w:rPr>
          <w:rFonts w:ascii="Arial" w:hAnsi="Arial" w:cs="Arial"/>
          <w:color w:val="1C1D1E"/>
        </w:rPr>
        <w:t> The stroke incidence rate among participants treated with hydroxyurea was also similar to the stroke incidence rate in the STOP trial transfusion group (0.9 per 100 person</w:t>
      </w:r>
      <w:r w:rsidRPr="00EE1503">
        <w:rPr>
          <w:rFonts w:ascii="Cambria Math" w:hAnsi="Cambria Math" w:cs="Cambria Math"/>
          <w:color w:val="1C1D1E"/>
        </w:rPr>
        <w:t>‐</w:t>
      </w:r>
      <w:r w:rsidRPr="00EE1503">
        <w:rPr>
          <w:rFonts w:ascii="Arial" w:hAnsi="Arial" w:cs="Arial"/>
          <w:color w:val="1C1D1E"/>
        </w:rPr>
        <w:t>years with a total of 110 patient</w:t>
      </w:r>
      <w:r w:rsidRPr="00EE1503">
        <w:rPr>
          <w:rFonts w:ascii="Cambria Math" w:hAnsi="Cambria Math" w:cs="Cambria Math"/>
          <w:color w:val="1C1D1E"/>
        </w:rPr>
        <w:t>‐</w:t>
      </w:r>
      <w:r w:rsidRPr="00EE1503">
        <w:rPr>
          <w:rFonts w:ascii="Arial" w:hAnsi="Arial" w:cs="Arial"/>
          <w:color w:val="1C1D1E"/>
        </w:rPr>
        <w:t>years).</w:t>
      </w:r>
      <w:hyperlink r:id="rId34" w:anchor="ajh25900-bib-0001" w:history="1">
        <w:r w:rsidRPr="00EE1503">
          <w:rPr>
            <w:rStyle w:val="Hyperlink"/>
            <w:rFonts w:ascii="Arial" w:hAnsi="Arial" w:cs="Arial"/>
            <w:color w:val="000000"/>
            <w:sz w:val="18"/>
            <w:szCs w:val="18"/>
            <w:vertAlign w:val="superscript"/>
          </w:rPr>
          <w:t>1</w:t>
        </w:r>
      </w:hyperlink>
    </w:p>
    <w:p w14:paraId="46CBCDF2" w14:textId="77777777" w:rsidR="00EE1503" w:rsidRPr="00EE1503" w:rsidRDefault="00EE1503" w:rsidP="00EE1503">
      <w:pPr>
        <w:pStyle w:val="NormalWeb"/>
        <w:shd w:val="clear" w:color="auto" w:fill="FFFFFF"/>
        <w:spacing w:before="75" w:beforeAutospacing="0" w:after="240" w:afterAutospacing="0" w:line="360" w:lineRule="atLeast"/>
        <w:rPr>
          <w:rFonts w:ascii="Arial" w:hAnsi="Arial" w:cs="Arial"/>
          <w:color w:val="1C1D1E"/>
        </w:rPr>
      </w:pPr>
      <w:r w:rsidRPr="00EE1503">
        <w:rPr>
          <w:rFonts w:ascii="Arial" w:hAnsi="Arial" w:cs="Arial"/>
          <w:color w:val="1C1D1E"/>
        </w:rPr>
        <w:t>In 29 participants monitored with monthly CBCs (n = 1560), no participant had hydroxyurea withheld due to myelosuppression (absolute neutrophil count &lt;1000 × 10</w:t>
      </w:r>
      <w:r w:rsidRPr="00EE1503">
        <w:rPr>
          <w:rFonts w:ascii="Arial" w:hAnsi="Arial" w:cs="Arial"/>
          <w:color w:val="1C1D1E"/>
          <w:sz w:val="18"/>
          <w:szCs w:val="18"/>
          <w:vertAlign w:val="superscript"/>
        </w:rPr>
        <w:t>9</w:t>
      </w:r>
      <w:r w:rsidRPr="00EE1503">
        <w:rPr>
          <w:rFonts w:ascii="Arial" w:hAnsi="Arial" w:cs="Arial"/>
          <w:color w:val="1C1D1E"/>
        </w:rPr>
        <w:t>/L) or low platelet count (&lt;80 × 10</w:t>
      </w:r>
      <w:r w:rsidRPr="00EE1503">
        <w:rPr>
          <w:rFonts w:ascii="Arial" w:hAnsi="Arial" w:cs="Arial"/>
          <w:color w:val="1C1D1E"/>
          <w:sz w:val="18"/>
          <w:szCs w:val="18"/>
          <w:vertAlign w:val="superscript"/>
        </w:rPr>
        <w:t>9</w:t>
      </w:r>
      <w:r w:rsidRPr="00EE1503">
        <w:rPr>
          <w:rFonts w:ascii="Arial" w:hAnsi="Arial" w:cs="Arial"/>
          <w:color w:val="1C1D1E"/>
        </w:rPr>
        <w:t>/L) on two consecutive evaluations. These data suggest that, in low</w:t>
      </w:r>
      <w:r w:rsidRPr="00EE1503">
        <w:rPr>
          <w:rFonts w:ascii="Cambria Math" w:hAnsi="Cambria Math" w:cs="Cambria Math"/>
          <w:color w:val="1C1D1E"/>
        </w:rPr>
        <w:t>‐</w:t>
      </w:r>
      <w:r w:rsidRPr="00EE1503">
        <w:rPr>
          <w:rFonts w:ascii="Arial" w:hAnsi="Arial" w:cs="Arial"/>
          <w:color w:val="1C1D1E"/>
        </w:rPr>
        <w:t xml:space="preserve"> and middle</w:t>
      </w:r>
      <w:r w:rsidRPr="00EE1503">
        <w:rPr>
          <w:rFonts w:ascii="Cambria Math" w:hAnsi="Cambria Math" w:cs="Cambria Math"/>
          <w:color w:val="1C1D1E"/>
        </w:rPr>
        <w:t>‐</w:t>
      </w:r>
      <w:r w:rsidRPr="00EE1503">
        <w:rPr>
          <w:rFonts w:ascii="Arial" w:hAnsi="Arial" w:cs="Arial"/>
          <w:color w:val="1C1D1E"/>
        </w:rPr>
        <w:t>income settings, monthly or even quarterly routine CBC assessment for myelosuppression associated with moderate fixed</w:t>
      </w:r>
      <w:r w:rsidRPr="00EE1503">
        <w:rPr>
          <w:rFonts w:ascii="Cambria Math" w:hAnsi="Cambria Math" w:cs="Cambria Math"/>
          <w:color w:val="1C1D1E"/>
        </w:rPr>
        <w:t>‐</w:t>
      </w:r>
      <w:r w:rsidRPr="00EE1503">
        <w:rPr>
          <w:rFonts w:ascii="Arial" w:hAnsi="Arial" w:cs="Arial"/>
          <w:color w:val="1C1D1E"/>
        </w:rPr>
        <w:t>dose hydroxyurea has limited clinical utility.</w:t>
      </w:r>
    </w:p>
    <w:p w14:paraId="273D1421" w14:textId="60F10D01" w:rsidR="00EE1503" w:rsidRPr="00EE1503" w:rsidRDefault="00EE1503" w:rsidP="00EE1503">
      <w:pPr>
        <w:pStyle w:val="NormalWeb"/>
        <w:spacing w:before="75" w:beforeAutospacing="0" w:after="240" w:afterAutospacing="0" w:line="360" w:lineRule="atLeast"/>
        <w:rPr>
          <w:rFonts w:ascii="Arial" w:hAnsi="Arial" w:cs="Arial"/>
        </w:rPr>
      </w:pPr>
      <w:r w:rsidRPr="00EE1503">
        <w:rPr>
          <w:rFonts w:ascii="Arial" w:hAnsi="Arial" w:cs="Arial"/>
          <w:color w:val="1C1D1E"/>
        </w:rPr>
        <w:t>A total of 19 deaths occurred in the comparison group, with no deaths in the treatment group. One death occurred in a child that was originally in the treatment group, but the death occurred after the participant was withdrawn from the trial because of progressive renal disease unrelated to study treatment. The death rate in the comparison group was 2.0 per 100 person</w:t>
      </w:r>
      <w:r w:rsidRPr="00EE1503">
        <w:rPr>
          <w:rFonts w:ascii="Cambria Math" w:hAnsi="Cambria Math" w:cs="Cambria Math"/>
          <w:color w:val="1C1D1E"/>
        </w:rPr>
        <w:t>‐</w:t>
      </w:r>
      <w:r w:rsidRPr="00EE1503">
        <w:rPr>
          <w:rFonts w:ascii="Arial" w:hAnsi="Arial" w:cs="Arial"/>
          <w:color w:val="1C1D1E"/>
        </w:rPr>
        <w:t>years. There was no statistically significant difference in the death rate between treatment and comparison groups (</w:t>
      </w:r>
      <w:r w:rsidRPr="00EE1503">
        <w:rPr>
          <w:rFonts w:ascii="Arial" w:hAnsi="Arial" w:cs="Arial"/>
          <w:i/>
          <w:iCs/>
          <w:color w:val="1C1D1E"/>
        </w:rPr>
        <w:t>P</w:t>
      </w:r>
      <w:r w:rsidRPr="00EE1503">
        <w:rPr>
          <w:rFonts w:ascii="Arial" w:hAnsi="Arial" w:cs="Arial"/>
          <w:color w:val="1C1D1E"/>
        </w:rPr>
        <w:t> = .081). The leading cause of death was suspected or confirmed malaria (defined as fever ≥37.5°C in the presence of </w:t>
      </w:r>
      <w:r w:rsidRPr="00EE1503">
        <w:rPr>
          <w:rFonts w:ascii="Arial" w:hAnsi="Arial" w:cs="Arial"/>
          <w:i/>
          <w:iCs/>
          <w:color w:val="1C1D1E"/>
        </w:rPr>
        <w:t>Plasmodium falciparum</w:t>
      </w:r>
      <w:r w:rsidRPr="00EE1503">
        <w:rPr>
          <w:rFonts w:ascii="Arial" w:hAnsi="Arial" w:cs="Arial"/>
          <w:color w:val="1C1D1E"/>
        </w:rPr>
        <w:t xml:space="preserve"> in peripheral blood smear or a positive rapid diagnostic antigen test) occurring in 79% of the participants (15 of 19). As expected, we found a statistically significant lower incidence rate of </w:t>
      </w:r>
      <w:r w:rsidRPr="00EE1503">
        <w:rPr>
          <w:rFonts w:ascii="Arial" w:hAnsi="Arial" w:cs="Arial"/>
          <w:color w:val="1C1D1E"/>
        </w:rPr>
        <w:lastRenderedPageBreak/>
        <w:t xml:space="preserve">uncomplicated, afebrile acute </w:t>
      </w:r>
      <w:proofErr w:type="spellStart"/>
      <w:r w:rsidRPr="00EE1503">
        <w:rPr>
          <w:rFonts w:ascii="Arial" w:hAnsi="Arial" w:cs="Arial"/>
          <w:color w:val="1C1D1E"/>
        </w:rPr>
        <w:t>vaso</w:t>
      </w:r>
      <w:proofErr w:type="spellEnd"/>
      <w:r w:rsidRPr="00EE1503">
        <w:rPr>
          <w:rFonts w:ascii="Cambria Math" w:hAnsi="Cambria Math" w:cs="Cambria Math"/>
          <w:color w:val="1C1D1E"/>
        </w:rPr>
        <w:t>‐</w:t>
      </w:r>
      <w:r w:rsidRPr="00EE1503">
        <w:rPr>
          <w:rFonts w:ascii="Arial" w:hAnsi="Arial" w:cs="Arial"/>
          <w:color w:val="1C1D1E"/>
        </w:rPr>
        <w:t>occlusive pain events requiring hospitalization in the hydroxyurea treatment group than in the comparison group (5.3 per 100 person</w:t>
      </w:r>
      <w:r w:rsidRPr="00EE1503">
        <w:rPr>
          <w:rFonts w:ascii="Cambria Math" w:hAnsi="Cambria Math" w:cs="Cambria Math"/>
          <w:color w:val="1C1D1E"/>
        </w:rPr>
        <w:t>‐</w:t>
      </w:r>
      <w:r w:rsidRPr="00EE1503">
        <w:rPr>
          <w:rFonts w:ascii="Arial" w:hAnsi="Arial" w:cs="Arial"/>
          <w:color w:val="1C1D1E"/>
        </w:rPr>
        <w:t>years and 14.9 per 100 person</w:t>
      </w:r>
      <w:r w:rsidRPr="00EE1503">
        <w:rPr>
          <w:rFonts w:ascii="Cambria Math" w:hAnsi="Cambria Math" w:cs="Cambria Math"/>
          <w:color w:val="1C1D1E"/>
        </w:rPr>
        <w:t>‐</w:t>
      </w:r>
      <w:r w:rsidRPr="00EE1503">
        <w:rPr>
          <w:rFonts w:ascii="Arial" w:hAnsi="Arial" w:cs="Arial"/>
          <w:color w:val="1C1D1E"/>
        </w:rPr>
        <w:t>years, respectively; </w:t>
      </w:r>
      <w:r w:rsidRPr="00EE1503">
        <w:rPr>
          <w:rFonts w:ascii="Arial" w:hAnsi="Arial" w:cs="Arial"/>
          <w:i/>
          <w:iCs/>
          <w:color w:val="1C1D1E"/>
        </w:rPr>
        <w:t>P</w:t>
      </w:r>
      <w:r w:rsidRPr="00EE1503">
        <w:rPr>
          <w:rFonts w:ascii="Arial" w:hAnsi="Arial" w:cs="Arial"/>
          <w:color w:val="1C1D1E"/>
        </w:rPr>
        <w:t xml:space="preserve"> = .002). There was no difference in the incidence rates of febrile acute </w:t>
      </w:r>
      <w:proofErr w:type="spellStart"/>
      <w:r w:rsidRPr="00EE1503">
        <w:rPr>
          <w:rFonts w:ascii="Arial" w:hAnsi="Arial" w:cs="Arial"/>
          <w:color w:val="1C1D1E"/>
        </w:rPr>
        <w:t>vaso</w:t>
      </w:r>
      <w:proofErr w:type="spellEnd"/>
      <w:r w:rsidRPr="00EE1503">
        <w:rPr>
          <w:rFonts w:ascii="Cambria Math" w:hAnsi="Cambria Math" w:cs="Cambria Math"/>
          <w:color w:val="1C1D1E"/>
        </w:rPr>
        <w:t>‐</w:t>
      </w:r>
      <w:r w:rsidRPr="00EE1503">
        <w:rPr>
          <w:rFonts w:ascii="Arial" w:hAnsi="Arial" w:cs="Arial"/>
          <w:color w:val="1C1D1E"/>
        </w:rPr>
        <w:t>occlusive pain events requiring hospitalizations. Incidence rates for other indications for hospitalization are described in Table </w:t>
      </w:r>
      <w:hyperlink r:id="rId35" w:anchor="ajh25900-tbl-0001" w:tooltip="Link to table" w:history="1">
        <w:r w:rsidRPr="00EE1503">
          <w:rPr>
            <w:rStyle w:val="Hyperlink"/>
            <w:rFonts w:ascii="Arial" w:hAnsi="Arial" w:cs="Arial"/>
            <w:b/>
            <w:bCs/>
            <w:color w:val="005274"/>
          </w:rPr>
          <w:t>1</w:t>
        </w:r>
      </w:hyperlink>
      <w:r w:rsidRPr="00EE1503">
        <w:rPr>
          <w:rFonts w:ascii="Arial" w:hAnsi="Arial" w:cs="Arial"/>
          <w:color w:val="1C1D1E"/>
        </w:rPr>
        <w:t>. An early (3 months) and sustained (2 years) decrease in the initial abnormal TCD measurements was unexpected, but an important finding in our clinical trial (Figure </w:t>
      </w:r>
      <w:hyperlink r:id="rId36" w:anchor="ajh25900-fig-0001" w:history="1">
        <w:r w:rsidRPr="00EE1503">
          <w:rPr>
            <w:rStyle w:val="Hyperlink"/>
            <w:rFonts w:ascii="Arial" w:hAnsi="Arial" w:cs="Arial"/>
            <w:b/>
            <w:bCs/>
            <w:color w:val="005274"/>
          </w:rPr>
          <w:t>1</w:t>
        </w:r>
      </w:hyperlink>
      <w:r w:rsidRPr="00EE1503">
        <w:rPr>
          <w:rFonts w:ascii="Arial" w:hAnsi="Arial" w:cs="Arial"/>
          <w:color w:val="1C1D1E"/>
        </w:rPr>
        <w:t>). The results from this trial bolster pre</w:t>
      </w:r>
      <w:r w:rsidRPr="00EE1503">
        <w:rPr>
          <w:rFonts w:ascii="Cambria Math" w:hAnsi="Cambria Math" w:cs="Cambria Math"/>
          <w:color w:val="1C1D1E"/>
        </w:rPr>
        <w:t>‐</w:t>
      </w:r>
      <w:r w:rsidRPr="00EE1503">
        <w:rPr>
          <w:rFonts w:ascii="Arial" w:hAnsi="Arial" w:cs="Arial"/>
          <w:color w:val="1C1D1E"/>
        </w:rPr>
        <w:t>existing pooled data from 10 studies demonstrating that hydroxyurea therapy significantly lowers TCD velocity.</w:t>
      </w:r>
      <w:hyperlink r:id="rId37" w:anchor="ajh25900-bib-0006" w:history="1">
        <w:r w:rsidRPr="00EE1503">
          <w:rPr>
            <w:rStyle w:val="Hyperlink"/>
            <w:rFonts w:ascii="Arial" w:hAnsi="Arial" w:cs="Arial"/>
            <w:color w:val="000000"/>
            <w:sz w:val="18"/>
            <w:szCs w:val="18"/>
            <w:vertAlign w:val="superscript"/>
          </w:rPr>
          <w:t>6</w:t>
        </w:r>
      </w:hyperlink>
      <w:r w:rsidRPr="00EE1503">
        <w:rPr>
          <w:rFonts w:ascii="Arial" w:hAnsi="Arial" w:cs="Arial"/>
        </w:rPr>
        <w:t xml:space="preserve"> In Nigeria and other low</w:t>
      </w:r>
      <w:r w:rsidRPr="00EE1503">
        <w:rPr>
          <w:rFonts w:ascii="Cambria Math" w:hAnsi="Cambria Math" w:cs="Cambria Math"/>
        </w:rPr>
        <w:t>‐</w:t>
      </w:r>
      <w:r w:rsidRPr="00EE1503">
        <w:rPr>
          <w:rFonts w:ascii="Arial" w:hAnsi="Arial" w:cs="Arial"/>
        </w:rPr>
        <w:t xml:space="preserve"> and middle</w:t>
      </w:r>
      <w:r w:rsidRPr="00EE1503">
        <w:rPr>
          <w:rFonts w:ascii="Cambria Math" w:hAnsi="Cambria Math" w:cs="Cambria Math"/>
        </w:rPr>
        <w:t>‐</w:t>
      </w:r>
      <w:r w:rsidRPr="00EE1503">
        <w:rPr>
          <w:rFonts w:ascii="Arial" w:hAnsi="Arial" w:cs="Arial"/>
        </w:rPr>
        <w:t>income settings, expenses for hydroxyurea therapy and laboratory monitoring are self</w:t>
      </w:r>
      <w:r w:rsidRPr="00EE1503">
        <w:rPr>
          <w:rFonts w:ascii="Cambria Math" w:hAnsi="Cambria Math" w:cs="Cambria Math"/>
        </w:rPr>
        <w:t>‐</w:t>
      </w:r>
      <w:r w:rsidRPr="00EE1503">
        <w:rPr>
          <w:rFonts w:ascii="Arial" w:hAnsi="Arial" w:cs="Arial"/>
        </w:rPr>
        <w:t>pay for the majority of families of children with SCA. To ensure the sustainability of stroke prevention efforts in low</w:t>
      </w:r>
      <w:r w:rsidRPr="00EE1503">
        <w:rPr>
          <w:rFonts w:ascii="Cambria Math" w:hAnsi="Cambria Math" w:cs="Cambria Math"/>
        </w:rPr>
        <w:t>‐</w:t>
      </w:r>
      <w:r w:rsidRPr="00EE1503">
        <w:rPr>
          <w:rFonts w:ascii="Arial" w:hAnsi="Arial" w:cs="Arial"/>
        </w:rPr>
        <w:t xml:space="preserve"> and middle</w:t>
      </w:r>
      <w:r w:rsidRPr="00EE1503">
        <w:rPr>
          <w:rFonts w:ascii="Cambria Math" w:hAnsi="Cambria Math" w:cs="Cambria Math"/>
        </w:rPr>
        <w:t>‐</w:t>
      </w:r>
      <w:r w:rsidRPr="00EE1503">
        <w:rPr>
          <w:rFonts w:ascii="Arial" w:hAnsi="Arial" w:cs="Arial"/>
        </w:rPr>
        <w:t xml:space="preserve">income settings, minimizing costs and inconvenience of both treatment and laboratory surveillance is critical. In our trial, hydroxyurea was produced locally (Bond Chemical, Awe, Oyo State of Nigeria), and at a relatively inexpensive cost of approximately $4.00 (United States dollar (USD)) for 1 package (30 tablets) of </w:t>
      </w:r>
      <w:proofErr w:type="spellStart"/>
      <w:r w:rsidRPr="00EE1503">
        <w:rPr>
          <w:rFonts w:ascii="Arial" w:hAnsi="Arial" w:cs="Arial"/>
        </w:rPr>
        <w:t>Oxyurea</w:t>
      </w:r>
      <w:proofErr w:type="spellEnd"/>
      <w:r w:rsidRPr="00EE1503">
        <w:rPr>
          <w:rFonts w:ascii="Arial" w:hAnsi="Arial" w:cs="Arial"/>
        </w:rPr>
        <w:t xml:space="preserve"> 500mg per month for a 20 mg/kg/d dose per child that weighs 25 kg. The cost of a CBC is approximately $3.00 USD; therefore, minimizing CBC surveillance would decrease family medical expenses. Our findings are similar to the BABY HUG Trial, where moderate fixed</w:t>
      </w:r>
      <w:r w:rsidRPr="00EE1503">
        <w:rPr>
          <w:rFonts w:ascii="Cambria Math" w:hAnsi="Cambria Math" w:cs="Cambria Math"/>
        </w:rPr>
        <w:t>‐</w:t>
      </w:r>
      <w:r w:rsidRPr="00EE1503">
        <w:rPr>
          <w:rFonts w:ascii="Arial" w:hAnsi="Arial" w:cs="Arial"/>
        </w:rPr>
        <w:t>dose hydroxyurea therapy was not associated with absolute neutrophil count &lt;500/mm</w:t>
      </w:r>
      <w:r w:rsidRPr="00EE1503">
        <w:rPr>
          <w:rFonts w:ascii="Arial" w:hAnsi="Arial" w:cs="Arial"/>
          <w:sz w:val="18"/>
          <w:szCs w:val="18"/>
          <w:vertAlign w:val="superscript"/>
        </w:rPr>
        <w:t>3</w:t>
      </w:r>
      <w:r w:rsidRPr="00EE1503">
        <w:rPr>
          <w:rFonts w:ascii="Arial" w:hAnsi="Arial" w:cs="Arial"/>
        </w:rPr>
        <w:t> or platelet count &lt;80 × 10</w:t>
      </w:r>
      <w:r w:rsidRPr="00EE1503">
        <w:rPr>
          <w:rFonts w:ascii="Arial" w:hAnsi="Arial" w:cs="Arial"/>
          <w:sz w:val="18"/>
          <w:szCs w:val="18"/>
          <w:vertAlign w:val="superscript"/>
        </w:rPr>
        <w:t>3</w:t>
      </w:r>
      <w:r w:rsidRPr="00EE1503">
        <w:rPr>
          <w:rFonts w:ascii="Arial" w:hAnsi="Arial" w:cs="Arial"/>
        </w:rPr>
        <w:t>/mm</w:t>
      </w:r>
      <w:r w:rsidRPr="00EE1503">
        <w:rPr>
          <w:rFonts w:ascii="Arial" w:hAnsi="Arial" w:cs="Arial"/>
          <w:sz w:val="18"/>
          <w:szCs w:val="18"/>
          <w:vertAlign w:val="superscript"/>
        </w:rPr>
        <w:t>3</w:t>
      </w:r>
      <w:r w:rsidRPr="00EE1503">
        <w:rPr>
          <w:rFonts w:ascii="Arial" w:hAnsi="Arial" w:cs="Arial"/>
        </w:rPr>
        <w:t>.</w:t>
      </w:r>
      <w:hyperlink r:id="rId38" w:anchor="ajh25900-bib-0007" w:history="1">
        <w:r w:rsidRPr="00EE1503">
          <w:rPr>
            <w:rStyle w:val="Hyperlink"/>
            <w:rFonts w:ascii="Arial" w:hAnsi="Arial" w:cs="Arial"/>
            <w:color w:val="000000"/>
            <w:sz w:val="18"/>
            <w:szCs w:val="18"/>
            <w:vertAlign w:val="superscript"/>
          </w:rPr>
          <w:t>7</w:t>
        </w:r>
      </w:hyperlink>
      <w:r w:rsidRPr="00EE1503">
        <w:rPr>
          <w:rFonts w:ascii="Arial" w:hAnsi="Arial" w:cs="Arial"/>
        </w:rPr>
        <w:t xml:space="preserve"> Our study results did not reveal either laboratory or clinical evidence of myelosuppression. Taken together, the results in this clinical trial and the BABY HUG Trial strongly suggest that monthly CBCs are not needed to identify myelosuppression at a moderate </w:t>
      </w:r>
      <w:proofErr w:type="gramStart"/>
      <w:r w:rsidRPr="00EE1503">
        <w:rPr>
          <w:rFonts w:ascii="Arial" w:hAnsi="Arial" w:cs="Arial"/>
        </w:rPr>
        <w:t>fixed</w:t>
      </w:r>
      <w:r w:rsidRPr="00EE1503">
        <w:rPr>
          <w:rFonts w:ascii="Cambria Math" w:hAnsi="Cambria Math" w:cs="Cambria Math"/>
        </w:rPr>
        <w:t>‐</w:t>
      </w:r>
      <w:r w:rsidRPr="00EE1503">
        <w:rPr>
          <w:rFonts w:ascii="Arial" w:hAnsi="Arial" w:cs="Arial"/>
        </w:rPr>
        <w:t>dose</w:t>
      </w:r>
      <w:proofErr w:type="gramEnd"/>
      <w:r w:rsidRPr="00EE1503">
        <w:rPr>
          <w:rFonts w:ascii="Arial" w:hAnsi="Arial" w:cs="Arial"/>
        </w:rPr>
        <w:t xml:space="preserve"> of hydroxyurea. Based on these data, the optimal CBC interval is unknown. The best CBC interval in this setting may be determined in the Primary Prevention of Stroke in Children With SCD in sub</w:t>
      </w:r>
      <w:r w:rsidRPr="00EE1503">
        <w:rPr>
          <w:rFonts w:ascii="Cambria Math" w:hAnsi="Cambria Math" w:cs="Cambria Math"/>
        </w:rPr>
        <w:t>‐</w:t>
      </w:r>
      <w:r w:rsidRPr="00EE1503">
        <w:rPr>
          <w:rFonts w:ascii="Arial" w:hAnsi="Arial" w:cs="Arial"/>
        </w:rPr>
        <w:t>Saharan Africa II (SPRING) Trial (NCT02560935) when children with SCA and abnormal TCD measurements (n=220) will be randomly allocated to moderate fixed</w:t>
      </w:r>
      <w:r w:rsidRPr="00EE1503">
        <w:rPr>
          <w:rFonts w:ascii="Cambria Math" w:hAnsi="Cambria Math" w:cs="Cambria Math"/>
        </w:rPr>
        <w:t>‐</w:t>
      </w:r>
      <w:r w:rsidRPr="00EE1503">
        <w:rPr>
          <w:rFonts w:ascii="Arial" w:hAnsi="Arial" w:cs="Arial"/>
        </w:rPr>
        <w:t>dose vs. low fixed</w:t>
      </w:r>
      <w:r w:rsidRPr="00EE1503">
        <w:rPr>
          <w:rFonts w:ascii="Cambria Math" w:hAnsi="Cambria Math" w:cs="Cambria Math"/>
        </w:rPr>
        <w:t>‐</w:t>
      </w:r>
      <w:r w:rsidRPr="00EE1503">
        <w:rPr>
          <w:rFonts w:ascii="Arial" w:hAnsi="Arial" w:cs="Arial"/>
        </w:rPr>
        <w:t>dose hydroxyurea therapy, 20 vs. 10 mg/kg/day, respectively for 3 years.</w:t>
      </w:r>
    </w:p>
    <w:p w14:paraId="6D3A02CA" w14:textId="77777777" w:rsidR="00EE1503" w:rsidRPr="00EE1503" w:rsidRDefault="00EE1503" w:rsidP="00EE1503">
      <w:pPr>
        <w:pStyle w:val="NormalWeb"/>
        <w:spacing w:before="75" w:beforeAutospacing="0" w:after="240" w:afterAutospacing="0" w:line="360" w:lineRule="atLeast"/>
        <w:rPr>
          <w:rFonts w:ascii="Arial" w:hAnsi="Arial" w:cs="Arial"/>
        </w:rPr>
      </w:pPr>
      <w:r w:rsidRPr="00EE1503">
        <w:rPr>
          <w:rFonts w:ascii="Arial" w:hAnsi="Arial" w:cs="Arial"/>
        </w:rPr>
        <w:t>In summary, the results of our NIH/NINDS</w:t>
      </w:r>
      <w:r w:rsidRPr="00EE1503">
        <w:rPr>
          <w:rFonts w:ascii="Cambria Math" w:hAnsi="Cambria Math" w:cs="Cambria Math"/>
        </w:rPr>
        <w:t>‐</w:t>
      </w:r>
      <w:r w:rsidRPr="00EE1503">
        <w:rPr>
          <w:rFonts w:ascii="Arial" w:hAnsi="Arial" w:cs="Arial"/>
        </w:rPr>
        <w:t xml:space="preserve">funded feasibility SPIN Trial provide additional evidence supporting the American Society of </w:t>
      </w:r>
      <w:proofErr w:type="spellStart"/>
      <w:r w:rsidRPr="00EE1503">
        <w:rPr>
          <w:rFonts w:ascii="Arial" w:hAnsi="Arial" w:cs="Arial"/>
        </w:rPr>
        <w:t>Hematology</w:t>
      </w:r>
      <w:proofErr w:type="spellEnd"/>
      <w:r w:rsidRPr="00EE1503">
        <w:rPr>
          <w:rFonts w:ascii="Arial" w:hAnsi="Arial" w:cs="Arial"/>
        </w:rPr>
        <w:t xml:space="preserve"> recommendation that for children with SCA and with abnormal TCD measurements living in a low</w:t>
      </w:r>
      <w:r w:rsidRPr="00EE1503">
        <w:rPr>
          <w:rFonts w:ascii="Cambria Math" w:hAnsi="Cambria Math" w:cs="Cambria Math"/>
        </w:rPr>
        <w:t>‐</w:t>
      </w:r>
      <w:r w:rsidRPr="00EE1503">
        <w:rPr>
          <w:rFonts w:ascii="Arial" w:hAnsi="Arial" w:cs="Arial"/>
        </w:rPr>
        <w:t xml:space="preserve"> and middle</w:t>
      </w:r>
      <w:r w:rsidRPr="00EE1503">
        <w:rPr>
          <w:rFonts w:ascii="Cambria Math" w:hAnsi="Cambria Math" w:cs="Cambria Math"/>
        </w:rPr>
        <w:t>‐</w:t>
      </w:r>
      <w:r w:rsidRPr="00EE1503">
        <w:rPr>
          <w:rFonts w:ascii="Arial" w:hAnsi="Arial" w:cs="Arial"/>
        </w:rPr>
        <w:t>income settings, initial treatment with moderate fixed</w:t>
      </w:r>
      <w:r w:rsidRPr="00EE1503">
        <w:rPr>
          <w:rFonts w:ascii="Cambria Math" w:hAnsi="Cambria Math" w:cs="Cambria Math"/>
        </w:rPr>
        <w:t>‐</w:t>
      </w:r>
      <w:r w:rsidRPr="00EE1503">
        <w:rPr>
          <w:rFonts w:ascii="Arial" w:hAnsi="Arial" w:cs="Arial"/>
        </w:rPr>
        <w:t>dose hydroxyurea (~20 mg/kg/d) is comparable to initial treatment with regular blood transfusion in the STOP trial (0.9 per 100 person</w:t>
      </w:r>
      <w:r w:rsidRPr="00EE1503">
        <w:rPr>
          <w:rFonts w:ascii="Cambria Math" w:hAnsi="Cambria Math" w:cs="Cambria Math"/>
        </w:rPr>
        <w:t>‐</w:t>
      </w:r>
      <w:r w:rsidRPr="00EE1503">
        <w:rPr>
          <w:rFonts w:ascii="Arial" w:hAnsi="Arial" w:cs="Arial"/>
        </w:rPr>
        <w:t>years with a total of 110 patient</w:t>
      </w:r>
      <w:r w:rsidRPr="00EE1503">
        <w:rPr>
          <w:rFonts w:ascii="Cambria Math" w:hAnsi="Cambria Math" w:cs="Cambria Math"/>
        </w:rPr>
        <w:t>‐</w:t>
      </w:r>
      <w:r w:rsidRPr="00EE1503">
        <w:rPr>
          <w:rFonts w:ascii="Arial" w:hAnsi="Arial" w:cs="Arial"/>
        </w:rPr>
        <w:t>years) and superior to no treatment.</w:t>
      </w:r>
      <w:hyperlink r:id="rId39" w:anchor="ajh25900-bib-0006" w:history="1">
        <w:r w:rsidRPr="00EE1503">
          <w:rPr>
            <w:rStyle w:val="Hyperlink"/>
            <w:rFonts w:ascii="Arial" w:hAnsi="Arial" w:cs="Arial"/>
            <w:color w:val="000000"/>
            <w:sz w:val="18"/>
            <w:szCs w:val="18"/>
            <w:vertAlign w:val="superscript"/>
          </w:rPr>
          <w:t>6</w:t>
        </w:r>
      </w:hyperlink>
      <w:r w:rsidRPr="00EE1503">
        <w:rPr>
          <w:rFonts w:ascii="Arial" w:hAnsi="Arial" w:cs="Arial"/>
        </w:rPr>
        <w:t xml:space="preserve"> In addition, monthly CBC assessments for </w:t>
      </w:r>
      <w:r w:rsidRPr="00EE1503">
        <w:rPr>
          <w:rFonts w:ascii="Arial" w:hAnsi="Arial" w:cs="Arial"/>
        </w:rPr>
        <w:lastRenderedPageBreak/>
        <w:t>myelosuppression associated with moderate fixed</w:t>
      </w:r>
      <w:r w:rsidRPr="00EE1503">
        <w:rPr>
          <w:rFonts w:ascii="Cambria Math" w:hAnsi="Cambria Math" w:cs="Cambria Math"/>
        </w:rPr>
        <w:t>‐</w:t>
      </w:r>
      <w:r w:rsidRPr="00EE1503">
        <w:rPr>
          <w:rFonts w:ascii="Arial" w:hAnsi="Arial" w:cs="Arial"/>
        </w:rPr>
        <w:t>dose hydroxyurea have limited clinical utility in low</w:t>
      </w:r>
      <w:r w:rsidRPr="00EE1503">
        <w:rPr>
          <w:rFonts w:ascii="Cambria Math" w:hAnsi="Cambria Math" w:cs="Cambria Math"/>
        </w:rPr>
        <w:t>‐</w:t>
      </w:r>
      <w:r w:rsidRPr="00EE1503">
        <w:rPr>
          <w:rFonts w:ascii="Arial" w:hAnsi="Arial" w:cs="Arial"/>
        </w:rPr>
        <w:t xml:space="preserve"> and middle</w:t>
      </w:r>
      <w:r w:rsidRPr="00EE1503">
        <w:rPr>
          <w:rFonts w:ascii="Cambria Math" w:hAnsi="Cambria Math" w:cs="Cambria Math"/>
        </w:rPr>
        <w:t>‐</w:t>
      </w:r>
      <w:r w:rsidRPr="00EE1503">
        <w:rPr>
          <w:rFonts w:ascii="Arial" w:hAnsi="Arial" w:cs="Arial"/>
        </w:rPr>
        <w:t>income settings.</w:t>
      </w:r>
    </w:p>
    <w:p w14:paraId="6589E030" w14:textId="77777777" w:rsidR="00EE1503" w:rsidRPr="00EE1503" w:rsidRDefault="00EE1503" w:rsidP="00EE1503">
      <w:pPr>
        <w:pStyle w:val="Heading2"/>
        <w:shd w:val="clear" w:color="auto" w:fill="FFFFFF"/>
        <w:spacing w:before="180" w:after="180"/>
        <w:rPr>
          <w:rFonts w:ascii="Arial" w:hAnsi="Arial" w:cs="Arial"/>
          <w:color w:val="auto"/>
          <w:sz w:val="39"/>
          <w:szCs w:val="39"/>
        </w:rPr>
      </w:pPr>
      <w:r w:rsidRPr="00EE1503">
        <w:rPr>
          <w:rFonts w:ascii="Arial" w:hAnsi="Arial" w:cs="Arial"/>
          <w:color w:val="auto"/>
          <w:sz w:val="39"/>
          <w:szCs w:val="39"/>
        </w:rPr>
        <w:t>ACKNOWLEDGMENTS</w:t>
      </w:r>
    </w:p>
    <w:p w14:paraId="756A8559" w14:textId="77777777" w:rsidR="00EE1503" w:rsidRPr="00EE1503" w:rsidRDefault="00EE1503" w:rsidP="00EE1503">
      <w:pPr>
        <w:pStyle w:val="NormalWeb"/>
        <w:shd w:val="clear" w:color="auto" w:fill="FFFFFF"/>
        <w:spacing w:before="75" w:beforeAutospacing="0" w:after="240" w:afterAutospacing="0" w:line="360" w:lineRule="atLeast"/>
        <w:rPr>
          <w:rFonts w:ascii="Arial" w:hAnsi="Arial" w:cs="Arial"/>
          <w:color w:val="1C1D1E"/>
        </w:rPr>
      </w:pPr>
      <w:r w:rsidRPr="00EE1503">
        <w:rPr>
          <w:rFonts w:ascii="Arial" w:hAnsi="Arial" w:cs="Arial"/>
          <w:color w:val="1C1D1E"/>
        </w:rPr>
        <w:t>Research reported in this publication was supported by the National Institute of Neurological Disorders and Stroke, the National Institutes of Health (Grant R01NS094041), the Phillips Family Donation, and the Afolabi Family Donation. The findings and conclusions in this paper are those of the authors and do not necessarily represent the official position of the National Institutes of Health.</w:t>
      </w:r>
    </w:p>
    <w:p w14:paraId="128AA776" w14:textId="7C41246C" w:rsidR="00EE1503" w:rsidRPr="00EE1503" w:rsidRDefault="00EE1503" w:rsidP="00EE1503">
      <w:pPr>
        <w:pStyle w:val="Heading2"/>
        <w:spacing w:before="180" w:after="180"/>
        <w:rPr>
          <w:rFonts w:ascii="Arial" w:hAnsi="Arial" w:cs="Arial"/>
          <w:color w:val="auto"/>
          <w:sz w:val="39"/>
          <w:szCs w:val="39"/>
        </w:rPr>
      </w:pPr>
      <w:r w:rsidRPr="00EE1503">
        <w:rPr>
          <w:rFonts w:ascii="Arial" w:hAnsi="Arial" w:cs="Arial"/>
          <w:color w:val="auto"/>
          <w:sz w:val="39"/>
          <w:szCs w:val="39"/>
        </w:rPr>
        <w:t>CONFLICT OF INTEREST</w:t>
      </w:r>
    </w:p>
    <w:p w14:paraId="6C4724B8" w14:textId="77777777" w:rsidR="00EE1503" w:rsidRPr="00EE1503" w:rsidRDefault="00EE1503" w:rsidP="00EE1503">
      <w:pPr>
        <w:pStyle w:val="NormalWeb"/>
        <w:spacing w:before="75" w:beforeAutospacing="0" w:after="240" w:afterAutospacing="0" w:line="360" w:lineRule="atLeast"/>
        <w:rPr>
          <w:rFonts w:ascii="Arial" w:hAnsi="Arial" w:cs="Arial"/>
        </w:rPr>
      </w:pPr>
      <w:r w:rsidRPr="00EE1503">
        <w:rPr>
          <w:rFonts w:ascii="Arial" w:hAnsi="Arial" w:cs="Arial"/>
        </w:rPr>
        <w:t>The authors declare that they have no conflicts of interest with the contents of this article.</w:t>
      </w:r>
    </w:p>
    <w:p w14:paraId="5FBCFBF4" w14:textId="458B7748" w:rsidR="00EE1503" w:rsidRPr="00EE1503" w:rsidRDefault="00EE1503" w:rsidP="00EE1503">
      <w:pPr>
        <w:shd w:val="clear" w:color="auto" w:fill="FFFFFF"/>
        <w:spacing w:before="100" w:beforeAutospacing="1" w:after="100" w:afterAutospacing="1" w:line="240" w:lineRule="auto"/>
        <w:ind w:left="720"/>
        <w:rPr>
          <w:rFonts w:ascii="Arial" w:eastAsia="Times New Roman" w:hAnsi="Arial" w:cs="Arial"/>
          <w:color w:val="1C1D1E"/>
          <w:sz w:val="21"/>
          <w:szCs w:val="21"/>
          <w:lang w:eastAsia="en-GB"/>
        </w:rPr>
      </w:pPr>
      <w:r w:rsidRPr="00EE1503">
        <w:rPr>
          <w:rFonts w:ascii="Arial" w:eastAsia="Times New Roman" w:hAnsi="Arial" w:cs="Arial"/>
          <w:color w:val="1C1D1E"/>
          <w:sz w:val="21"/>
          <w:szCs w:val="21"/>
          <w:lang w:eastAsia="en-GB"/>
        </w:rPr>
        <w:t xml:space="preserve">1. Adams RJ, McKie VC, Hsu L, et al. Prevention of a first stroke by transfusions in children with sickle cell </w:t>
      </w:r>
      <w:proofErr w:type="spellStart"/>
      <w:r w:rsidRPr="00EE1503">
        <w:rPr>
          <w:rFonts w:ascii="Arial" w:eastAsia="Times New Roman" w:hAnsi="Arial" w:cs="Arial"/>
          <w:color w:val="1C1D1E"/>
          <w:sz w:val="21"/>
          <w:szCs w:val="21"/>
          <w:lang w:eastAsia="en-GB"/>
        </w:rPr>
        <w:t>anemia</w:t>
      </w:r>
      <w:proofErr w:type="spellEnd"/>
      <w:r w:rsidRPr="00EE1503">
        <w:rPr>
          <w:rFonts w:ascii="Arial" w:eastAsia="Times New Roman" w:hAnsi="Arial" w:cs="Arial"/>
          <w:color w:val="1C1D1E"/>
          <w:sz w:val="21"/>
          <w:szCs w:val="21"/>
          <w:lang w:eastAsia="en-GB"/>
        </w:rPr>
        <w:t xml:space="preserve"> and abnormal results on transcranial Doppler ultrasonography. </w:t>
      </w:r>
      <w:r w:rsidRPr="00EE1503">
        <w:rPr>
          <w:rFonts w:ascii="Arial" w:eastAsia="Times New Roman" w:hAnsi="Arial" w:cs="Arial"/>
          <w:i/>
          <w:iCs/>
          <w:color w:val="1C1D1E"/>
          <w:sz w:val="21"/>
          <w:szCs w:val="21"/>
          <w:lang w:eastAsia="en-GB"/>
        </w:rPr>
        <w:t xml:space="preserve">N </w:t>
      </w:r>
      <w:proofErr w:type="spellStart"/>
      <w:r w:rsidRPr="00EE1503">
        <w:rPr>
          <w:rFonts w:ascii="Arial" w:eastAsia="Times New Roman" w:hAnsi="Arial" w:cs="Arial"/>
          <w:i/>
          <w:iCs/>
          <w:color w:val="1C1D1E"/>
          <w:sz w:val="21"/>
          <w:szCs w:val="21"/>
          <w:lang w:eastAsia="en-GB"/>
        </w:rPr>
        <w:t>Engl</w:t>
      </w:r>
      <w:proofErr w:type="spellEnd"/>
      <w:r w:rsidRPr="00EE1503">
        <w:rPr>
          <w:rFonts w:ascii="Arial" w:eastAsia="Times New Roman" w:hAnsi="Arial" w:cs="Arial"/>
          <w:i/>
          <w:iCs/>
          <w:color w:val="1C1D1E"/>
          <w:sz w:val="21"/>
          <w:szCs w:val="21"/>
          <w:lang w:eastAsia="en-GB"/>
        </w:rPr>
        <w:t xml:space="preserve"> J Med</w:t>
      </w:r>
      <w:r w:rsidRPr="00EE1503">
        <w:rPr>
          <w:rFonts w:ascii="Arial" w:eastAsia="Times New Roman" w:hAnsi="Arial" w:cs="Arial"/>
          <w:color w:val="1C1D1E"/>
          <w:sz w:val="21"/>
          <w:szCs w:val="21"/>
          <w:lang w:eastAsia="en-GB"/>
        </w:rPr>
        <w:t>. 1998; </w:t>
      </w:r>
      <w:r w:rsidRPr="00EE1503">
        <w:rPr>
          <w:rFonts w:ascii="Arial" w:eastAsia="Times New Roman" w:hAnsi="Arial" w:cs="Arial"/>
          <w:b/>
          <w:bCs/>
          <w:color w:val="1C1D1E"/>
          <w:sz w:val="21"/>
          <w:szCs w:val="21"/>
          <w:lang w:eastAsia="en-GB"/>
        </w:rPr>
        <w:t>339</w:t>
      </w:r>
      <w:r w:rsidRPr="00EE1503">
        <w:rPr>
          <w:rFonts w:ascii="Arial" w:eastAsia="Times New Roman" w:hAnsi="Arial" w:cs="Arial"/>
          <w:color w:val="1C1D1E"/>
          <w:sz w:val="21"/>
          <w:szCs w:val="21"/>
          <w:lang w:eastAsia="en-GB"/>
        </w:rPr>
        <w:t>: 5</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 11.</w:t>
      </w:r>
    </w:p>
    <w:p w14:paraId="48F06D17" w14:textId="77777777" w:rsidR="00EE1503" w:rsidRPr="00EE1503" w:rsidRDefault="00EE1503" w:rsidP="00EE1503">
      <w:pPr>
        <w:pBdr>
          <w:top w:val="single" w:sz="6" w:space="11" w:color="D4D1C8"/>
        </w:pBdr>
        <w:shd w:val="clear" w:color="auto" w:fill="FFFFFF"/>
        <w:spacing w:before="225" w:after="100" w:afterAutospacing="1" w:line="240" w:lineRule="auto"/>
        <w:ind w:left="720"/>
        <w:rPr>
          <w:rFonts w:ascii="Arial" w:eastAsia="Times New Roman" w:hAnsi="Arial" w:cs="Arial"/>
          <w:color w:val="1C1D1E"/>
          <w:sz w:val="21"/>
          <w:szCs w:val="21"/>
          <w:lang w:eastAsia="en-GB"/>
        </w:rPr>
      </w:pPr>
      <w:r w:rsidRPr="00EE1503">
        <w:rPr>
          <w:rFonts w:ascii="Arial" w:eastAsia="Times New Roman" w:hAnsi="Arial" w:cs="Arial"/>
          <w:color w:val="1C1D1E"/>
          <w:sz w:val="21"/>
          <w:szCs w:val="21"/>
          <w:lang w:eastAsia="en-GB"/>
        </w:rPr>
        <w:t>2. RE, Davis BR, Schultz WH, et al. Hydroxycarbamide versus chronic transfusion for maintenance of transcranial doppler flow velocities in children with sickle cell anaemia</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TCD With Transfusions Changing to Hydroxyurea (</w:t>
      </w:r>
      <w:proofErr w:type="spellStart"/>
      <w:r w:rsidRPr="00EE1503">
        <w:rPr>
          <w:rFonts w:ascii="Arial" w:eastAsia="Times New Roman" w:hAnsi="Arial" w:cs="Arial"/>
          <w:color w:val="1C1D1E"/>
          <w:sz w:val="21"/>
          <w:szCs w:val="21"/>
          <w:lang w:eastAsia="en-GB"/>
        </w:rPr>
        <w:t>TWiTCH</w:t>
      </w:r>
      <w:proofErr w:type="spellEnd"/>
      <w:r w:rsidRPr="00EE1503">
        <w:rPr>
          <w:rFonts w:ascii="Arial" w:eastAsia="Times New Roman" w:hAnsi="Arial" w:cs="Arial"/>
          <w:color w:val="1C1D1E"/>
          <w:sz w:val="21"/>
          <w:szCs w:val="21"/>
          <w:lang w:eastAsia="en-GB"/>
        </w:rPr>
        <w:t>): a multicentre, open</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label, phase 3, non</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inferiority trial. </w:t>
      </w:r>
      <w:r w:rsidRPr="00EE1503">
        <w:rPr>
          <w:rFonts w:ascii="Arial" w:eastAsia="Times New Roman" w:hAnsi="Arial" w:cs="Arial"/>
          <w:i/>
          <w:iCs/>
          <w:color w:val="1C1D1E"/>
          <w:sz w:val="21"/>
          <w:szCs w:val="21"/>
          <w:lang w:eastAsia="en-GB"/>
        </w:rPr>
        <w:t>Lancet</w:t>
      </w:r>
      <w:r w:rsidRPr="00EE1503">
        <w:rPr>
          <w:rFonts w:ascii="Arial" w:eastAsia="Times New Roman" w:hAnsi="Arial" w:cs="Arial"/>
          <w:color w:val="1C1D1E"/>
          <w:sz w:val="21"/>
          <w:szCs w:val="21"/>
          <w:lang w:eastAsia="en-GB"/>
        </w:rPr>
        <w:t>. 2016; </w:t>
      </w:r>
      <w:r w:rsidRPr="00EE1503">
        <w:rPr>
          <w:rFonts w:ascii="Arial" w:eastAsia="Times New Roman" w:hAnsi="Arial" w:cs="Arial"/>
          <w:b/>
          <w:bCs/>
          <w:color w:val="1C1D1E"/>
          <w:sz w:val="21"/>
          <w:szCs w:val="21"/>
          <w:lang w:eastAsia="en-GB"/>
        </w:rPr>
        <w:t>387</w:t>
      </w:r>
      <w:r w:rsidRPr="00EE1503">
        <w:rPr>
          <w:rFonts w:ascii="Arial" w:eastAsia="Times New Roman" w:hAnsi="Arial" w:cs="Arial"/>
          <w:color w:val="1C1D1E"/>
          <w:sz w:val="21"/>
          <w:szCs w:val="21"/>
          <w:lang w:eastAsia="en-GB"/>
        </w:rPr>
        <w:t>: 661</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 xml:space="preserve"> 670. </w:t>
      </w:r>
    </w:p>
    <w:p w14:paraId="26EFA0CE" w14:textId="77777777" w:rsidR="00EE1503" w:rsidRPr="00EE1503" w:rsidRDefault="00EE1503" w:rsidP="00EE1503">
      <w:pPr>
        <w:pBdr>
          <w:top w:val="single" w:sz="6" w:space="11" w:color="D4D1C8"/>
        </w:pBdr>
        <w:shd w:val="clear" w:color="auto" w:fill="FFFFFF"/>
        <w:spacing w:before="225" w:after="100" w:afterAutospacing="1" w:line="240" w:lineRule="auto"/>
        <w:ind w:left="720"/>
        <w:rPr>
          <w:rFonts w:ascii="Arial" w:eastAsia="Times New Roman" w:hAnsi="Arial" w:cs="Arial"/>
          <w:color w:val="1C1D1E"/>
          <w:sz w:val="21"/>
          <w:szCs w:val="21"/>
          <w:lang w:eastAsia="en-GB"/>
        </w:rPr>
      </w:pPr>
      <w:r w:rsidRPr="00EE1503">
        <w:rPr>
          <w:rFonts w:ascii="Arial" w:eastAsia="Times New Roman" w:hAnsi="Arial" w:cs="Arial"/>
          <w:color w:val="1C1D1E"/>
          <w:sz w:val="21"/>
          <w:szCs w:val="21"/>
          <w:lang w:eastAsia="en-GB"/>
        </w:rPr>
        <w:t xml:space="preserve">3. </w:t>
      </w:r>
      <w:proofErr w:type="spellStart"/>
      <w:r w:rsidRPr="00EE1503">
        <w:rPr>
          <w:rFonts w:ascii="Arial" w:eastAsia="Times New Roman" w:hAnsi="Arial" w:cs="Arial"/>
          <w:color w:val="1C1D1E"/>
          <w:sz w:val="21"/>
          <w:szCs w:val="21"/>
          <w:lang w:eastAsia="en-GB"/>
        </w:rPr>
        <w:t>Lagunju</w:t>
      </w:r>
      <w:proofErr w:type="spellEnd"/>
      <w:r w:rsidRPr="00EE1503">
        <w:rPr>
          <w:rFonts w:ascii="Arial" w:eastAsia="Times New Roman" w:hAnsi="Arial" w:cs="Arial"/>
          <w:color w:val="1C1D1E"/>
          <w:sz w:val="21"/>
          <w:szCs w:val="21"/>
          <w:lang w:eastAsia="en-GB"/>
        </w:rPr>
        <w:t xml:space="preserve"> IA, Brown BJ, </w:t>
      </w:r>
      <w:proofErr w:type="spellStart"/>
      <w:r w:rsidRPr="00EE1503">
        <w:rPr>
          <w:rFonts w:ascii="Arial" w:eastAsia="Times New Roman" w:hAnsi="Arial" w:cs="Arial"/>
          <w:color w:val="1C1D1E"/>
          <w:sz w:val="21"/>
          <w:szCs w:val="21"/>
          <w:lang w:eastAsia="en-GB"/>
        </w:rPr>
        <w:t>Sodeinde</w:t>
      </w:r>
      <w:proofErr w:type="spellEnd"/>
      <w:r w:rsidRPr="00EE1503">
        <w:rPr>
          <w:rFonts w:ascii="Arial" w:eastAsia="Times New Roman" w:hAnsi="Arial" w:cs="Arial"/>
          <w:color w:val="1C1D1E"/>
          <w:sz w:val="21"/>
          <w:szCs w:val="21"/>
          <w:lang w:eastAsia="en-GB"/>
        </w:rPr>
        <w:t xml:space="preserve"> OO. Chronic blood transfusion for primary and secondary stroke prevention in Nigerian children with sickle cell disease: A 5</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year appraisal. </w:t>
      </w:r>
      <w:proofErr w:type="spellStart"/>
      <w:r w:rsidRPr="00EE1503">
        <w:rPr>
          <w:rFonts w:ascii="Arial" w:eastAsia="Times New Roman" w:hAnsi="Arial" w:cs="Arial"/>
          <w:i/>
          <w:iCs/>
          <w:color w:val="1C1D1E"/>
          <w:sz w:val="21"/>
          <w:szCs w:val="21"/>
          <w:lang w:eastAsia="en-GB"/>
        </w:rPr>
        <w:t>Pediatric</w:t>
      </w:r>
      <w:proofErr w:type="spellEnd"/>
      <w:r w:rsidRPr="00EE1503">
        <w:rPr>
          <w:rFonts w:ascii="Arial" w:eastAsia="Times New Roman" w:hAnsi="Arial" w:cs="Arial"/>
          <w:i/>
          <w:iCs/>
          <w:color w:val="1C1D1E"/>
          <w:sz w:val="21"/>
          <w:szCs w:val="21"/>
          <w:lang w:eastAsia="en-GB"/>
        </w:rPr>
        <w:t xml:space="preserve"> Blood &amp; Cancer</w:t>
      </w:r>
      <w:r w:rsidRPr="00EE1503">
        <w:rPr>
          <w:rFonts w:ascii="Arial" w:eastAsia="Times New Roman" w:hAnsi="Arial" w:cs="Arial"/>
          <w:color w:val="1C1D1E"/>
          <w:sz w:val="21"/>
          <w:szCs w:val="21"/>
          <w:lang w:eastAsia="en-GB"/>
        </w:rPr>
        <w:t>. 2013; </w:t>
      </w:r>
      <w:r w:rsidRPr="00EE1503">
        <w:rPr>
          <w:rFonts w:ascii="Arial" w:eastAsia="Times New Roman" w:hAnsi="Arial" w:cs="Arial"/>
          <w:b/>
          <w:bCs/>
          <w:color w:val="1C1D1E"/>
          <w:sz w:val="21"/>
          <w:szCs w:val="21"/>
          <w:lang w:eastAsia="en-GB"/>
        </w:rPr>
        <w:t>60</w:t>
      </w:r>
      <w:r w:rsidRPr="00EE1503">
        <w:rPr>
          <w:rFonts w:ascii="Arial" w:eastAsia="Times New Roman" w:hAnsi="Arial" w:cs="Arial"/>
          <w:color w:val="1C1D1E"/>
          <w:sz w:val="21"/>
          <w:szCs w:val="21"/>
          <w:lang w:eastAsia="en-GB"/>
        </w:rPr>
        <w:t>: 1940</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 1945.</w:t>
      </w:r>
    </w:p>
    <w:p w14:paraId="651F4D1D" w14:textId="77777777" w:rsidR="00EE1503" w:rsidRPr="00EE1503" w:rsidRDefault="00EE1503" w:rsidP="00EE1503">
      <w:pPr>
        <w:pBdr>
          <w:top w:val="single" w:sz="6" w:space="11" w:color="D4D1C8"/>
        </w:pBdr>
        <w:shd w:val="clear" w:color="auto" w:fill="FFFFFF"/>
        <w:spacing w:before="225" w:after="100" w:afterAutospacing="1" w:line="240" w:lineRule="auto"/>
        <w:ind w:left="720"/>
        <w:rPr>
          <w:rFonts w:ascii="Arial" w:eastAsia="Times New Roman" w:hAnsi="Arial" w:cs="Arial"/>
          <w:color w:val="1C1D1E"/>
          <w:sz w:val="21"/>
          <w:szCs w:val="21"/>
          <w:lang w:eastAsia="en-GB"/>
        </w:rPr>
      </w:pPr>
      <w:r w:rsidRPr="00EE1503">
        <w:rPr>
          <w:rFonts w:ascii="Arial" w:eastAsia="Times New Roman" w:hAnsi="Arial" w:cs="Arial"/>
          <w:color w:val="1C1D1E"/>
          <w:sz w:val="21"/>
          <w:szCs w:val="21"/>
          <w:lang w:eastAsia="en-GB"/>
        </w:rPr>
        <w:t xml:space="preserve">4. </w:t>
      </w:r>
      <w:proofErr w:type="spellStart"/>
      <w:r w:rsidRPr="00EE1503">
        <w:rPr>
          <w:rFonts w:ascii="Arial" w:eastAsia="Times New Roman" w:hAnsi="Arial" w:cs="Arial"/>
          <w:color w:val="1C1D1E"/>
          <w:sz w:val="21"/>
          <w:szCs w:val="21"/>
          <w:lang w:eastAsia="en-GB"/>
        </w:rPr>
        <w:t>Galadanci</w:t>
      </w:r>
      <w:proofErr w:type="spellEnd"/>
      <w:r w:rsidRPr="00EE1503">
        <w:rPr>
          <w:rFonts w:ascii="Arial" w:eastAsia="Times New Roman" w:hAnsi="Arial" w:cs="Arial"/>
          <w:color w:val="1C1D1E"/>
          <w:sz w:val="21"/>
          <w:szCs w:val="21"/>
          <w:lang w:eastAsia="en-GB"/>
        </w:rPr>
        <w:t xml:space="preserve"> NA, Umar Abdullahi S, Vance LD, et al. Feasibility trial for primary stroke prevention in children with sickle cell </w:t>
      </w:r>
      <w:proofErr w:type="spellStart"/>
      <w:r w:rsidRPr="00EE1503">
        <w:rPr>
          <w:rFonts w:ascii="Arial" w:eastAsia="Times New Roman" w:hAnsi="Arial" w:cs="Arial"/>
          <w:color w:val="1C1D1E"/>
          <w:sz w:val="21"/>
          <w:szCs w:val="21"/>
          <w:lang w:eastAsia="en-GB"/>
        </w:rPr>
        <w:t>anemia</w:t>
      </w:r>
      <w:proofErr w:type="spellEnd"/>
      <w:r w:rsidRPr="00EE1503">
        <w:rPr>
          <w:rFonts w:ascii="Arial" w:eastAsia="Times New Roman" w:hAnsi="Arial" w:cs="Arial"/>
          <w:color w:val="1C1D1E"/>
          <w:sz w:val="21"/>
          <w:szCs w:val="21"/>
          <w:lang w:eastAsia="en-GB"/>
        </w:rPr>
        <w:t xml:space="preserve"> in Nigeria (SPIN trial). </w:t>
      </w:r>
      <w:r w:rsidRPr="00EE1503">
        <w:rPr>
          <w:rFonts w:ascii="Arial" w:eastAsia="Times New Roman" w:hAnsi="Arial" w:cs="Arial"/>
          <w:i/>
          <w:iCs/>
          <w:color w:val="1C1D1E"/>
          <w:sz w:val="21"/>
          <w:szCs w:val="21"/>
          <w:lang w:eastAsia="en-GB"/>
        </w:rPr>
        <w:t xml:space="preserve">Am J </w:t>
      </w:r>
      <w:proofErr w:type="spellStart"/>
      <w:r w:rsidRPr="00EE1503">
        <w:rPr>
          <w:rFonts w:ascii="Arial" w:eastAsia="Times New Roman" w:hAnsi="Arial" w:cs="Arial"/>
          <w:i/>
          <w:iCs/>
          <w:color w:val="1C1D1E"/>
          <w:sz w:val="21"/>
          <w:szCs w:val="21"/>
          <w:lang w:eastAsia="en-GB"/>
        </w:rPr>
        <w:t>Hematol</w:t>
      </w:r>
      <w:proofErr w:type="spellEnd"/>
      <w:r w:rsidRPr="00EE1503">
        <w:rPr>
          <w:rFonts w:ascii="Arial" w:eastAsia="Times New Roman" w:hAnsi="Arial" w:cs="Arial"/>
          <w:color w:val="1C1D1E"/>
          <w:sz w:val="21"/>
          <w:szCs w:val="21"/>
          <w:lang w:eastAsia="en-GB"/>
        </w:rPr>
        <w:t>. 2017; </w:t>
      </w:r>
      <w:r w:rsidRPr="00EE1503">
        <w:rPr>
          <w:rFonts w:ascii="Arial" w:eastAsia="Times New Roman" w:hAnsi="Arial" w:cs="Arial"/>
          <w:b/>
          <w:bCs/>
          <w:color w:val="1C1D1E"/>
          <w:sz w:val="21"/>
          <w:szCs w:val="21"/>
          <w:lang w:eastAsia="en-GB"/>
        </w:rPr>
        <w:t>92</w:t>
      </w:r>
      <w:r w:rsidRPr="00EE1503">
        <w:rPr>
          <w:rFonts w:ascii="Arial" w:eastAsia="Times New Roman" w:hAnsi="Arial" w:cs="Arial"/>
          <w:color w:val="1C1D1E"/>
          <w:sz w:val="21"/>
          <w:szCs w:val="21"/>
          <w:lang w:eastAsia="en-GB"/>
        </w:rPr>
        <w:t>: 780</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 xml:space="preserve"> 788. </w:t>
      </w:r>
    </w:p>
    <w:p w14:paraId="68A917ED" w14:textId="77BBF3C9" w:rsidR="00EE1503" w:rsidRPr="00EE1503" w:rsidRDefault="00EE1503" w:rsidP="00EE1503">
      <w:pPr>
        <w:pBdr>
          <w:top w:val="single" w:sz="6" w:space="11" w:color="D4D1C8"/>
        </w:pBdr>
        <w:shd w:val="clear" w:color="auto" w:fill="FFFFFF"/>
        <w:spacing w:before="225" w:after="100" w:afterAutospacing="1" w:line="240" w:lineRule="auto"/>
        <w:ind w:left="720"/>
        <w:rPr>
          <w:rFonts w:ascii="Arial" w:eastAsia="Times New Roman" w:hAnsi="Arial" w:cs="Arial"/>
          <w:color w:val="1C1D1E"/>
          <w:sz w:val="21"/>
          <w:szCs w:val="21"/>
          <w:lang w:eastAsia="en-GB"/>
        </w:rPr>
      </w:pPr>
      <w:r w:rsidRPr="00EE1503">
        <w:rPr>
          <w:rFonts w:ascii="Arial" w:eastAsia="Times New Roman" w:hAnsi="Arial" w:cs="Arial"/>
          <w:color w:val="1C1D1E"/>
          <w:sz w:val="21"/>
          <w:szCs w:val="21"/>
          <w:lang w:eastAsia="en-GB"/>
        </w:rPr>
        <w:t xml:space="preserve">5. </w:t>
      </w:r>
      <w:proofErr w:type="spellStart"/>
      <w:r w:rsidRPr="00EE1503">
        <w:rPr>
          <w:rFonts w:ascii="Arial" w:eastAsia="Times New Roman" w:hAnsi="Arial" w:cs="Arial"/>
          <w:color w:val="1C1D1E"/>
          <w:sz w:val="21"/>
          <w:szCs w:val="21"/>
          <w:lang w:eastAsia="en-GB"/>
        </w:rPr>
        <w:t>Aho</w:t>
      </w:r>
      <w:proofErr w:type="spellEnd"/>
      <w:r w:rsidRPr="00EE1503">
        <w:rPr>
          <w:rFonts w:ascii="Arial" w:eastAsia="Times New Roman" w:hAnsi="Arial" w:cs="Arial"/>
          <w:color w:val="1C1D1E"/>
          <w:sz w:val="21"/>
          <w:szCs w:val="21"/>
          <w:lang w:eastAsia="en-GB"/>
        </w:rPr>
        <w:t xml:space="preserve"> K, </w:t>
      </w:r>
      <w:proofErr w:type="spellStart"/>
      <w:r w:rsidRPr="00EE1503">
        <w:rPr>
          <w:rFonts w:ascii="Arial" w:eastAsia="Times New Roman" w:hAnsi="Arial" w:cs="Arial"/>
          <w:color w:val="1C1D1E"/>
          <w:sz w:val="21"/>
          <w:szCs w:val="21"/>
          <w:lang w:eastAsia="en-GB"/>
        </w:rPr>
        <w:t>Harmsen</w:t>
      </w:r>
      <w:proofErr w:type="spellEnd"/>
      <w:r w:rsidRPr="00EE1503">
        <w:rPr>
          <w:rFonts w:ascii="Arial" w:eastAsia="Times New Roman" w:hAnsi="Arial" w:cs="Arial"/>
          <w:color w:val="1C1D1E"/>
          <w:sz w:val="21"/>
          <w:szCs w:val="21"/>
          <w:lang w:eastAsia="en-GB"/>
        </w:rPr>
        <w:t xml:space="preserve"> P, </w:t>
      </w:r>
      <w:proofErr w:type="spellStart"/>
      <w:r w:rsidRPr="00EE1503">
        <w:rPr>
          <w:rFonts w:ascii="Arial" w:eastAsia="Times New Roman" w:hAnsi="Arial" w:cs="Arial"/>
          <w:color w:val="1C1D1E"/>
          <w:sz w:val="21"/>
          <w:szCs w:val="21"/>
          <w:lang w:eastAsia="en-GB"/>
        </w:rPr>
        <w:t>Hatano</w:t>
      </w:r>
      <w:proofErr w:type="spellEnd"/>
      <w:r w:rsidRPr="00EE1503">
        <w:rPr>
          <w:rFonts w:ascii="Arial" w:eastAsia="Times New Roman" w:hAnsi="Arial" w:cs="Arial"/>
          <w:color w:val="1C1D1E"/>
          <w:sz w:val="21"/>
          <w:szCs w:val="21"/>
          <w:lang w:eastAsia="en-GB"/>
        </w:rPr>
        <w:t xml:space="preserve"> S, et al. Cerebrovascular disease in the community: results of a WHO collaborative study. </w:t>
      </w:r>
      <w:r w:rsidRPr="00EE1503">
        <w:rPr>
          <w:rFonts w:ascii="Arial" w:eastAsia="Times New Roman" w:hAnsi="Arial" w:cs="Arial"/>
          <w:i/>
          <w:iCs/>
          <w:color w:val="1C1D1E"/>
          <w:sz w:val="21"/>
          <w:szCs w:val="21"/>
          <w:lang w:eastAsia="en-GB"/>
        </w:rPr>
        <w:t>Bull World Health Organ</w:t>
      </w:r>
      <w:r w:rsidRPr="00EE1503">
        <w:rPr>
          <w:rFonts w:ascii="Arial" w:eastAsia="Times New Roman" w:hAnsi="Arial" w:cs="Arial"/>
          <w:color w:val="1C1D1E"/>
          <w:sz w:val="21"/>
          <w:szCs w:val="21"/>
          <w:lang w:eastAsia="en-GB"/>
        </w:rPr>
        <w:t>. 1980; </w:t>
      </w:r>
      <w:r w:rsidRPr="00EE1503">
        <w:rPr>
          <w:rFonts w:ascii="Arial" w:eastAsia="Times New Roman" w:hAnsi="Arial" w:cs="Arial"/>
          <w:b/>
          <w:bCs/>
          <w:color w:val="1C1D1E"/>
          <w:sz w:val="21"/>
          <w:szCs w:val="21"/>
          <w:lang w:eastAsia="en-GB"/>
        </w:rPr>
        <w:t>58</w:t>
      </w:r>
      <w:r w:rsidRPr="00EE1503">
        <w:rPr>
          <w:rFonts w:ascii="Arial" w:eastAsia="Times New Roman" w:hAnsi="Arial" w:cs="Arial"/>
          <w:color w:val="1C1D1E"/>
          <w:sz w:val="21"/>
          <w:szCs w:val="21"/>
          <w:lang w:eastAsia="en-GB"/>
        </w:rPr>
        <w:t>: 113</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 130.</w:t>
      </w:r>
    </w:p>
    <w:p w14:paraId="56515538" w14:textId="0084676D" w:rsidR="00EE1503" w:rsidRPr="00EE1503" w:rsidRDefault="00EE1503" w:rsidP="00EE1503">
      <w:pPr>
        <w:pBdr>
          <w:top w:val="single" w:sz="6" w:space="11" w:color="D4D1C8"/>
        </w:pBdr>
        <w:shd w:val="clear" w:color="auto" w:fill="FFFFFF"/>
        <w:spacing w:before="225" w:after="100" w:afterAutospacing="1" w:line="240" w:lineRule="auto"/>
        <w:ind w:left="720"/>
        <w:rPr>
          <w:rFonts w:ascii="Arial" w:eastAsia="Times New Roman" w:hAnsi="Arial" w:cs="Arial"/>
          <w:color w:val="1C1D1E"/>
          <w:sz w:val="21"/>
          <w:szCs w:val="21"/>
          <w:lang w:eastAsia="en-GB"/>
        </w:rPr>
      </w:pPr>
      <w:r w:rsidRPr="00EE1503">
        <w:rPr>
          <w:rFonts w:ascii="Arial" w:eastAsia="Times New Roman" w:hAnsi="Arial" w:cs="Arial"/>
          <w:color w:val="1C1D1E"/>
          <w:sz w:val="21"/>
          <w:szCs w:val="21"/>
          <w:lang w:eastAsia="en-GB"/>
        </w:rPr>
        <w:t xml:space="preserve">6 DeBaun MR, Jordan LC, King AA, et al. American Society of </w:t>
      </w:r>
      <w:proofErr w:type="spellStart"/>
      <w:r w:rsidRPr="00EE1503">
        <w:rPr>
          <w:rFonts w:ascii="Arial" w:eastAsia="Times New Roman" w:hAnsi="Arial" w:cs="Arial"/>
          <w:color w:val="1C1D1E"/>
          <w:sz w:val="21"/>
          <w:szCs w:val="21"/>
          <w:lang w:eastAsia="en-GB"/>
        </w:rPr>
        <w:t>Hematology</w:t>
      </w:r>
      <w:proofErr w:type="spellEnd"/>
      <w:r w:rsidRPr="00EE1503">
        <w:rPr>
          <w:rFonts w:ascii="Arial" w:eastAsia="Times New Roman" w:hAnsi="Arial" w:cs="Arial"/>
          <w:color w:val="1C1D1E"/>
          <w:sz w:val="21"/>
          <w:szCs w:val="21"/>
          <w:lang w:eastAsia="en-GB"/>
        </w:rPr>
        <w:t xml:space="preserve"> 2020 guidelines for sickle cell disease: prevention, diagnosis, and treatment of cerebrovascular disease in children and adults. </w:t>
      </w:r>
      <w:r w:rsidRPr="00EE1503">
        <w:rPr>
          <w:rFonts w:ascii="Arial" w:eastAsia="Times New Roman" w:hAnsi="Arial" w:cs="Arial"/>
          <w:i/>
          <w:iCs/>
          <w:color w:val="1C1D1E"/>
          <w:sz w:val="21"/>
          <w:szCs w:val="21"/>
          <w:lang w:eastAsia="en-GB"/>
        </w:rPr>
        <w:t>Blood Adv</w:t>
      </w:r>
      <w:r w:rsidRPr="00EE1503">
        <w:rPr>
          <w:rFonts w:ascii="Arial" w:eastAsia="Times New Roman" w:hAnsi="Arial" w:cs="Arial"/>
          <w:color w:val="1C1D1E"/>
          <w:sz w:val="21"/>
          <w:szCs w:val="21"/>
          <w:lang w:eastAsia="en-GB"/>
        </w:rPr>
        <w:t>. 2020; </w:t>
      </w:r>
      <w:r w:rsidRPr="00EE1503">
        <w:rPr>
          <w:rFonts w:ascii="Arial" w:eastAsia="Times New Roman" w:hAnsi="Arial" w:cs="Arial"/>
          <w:b/>
          <w:bCs/>
          <w:color w:val="1C1D1E"/>
          <w:sz w:val="21"/>
          <w:szCs w:val="21"/>
          <w:lang w:eastAsia="en-GB"/>
        </w:rPr>
        <w:t>4</w:t>
      </w:r>
      <w:r w:rsidRPr="00EE1503">
        <w:rPr>
          <w:rFonts w:ascii="Arial" w:eastAsia="Times New Roman" w:hAnsi="Arial" w:cs="Arial"/>
          <w:color w:val="1C1D1E"/>
          <w:sz w:val="21"/>
          <w:szCs w:val="21"/>
          <w:lang w:eastAsia="en-GB"/>
        </w:rPr>
        <w:t>: 1554</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 1588.</w:t>
      </w:r>
    </w:p>
    <w:p w14:paraId="13A88573" w14:textId="1C0343D8" w:rsidR="00EE1503" w:rsidRDefault="00EE1503" w:rsidP="00EE1503">
      <w:pPr>
        <w:pBdr>
          <w:top w:val="single" w:sz="6" w:space="11" w:color="D4D1C8"/>
        </w:pBdr>
        <w:shd w:val="clear" w:color="auto" w:fill="FFFFFF"/>
        <w:spacing w:before="225" w:after="100" w:afterAutospacing="1" w:line="240" w:lineRule="auto"/>
        <w:ind w:left="720"/>
        <w:rPr>
          <w:rFonts w:ascii="Arial" w:eastAsia="Times New Roman" w:hAnsi="Arial" w:cs="Arial"/>
          <w:color w:val="1C1D1E"/>
          <w:sz w:val="21"/>
          <w:szCs w:val="21"/>
          <w:lang w:eastAsia="en-GB"/>
        </w:rPr>
      </w:pPr>
      <w:r w:rsidRPr="00EE1503">
        <w:rPr>
          <w:rFonts w:ascii="Arial" w:eastAsia="Times New Roman" w:hAnsi="Arial" w:cs="Arial"/>
          <w:color w:val="1C1D1E"/>
          <w:sz w:val="21"/>
          <w:szCs w:val="21"/>
          <w:lang w:eastAsia="en-GB"/>
        </w:rPr>
        <w:t>7. Wang WC, Ware RE, Miller ST, et al. Hydroxycarbamide in very young children with sickle</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cell anaemia: a multicentre, randomised, controlled trial (BABY HUG). </w:t>
      </w:r>
      <w:r w:rsidRPr="00EE1503">
        <w:rPr>
          <w:rFonts w:ascii="Arial" w:eastAsia="Times New Roman" w:hAnsi="Arial" w:cs="Arial"/>
          <w:i/>
          <w:iCs/>
          <w:color w:val="1C1D1E"/>
          <w:sz w:val="21"/>
          <w:szCs w:val="21"/>
          <w:lang w:eastAsia="en-GB"/>
        </w:rPr>
        <w:t>Lancet</w:t>
      </w:r>
      <w:r w:rsidRPr="00EE1503">
        <w:rPr>
          <w:rFonts w:ascii="Arial" w:eastAsia="Times New Roman" w:hAnsi="Arial" w:cs="Arial"/>
          <w:color w:val="1C1D1E"/>
          <w:sz w:val="21"/>
          <w:szCs w:val="21"/>
          <w:lang w:eastAsia="en-GB"/>
        </w:rPr>
        <w:t>. 2011; </w:t>
      </w:r>
      <w:r w:rsidRPr="00EE1503">
        <w:rPr>
          <w:rFonts w:ascii="Arial" w:eastAsia="Times New Roman" w:hAnsi="Arial" w:cs="Arial"/>
          <w:b/>
          <w:bCs/>
          <w:color w:val="1C1D1E"/>
          <w:sz w:val="21"/>
          <w:szCs w:val="21"/>
          <w:lang w:eastAsia="en-GB"/>
        </w:rPr>
        <w:t>377</w:t>
      </w:r>
      <w:r w:rsidRPr="00EE1503">
        <w:rPr>
          <w:rFonts w:ascii="Arial" w:eastAsia="Times New Roman" w:hAnsi="Arial" w:cs="Arial"/>
          <w:color w:val="1C1D1E"/>
          <w:sz w:val="21"/>
          <w:szCs w:val="21"/>
          <w:lang w:eastAsia="en-GB"/>
        </w:rPr>
        <w:t>: 1663</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 1672.</w:t>
      </w:r>
    </w:p>
    <w:p w14:paraId="444E7096" w14:textId="10421066" w:rsidR="00EE1503" w:rsidRDefault="00EE1503">
      <w:pPr>
        <w:rPr>
          <w:rFonts w:ascii="Arial" w:eastAsia="Times New Roman" w:hAnsi="Arial" w:cs="Arial"/>
          <w:color w:val="1C1D1E"/>
          <w:sz w:val="21"/>
          <w:szCs w:val="21"/>
          <w:lang w:eastAsia="en-GB"/>
        </w:rPr>
      </w:pPr>
      <w:r>
        <w:rPr>
          <w:rFonts w:ascii="Arial" w:eastAsia="Times New Roman" w:hAnsi="Arial" w:cs="Arial"/>
          <w:color w:val="1C1D1E"/>
          <w:sz w:val="21"/>
          <w:szCs w:val="21"/>
          <w:lang w:eastAsia="en-GB"/>
        </w:rPr>
        <w:br w:type="page"/>
      </w:r>
    </w:p>
    <w:tbl>
      <w:tblPr>
        <w:tblW w:w="10100" w:type="dxa"/>
        <w:tblBorders>
          <w:top w:val="single" w:sz="6" w:space="0" w:color="9E9E9E"/>
          <w:left w:val="single" w:sz="6" w:space="0" w:color="9E9E9E"/>
          <w:bottom w:val="single" w:sz="6" w:space="0" w:color="9E9E9E"/>
          <w:right w:val="single" w:sz="6" w:space="0" w:color="9E9E9E"/>
        </w:tblBorders>
        <w:shd w:val="clear" w:color="auto" w:fill="FFFFFF"/>
        <w:tblCellMar>
          <w:top w:w="15" w:type="dxa"/>
          <w:left w:w="15" w:type="dxa"/>
          <w:bottom w:w="15" w:type="dxa"/>
          <w:right w:w="15" w:type="dxa"/>
        </w:tblCellMar>
        <w:tblLook w:val="04A0" w:firstRow="1" w:lastRow="0" w:firstColumn="1" w:lastColumn="0" w:noHBand="0" w:noVBand="1"/>
      </w:tblPr>
      <w:tblGrid>
        <w:gridCol w:w="3354"/>
        <w:gridCol w:w="1853"/>
        <w:gridCol w:w="1960"/>
        <w:gridCol w:w="1696"/>
        <w:gridCol w:w="1237"/>
      </w:tblGrid>
      <w:tr w:rsidR="00EE1503" w:rsidRPr="00EE1503" w14:paraId="5BBA9D83" w14:textId="77777777" w:rsidTr="00EE1503">
        <w:trPr>
          <w:tblHeader/>
        </w:trPr>
        <w:tc>
          <w:tcPr>
            <w:tcW w:w="0" w:type="auto"/>
            <w:tcBorders>
              <w:top w:val="nil"/>
              <w:left w:val="nil"/>
              <w:bottom w:val="nil"/>
              <w:right w:val="nil"/>
            </w:tcBorders>
            <w:shd w:val="clear" w:color="auto" w:fill="EEEEEE"/>
            <w:tcMar>
              <w:top w:w="120" w:type="dxa"/>
              <w:left w:w="120" w:type="dxa"/>
              <w:bottom w:w="120" w:type="dxa"/>
              <w:right w:w="120" w:type="dxa"/>
            </w:tcMar>
            <w:hideMark/>
          </w:tcPr>
          <w:p w14:paraId="3A419EA0" w14:textId="77777777" w:rsidR="00EE1503" w:rsidRPr="00EE1503" w:rsidRDefault="00EE1503" w:rsidP="00EE1503">
            <w:pPr>
              <w:spacing w:after="0" w:line="240" w:lineRule="auto"/>
              <w:rPr>
                <w:rFonts w:ascii="Arial" w:eastAsia="Times New Roman" w:hAnsi="Arial" w:cs="Arial"/>
                <w:b/>
                <w:bCs/>
                <w:color w:val="000000"/>
                <w:sz w:val="24"/>
                <w:szCs w:val="24"/>
                <w:lang w:eastAsia="en-GB"/>
              </w:rPr>
            </w:pPr>
            <w:r w:rsidRPr="00EE1503">
              <w:rPr>
                <w:rFonts w:ascii="Arial" w:eastAsia="Times New Roman" w:hAnsi="Arial" w:cs="Arial"/>
                <w:b/>
                <w:bCs/>
                <w:color w:val="000000"/>
                <w:sz w:val="24"/>
                <w:szCs w:val="24"/>
                <w:lang w:eastAsia="en-GB"/>
              </w:rPr>
              <w:lastRenderedPageBreak/>
              <w:t>Participant characteristics</w:t>
            </w:r>
          </w:p>
        </w:tc>
        <w:tc>
          <w:tcPr>
            <w:tcW w:w="0" w:type="auto"/>
            <w:tcBorders>
              <w:top w:val="nil"/>
              <w:left w:val="nil"/>
              <w:bottom w:val="nil"/>
              <w:right w:val="nil"/>
            </w:tcBorders>
            <w:shd w:val="clear" w:color="auto" w:fill="EEEEEE"/>
            <w:tcMar>
              <w:top w:w="120" w:type="dxa"/>
              <w:left w:w="120" w:type="dxa"/>
              <w:bottom w:w="120" w:type="dxa"/>
              <w:right w:w="120" w:type="dxa"/>
            </w:tcMar>
            <w:hideMark/>
          </w:tcPr>
          <w:p w14:paraId="026F3BB1" w14:textId="77777777" w:rsidR="00EE1503" w:rsidRPr="00EE1503" w:rsidRDefault="00EE1503" w:rsidP="00EE1503">
            <w:pPr>
              <w:spacing w:after="0" w:line="240" w:lineRule="auto"/>
              <w:rPr>
                <w:rFonts w:ascii="Arial" w:eastAsia="Times New Roman" w:hAnsi="Arial" w:cs="Arial"/>
                <w:b/>
                <w:bCs/>
                <w:color w:val="000000"/>
                <w:sz w:val="24"/>
                <w:szCs w:val="24"/>
                <w:lang w:eastAsia="en-GB"/>
              </w:rPr>
            </w:pPr>
            <w:r w:rsidRPr="00EE1503">
              <w:rPr>
                <w:rFonts w:ascii="Arial" w:eastAsia="Times New Roman" w:hAnsi="Arial" w:cs="Arial"/>
                <w:b/>
                <w:bCs/>
                <w:color w:val="000000"/>
                <w:sz w:val="24"/>
                <w:szCs w:val="24"/>
                <w:lang w:eastAsia="en-GB"/>
              </w:rPr>
              <w:t>All participants (n = 235)</w:t>
            </w:r>
          </w:p>
        </w:tc>
        <w:tc>
          <w:tcPr>
            <w:tcW w:w="0" w:type="auto"/>
            <w:tcBorders>
              <w:top w:val="nil"/>
              <w:left w:val="nil"/>
              <w:bottom w:val="nil"/>
              <w:right w:val="nil"/>
            </w:tcBorders>
            <w:shd w:val="clear" w:color="auto" w:fill="EEEEEE"/>
            <w:tcMar>
              <w:top w:w="120" w:type="dxa"/>
              <w:left w:w="120" w:type="dxa"/>
              <w:bottom w:w="120" w:type="dxa"/>
              <w:right w:w="120" w:type="dxa"/>
            </w:tcMar>
            <w:hideMark/>
          </w:tcPr>
          <w:p w14:paraId="0051A76F" w14:textId="77777777" w:rsidR="00EE1503" w:rsidRPr="00EE1503" w:rsidRDefault="00EE1503" w:rsidP="00EE1503">
            <w:pPr>
              <w:spacing w:after="0" w:line="240" w:lineRule="auto"/>
              <w:rPr>
                <w:rFonts w:ascii="Arial" w:eastAsia="Times New Roman" w:hAnsi="Arial" w:cs="Arial"/>
                <w:b/>
                <w:bCs/>
                <w:color w:val="000000"/>
                <w:sz w:val="24"/>
                <w:szCs w:val="24"/>
                <w:lang w:eastAsia="en-GB"/>
              </w:rPr>
            </w:pPr>
            <w:r w:rsidRPr="00EE1503">
              <w:rPr>
                <w:rFonts w:ascii="Arial" w:eastAsia="Times New Roman" w:hAnsi="Arial" w:cs="Arial"/>
                <w:b/>
                <w:bCs/>
                <w:color w:val="000000"/>
                <w:sz w:val="24"/>
                <w:szCs w:val="24"/>
                <w:lang w:eastAsia="en-GB"/>
              </w:rPr>
              <w:t>Comparison group (n = 206)</w:t>
            </w:r>
          </w:p>
        </w:tc>
        <w:tc>
          <w:tcPr>
            <w:tcW w:w="0" w:type="auto"/>
            <w:tcBorders>
              <w:top w:val="nil"/>
              <w:left w:val="nil"/>
              <w:bottom w:val="nil"/>
              <w:right w:val="nil"/>
            </w:tcBorders>
            <w:shd w:val="clear" w:color="auto" w:fill="EEEEEE"/>
            <w:tcMar>
              <w:top w:w="120" w:type="dxa"/>
              <w:left w:w="120" w:type="dxa"/>
              <w:bottom w:w="120" w:type="dxa"/>
              <w:right w:w="120" w:type="dxa"/>
            </w:tcMar>
            <w:hideMark/>
          </w:tcPr>
          <w:p w14:paraId="5790EE4B" w14:textId="77777777" w:rsidR="00EE1503" w:rsidRPr="00EE1503" w:rsidRDefault="00EE1503" w:rsidP="00EE1503">
            <w:pPr>
              <w:spacing w:after="0" w:line="240" w:lineRule="auto"/>
              <w:rPr>
                <w:rFonts w:ascii="Arial" w:eastAsia="Times New Roman" w:hAnsi="Arial" w:cs="Arial"/>
                <w:b/>
                <w:bCs/>
                <w:color w:val="000000"/>
                <w:sz w:val="24"/>
                <w:szCs w:val="24"/>
                <w:lang w:eastAsia="en-GB"/>
              </w:rPr>
            </w:pPr>
            <w:r w:rsidRPr="00EE1503">
              <w:rPr>
                <w:rFonts w:ascii="Arial" w:eastAsia="Times New Roman" w:hAnsi="Arial" w:cs="Arial"/>
                <w:b/>
                <w:bCs/>
                <w:color w:val="000000"/>
                <w:sz w:val="24"/>
                <w:szCs w:val="24"/>
                <w:lang w:eastAsia="en-GB"/>
              </w:rPr>
              <w:t>Treatment group (n = 29)</w:t>
            </w:r>
          </w:p>
        </w:tc>
        <w:tc>
          <w:tcPr>
            <w:tcW w:w="0" w:type="auto"/>
            <w:tcBorders>
              <w:top w:val="nil"/>
              <w:left w:val="nil"/>
              <w:bottom w:val="nil"/>
              <w:right w:val="nil"/>
            </w:tcBorders>
            <w:shd w:val="clear" w:color="auto" w:fill="EEEEEE"/>
            <w:tcMar>
              <w:top w:w="120" w:type="dxa"/>
              <w:left w:w="120" w:type="dxa"/>
              <w:bottom w:w="120" w:type="dxa"/>
              <w:right w:w="120" w:type="dxa"/>
            </w:tcMar>
            <w:hideMark/>
          </w:tcPr>
          <w:p w14:paraId="6E12A115" w14:textId="77777777" w:rsidR="00EE1503" w:rsidRPr="00EE1503" w:rsidRDefault="00EE1503" w:rsidP="00EE1503">
            <w:pPr>
              <w:spacing w:after="0" w:line="240" w:lineRule="auto"/>
              <w:rPr>
                <w:rFonts w:ascii="Arial" w:eastAsia="Times New Roman" w:hAnsi="Arial" w:cs="Arial"/>
                <w:b/>
                <w:bCs/>
                <w:color w:val="000000"/>
                <w:sz w:val="24"/>
                <w:szCs w:val="24"/>
                <w:lang w:eastAsia="en-GB"/>
              </w:rPr>
            </w:pPr>
            <w:r w:rsidRPr="00EE1503">
              <w:rPr>
                <w:rFonts w:ascii="Arial" w:eastAsia="Times New Roman" w:hAnsi="Arial" w:cs="Arial"/>
                <w:b/>
                <w:bCs/>
                <w:i/>
                <w:iCs/>
                <w:color w:val="000000"/>
                <w:sz w:val="24"/>
                <w:szCs w:val="24"/>
                <w:lang w:eastAsia="en-GB"/>
              </w:rPr>
              <w:t>P</w:t>
            </w:r>
            <w:r w:rsidRPr="00EE1503">
              <w:rPr>
                <w:rFonts w:ascii="Arial" w:eastAsia="Times New Roman" w:hAnsi="Arial" w:cs="Arial"/>
                <w:b/>
                <w:bCs/>
                <w:color w:val="000000"/>
                <w:sz w:val="24"/>
                <w:szCs w:val="24"/>
                <w:lang w:eastAsia="en-GB"/>
              </w:rPr>
              <w:t> value</w:t>
            </w:r>
            <w:hyperlink r:id="rId40" w:anchor="ajh25900-note-0001_9" w:tooltip="Link to note" w:history="1">
              <w:r w:rsidRPr="00EE1503">
                <w:rPr>
                  <w:rFonts w:ascii="Arial" w:eastAsia="Times New Roman" w:hAnsi="Arial" w:cs="Arial"/>
                  <w:b/>
                  <w:bCs/>
                  <w:color w:val="005274"/>
                  <w:sz w:val="24"/>
                  <w:szCs w:val="24"/>
                  <w:u w:val="single"/>
                  <w:lang w:eastAsia="en-GB"/>
                </w:rPr>
                <w:t> </w:t>
              </w:r>
              <w:r w:rsidRPr="00EE1503">
                <w:rPr>
                  <w:rFonts w:ascii="Arial" w:eastAsia="Times New Roman" w:hAnsi="Arial" w:cs="Arial"/>
                  <w:b/>
                  <w:bCs/>
                  <w:i/>
                  <w:iCs/>
                  <w:color w:val="005274"/>
                  <w:sz w:val="24"/>
                  <w:szCs w:val="24"/>
                  <w:u w:val="single"/>
                  <w:vertAlign w:val="superscript"/>
                  <w:lang w:eastAsia="en-GB"/>
                </w:rPr>
                <w:t>a</w:t>
              </w:r>
            </w:hyperlink>
          </w:p>
        </w:tc>
      </w:tr>
      <w:tr w:rsidR="00EE1503" w:rsidRPr="00EE1503" w14:paraId="7741B414" w14:textId="77777777" w:rsidTr="00EE1503">
        <w:tc>
          <w:tcPr>
            <w:tcW w:w="0" w:type="auto"/>
            <w:shd w:val="clear" w:color="auto" w:fill="FFFFFF"/>
            <w:tcMar>
              <w:top w:w="180" w:type="dxa"/>
              <w:left w:w="180" w:type="dxa"/>
              <w:bottom w:w="0" w:type="dxa"/>
              <w:right w:w="180" w:type="dxa"/>
            </w:tcMar>
            <w:hideMark/>
          </w:tcPr>
          <w:p w14:paraId="2139803C"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Age, median (IQR)</w:t>
            </w:r>
          </w:p>
        </w:tc>
        <w:tc>
          <w:tcPr>
            <w:tcW w:w="0" w:type="auto"/>
            <w:shd w:val="clear" w:color="auto" w:fill="FFFFFF"/>
            <w:tcMar>
              <w:top w:w="180" w:type="dxa"/>
              <w:left w:w="180" w:type="dxa"/>
              <w:bottom w:w="0" w:type="dxa"/>
              <w:right w:w="180" w:type="dxa"/>
            </w:tcMar>
            <w:hideMark/>
          </w:tcPr>
          <w:p w14:paraId="35F948E0"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8.1 (6.1</w:t>
            </w:r>
            <w:r w:rsidRPr="00EE1503">
              <w:rPr>
                <w:rFonts w:ascii="Cambria Math" w:eastAsia="Times New Roman" w:hAnsi="Cambria Math" w:cs="Cambria Math"/>
                <w:color w:val="000000"/>
                <w:sz w:val="18"/>
                <w:szCs w:val="18"/>
                <w:lang w:eastAsia="en-GB"/>
              </w:rPr>
              <w:t>‐</w:t>
            </w:r>
            <w:r w:rsidRPr="00EE1503">
              <w:rPr>
                <w:rFonts w:ascii="Arial" w:eastAsia="Times New Roman" w:hAnsi="Arial" w:cs="Arial"/>
                <w:color w:val="000000"/>
                <w:sz w:val="18"/>
                <w:szCs w:val="18"/>
                <w:lang w:eastAsia="en-GB"/>
              </w:rPr>
              <w:t>10.3)</w:t>
            </w:r>
          </w:p>
        </w:tc>
        <w:tc>
          <w:tcPr>
            <w:tcW w:w="0" w:type="auto"/>
            <w:shd w:val="clear" w:color="auto" w:fill="FFFFFF"/>
            <w:tcMar>
              <w:top w:w="180" w:type="dxa"/>
              <w:left w:w="180" w:type="dxa"/>
              <w:bottom w:w="0" w:type="dxa"/>
              <w:right w:w="180" w:type="dxa"/>
            </w:tcMar>
            <w:hideMark/>
          </w:tcPr>
          <w:p w14:paraId="376D935D"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8.2 (6.2</w:t>
            </w:r>
            <w:r w:rsidRPr="00EE1503">
              <w:rPr>
                <w:rFonts w:ascii="Cambria Math" w:eastAsia="Times New Roman" w:hAnsi="Cambria Math" w:cs="Cambria Math"/>
                <w:color w:val="000000"/>
                <w:sz w:val="18"/>
                <w:szCs w:val="18"/>
                <w:lang w:eastAsia="en-GB"/>
              </w:rPr>
              <w:t>‐</w:t>
            </w:r>
            <w:r w:rsidRPr="00EE1503">
              <w:rPr>
                <w:rFonts w:ascii="Arial" w:eastAsia="Times New Roman" w:hAnsi="Arial" w:cs="Arial"/>
                <w:color w:val="000000"/>
                <w:sz w:val="18"/>
                <w:szCs w:val="18"/>
                <w:lang w:eastAsia="en-GB"/>
              </w:rPr>
              <w:t>10.4)</w:t>
            </w:r>
          </w:p>
        </w:tc>
        <w:tc>
          <w:tcPr>
            <w:tcW w:w="0" w:type="auto"/>
            <w:shd w:val="clear" w:color="auto" w:fill="FFFFFF"/>
            <w:tcMar>
              <w:top w:w="180" w:type="dxa"/>
              <w:left w:w="180" w:type="dxa"/>
              <w:bottom w:w="0" w:type="dxa"/>
              <w:right w:w="180" w:type="dxa"/>
            </w:tcMar>
            <w:hideMark/>
          </w:tcPr>
          <w:p w14:paraId="01BB3666"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7.0 (5.6</w:t>
            </w:r>
            <w:r w:rsidRPr="00EE1503">
              <w:rPr>
                <w:rFonts w:ascii="Cambria Math" w:eastAsia="Times New Roman" w:hAnsi="Cambria Math" w:cs="Cambria Math"/>
                <w:color w:val="000000"/>
                <w:sz w:val="18"/>
                <w:szCs w:val="18"/>
                <w:lang w:eastAsia="en-GB"/>
              </w:rPr>
              <w:t>‐</w:t>
            </w:r>
            <w:r w:rsidRPr="00EE1503">
              <w:rPr>
                <w:rFonts w:ascii="Arial" w:eastAsia="Times New Roman" w:hAnsi="Arial" w:cs="Arial"/>
                <w:color w:val="000000"/>
                <w:sz w:val="18"/>
                <w:szCs w:val="18"/>
                <w:lang w:eastAsia="en-GB"/>
              </w:rPr>
              <w:t>9.3)</w:t>
            </w:r>
          </w:p>
        </w:tc>
        <w:tc>
          <w:tcPr>
            <w:tcW w:w="0" w:type="auto"/>
            <w:shd w:val="clear" w:color="auto" w:fill="FFFFFF"/>
            <w:tcMar>
              <w:top w:w="180" w:type="dxa"/>
              <w:left w:w="180" w:type="dxa"/>
              <w:bottom w:w="0" w:type="dxa"/>
              <w:right w:w="180" w:type="dxa"/>
            </w:tcMar>
            <w:hideMark/>
          </w:tcPr>
          <w:p w14:paraId="062291D8"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.067</w:t>
            </w:r>
          </w:p>
        </w:tc>
      </w:tr>
      <w:tr w:rsidR="00EE1503" w:rsidRPr="00EE1503" w14:paraId="25B7495F" w14:textId="77777777" w:rsidTr="00EE1503">
        <w:tc>
          <w:tcPr>
            <w:tcW w:w="0" w:type="auto"/>
            <w:shd w:val="clear" w:color="auto" w:fill="FFFFFF"/>
            <w:tcMar>
              <w:top w:w="180" w:type="dxa"/>
              <w:left w:w="180" w:type="dxa"/>
              <w:bottom w:w="0" w:type="dxa"/>
              <w:right w:w="180" w:type="dxa"/>
            </w:tcMar>
            <w:hideMark/>
          </w:tcPr>
          <w:p w14:paraId="2EA66555"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Sex, male, percent (n)</w:t>
            </w:r>
          </w:p>
        </w:tc>
        <w:tc>
          <w:tcPr>
            <w:tcW w:w="0" w:type="auto"/>
            <w:shd w:val="clear" w:color="auto" w:fill="FFFFFF"/>
            <w:tcMar>
              <w:top w:w="180" w:type="dxa"/>
              <w:left w:w="180" w:type="dxa"/>
              <w:bottom w:w="0" w:type="dxa"/>
              <w:right w:w="180" w:type="dxa"/>
            </w:tcMar>
            <w:hideMark/>
          </w:tcPr>
          <w:p w14:paraId="408A452C"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46.4 (109)</w:t>
            </w:r>
          </w:p>
        </w:tc>
        <w:tc>
          <w:tcPr>
            <w:tcW w:w="0" w:type="auto"/>
            <w:shd w:val="clear" w:color="auto" w:fill="FFFFFF"/>
            <w:tcMar>
              <w:top w:w="180" w:type="dxa"/>
              <w:left w:w="180" w:type="dxa"/>
              <w:bottom w:w="0" w:type="dxa"/>
              <w:right w:w="180" w:type="dxa"/>
            </w:tcMar>
            <w:hideMark/>
          </w:tcPr>
          <w:p w14:paraId="138C73EA"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46.1 (95)</w:t>
            </w:r>
          </w:p>
        </w:tc>
        <w:tc>
          <w:tcPr>
            <w:tcW w:w="0" w:type="auto"/>
            <w:shd w:val="clear" w:color="auto" w:fill="FFFFFF"/>
            <w:tcMar>
              <w:top w:w="180" w:type="dxa"/>
              <w:left w:w="180" w:type="dxa"/>
              <w:bottom w:w="0" w:type="dxa"/>
              <w:right w:w="180" w:type="dxa"/>
            </w:tcMar>
            <w:hideMark/>
          </w:tcPr>
          <w:p w14:paraId="0E47A410"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48.3 (14)</w:t>
            </w:r>
          </w:p>
        </w:tc>
        <w:tc>
          <w:tcPr>
            <w:tcW w:w="0" w:type="auto"/>
            <w:shd w:val="clear" w:color="auto" w:fill="FFFFFF"/>
            <w:tcMar>
              <w:top w:w="180" w:type="dxa"/>
              <w:left w:w="180" w:type="dxa"/>
              <w:bottom w:w="0" w:type="dxa"/>
              <w:right w:w="180" w:type="dxa"/>
            </w:tcMar>
            <w:hideMark/>
          </w:tcPr>
          <w:p w14:paraId="6D6DBB4C"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.827</w:t>
            </w:r>
          </w:p>
        </w:tc>
      </w:tr>
      <w:tr w:rsidR="00EE1503" w:rsidRPr="00EE1503" w14:paraId="4842CE01" w14:textId="77777777" w:rsidTr="00EE1503">
        <w:tc>
          <w:tcPr>
            <w:tcW w:w="0" w:type="auto"/>
            <w:shd w:val="clear" w:color="auto" w:fill="FFFFFF"/>
            <w:tcMar>
              <w:top w:w="180" w:type="dxa"/>
              <w:left w:w="180" w:type="dxa"/>
              <w:bottom w:w="0" w:type="dxa"/>
              <w:right w:w="180" w:type="dxa"/>
            </w:tcMar>
            <w:hideMark/>
          </w:tcPr>
          <w:p w14:paraId="0386979C"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Time followed, median (IQR) years</w:t>
            </w:r>
          </w:p>
        </w:tc>
        <w:tc>
          <w:tcPr>
            <w:tcW w:w="0" w:type="auto"/>
            <w:shd w:val="clear" w:color="auto" w:fill="FFFFFF"/>
            <w:tcMar>
              <w:top w:w="180" w:type="dxa"/>
              <w:left w:w="180" w:type="dxa"/>
              <w:bottom w:w="0" w:type="dxa"/>
              <w:right w:w="180" w:type="dxa"/>
            </w:tcMar>
            <w:hideMark/>
          </w:tcPr>
          <w:p w14:paraId="5D72E3D5"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4.9 (4.6</w:t>
            </w:r>
            <w:r w:rsidRPr="00EE1503">
              <w:rPr>
                <w:rFonts w:ascii="Cambria Math" w:eastAsia="Times New Roman" w:hAnsi="Cambria Math" w:cs="Cambria Math"/>
                <w:color w:val="000000"/>
                <w:sz w:val="18"/>
                <w:szCs w:val="18"/>
                <w:lang w:eastAsia="en-GB"/>
              </w:rPr>
              <w:t>‐</w:t>
            </w:r>
            <w:r w:rsidRPr="00EE1503">
              <w:rPr>
                <w:rFonts w:ascii="Arial" w:eastAsia="Times New Roman" w:hAnsi="Arial" w:cs="Arial"/>
                <w:color w:val="000000"/>
                <w:sz w:val="18"/>
                <w:szCs w:val="18"/>
                <w:lang w:eastAsia="en-GB"/>
              </w:rPr>
              <w:t>5.2)</w:t>
            </w:r>
          </w:p>
        </w:tc>
        <w:tc>
          <w:tcPr>
            <w:tcW w:w="0" w:type="auto"/>
            <w:shd w:val="clear" w:color="auto" w:fill="FFFFFF"/>
            <w:tcMar>
              <w:top w:w="180" w:type="dxa"/>
              <w:left w:w="180" w:type="dxa"/>
              <w:bottom w:w="0" w:type="dxa"/>
              <w:right w:w="180" w:type="dxa"/>
            </w:tcMar>
            <w:hideMark/>
          </w:tcPr>
          <w:p w14:paraId="1B9B4A02"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4.9 (4.6</w:t>
            </w:r>
            <w:r w:rsidRPr="00EE1503">
              <w:rPr>
                <w:rFonts w:ascii="Cambria Math" w:eastAsia="Times New Roman" w:hAnsi="Cambria Math" w:cs="Cambria Math"/>
                <w:color w:val="000000"/>
                <w:sz w:val="18"/>
                <w:szCs w:val="18"/>
                <w:lang w:eastAsia="en-GB"/>
              </w:rPr>
              <w:t>‐</w:t>
            </w:r>
            <w:r w:rsidRPr="00EE1503">
              <w:rPr>
                <w:rFonts w:ascii="Arial" w:eastAsia="Times New Roman" w:hAnsi="Arial" w:cs="Arial"/>
                <w:color w:val="000000"/>
                <w:sz w:val="18"/>
                <w:szCs w:val="18"/>
                <w:lang w:eastAsia="en-GB"/>
              </w:rPr>
              <w:t>5.2)</w:t>
            </w:r>
          </w:p>
        </w:tc>
        <w:tc>
          <w:tcPr>
            <w:tcW w:w="0" w:type="auto"/>
            <w:shd w:val="clear" w:color="auto" w:fill="FFFFFF"/>
            <w:tcMar>
              <w:top w:w="180" w:type="dxa"/>
              <w:left w:w="180" w:type="dxa"/>
              <w:bottom w:w="0" w:type="dxa"/>
              <w:right w:w="180" w:type="dxa"/>
            </w:tcMar>
            <w:hideMark/>
          </w:tcPr>
          <w:p w14:paraId="2F72EA39"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4.8 (3.7</w:t>
            </w:r>
            <w:r w:rsidRPr="00EE1503">
              <w:rPr>
                <w:rFonts w:ascii="Cambria Math" w:eastAsia="Times New Roman" w:hAnsi="Cambria Math" w:cs="Cambria Math"/>
                <w:color w:val="000000"/>
                <w:sz w:val="18"/>
                <w:szCs w:val="18"/>
                <w:lang w:eastAsia="en-GB"/>
              </w:rPr>
              <w:t>‐</w:t>
            </w:r>
            <w:r w:rsidRPr="00EE1503">
              <w:rPr>
                <w:rFonts w:ascii="Arial" w:eastAsia="Times New Roman" w:hAnsi="Arial" w:cs="Arial"/>
                <w:color w:val="000000"/>
                <w:sz w:val="18"/>
                <w:szCs w:val="18"/>
                <w:lang w:eastAsia="en-GB"/>
              </w:rPr>
              <w:t>5.6)</w:t>
            </w:r>
          </w:p>
        </w:tc>
        <w:tc>
          <w:tcPr>
            <w:tcW w:w="0" w:type="auto"/>
            <w:shd w:val="clear" w:color="auto" w:fill="FFFFFF"/>
            <w:tcMar>
              <w:top w:w="180" w:type="dxa"/>
              <w:left w:w="180" w:type="dxa"/>
              <w:bottom w:w="0" w:type="dxa"/>
              <w:right w:w="180" w:type="dxa"/>
            </w:tcMar>
            <w:hideMark/>
          </w:tcPr>
          <w:p w14:paraId="669048B9"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.408</w:t>
            </w:r>
          </w:p>
        </w:tc>
      </w:tr>
      <w:tr w:rsidR="00EE1503" w:rsidRPr="00EE1503" w14:paraId="530EF37F" w14:textId="77777777" w:rsidTr="00EE1503">
        <w:tc>
          <w:tcPr>
            <w:tcW w:w="0" w:type="auto"/>
            <w:shd w:val="clear" w:color="auto" w:fill="FFFFFF"/>
            <w:tcMar>
              <w:top w:w="180" w:type="dxa"/>
              <w:left w:w="180" w:type="dxa"/>
              <w:bottom w:w="0" w:type="dxa"/>
              <w:right w:w="180" w:type="dxa"/>
            </w:tcMar>
            <w:hideMark/>
          </w:tcPr>
          <w:p w14:paraId="45E5CC50"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Ethnicity, Hausa</w:t>
            </w:r>
            <w:r w:rsidRPr="00EE1503">
              <w:rPr>
                <w:rFonts w:ascii="Cambria Math" w:eastAsia="Times New Roman" w:hAnsi="Cambria Math" w:cs="Cambria Math"/>
                <w:color w:val="000000"/>
                <w:sz w:val="18"/>
                <w:szCs w:val="18"/>
                <w:lang w:eastAsia="en-GB"/>
              </w:rPr>
              <w:t>‐</w:t>
            </w:r>
            <w:r w:rsidRPr="00EE1503">
              <w:rPr>
                <w:rFonts w:ascii="Arial" w:eastAsia="Times New Roman" w:hAnsi="Arial" w:cs="Arial"/>
                <w:color w:val="000000"/>
                <w:sz w:val="18"/>
                <w:szCs w:val="18"/>
                <w:lang w:eastAsia="en-GB"/>
              </w:rPr>
              <w:t>Fulani, percent (n)</w:t>
            </w:r>
          </w:p>
        </w:tc>
        <w:tc>
          <w:tcPr>
            <w:tcW w:w="0" w:type="auto"/>
            <w:shd w:val="clear" w:color="auto" w:fill="FFFFFF"/>
            <w:tcMar>
              <w:top w:w="180" w:type="dxa"/>
              <w:left w:w="180" w:type="dxa"/>
              <w:bottom w:w="0" w:type="dxa"/>
              <w:right w:w="180" w:type="dxa"/>
            </w:tcMar>
            <w:hideMark/>
          </w:tcPr>
          <w:p w14:paraId="1BDBEBA3"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89.8 (211)</w:t>
            </w:r>
          </w:p>
        </w:tc>
        <w:tc>
          <w:tcPr>
            <w:tcW w:w="0" w:type="auto"/>
            <w:shd w:val="clear" w:color="auto" w:fill="FFFFFF"/>
            <w:tcMar>
              <w:top w:w="180" w:type="dxa"/>
              <w:left w:w="180" w:type="dxa"/>
              <w:bottom w:w="0" w:type="dxa"/>
              <w:right w:w="180" w:type="dxa"/>
            </w:tcMar>
            <w:hideMark/>
          </w:tcPr>
          <w:p w14:paraId="5EEB8622"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91.7 (189)</w:t>
            </w:r>
          </w:p>
        </w:tc>
        <w:tc>
          <w:tcPr>
            <w:tcW w:w="0" w:type="auto"/>
            <w:shd w:val="clear" w:color="auto" w:fill="FFFFFF"/>
            <w:tcMar>
              <w:top w:w="180" w:type="dxa"/>
              <w:left w:w="180" w:type="dxa"/>
              <w:bottom w:w="0" w:type="dxa"/>
              <w:right w:w="180" w:type="dxa"/>
            </w:tcMar>
            <w:hideMark/>
          </w:tcPr>
          <w:p w14:paraId="0C85AFDB"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75.9 (22)</w:t>
            </w:r>
          </w:p>
        </w:tc>
        <w:tc>
          <w:tcPr>
            <w:tcW w:w="0" w:type="auto"/>
            <w:shd w:val="clear" w:color="auto" w:fill="FFFFFF"/>
            <w:tcMar>
              <w:top w:w="180" w:type="dxa"/>
              <w:left w:w="180" w:type="dxa"/>
              <w:bottom w:w="0" w:type="dxa"/>
              <w:right w:w="180" w:type="dxa"/>
            </w:tcMar>
            <w:hideMark/>
          </w:tcPr>
          <w:p w14:paraId="7FB80E71"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.016</w:t>
            </w:r>
            <w:hyperlink r:id="rId41" w:anchor="ajh25900-note-0002_10" w:tooltip="Link to note" w:history="1">
              <w:r w:rsidRPr="00EE1503">
                <w:rPr>
                  <w:rFonts w:ascii="Arial" w:eastAsia="Times New Roman" w:hAnsi="Arial" w:cs="Arial"/>
                  <w:color w:val="005274"/>
                  <w:sz w:val="18"/>
                  <w:szCs w:val="18"/>
                  <w:u w:val="single"/>
                  <w:lang w:eastAsia="en-GB"/>
                </w:rPr>
                <w:t> </w:t>
              </w:r>
              <w:r w:rsidRPr="00EE1503">
                <w:rPr>
                  <w:rFonts w:ascii="Arial" w:eastAsia="Times New Roman" w:hAnsi="Arial" w:cs="Arial"/>
                  <w:i/>
                  <w:iCs/>
                  <w:color w:val="005274"/>
                  <w:sz w:val="18"/>
                  <w:szCs w:val="18"/>
                  <w:u w:val="single"/>
                  <w:vertAlign w:val="superscript"/>
                  <w:lang w:eastAsia="en-GB"/>
                </w:rPr>
                <w:t>b</w:t>
              </w:r>
            </w:hyperlink>
          </w:p>
        </w:tc>
      </w:tr>
      <w:tr w:rsidR="00EE1503" w:rsidRPr="00EE1503" w14:paraId="28839D35" w14:textId="77777777" w:rsidTr="00EE1503">
        <w:tc>
          <w:tcPr>
            <w:tcW w:w="0" w:type="auto"/>
            <w:shd w:val="clear" w:color="auto" w:fill="FFFFFF"/>
            <w:tcMar>
              <w:top w:w="180" w:type="dxa"/>
              <w:left w:w="180" w:type="dxa"/>
              <w:bottom w:w="0" w:type="dxa"/>
              <w:right w:w="180" w:type="dxa"/>
            </w:tcMar>
            <w:hideMark/>
          </w:tcPr>
          <w:p w14:paraId="7FA01F15"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Head of household university/professional education, percent (n), (n = 230)</w:t>
            </w:r>
          </w:p>
        </w:tc>
        <w:tc>
          <w:tcPr>
            <w:tcW w:w="0" w:type="auto"/>
            <w:shd w:val="clear" w:color="auto" w:fill="FFFFFF"/>
            <w:tcMar>
              <w:top w:w="180" w:type="dxa"/>
              <w:left w:w="180" w:type="dxa"/>
              <w:bottom w:w="0" w:type="dxa"/>
              <w:right w:w="180" w:type="dxa"/>
            </w:tcMar>
            <w:hideMark/>
          </w:tcPr>
          <w:p w14:paraId="3CD56190"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58.3 (134)</w:t>
            </w:r>
          </w:p>
        </w:tc>
        <w:tc>
          <w:tcPr>
            <w:tcW w:w="0" w:type="auto"/>
            <w:shd w:val="clear" w:color="auto" w:fill="FFFFFF"/>
            <w:tcMar>
              <w:top w:w="180" w:type="dxa"/>
              <w:left w:w="180" w:type="dxa"/>
              <w:bottom w:w="0" w:type="dxa"/>
              <w:right w:w="180" w:type="dxa"/>
            </w:tcMar>
            <w:hideMark/>
          </w:tcPr>
          <w:p w14:paraId="610CB1BE"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60.9 (123)</w:t>
            </w:r>
          </w:p>
        </w:tc>
        <w:tc>
          <w:tcPr>
            <w:tcW w:w="0" w:type="auto"/>
            <w:shd w:val="clear" w:color="auto" w:fill="FFFFFF"/>
            <w:tcMar>
              <w:top w:w="180" w:type="dxa"/>
              <w:left w:w="180" w:type="dxa"/>
              <w:bottom w:w="0" w:type="dxa"/>
              <w:right w:w="180" w:type="dxa"/>
            </w:tcMar>
            <w:hideMark/>
          </w:tcPr>
          <w:p w14:paraId="3F0BBD76"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39.3 (11)</w:t>
            </w:r>
          </w:p>
        </w:tc>
        <w:tc>
          <w:tcPr>
            <w:tcW w:w="0" w:type="auto"/>
            <w:shd w:val="clear" w:color="auto" w:fill="FFFFFF"/>
            <w:tcMar>
              <w:top w:w="180" w:type="dxa"/>
              <w:left w:w="180" w:type="dxa"/>
              <w:bottom w:w="0" w:type="dxa"/>
              <w:right w:w="180" w:type="dxa"/>
            </w:tcMar>
            <w:hideMark/>
          </w:tcPr>
          <w:p w14:paraId="40701FE0"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.030</w:t>
            </w:r>
          </w:p>
        </w:tc>
      </w:tr>
      <w:tr w:rsidR="00EE1503" w:rsidRPr="00EE1503" w14:paraId="5168588E" w14:textId="77777777" w:rsidTr="00EE1503">
        <w:tc>
          <w:tcPr>
            <w:tcW w:w="0" w:type="auto"/>
            <w:shd w:val="clear" w:color="auto" w:fill="FFFFFF"/>
            <w:tcMar>
              <w:top w:w="180" w:type="dxa"/>
              <w:left w:w="180" w:type="dxa"/>
              <w:bottom w:w="0" w:type="dxa"/>
              <w:right w:w="180" w:type="dxa"/>
            </w:tcMar>
            <w:hideMark/>
          </w:tcPr>
          <w:p w14:paraId="5C32C302"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Height (cm), median (IQR)</w:t>
            </w:r>
          </w:p>
        </w:tc>
        <w:tc>
          <w:tcPr>
            <w:tcW w:w="0" w:type="auto"/>
            <w:shd w:val="clear" w:color="auto" w:fill="FFFFFF"/>
            <w:tcMar>
              <w:top w:w="180" w:type="dxa"/>
              <w:left w:w="180" w:type="dxa"/>
              <w:bottom w:w="0" w:type="dxa"/>
              <w:right w:w="180" w:type="dxa"/>
            </w:tcMar>
            <w:hideMark/>
          </w:tcPr>
          <w:p w14:paraId="22700BE1"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124.0 (115.0</w:t>
            </w:r>
            <w:r w:rsidRPr="00EE1503">
              <w:rPr>
                <w:rFonts w:ascii="Cambria Math" w:eastAsia="Times New Roman" w:hAnsi="Cambria Math" w:cs="Cambria Math"/>
                <w:color w:val="000000"/>
                <w:sz w:val="18"/>
                <w:szCs w:val="18"/>
                <w:lang w:eastAsia="en-GB"/>
              </w:rPr>
              <w:t>‐</w:t>
            </w:r>
            <w:r w:rsidRPr="00EE1503">
              <w:rPr>
                <w:rFonts w:ascii="Arial" w:eastAsia="Times New Roman" w:hAnsi="Arial" w:cs="Arial"/>
                <w:color w:val="000000"/>
                <w:sz w:val="18"/>
                <w:szCs w:val="18"/>
                <w:lang w:eastAsia="en-GB"/>
              </w:rPr>
              <w:t>132.0)</w:t>
            </w:r>
          </w:p>
        </w:tc>
        <w:tc>
          <w:tcPr>
            <w:tcW w:w="0" w:type="auto"/>
            <w:shd w:val="clear" w:color="auto" w:fill="FFFFFF"/>
            <w:tcMar>
              <w:top w:w="180" w:type="dxa"/>
              <w:left w:w="180" w:type="dxa"/>
              <w:bottom w:w="0" w:type="dxa"/>
              <w:right w:w="180" w:type="dxa"/>
            </w:tcMar>
            <w:hideMark/>
          </w:tcPr>
          <w:p w14:paraId="3F847CA6"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126.0 (115.8</w:t>
            </w:r>
            <w:r w:rsidRPr="00EE1503">
              <w:rPr>
                <w:rFonts w:ascii="Cambria Math" w:eastAsia="Times New Roman" w:hAnsi="Cambria Math" w:cs="Cambria Math"/>
                <w:color w:val="000000"/>
                <w:sz w:val="18"/>
                <w:szCs w:val="18"/>
                <w:lang w:eastAsia="en-GB"/>
              </w:rPr>
              <w:t>‐</w:t>
            </w:r>
            <w:r w:rsidRPr="00EE1503">
              <w:rPr>
                <w:rFonts w:ascii="Arial" w:eastAsia="Times New Roman" w:hAnsi="Arial" w:cs="Arial"/>
                <w:color w:val="000000"/>
                <w:sz w:val="18"/>
                <w:szCs w:val="18"/>
                <w:lang w:eastAsia="en-GB"/>
              </w:rPr>
              <w:t>132.0)</w:t>
            </w:r>
          </w:p>
        </w:tc>
        <w:tc>
          <w:tcPr>
            <w:tcW w:w="0" w:type="auto"/>
            <w:shd w:val="clear" w:color="auto" w:fill="FFFFFF"/>
            <w:tcMar>
              <w:top w:w="180" w:type="dxa"/>
              <w:left w:w="180" w:type="dxa"/>
              <w:bottom w:w="0" w:type="dxa"/>
              <w:right w:w="180" w:type="dxa"/>
            </w:tcMar>
            <w:hideMark/>
          </w:tcPr>
          <w:p w14:paraId="58AEB1D6"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120.0 (114.0</w:t>
            </w:r>
            <w:r w:rsidRPr="00EE1503">
              <w:rPr>
                <w:rFonts w:ascii="Cambria Math" w:eastAsia="Times New Roman" w:hAnsi="Cambria Math" w:cs="Cambria Math"/>
                <w:color w:val="000000"/>
                <w:sz w:val="18"/>
                <w:szCs w:val="18"/>
                <w:lang w:eastAsia="en-GB"/>
              </w:rPr>
              <w:t>‐</w:t>
            </w:r>
            <w:r w:rsidRPr="00EE1503">
              <w:rPr>
                <w:rFonts w:ascii="Arial" w:eastAsia="Times New Roman" w:hAnsi="Arial" w:cs="Arial"/>
                <w:color w:val="000000"/>
                <w:sz w:val="18"/>
                <w:szCs w:val="18"/>
                <w:lang w:eastAsia="en-GB"/>
              </w:rPr>
              <w:t>131.0)</w:t>
            </w:r>
          </w:p>
        </w:tc>
        <w:tc>
          <w:tcPr>
            <w:tcW w:w="0" w:type="auto"/>
            <w:shd w:val="clear" w:color="auto" w:fill="FFFFFF"/>
            <w:tcMar>
              <w:top w:w="180" w:type="dxa"/>
              <w:left w:w="180" w:type="dxa"/>
              <w:bottom w:w="0" w:type="dxa"/>
              <w:right w:w="180" w:type="dxa"/>
            </w:tcMar>
            <w:hideMark/>
          </w:tcPr>
          <w:p w14:paraId="40E94E29"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.227</w:t>
            </w:r>
          </w:p>
        </w:tc>
      </w:tr>
      <w:tr w:rsidR="00EE1503" w:rsidRPr="00EE1503" w14:paraId="3EAA568F" w14:textId="77777777" w:rsidTr="00EE1503">
        <w:tc>
          <w:tcPr>
            <w:tcW w:w="0" w:type="auto"/>
            <w:shd w:val="clear" w:color="auto" w:fill="FFFFFF"/>
            <w:tcMar>
              <w:top w:w="180" w:type="dxa"/>
              <w:left w:w="180" w:type="dxa"/>
              <w:bottom w:w="0" w:type="dxa"/>
              <w:right w:w="180" w:type="dxa"/>
            </w:tcMar>
            <w:hideMark/>
          </w:tcPr>
          <w:p w14:paraId="2B1A1B60"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Weight (kg), median (IQR)</w:t>
            </w:r>
          </w:p>
        </w:tc>
        <w:tc>
          <w:tcPr>
            <w:tcW w:w="0" w:type="auto"/>
            <w:shd w:val="clear" w:color="auto" w:fill="FFFFFF"/>
            <w:tcMar>
              <w:top w:w="180" w:type="dxa"/>
              <w:left w:w="180" w:type="dxa"/>
              <w:bottom w:w="0" w:type="dxa"/>
              <w:right w:w="180" w:type="dxa"/>
            </w:tcMar>
            <w:hideMark/>
          </w:tcPr>
          <w:p w14:paraId="2398F8E9"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20.0 (17.0</w:t>
            </w:r>
            <w:r w:rsidRPr="00EE1503">
              <w:rPr>
                <w:rFonts w:ascii="Cambria Math" w:eastAsia="Times New Roman" w:hAnsi="Cambria Math" w:cs="Cambria Math"/>
                <w:color w:val="000000"/>
                <w:sz w:val="18"/>
                <w:szCs w:val="18"/>
                <w:lang w:eastAsia="en-GB"/>
              </w:rPr>
              <w:t>‐</w:t>
            </w:r>
            <w:r w:rsidRPr="00EE1503">
              <w:rPr>
                <w:rFonts w:ascii="Arial" w:eastAsia="Times New Roman" w:hAnsi="Arial" w:cs="Arial"/>
                <w:color w:val="000000"/>
                <w:sz w:val="18"/>
                <w:szCs w:val="18"/>
                <w:lang w:eastAsia="en-GB"/>
              </w:rPr>
              <w:t>24.0)</w:t>
            </w:r>
          </w:p>
        </w:tc>
        <w:tc>
          <w:tcPr>
            <w:tcW w:w="0" w:type="auto"/>
            <w:shd w:val="clear" w:color="auto" w:fill="FFFFFF"/>
            <w:tcMar>
              <w:top w:w="180" w:type="dxa"/>
              <w:left w:w="180" w:type="dxa"/>
              <w:bottom w:w="0" w:type="dxa"/>
              <w:right w:w="180" w:type="dxa"/>
            </w:tcMar>
            <w:hideMark/>
          </w:tcPr>
          <w:p w14:paraId="3E91BD9D"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20.0 (17.0</w:t>
            </w:r>
            <w:r w:rsidRPr="00EE1503">
              <w:rPr>
                <w:rFonts w:ascii="Cambria Math" w:eastAsia="Times New Roman" w:hAnsi="Cambria Math" w:cs="Cambria Math"/>
                <w:color w:val="000000"/>
                <w:sz w:val="18"/>
                <w:szCs w:val="18"/>
                <w:lang w:eastAsia="en-GB"/>
              </w:rPr>
              <w:t>‐</w:t>
            </w:r>
            <w:r w:rsidRPr="00EE1503">
              <w:rPr>
                <w:rFonts w:ascii="Arial" w:eastAsia="Times New Roman" w:hAnsi="Arial" w:cs="Arial"/>
                <w:color w:val="000000"/>
                <w:sz w:val="18"/>
                <w:szCs w:val="18"/>
                <w:lang w:eastAsia="en-GB"/>
              </w:rPr>
              <w:t>24.0)</w:t>
            </w:r>
          </w:p>
        </w:tc>
        <w:tc>
          <w:tcPr>
            <w:tcW w:w="0" w:type="auto"/>
            <w:shd w:val="clear" w:color="auto" w:fill="FFFFFF"/>
            <w:tcMar>
              <w:top w:w="180" w:type="dxa"/>
              <w:left w:w="180" w:type="dxa"/>
              <w:bottom w:w="0" w:type="dxa"/>
              <w:right w:w="180" w:type="dxa"/>
            </w:tcMar>
            <w:hideMark/>
          </w:tcPr>
          <w:p w14:paraId="782407FF"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20.0 (16.5</w:t>
            </w:r>
            <w:r w:rsidRPr="00EE1503">
              <w:rPr>
                <w:rFonts w:ascii="Cambria Math" w:eastAsia="Times New Roman" w:hAnsi="Cambria Math" w:cs="Cambria Math"/>
                <w:color w:val="000000"/>
                <w:sz w:val="18"/>
                <w:szCs w:val="18"/>
                <w:lang w:eastAsia="en-GB"/>
              </w:rPr>
              <w:t>‐</w:t>
            </w:r>
            <w:r w:rsidRPr="00EE1503">
              <w:rPr>
                <w:rFonts w:ascii="Arial" w:eastAsia="Times New Roman" w:hAnsi="Arial" w:cs="Arial"/>
                <w:color w:val="000000"/>
                <w:sz w:val="18"/>
                <w:szCs w:val="18"/>
                <w:lang w:eastAsia="en-GB"/>
              </w:rPr>
              <w:t>23.5)</w:t>
            </w:r>
          </w:p>
        </w:tc>
        <w:tc>
          <w:tcPr>
            <w:tcW w:w="0" w:type="auto"/>
            <w:shd w:val="clear" w:color="auto" w:fill="FFFFFF"/>
            <w:tcMar>
              <w:top w:w="180" w:type="dxa"/>
              <w:left w:w="180" w:type="dxa"/>
              <w:bottom w:w="0" w:type="dxa"/>
              <w:right w:w="180" w:type="dxa"/>
            </w:tcMar>
            <w:hideMark/>
          </w:tcPr>
          <w:p w14:paraId="1953CB48"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.576</w:t>
            </w:r>
          </w:p>
        </w:tc>
      </w:tr>
      <w:tr w:rsidR="00EE1503" w:rsidRPr="00EE1503" w14:paraId="0DEC4983" w14:textId="77777777" w:rsidTr="00EE1503">
        <w:tc>
          <w:tcPr>
            <w:tcW w:w="0" w:type="auto"/>
            <w:shd w:val="clear" w:color="auto" w:fill="FFFFFF"/>
            <w:tcMar>
              <w:top w:w="180" w:type="dxa"/>
              <w:left w:w="180" w:type="dxa"/>
              <w:bottom w:w="0" w:type="dxa"/>
              <w:right w:w="180" w:type="dxa"/>
            </w:tcMar>
            <w:hideMark/>
          </w:tcPr>
          <w:p w14:paraId="27C777C7"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BMI (kg/m</w:t>
            </w:r>
            <w:r w:rsidRPr="00EE1503">
              <w:rPr>
                <w:rFonts w:ascii="Arial" w:eastAsia="Times New Roman" w:hAnsi="Arial" w:cs="Arial"/>
                <w:color w:val="000000"/>
                <w:sz w:val="14"/>
                <w:szCs w:val="14"/>
                <w:vertAlign w:val="superscript"/>
                <w:lang w:eastAsia="en-GB"/>
              </w:rPr>
              <w:t>2</w:t>
            </w:r>
            <w:r w:rsidRPr="00EE1503">
              <w:rPr>
                <w:rFonts w:ascii="Arial" w:eastAsia="Times New Roman" w:hAnsi="Arial" w:cs="Arial"/>
                <w:color w:val="000000"/>
                <w:sz w:val="18"/>
                <w:szCs w:val="18"/>
                <w:lang w:eastAsia="en-GB"/>
              </w:rPr>
              <w:t>), mean (std. dev.)</w:t>
            </w:r>
          </w:p>
        </w:tc>
        <w:tc>
          <w:tcPr>
            <w:tcW w:w="0" w:type="auto"/>
            <w:shd w:val="clear" w:color="auto" w:fill="FFFFFF"/>
            <w:tcMar>
              <w:top w:w="180" w:type="dxa"/>
              <w:left w:w="180" w:type="dxa"/>
              <w:bottom w:w="0" w:type="dxa"/>
              <w:right w:w="180" w:type="dxa"/>
            </w:tcMar>
            <w:hideMark/>
          </w:tcPr>
          <w:p w14:paraId="2A4AE03E"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13.4 (1.9)</w:t>
            </w:r>
          </w:p>
        </w:tc>
        <w:tc>
          <w:tcPr>
            <w:tcW w:w="0" w:type="auto"/>
            <w:shd w:val="clear" w:color="auto" w:fill="FFFFFF"/>
            <w:tcMar>
              <w:top w:w="180" w:type="dxa"/>
              <w:left w:w="180" w:type="dxa"/>
              <w:bottom w:w="0" w:type="dxa"/>
              <w:right w:w="180" w:type="dxa"/>
            </w:tcMar>
            <w:hideMark/>
          </w:tcPr>
          <w:p w14:paraId="158960ED"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13.4 (2.0)</w:t>
            </w:r>
          </w:p>
        </w:tc>
        <w:tc>
          <w:tcPr>
            <w:tcW w:w="0" w:type="auto"/>
            <w:shd w:val="clear" w:color="auto" w:fill="FFFFFF"/>
            <w:tcMar>
              <w:top w:w="180" w:type="dxa"/>
              <w:left w:w="180" w:type="dxa"/>
              <w:bottom w:w="0" w:type="dxa"/>
              <w:right w:w="180" w:type="dxa"/>
            </w:tcMar>
            <w:hideMark/>
          </w:tcPr>
          <w:p w14:paraId="525812A1"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13.7 (1.7))</w:t>
            </w:r>
          </w:p>
        </w:tc>
        <w:tc>
          <w:tcPr>
            <w:tcW w:w="0" w:type="auto"/>
            <w:shd w:val="clear" w:color="auto" w:fill="FFFFFF"/>
            <w:tcMar>
              <w:top w:w="180" w:type="dxa"/>
              <w:left w:w="180" w:type="dxa"/>
              <w:bottom w:w="0" w:type="dxa"/>
              <w:right w:w="180" w:type="dxa"/>
            </w:tcMar>
            <w:hideMark/>
          </w:tcPr>
          <w:p w14:paraId="17CF7C9D"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.534</w:t>
            </w:r>
            <w:hyperlink r:id="rId42" w:anchor="ajh25900-note-0003_11" w:tooltip="Link to note" w:history="1">
              <w:r w:rsidRPr="00EE1503">
                <w:rPr>
                  <w:rFonts w:ascii="Arial" w:eastAsia="Times New Roman" w:hAnsi="Arial" w:cs="Arial"/>
                  <w:color w:val="005274"/>
                  <w:sz w:val="18"/>
                  <w:szCs w:val="18"/>
                  <w:u w:val="single"/>
                  <w:lang w:eastAsia="en-GB"/>
                </w:rPr>
                <w:t> </w:t>
              </w:r>
              <w:r w:rsidRPr="00EE1503">
                <w:rPr>
                  <w:rFonts w:ascii="Arial" w:eastAsia="Times New Roman" w:hAnsi="Arial" w:cs="Arial"/>
                  <w:i/>
                  <w:iCs/>
                  <w:color w:val="005274"/>
                  <w:sz w:val="18"/>
                  <w:szCs w:val="18"/>
                  <w:u w:val="single"/>
                  <w:vertAlign w:val="superscript"/>
                  <w:lang w:eastAsia="en-GB"/>
                </w:rPr>
                <w:t>c</w:t>
              </w:r>
            </w:hyperlink>
          </w:p>
        </w:tc>
      </w:tr>
      <w:tr w:rsidR="00EE1503" w:rsidRPr="00EE1503" w14:paraId="4280412A" w14:textId="77777777" w:rsidTr="00EE1503">
        <w:tc>
          <w:tcPr>
            <w:tcW w:w="0" w:type="auto"/>
            <w:shd w:val="clear" w:color="auto" w:fill="FFFFFF"/>
            <w:tcMar>
              <w:top w:w="180" w:type="dxa"/>
              <w:left w:w="180" w:type="dxa"/>
              <w:bottom w:w="0" w:type="dxa"/>
              <w:right w:w="180" w:type="dxa"/>
            </w:tcMar>
            <w:hideMark/>
          </w:tcPr>
          <w:p w14:paraId="3CCCDC17"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TCD at baseline, (cm/s), median (IQR)</w:t>
            </w:r>
          </w:p>
        </w:tc>
        <w:tc>
          <w:tcPr>
            <w:tcW w:w="0" w:type="auto"/>
            <w:shd w:val="clear" w:color="auto" w:fill="FFFFFF"/>
            <w:tcMar>
              <w:top w:w="180" w:type="dxa"/>
              <w:left w:w="180" w:type="dxa"/>
              <w:bottom w:w="0" w:type="dxa"/>
              <w:right w:w="180" w:type="dxa"/>
            </w:tcMar>
            <w:hideMark/>
          </w:tcPr>
          <w:p w14:paraId="1A242C5C"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140.0 (120.0</w:t>
            </w:r>
            <w:r w:rsidRPr="00EE1503">
              <w:rPr>
                <w:rFonts w:ascii="Cambria Math" w:eastAsia="Times New Roman" w:hAnsi="Cambria Math" w:cs="Cambria Math"/>
                <w:color w:val="000000"/>
                <w:sz w:val="18"/>
                <w:szCs w:val="18"/>
                <w:lang w:eastAsia="en-GB"/>
              </w:rPr>
              <w:t>‐</w:t>
            </w:r>
            <w:r w:rsidRPr="00EE1503">
              <w:rPr>
                <w:rFonts w:ascii="Arial" w:eastAsia="Times New Roman" w:hAnsi="Arial" w:cs="Arial"/>
                <w:color w:val="000000"/>
                <w:sz w:val="18"/>
                <w:szCs w:val="18"/>
                <w:lang w:eastAsia="en-GB"/>
              </w:rPr>
              <w:t>159.0)</w:t>
            </w:r>
          </w:p>
        </w:tc>
        <w:tc>
          <w:tcPr>
            <w:tcW w:w="0" w:type="auto"/>
            <w:shd w:val="clear" w:color="auto" w:fill="FFFFFF"/>
            <w:tcMar>
              <w:top w:w="180" w:type="dxa"/>
              <w:left w:w="180" w:type="dxa"/>
              <w:bottom w:w="0" w:type="dxa"/>
              <w:right w:w="180" w:type="dxa"/>
            </w:tcMar>
            <w:hideMark/>
          </w:tcPr>
          <w:p w14:paraId="78C67C44"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134.0 (118.0</w:t>
            </w:r>
            <w:r w:rsidRPr="00EE1503">
              <w:rPr>
                <w:rFonts w:ascii="Cambria Math" w:eastAsia="Times New Roman" w:hAnsi="Cambria Math" w:cs="Cambria Math"/>
                <w:color w:val="000000"/>
                <w:sz w:val="18"/>
                <w:szCs w:val="18"/>
                <w:lang w:eastAsia="en-GB"/>
              </w:rPr>
              <w:t>‐</w:t>
            </w:r>
            <w:r w:rsidRPr="00EE1503">
              <w:rPr>
                <w:rFonts w:ascii="Arial" w:eastAsia="Times New Roman" w:hAnsi="Arial" w:cs="Arial"/>
                <w:color w:val="000000"/>
                <w:sz w:val="18"/>
                <w:szCs w:val="18"/>
                <w:lang w:eastAsia="en-GB"/>
              </w:rPr>
              <w:t>150.0)</w:t>
            </w:r>
          </w:p>
        </w:tc>
        <w:tc>
          <w:tcPr>
            <w:tcW w:w="0" w:type="auto"/>
            <w:shd w:val="clear" w:color="auto" w:fill="FFFFFF"/>
            <w:tcMar>
              <w:top w:w="180" w:type="dxa"/>
              <w:left w:w="180" w:type="dxa"/>
              <w:bottom w:w="0" w:type="dxa"/>
              <w:right w:w="180" w:type="dxa"/>
            </w:tcMar>
            <w:hideMark/>
          </w:tcPr>
          <w:p w14:paraId="719A3B67"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208.0 (205.0</w:t>
            </w:r>
            <w:r w:rsidRPr="00EE1503">
              <w:rPr>
                <w:rFonts w:ascii="Cambria Math" w:eastAsia="Times New Roman" w:hAnsi="Cambria Math" w:cs="Cambria Math"/>
                <w:color w:val="000000"/>
                <w:sz w:val="18"/>
                <w:szCs w:val="18"/>
                <w:lang w:eastAsia="en-GB"/>
              </w:rPr>
              <w:t>‐</w:t>
            </w:r>
            <w:r w:rsidRPr="00EE1503">
              <w:rPr>
                <w:rFonts w:ascii="Arial" w:eastAsia="Times New Roman" w:hAnsi="Arial" w:cs="Arial"/>
                <w:color w:val="000000"/>
                <w:sz w:val="18"/>
                <w:szCs w:val="18"/>
                <w:lang w:eastAsia="en-GB"/>
              </w:rPr>
              <w:t>226.0)</w:t>
            </w:r>
          </w:p>
        </w:tc>
        <w:tc>
          <w:tcPr>
            <w:tcW w:w="0" w:type="auto"/>
            <w:shd w:val="clear" w:color="auto" w:fill="FFFFFF"/>
            <w:tcMar>
              <w:top w:w="180" w:type="dxa"/>
              <w:left w:w="180" w:type="dxa"/>
              <w:bottom w:w="0" w:type="dxa"/>
              <w:right w:w="180" w:type="dxa"/>
            </w:tcMar>
            <w:hideMark/>
          </w:tcPr>
          <w:p w14:paraId="44E5E49D"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&lt;.001</w:t>
            </w:r>
            <w:hyperlink r:id="rId43" w:anchor="ajh25900-note-0001_12" w:tooltip="Link to note" w:history="1">
              <w:r w:rsidRPr="00EE1503">
                <w:rPr>
                  <w:rFonts w:ascii="Arial" w:eastAsia="Times New Roman" w:hAnsi="Arial" w:cs="Arial"/>
                  <w:color w:val="005274"/>
                  <w:sz w:val="18"/>
                  <w:szCs w:val="18"/>
                  <w:u w:val="single"/>
                  <w:lang w:eastAsia="en-GB"/>
                </w:rPr>
                <w:t> </w:t>
              </w:r>
              <w:r w:rsidRPr="00EE1503">
                <w:rPr>
                  <w:rFonts w:ascii="Arial" w:eastAsia="Times New Roman" w:hAnsi="Arial" w:cs="Arial"/>
                  <w:i/>
                  <w:iCs/>
                  <w:color w:val="005274"/>
                  <w:sz w:val="18"/>
                  <w:szCs w:val="18"/>
                  <w:u w:val="single"/>
                  <w:vertAlign w:val="superscript"/>
                  <w:lang w:eastAsia="en-GB"/>
                </w:rPr>
                <w:t>a</w:t>
              </w:r>
            </w:hyperlink>
          </w:p>
        </w:tc>
      </w:tr>
      <w:tr w:rsidR="00EE1503" w:rsidRPr="00EE1503" w14:paraId="26FC2B53" w14:textId="77777777" w:rsidTr="00EE1503">
        <w:tc>
          <w:tcPr>
            <w:tcW w:w="0" w:type="auto"/>
            <w:shd w:val="clear" w:color="auto" w:fill="FFFFFF"/>
            <w:tcMar>
              <w:top w:w="180" w:type="dxa"/>
              <w:left w:w="180" w:type="dxa"/>
              <w:bottom w:w="0" w:type="dxa"/>
              <w:right w:w="180" w:type="dxa"/>
            </w:tcMar>
            <w:hideMark/>
          </w:tcPr>
          <w:p w14:paraId="4D50B1D6"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All hospitalizations per 100 person</w:t>
            </w:r>
            <w:r w:rsidRPr="00EE1503">
              <w:rPr>
                <w:rFonts w:ascii="Cambria Math" w:eastAsia="Times New Roman" w:hAnsi="Cambria Math" w:cs="Cambria Math"/>
                <w:color w:val="000000"/>
                <w:sz w:val="18"/>
                <w:szCs w:val="18"/>
                <w:lang w:eastAsia="en-GB"/>
              </w:rPr>
              <w:t>‐</w:t>
            </w:r>
            <w:r w:rsidRPr="00EE1503">
              <w:rPr>
                <w:rFonts w:ascii="Arial" w:eastAsia="Times New Roman" w:hAnsi="Arial" w:cs="Arial"/>
                <w:color w:val="000000"/>
                <w:sz w:val="18"/>
                <w:szCs w:val="18"/>
                <w:lang w:eastAsia="en-GB"/>
              </w:rPr>
              <w:t>y mean (std. dev.)</w:t>
            </w:r>
          </w:p>
        </w:tc>
        <w:tc>
          <w:tcPr>
            <w:tcW w:w="0" w:type="auto"/>
            <w:shd w:val="clear" w:color="auto" w:fill="FFFFFF"/>
            <w:tcMar>
              <w:top w:w="180" w:type="dxa"/>
              <w:left w:w="180" w:type="dxa"/>
              <w:bottom w:w="0" w:type="dxa"/>
              <w:right w:w="180" w:type="dxa"/>
            </w:tcMar>
            <w:hideMark/>
          </w:tcPr>
          <w:p w14:paraId="2BC346D2"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33.3 (40.7)</w:t>
            </w:r>
          </w:p>
        </w:tc>
        <w:tc>
          <w:tcPr>
            <w:tcW w:w="0" w:type="auto"/>
            <w:shd w:val="clear" w:color="auto" w:fill="FFFFFF"/>
            <w:tcMar>
              <w:top w:w="180" w:type="dxa"/>
              <w:left w:w="180" w:type="dxa"/>
              <w:bottom w:w="0" w:type="dxa"/>
              <w:right w:w="180" w:type="dxa"/>
            </w:tcMar>
            <w:hideMark/>
          </w:tcPr>
          <w:p w14:paraId="7D80A53A"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34.4 (41.4)</w:t>
            </w:r>
          </w:p>
        </w:tc>
        <w:tc>
          <w:tcPr>
            <w:tcW w:w="0" w:type="auto"/>
            <w:shd w:val="clear" w:color="auto" w:fill="FFFFFF"/>
            <w:tcMar>
              <w:top w:w="180" w:type="dxa"/>
              <w:left w:w="180" w:type="dxa"/>
              <w:bottom w:w="0" w:type="dxa"/>
              <w:right w:w="180" w:type="dxa"/>
            </w:tcMar>
            <w:hideMark/>
          </w:tcPr>
          <w:p w14:paraId="4B4F9216"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26.0 (36.6)</w:t>
            </w:r>
          </w:p>
        </w:tc>
        <w:tc>
          <w:tcPr>
            <w:tcW w:w="0" w:type="auto"/>
            <w:shd w:val="clear" w:color="auto" w:fill="FFFFFF"/>
            <w:tcMar>
              <w:top w:w="180" w:type="dxa"/>
              <w:left w:w="180" w:type="dxa"/>
              <w:bottom w:w="0" w:type="dxa"/>
              <w:right w:w="180" w:type="dxa"/>
            </w:tcMar>
            <w:hideMark/>
          </w:tcPr>
          <w:p w14:paraId="46A4451C"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.113</w:t>
            </w:r>
            <w:hyperlink r:id="rId44" w:anchor="ajh25900-note-0004_13" w:tooltip="Link to note" w:history="1">
              <w:r w:rsidRPr="00EE1503">
                <w:rPr>
                  <w:rFonts w:ascii="Arial" w:eastAsia="Times New Roman" w:hAnsi="Arial" w:cs="Arial"/>
                  <w:color w:val="005274"/>
                  <w:sz w:val="18"/>
                  <w:szCs w:val="18"/>
                  <w:u w:val="single"/>
                  <w:lang w:eastAsia="en-GB"/>
                </w:rPr>
                <w:t> </w:t>
              </w:r>
              <w:r w:rsidRPr="00EE1503">
                <w:rPr>
                  <w:rFonts w:ascii="Arial" w:eastAsia="Times New Roman" w:hAnsi="Arial" w:cs="Arial"/>
                  <w:i/>
                  <w:iCs/>
                  <w:color w:val="005274"/>
                  <w:sz w:val="18"/>
                  <w:szCs w:val="18"/>
                  <w:u w:val="single"/>
                  <w:vertAlign w:val="superscript"/>
                  <w:lang w:eastAsia="en-GB"/>
                </w:rPr>
                <w:t>d</w:t>
              </w:r>
            </w:hyperlink>
          </w:p>
        </w:tc>
      </w:tr>
      <w:tr w:rsidR="00EE1503" w:rsidRPr="00EE1503" w14:paraId="1D0EAB0B" w14:textId="77777777" w:rsidTr="00EE1503">
        <w:tc>
          <w:tcPr>
            <w:tcW w:w="0" w:type="auto"/>
            <w:shd w:val="clear" w:color="auto" w:fill="FFFFFF"/>
            <w:tcMar>
              <w:top w:w="180" w:type="dxa"/>
              <w:left w:w="180" w:type="dxa"/>
              <w:bottom w:w="0" w:type="dxa"/>
              <w:right w:w="180" w:type="dxa"/>
            </w:tcMar>
            <w:hideMark/>
          </w:tcPr>
          <w:p w14:paraId="3316D510"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Acute chest syndrome requiring hospitalization, per 100 person</w:t>
            </w:r>
            <w:r w:rsidRPr="00EE1503">
              <w:rPr>
                <w:rFonts w:ascii="Cambria Math" w:eastAsia="Times New Roman" w:hAnsi="Cambria Math" w:cs="Cambria Math"/>
                <w:color w:val="000000"/>
                <w:sz w:val="18"/>
                <w:szCs w:val="18"/>
                <w:lang w:eastAsia="en-GB"/>
              </w:rPr>
              <w:t>‐</w:t>
            </w:r>
            <w:r w:rsidRPr="00EE1503">
              <w:rPr>
                <w:rFonts w:ascii="Arial" w:eastAsia="Times New Roman" w:hAnsi="Arial" w:cs="Arial"/>
                <w:color w:val="000000"/>
                <w:sz w:val="18"/>
                <w:szCs w:val="18"/>
                <w:lang w:eastAsia="en-GB"/>
              </w:rPr>
              <w:t>y, mean (std. dev.)</w:t>
            </w:r>
          </w:p>
        </w:tc>
        <w:tc>
          <w:tcPr>
            <w:tcW w:w="0" w:type="auto"/>
            <w:shd w:val="clear" w:color="auto" w:fill="FFFFFF"/>
            <w:tcMar>
              <w:top w:w="180" w:type="dxa"/>
              <w:left w:w="180" w:type="dxa"/>
              <w:bottom w:w="0" w:type="dxa"/>
              <w:right w:w="180" w:type="dxa"/>
            </w:tcMar>
            <w:hideMark/>
          </w:tcPr>
          <w:p w14:paraId="0DF88C59"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1.42 (6.0)</w:t>
            </w:r>
          </w:p>
        </w:tc>
        <w:tc>
          <w:tcPr>
            <w:tcW w:w="0" w:type="auto"/>
            <w:shd w:val="clear" w:color="auto" w:fill="FFFFFF"/>
            <w:tcMar>
              <w:top w:w="180" w:type="dxa"/>
              <w:left w:w="180" w:type="dxa"/>
              <w:bottom w:w="0" w:type="dxa"/>
              <w:right w:w="180" w:type="dxa"/>
            </w:tcMar>
            <w:hideMark/>
          </w:tcPr>
          <w:p w14:paraId="132CFB64"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1.53 (6.2)</w:t>
            </w:r>
          </w:p>
        </w:tc>
        <w:tc>
          <w:tcPr>
            <w:tcW w:w="0" w:type="auto"/>
            <w:shd w:val="clear" w:color="auto" w:fill="FFFFFF"/>
            <w:tcMar>
              <w:top w:w="180" w:type="dxa"/>
              <w:left w:w="180" w:type="dxa"/>
              <w:bottom w:w="0" w:type="dxa"/>
              <w:right w:w="180" w:type="dxa"/>
            </w:tcMar>
            <w:hideMark/>
          </w:tcPr>
          <w:p w14:paraId="3FB4E2A0"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0.76 (3.7)</w:t>
            </w:r>
          </w:p>
        </w:tc>
        <w:tc>
          <w:tcPr>
            <w:tcW w:w="0" w:type="auto"/>
            <w:shd w:val="clear" w:color="auto" w:fill="FFFFFF"/>
            <w:tcMar>
              <w:top w:w="180" w:type="dxa"/>
              <w:left w:w="180" w:type="dxa"/>
              <w:bottom w:w="0" w:type="dxa"/>
              <w:right w:w="180" w:type="dxa"/>
            </w:tcMar>
            <w:hideMark/>
          </w:tcPr>
          <w:p w14:paraId="1966EFEA"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.566</w:t>
            </w:r>
            <w:hyperlink r:id="rId45" w:anchor="ajh25900-note-0004_14" w:tooltip="Link to note" w:history="1">
              <w:r w:rsidRPr="00EE1503">
                <w:rPr>
                  <w:rFonts w:ascii="Arial" w:eastAsia="Times New Roman" w:hAnsi="Arial" w:cs="Arial"/>
                  <w:color w:val="005274"/>
                  <w:sz w:val="18"/>
                  <w:szCs w:val="18"/>
                  <w:u w:val="single"/>
                  <w:lang w:eastAsia="en-GB"/>
                </w:rPr>
                <w:t> </w:t>
              </w:r>
              <w:r w:rsidRPr="00EE1503">
                <w:rPr>
                  <w:rFonts w:ascii="Arial" w:eastAsia="Times New Roman" w:hAnsi="Arial" w:cs="Arial"/>
                  <w:i/>
                  <w:iCs/>
                  <w:color w:val="005274"/>
                  <w:sz w:val="18"/>
                  <w:szCs w:val="18"/>
                  <w:u w:val="single"/>
                  <w:vertAlign w:val="superscript"/>
                  <w:lang w:eastAsia="en-GB"/>
                </w:rPr>
                <w:t>d</w:t>
              </w:r>
            </w:hyperlink>
          </w:p>
        </w:tc>
      </w:tr>
      <w:tr w:rsidR="00EE1503" w:rsidRPr="00EE1503" w14:paraId="5CE87BAB" w14:textId="77777777" w:rsidTr="00EE1503">
        <w:tc>
          <w:tcPr>
            <w:tcW w:w="0" w:type="auto"/>
            <w:shd w:val="clear" w:color="auto" w:fill="FFFFFF"/>
            <w:tcMar>
              <w:top w:w="180" w:type="dxa"/>
              <w:left w:w="180" w:type="dxa"/>
              <w:bottom w:w="0" w:type="dxa"/>
              <w:right w:w="180" w:type="dxa"/>
            </w:tcMar>
            <w:hideMark/>
          </w:tcPr>
          <w:p w14:paraId="56C47FF7"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 xml:space="preserve">Acute </w:t>
            </w:r>
            <w:proofErr w:type="spellStart"/>
            <w:r w:rsidRPr="00EE1503">
              <w:rPr>
                <w:rFonts w:ascii="Arial" w:eastAsia="Times New Roman" w:hAnsi="Arial" w:cs="Arial"/>
                <w:color w:val="000000"/>
                <w:sz w:val="18"/>
                <w:szCs w:val="18"/>
                <w:lang w:eastAsia="en-GB"/>
              </w:rPr>
              <w:t>vaso</w:t>
            </w:r>
            <w:proofErr w:type="spellEnd"/>
            <w:r w:rsidRPr="00EE1503">
              <w:rPr>
                <w:rFonts w:ascii="Cambria Math" w:eastAsia="Times New Roman" w:hAnsi="Cambria Math" w:cs="Cambria Math"/>
                <w:color w:val="000000"/>
                <w:sz w:val="18"/>
                <w:szCs w:val="18"/>
                <w:lang w:eastAsia="en-GB"/>
              </w:rPr>
              <w:t>‐</w:t>
            </w:r>
            <w:r w:rsidRPr="00EE1503">
              <w:rPr>
                <w:rFonts w:ascii="Arial" w:eastAsia="Times New Roman" w:hAnsi="Arial" w:cs="Arial"/>
                <w:color w:val="000000"/>
                <w:sz w:val="18"/>
                <w:szCs w:val="18"/>
                <w:lang w:eastAsia="en-GB"/>
              </w:rPr>
              <w:t>occlusive pain requiring hospitalization, no associated fever, per 100 person</w:t>
            </w:r>
            <w:r w:rsidRPr="00EE1503">
              <w:rPr>
                <w:rFonts w:ascii="Cambria Math" w:eastAsia="Times New Roman" w:hAnsi="Cambria Math" w:cs="Cambria Math"/>
                <w:color w:val="000000"/>
                <w:sz w:val="18"/>
                <w:szCs w:val="18"/>
                <w:lang w:eastAsia="en-GB"/>
              </w:rPr>
              <w:t>‐</w:t>
            </w:r>
            <w:r w:rsidRPr="00EE1503">
              <w:rPr>
                <w:rFonts w:ascii="Arial" w:eastAsia="Times New Roman" w:hAnsi="Arial" w:cs="Arial"/>
                <w:color w:val="000000"/>
                <w:sz w:val="18"/>
                <w:szCs w:val="18"/>
                <w:lang w:eastAsia="en-GB"/>
              </w:rPr>
              <w:t>y, mean (std. dev.)</w:t>
            </w:r>
          </w:p>
        </w:tc>
        <w:tc>
          <w:tcPr>
            <w:tcW w:w="0" w:type="auto"/>
            <w:shd w:val="clear" w:color="auto" w:fill="FFFFFF"/>
            <w:tcMar>
              <w:top w:w="180" w:type="dxa"/>
              <w:left w:w="180" w:type="dxa"/>
              <w:bottom w:w="0" w:type="dxa"/>
              <w:right w:w="180" w:type="dxa"/>
            </w:tcMar>
            <w:hideMark/>
          </w:tcPr>
          <w:p w14:paraId="4B6DFEB2"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13.7 (24.2)</w:t>
            </w:r>
          </w:p>
        </w:tc>
        <w:tc>
          <w:tcPr>
            <w:tcW w:w="0" w:type="auto"/>
            <w:shd w:val="clear" w:color="auto" w:fill="FFFFFF"/>
            <w:tcMar>
              <w:top w:w="180" w:type="dxa"/>
              <w:left w:w="180" w:type="dxa"/>
              <w:bottom w:w="0" w:type="dxa"/>
              <w:right w:w="180" w:type="dxa"/>
            </w:tcMar>
            <w:hideMark/>
          </w:tcPr>
          <w:p w14:paraId="55D0D5F1"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14.9 (24.9)</w:t>
            </w:r>
          </w:p>
        </w:tc>
        <w:tc>
          <w:tcPr>
            <w:tcW w:w="0" w:type="auto"/>
            <w:shd w:val="clear" w:color="auto" w:fill="FFFFFF"/>
            <w:tcMar>
              <w:top w:w="180" w:type="dxa"/>
              <w:left w:w="180" w:type="dxa"/>
              <w:bottom w:w="0" w:type="dxa"/>
              <w:right w:w="180" w:type="dxa"/>
            </w:tcMar>
            <w:hideMark/>
          </w:tcPr>
          <w:p w14:paraId="47AC723D"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5.3 (17.2)</w:t>
            </w:r>
          </w:p>
        </w:tc>
        <w:tc>
          <w:tcPr>
            <w:tcW w:w="0" w:type="auto"/>
            <w:shd w:val="clear" w:color="auto" w:fill="FFFFFF"/>
            <w:tcMar>
              <w:top w:w="180" w:type="dxa"/>
              <w:left w:w="180" w:type="dxa"/>
              <w:bottom w:w="0" w:type="dxa"/>
              <w:right w:w="180" w:type="dxa"/>
            </w:tcMar>
            <w:hideMark/>
          </w:tcPr>
          <w:p w14:paraId="3DA77962"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.002</w:t>
            </w:r>
            <w:hyperlink r:id="rId46" w:anchor="ajh25900-note-0004_15" w:tooltip="Link to note" w:history="1">
              <w:r w:rsidRPr="00EE1503">
                <w:rPr>
                  <w:rFonts w:ascii="Arial" w:eastAsia="Times New Roman" w:hAnsi="Arial" w:cs="Arial"/>
                  <w:color w:val="005274"/>
                  <w:sz w:val="18"/>
                  <w:szCs w:val="18"/>
                  <w:u w:val="single"/>
                  <w:lang w:eastAsia="en-GB"/>
                </w:rPr>
                <w:t> </w:t>
              </w:r>
              <w:r w:rsidRPr="00EE1503">
                <w:rPr>
                  <w:rFonts w:ascii="Arial" w:eastAsia="Times New Roman" w:hAnsi="Arial" w:cs="Arial"/>
                  <w:i/>
                  <w:iCs/>
                  <w:color w:val="005274"/>
                  <w:sz w:val="18"/>
                  <w:szCs w:val="18"/>
                  <w:u w:val="single"/>
                  <w:vertAlign w:val="superscript"/>
                  <w:lang w:eastAsia="en-GB"/>
                </w:rPr>
                <w:t>d</w:t>
              </w:r>
            </w:hyperlink>
          </w:p>
        </w:tc>
      </w:tr>
      <w:tr w:rsidR="00EE1503" w:rsidRPr="00EE1503" w14:paraId="17F86B92" w14:textId="77777777" w:rsidTr="00EE1503">
        <w:tc>
          <w:tcPr>
            <w:tcW w:w="0" w:type="auto"/>
            <w:shd w:val="clear" w:color="auto" w:fill="FFFFFF"/>
            <w:tcMar>
              <w:top w:w="180" w:type="dxa"/>
              <w:left w:w="180" w:type="dxa"/>
              <w:bottom w:w="0" w:type="dxa"/>
              <w:right w:w="180" w:type="dxa"/>
            </w:tcMar>
            <w:hideMark/>
          </w:tcPr>
          <w:p w14:paraId="5DDD2B82"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 xml:space="preserve">Acute </w:t>
            </w:r>
            <w:proofErr w:type="spellStart"/>
            <w:r w:rsidRPr="00EE1503">
              <w:rPr>
                <w:rFonts w:ascii="Arial" w:eastAsia="Times New Roman" w:hAnsi="Arial" w:cs="Arial"/>
                <w:color w:val="000000"/>
                <w:sz w:val="18"/>
                <w:szCs w:val="18"/>
                <w:lang w:eastAsia="en-GB"/>
              </w:rPr>
              <w:t>vaso</w:t>
            </w:r>
            <w:proofErr w:type="spellEnd"/>
            <w:r w:rsidRPr="00EE1503">
              <w:rPr>
                <w:rFonts w:ascii="Cambria Math" w:eastAsia="Times New Roman" w:hAnsi="Cambria Math" w:cs="Cambria Math"/>
                <w:color w:val="000000"/>
                <w:sz w:val="18"/>
                <w:szCs w:val="18"/>
                <w:lang w:eastAsia="en-GB"/>
              </w:rPr>
              <w:t>‐</w:t>
            </w:r>
            <w:r w:rsidRPr="00EE1503">
              <w:rPr>
                <w:rFonts w:ascii="Arial" w:eastAsia="Times New Roman" w:hAnsi="Arial" w:cs="Arial"/>
                <w:color w:val="000000"/>
                <w:sz w:val="18"/>
                <w:szCs w:val="18"/>
                <w:lang w:eastAsia="en-GB"/>
              </w:rPr>
              <w:t>occlusive pain requiring hospitalization with associated fever, per 100 patient</w:t>
            </w:r>
            <w:r w:rsidRPr="00EE1503">
              <w:rPr>
                <w:rFonts w:ascii="Cambria Math" w:eastAsia="Times New Roman" w:hAnsi="Cambria Math" w:cs="Cambria Math"/>
                <w:color w:val="000000"/>
                <w:sz w:val="18"/>
                <w:szCs w:val="18"/>
                <w:lang w:eastAsia="en-GB"/>
              </w:rPr>
              <w:t>‐</w:t>
            </w:r>
            <w:r w:rsidRPr="00EE1503">
              <w:rPr>
                <w:rFonts w:ascii="Arial" w:eastAsia="Times New Roman" w:hAnsi="Arial" w:cs="Arial"/>
                <w:color w:val="000000"/>
                <w:sz w:val="18"/>
                <w:szCs w:val="18"/>
                <w:lang w:eastAsia="en-GB"/>
              </w:rPr>
              <w:t>y, mean (std. dev.)</w:t>
            </w:r>
          </w:p>
        </w:tc>
        <w:tc>
          <w:tcPr>
            <w:tcW w:w="0" w:type="auto"/>
            <w:shd w:val="clear" w:color="auto" w:fill="FFFFFF"/>
            <w:tcMar>
              <w:top w:w="180" w:type="dxa"/>
              <w:left w:w="180" w:type="dxa"/>
              <w:bottom w:w="0" w:type="dxa"/>
              <w:right w:w="180" w:type="dxa"/>
            </w:tcMar>
            <w:hideMark/>
          </w:tcPr>
          <w:p w14:paraId="08DAF2A5"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12.6 (19.8)</w:t>
            </w:r>
          </w:p>
        </w:tc>
        <w:tc>
          <w:tcPr>
            <w:tcW w:w="0" w:type="auto"/>
            <w:shd w:val="clear" w:color="auto" w:fill="FFFFFF"/>
            <w:tcMar>
              <w:top w:w="180" w:type="dxa"/>
              <w:left w:w="180" w:type="dxa"/>
              <w:bottom w:w="0" w:type="dxa"/>
              <w:right w:w="180" w:type="dxa"/>
            </w:tcMar>
            <w:hideMark/>
          </w:tcPr>
          <w:p w14:paraId="529B644E"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12.6 (20.0)</w:t>
            </w:r>
          </w:p>
        </w:tc>
        <w:tc>
          <w:tcPr>
            <w:tcW w:w="0" w:type="auto"/>
            <w:shd w:val="clear" w:color="auto" w:fill="FFFFFF"/>
            <w:tcMar>
              <w:top w:w="180" w:type="dxa"/>
              <w:left w:w="180" w:type="dxa"/>
              <w:bottom w:w="0" w:type="dxa"/>
              <w:right w:w="180" w:type="dxa"/>
            </w:tcMar>
            <w:hideMark/>
          </w:tcPr>
          <w:p w14:paraId="2E63DF4D"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12.2 (18.4)</w:t>
            </w:r>
          </w:p>
        </w:tc>
        <w:tc>
          <w:tcPr>
            <w:tcW w:w="0" w:type="auto"/>
            <w:shd w:val="clear" w:color="auto" w:fill="FFFFFF"/>
            <w:tcMar>
              <w:top w:w="180" w:type="dxa"/>
              <w:left w:w="180" w:type="dxa"/>
              <w:bottom w:w="0" w:type="dxa"/>
              <w:right w:w="180" w:type="dxa"/>
            </w:tcMar>
            <w:hideMark/>
          </w:tcPr>
          <w:p w14:paraId="487A5414"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.924</w:t>
            </w:r>
            <w:hyperlink r:id="rId47" w:anchor="ajh25900-note-0004_16" w:tooltip="Link to note" w:history="1">
              <w:r w:rsidRPr="00EE1503">
                <w:rPr>
                  <w:rFonts w:ascii="Arial" w:eastAsia="Times New Roman" w:hAnsi="Arial" w:cs="Arial"/>
                  <w:color w:val="005274"/>
                  <w:sz w:val="18"/>
                  <w:szCs w:val="18"/>
                  <w:u w:val="single"/>
                  <w:lang w:eastAsia="en-GB"/>
                </w:rPr>
                <w:t> </w:t>
              </w:r>
              <w:r w:rsidRPr="00EE1503">
                <w:rPr>
                  <w:rFonts w:ascii="Arial" w:eastAsia="Times New Roman" w:hAnsi="Arial" w:cs="Arial"/>
                  <w:i/>
                  <w:iCs/>
                  <w:color w:val="005274"/>
                  <w:sz w:val="18"/>
                  <w:szCs w:val="18"/>
                  <w:u w:val="single"/>
                  <w:vertAlign w:val="superscript"/>
                  <w:lang w:eastAsia="en-GB"/>
                </w:rPr>
                <w:t>d</w:t>
              </w:r>
            </w:hyperlink>
          </w:p>
        </w:tc>
      </w:tr>
      <w:tr w:rsidR="00EE1503" w:rsidRPr="00EE1503" w14:paraId="7C65EDB0" w14:textId="77777777" w:rsidTr="00EE1503">
        <w:tc>
          <w:tcPr>
            <w:tcW w:w="0" w:type="auto"/>
            <w:shd w:val="clear" w:color="auto" w:fill="FFFFFF"/>
            <w:tcMar>
              <w:top w:w="180" w:type="dxa"/>
              <w:left w:w="180" w:type="dxa"/>
              <w:bottom w:w="0" w:type="dxa"/>
              <w:right w:w="180" w:type="dxa"/>
            </w:tcMar>
            <w:hideMark/>
          </w:tcPr>
          <w:p w14:paraId="30436D86"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Fever requiring hospitalization, no associated pain, per 100 patient</w:t>
            </w:r>
            <w:r w:rsidRPr="00EE1503">
              <w:rPr>
                <w:rFonts w:ascii="Cambria Math" w:eastAsia="Times New Roman" w:hAnsi="Cambria Math" w:cs="Cambria Math"/>
                <w:color w:val="000000"/>
                <w:sz w:val="18"/>
                <w:szCs w:val="18"/>
                <w:lang w:eastAsia="en-GB"/>
              </w:rPr>
              <w:t>‐</w:t>
            </w:r>
            <w:r w:rsidRPr="00EE1503">
              <w:rPr>
                <w:rFonts w:ascii="Arial" w:eastAsia="Times New Roman" w:hAnsi="Arial" w:cs="Arial"/>
                <w:color w:val="000000"/>
                <w:sz w:val="18"/>
                <w:szCs w:val="18"/>
                <w:lang w:eastAsia="en-GB"/>
              </w:rPr>
              <w:t>y, mean (std. dev.)</w:t>
            </w:r>
          </w:p>
        </w:tc>
        <w:tc>
          <w:tcPr>
            <w:tcW w:w="0" w:type="auto"/>
            <w:shd w:val="clear" w:color="auto" w:fill="FFFFFF"/>
            <w:tcMar>
              <w:top w:w="180" w:type="dxa"/>
              <w:left w:w="180" w:type="dxa"/>
              <w:bottom w:w="0" w:type="dxa"/>
              <w:right w:w="180" w:type="dxa"/>
            </w:tcMar>
            <w:hideMark/>
          </w:tcPr>
          <w:p w14:paraId="25CD6AF9"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3.0 (8.5)</w:t>
            </w:r>
          </w:p>
        </w:tc>
        <w:tc>
          <w:tcPr>
            <w:tcW w:w="0" w:type="auto"/>
            <w:shd w:val="clear" w:color="auto" w:fill="FFFFFF"/>
            <w:tcMar>
              <w:top w:w="180" w:type="dxa"/>
              <w:left w:w="180" w:type="dxa"/>
              <w:bottom w:w="0" w:type="dxa"/>
              <w:right w:w="180" w:type="dxa"/>
            </w:tcMar>
            <w:hideMark/>
          </w:tcPr>
          <w:p w14:paraId="548D9C43"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3.0 (7.4)</w:t>
            </w:r>
          </w:p>
        </w:tc>
        <w:tc>
          <w:tcPr>
            <w:tcW w:w="0" w:type="auto"/>
            <w:shd w:val="clear" w:color="auto" w:fill="FFFFFF"/>
            <w:tcMar>
              <w:top w:w="180" w:type="dxa"/>
              <w:left w:w="180" w:type="dxa"/>
              <w:bottom w:w="0" w:type="dxa"/>
              <w:right w:w="180" w:type="dxa"/>
            </w:tcMar>
            <w:hideMark/>
          </w:tcPr>
          <w:p w14:paraId="57B08CF5"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3.1 (13.9)</w:t>
            </w:r>
          </w:p>
        </w:tc>
        <w:tc>
          <w:tcPr>
            <w:tcW w:w="0" w:type="auto"/>
            <w:shd w:val="clear" w:color="auto" w:fill="FFFFFF"/>
            <w:tcMar>
              <w:top w:w="180" w:type="dxa"/>
              <w:left w:w="180" w:type="dxa"/>
              <w:bottom w:w="0" w:type="dxa"/>
              <w:right w:w="180" w:type="dxa"/>
            </w:tcMar>
            <w:hideMark/>
          </w:tcPr>
          <w:p w14:paraId="2B1C6BF2"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.936</w:t>
            </w:r>
            <w:hyperlink r:id="rId48" w:anchor="ajh25900-note-0004_17" w:tooltip="Link to note" w:history="1">
              <w:r w:rsidRPr="00EE1503">
                <w:rPr>
                  <w:rFonts w:ascii="Arial" w:eastAsia="Times New Roman" w:hAnsi="Arial" w:cs="Arial"/>
                  <w:color w:val="005274"/>
                  <w:sz w:val="18"/>
                  <w:szCs w:val="18"/>
                  <w:u w:val="single"/>
                  <w:lang w:eastAsia="en-GB"/>
                </w:rPr>
                <w:t> </w:t>
              </w:r>
              <w:r w:rsidRPr="00EE1503">
                <w:rPr>
                  <w:rFonts w:ascii="Arial" w:eastAsia="Times New Roman" w:hAnsi="Arial" w:cs="Arial"/>
                  <w:i/>
                  <w:iCs/>
                  <w:color w:val="005274"/>
                  <w:sz w:val="18"/>
                  <w:szCs w:val="18"/>
                  <w:u w:val="single"/>
                  <w:vertAlign w:val="superscript"/>
                  <w:lang w:eastAsia="en-GB"/>
                </w:rPr>
                <w:t>d</w:t>
              </w:r>
            </w:hyperlink>
          </w:p>
        </w:tc>
      </w:tr>
      <w:tr w:rsidR="00EE1503" w:rsidRPr="00EE1503" w14:paraId="320CCF9F" w14:textId="77777777" w:rsidTr="00EE1503">
        <w:tc>
          <w:tcPr>
            <w:tcW w:w="0" w:type="auto"/>
            <w:shd w:val="clear" w:color="auto" w:fill="FFFFFF"/>
            <w:tcMar>
              <w:top w:w="180" w:type="dxa"/>
              <w:left w:w="180" w:type="dxa"/>
              <w:bottom w:w="0" w:type="dxa"/>
              <w:right w:w="180" w:type="dxa"/>
            </w:tcMar>
            <w:hideMark/>
          </w:tcPr>
          <w:p w14:paraId="6D5C83C7"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Stroke, percent (n)</w:t>
            </w:r>
          </w:p>
        </w:tc>
        <w:tc>
          <w:tcPr>
            <w:tcW w:w="0" w:type="auto"/>
            <w:shd w:val="clear" w:color="auto" w:fill="FFFFFF"/>
            <w:tcMar>
              <w:top w:w="180" w:type="dxa"/>
              <w:left w:w="180" w:type="dxa"/>
              <w:bottom w:w="0" w:type="dxa"/>
              <w:right w:w="180" w:type="dxa"/>
            </w:tcMar>
            <w:hideMark/>
          </w:tcPr>
          <w:p w14:paraId="11385977"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1.7 (4)</w:t>
            </w:r>
          </w:p>
        </w:tc>
        <w:tc>
          <w:tcPr>
            <w:tcW w:w="0" w:type="auto"/>
            <w:shd w:val="clear" w:color="auto" w:fill="FFFFFF"/>
            <w:tcMar>
              <w:top w:w="180" w:type="dxa"/>
              <w:left w:w="180" w:type="dxa"/>
              <w:bottom w:w="0" w:type="dxa"/>
              <w:right w:w="180" w:type="dxa"/>
            </w:tcMar>
            <w:hideMark/>
          </w:tcPr>
          <w:p w14:paraId="39CCDA8F"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1.5 (3)</w:t>
            </w:r>
          </w:p>
        </w:tc>
        <w:tc>
          <w:tcPr>
            <w:tcW w:w="0" w:type="auto"/>
            <w:shd w:val="clear" w:color="auto" w:fill="FFFFFF"/>
            <w:tcMar>
              <w:top w:w="180" w:type="dxa"/>
              <w:left w:w="180" w:type="dxa"/>
              <w:bottom w:w="0" w:type="dxa"/>
              <w:right w:w="180" w:type="dxa"/>
            </w:tcMar>
            <w:hideMark/>
          </w:tcPr>
          <w:p w14:paraId="02E97FDD"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3.4 (1)</w:t>
            </w:r>
          </w:p>
        </w:tc>
        <w:tc>
          <w:tcPr>
            <w:tcW w:w="0" w:type="auto"/>
            <w:shd w:val="clear" w:color="auto" w:fill="FFFFFF"/>
            <w:tcMar>
              <w:top w:w="180" w:type="dxa"/>
              <w:left w:w="180" w:type="dxa"/>
              <w:bottom w:w="0" w:type="dxa"/>
              <w:right w:w="180" w:type="dxa"/>
            </w:tcMar>
            <w:hideMark/>
          </w:tcPr>
          <w:p w14:paraId="52DAE194"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.412</w:t>
            </w:r>
            <w:hyperlink r:id="rId49" w:anchor="ajh25900-note-0002_18" w:tooltip="Link to note" w:history="1">
              <w:r w:rsidRPr="00EE1503">
                <w:rPr>
                  <w:rFonts w:ascii="Arial" w:eastAsia="Times New Roman" w:hAnsi="Arial" w:cs="Arial"/>
                  <w:color w:val="005274"/>
                  <w:sz w:val="18"/>
                  <w:szCs w:val="18"/>
                  <w:u w:val="single"/>
                  <w:lang w:eastAsia="en-GB"/>
                </w:rPr>
                <w:t> </w:t>
              </w:r>
              <w:r w:rsidRPr="00EE1503">
                <w:rPr>
                  <w:rFonts w:ascii="Arial" w:eastAsia="Times New Roman" w:hAnsi="Arial" w:cs="Arial"/>
                  <w:i/>
                  <w:iCs/>
                  <w:color w:val="005274"/>
                  <w:sz w:val="18"/>
                  <w:szCs w:val="18"/>
                  <w:u w:val="single"/>
                  <w:vertAlign w:val="superscript"/>
                  <w:lang w:eastAsia="en-GB"/>
                </w:rPr>
                <w:t>b</w:t>
              </w:r>
            </w:hyperlink>
          </w:p>
        </w:tc>
      </w:tr>
      <w:tr w:rsidR="00EE1503" w:rsidRPr="00EE1503" w14:paraId="16E3BE5E" w14:textId="77777777" w:rsidTr="00EE1503">
        <w:tc>
          <w:tcPr>
            <w:tcW w:w="0" w:type="auto"/>
            <w:shd w:val="clear" w:color="auto" w:fill="FFFFFF"/>
            <w:tcMar>
              <w:top w:w="180" w:type="dxa"/>
              <w:left w:w="180" w:type="dxa"/>
              <w:bottom w:w="0" w:type="dxa"/>
              <w:right w:w="180" w:type="dxa"/>
            </w:tcMar>
            <w:hideMark/>
          </w:tcPr>
          <w:p w14:paraId="3085E3F9"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Stroke, events per 100 patients</w:t>
            </w:r>
            <w:r w:rsidRPr="00EE1503">
              <w:rPr>
                <w:rFonts w:ascii="Cambria Math" w:eastAsia="Times New Roman" w:hAnsi="Cambria Math" w:cs="Cambria Math"/>
                <w:color w:val="000000"/>
                <w:sz w:val="18"/>
                <w:szCs w:val="18"/>
                <w:lang w:eastAsia="en-GB"/>
              </w:rPr>
              <w:t>‐</w:t>
            </w:r>
            <w:r w:rsidRPr="00EE1503">
              <w:rPr>
                <w:rFonts w:ascii="Arial" w:eastAsia="Times New Roman" w:hAnsi="Arial" w:cs="Arial"/>
                <w:color w:val="000000"/>
                <w:sz w:val="18"/>
                <w:szCs w:val="18"/>
                <w:lang w:eastAsia="en-GB"/>
              </w:rPr>
              <w:t>y, mean (std. dev.)</w:t>
            </w:r>
          </w:p>
        </w:tc>
        <w:tc>
          <w:tcPr>
            <w:tcW w:w="0" w:type="auto"/>
            <w:shd w:val="clear" w:color="auto" w:fill="FFFFFF"/>
            <w:tcMar>
              <w:top w:w="180" w:type="dxa"/>
              <w:left w:w="180" w:type="dxa"/>
              <w:bottom w:w="0" w:type="dxa"/>
              <w:right w:w="180" w:type="dxa"/>
            </w:tcMar>
            <w:hideMark/>
          </w:tcPr>
          <w:p w14:paraId="1B879FCD"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0.47 (2.8)</w:t>
            </w:r>
          </w:p>
        </w:tc>
        <w:tc>
          <w:tcPr>
            <w:tcW w:w="0" w:type="auto"/>
            <w:shd w:val="clear" w:color="auto" w:fill="FFFFFF"/>
            <w:tcMar>
              <w:top w:w="180" w:type="dxa"/>
              <w:left w:w="180" w:type="dxa"/>
              <w:bottom w:w="0" w:type="dxa"/>
              <w:right w:w="180" w:type="dxa"/>
            </w:tcMar>
            <w:hideMark/>
          </w:tcPr>
          <w:p w14:paraId="3D0A34DE"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0.43 (3.0)</w:t>
            </w:r>
          </w:p>
        </w:tc>
        <w:tc>
          <w:tcPr>
            <w:tcW w:w="0" w:type="auto"/>
            <w:shd w:val="clear" w:color="auto" w:fill="FFFFFF"/>
            <w:tcMar>
              <w:top w:w="180" w:type="dxa"/>
              <w:left w:w="180" w:type="dxa"/>
              <w:bottom w:w="0" w:type="dxa"/>
              <w:right w:w="180" w:type="dxa"/>
            </w:tcMar>
            <w:hideMark/>
          </w:tcPr>
          <w:p w14:paraId="4B9B07BB"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0.76 (3.9)</w:t>
            </w:r>
          </w:p>
        </w:tc>
        <w:tc>
          <w:tcPr>
            <w:tcW w:w="0" w:type="auto"/>
            <w:shd w:val="clear" w:color="auto" w:fill="FFFFFF"/>
            <w:tcMar>
              <w:top w:w="180" w:type="dxa"/>
              <w:left w:w="180" w:type="dxa"/>
              <w:bottom w:w="0" w:type="dxa"/>
              <w:right w:w="180" w:type="dxa"/>
            </w:tcMar>
            <w:hideMark/>
          </w:tcPr>
          <w:p w14:paraId="15847E08"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.603</w:t>
            </w:r>
            <w:hyperlink r:id="rId50" w:anchor="ajh25900-note-0004_19" w:tooltip="Link to note" w:history="1">
              <w:r w:rsidRPr="00EE1503">
                <w:rPr>
                  <w:rFonts w:ascii="Arial" w:eastAsia="Times New Roman" w:hAnsi="Arial" w:cs="Arial"/>
                  <w:color w:val="005274"/>
                  <w:sz w:val="18"/>
                  <w:szCs w:val="18"/>
                  <w:u w:val="single"/>
                  <w:lang w:eastAsia="en-GB"/>
                </w:rPr>
                <w:t> </w:t>
              </w:r>
              <w:r w:rsidRPr="00EE1503">
                <w:rPr>
                  <w:rFonts w:ascii="Arial" w:eastAsia="Times New Roman" w:hAnsi="Arial" w:cs="Arial"/>
                  <w:i/>
                  <w:iCs/>
                  <w:color w:val="005274"/>
                  <w:sz w:val="18"/>
                  <w:szCs w:val="18"/>
                  <w:u w:val="single"/>
                  <w:vertAlign w:val="superscript"/>
                  <w:lang w:eastAsia="en-GB"/>
                </w:rPr>
                <w:t>d</w:t>
              </w:r>
            </w:hyperlink>
          </w:p>
        </w:tc>
      </w:tr>
      <w:tr w:rsidR="00EE1503" w:rsidRPr="00EE1503" w14:paraId="6E7F82C1" w14:textId="77777777" w:rsidTr="00EE1503">
        <w:tc>
          <w:tcPr>
            <w:tcW w:w="0" w:type="auto"/>
            <w:shd w:val="clear" w:color="auto" w:fill="FFFFFF"/>
            <w:tcMar>
              <w:top w:w="180" w:type="dxa"/>
              <w:left w:w="180" w:type="dxa"/>
              <w:bottom w:w="0" w:type="dxa"/>
              <w:right w:w="180" w:type="dxa"/>
            </w:tcMar>
            <w:hideMark/>
          </w:tcPr>
          <w:p w14:paraId="3A0ADE3C"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Death, percent (n)</w:t>
            </w:r>
          </w:p>
        </w:tc>
        <w:tc>
          <w:tcPr>
            <w:tcW w:w="0" w:type="auto"/>
            <w:shd w:val="clear" w:color="auto" w:fill="FFFFFF"/>
            <w:tcMar>
              <w:top w:w="180" w:type="dxa"/>
              <w:left w:w="180" w:type="dxa"/>
              <w:bottom w:w="0" w:type="dxa"/>
              <w:right w:w="180" w:type="dxa"/>
            </w:tcMar>
            <w:hideMark/>
          </w:tcPr>
          <w:p w14:paraId="4DFC8594"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8.1 (19)</w:t>
            </w:r>
          </w:p>
        </w:tc>
        <w:tc>
          <w:tcPr>
            <w:tcW w:w="0" w:type="auto"/>
            <w:shd w:val="clear" w:color="auto" w:fill="FFFFFF"/>
            <w:tcMar>
              <w:top w:w="180" w:type="dxa"/>
              <w:left w:w="180" w:type="dxa"/>
              <w:bottom w:w="0" w:type="dxa"/>
              <w:right w:w="180" w:type="dxa"/>
            </w:tcMar>
            <w:hideMark/>
          </w:tcPr>
          <w:p w14:paraId="6B9D5A2D"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9.2 (19)</w:t>
            </w:r>
          </w:p>
        </w:tc>
        <w:tc>
          <w:tcPr>
            <w:tcW w:w="0" w:type="auto"/>
            <w:shd w:val="clear" w:color="auto" w:fill="FFFFFF"/>
            <w:tcMar>
              <w:top w:w="180" w:type="dxa"/>
              <w:left w:w="180" w:type="dxa"/>
              <w:bottom w:w="0" w:type="dxa"/>
              <w:right w:w="180" w:type="dxa"/>
            </w:tcMar>
            <w:hideMark/>
          </w:tcPr>
          <w:p w14:paraId="0E996145"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0.0 (0)</w:t>
            </w:r>
          </w:p>
        </w:tc>
        <w:tc>
          <w:tcPr>
            <w:tcW w:w="0" w:type="auto"/>
            <w:shd w:val="clear" w:color="auto" w:fill="FFFFFF"/>
            <w:tcMar>
              <w:top w:w="180" w:type="dxa"/>
              <w:left w:w="180" w:type="dxa"/>
              <w:bottom w:w="0" w:type="dxa"/>
              <w:right w:w="180" w:type="dxa"/>
            </w:tcMar>
            <w:hideMark/>
          </w:tcPr>
          <w:p w14:paraId="2D353D5A"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.141</w:t>
            </w:r>
            <w:hyperlink r:id="rId51" w:anchor="ajh25900-note-0002_20" w:tooltip="Link to note" w:history="1">
              <w:r w:rsidRPr="00EE1503">
                <w:rPr>
                  <w:rFonts w:ascii="Arial" w:eastAsia="Times New Roman" w:hAnsi="Arial" w:cs="Arial"/>
                  <w:color w:val="005274"/>
                  <w:sz w:val="18"/>
                  <w:szCs w:val="18"/>
                  <w:u w:val="single"/>
                  <w:lang w:eastAsia="en-GB"/>
                </w:rPr>
                <w:t> </w:t>
              </w:r>
              <w:r w:rsidRPr="00EE1503">
                <w:rPr>
                  <w:rFonts w:ascii="Arial" w:eastAsia="Times New Roman" w:hAnsi="Arial" w:cs="Arial"/>
                  <w:i/>
                  <w:iCs/>
                  <w:color w:val="005274"/>
                  <w:sz w:val="18"/>
                  <w:szCs w:val="18"/>
                  <w:u w:val="single"/>
                  <w:vertAlign w:val="superscript"/>
                  <w:lang w:eastAsia="en-GB"/>
                </w:rPr>
                <w:t>b</w:t>
              </w:r>
            </w:hyperlink>
          </w:p>
        </w:tc>
      </w:tr>
      <w:tr w:rsidR="00EE1503" w:rsidRPr="00EE1503" w14:paraId="2F2FEAA3" w14:textId="77777777" w:rsidTr="00EE1503">
        <w:tc>
          <w:tcPr>
            <w:tcW w:w="0" w:type="auto"/>
            <w:shd w:val="clear" w:color="auto" w:fill="FFFFFF"/>
            <w:tcMar>
              <w:top w:w="180" w:type="dxa"/>
              <w:left w:w="180" w:type="dxa"/>
              <w:bottom w:w="180" w:type="dxa"/>
              <w:right w:w="180" w:type="dxa"/>
            </w:tcMar>
            <w:hideMark/>
          </w:tcPr>
          <w:p w14:paraId="2CC816E2"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Death, rate per 100 patients</w:t>
            </w:r>
            <w:r w:rsidRPr="00EE1503">
              <w:rPr>
                <w:rFonts w:ascii="Cambria Math" w:eastAsia="Times New Roman" w:hAnsi="Cambria Math" w:cs="Cambria Math"/>
                <w:color w:val="000000"/>
                <w:sz w:val="18"/>
                <w:szCs w:val="18"/>
                <w:lang w:eastAsia="en-GB"/>
              </w:rPr>
              <w:t>‐</w:t>
            </w:r>
            <w:r w:rsidRPr="00EE1503">
              <w:rPr>
                <w:rFonts w:ascii="Arial" w:eastAsia="Times New Roman" w:hAnsi="Arial" w:cs="Arial"/>
                <w:color w:val="000000"/>
                <w:sz w:val="18"/>
                <w:szCs w:val="18"/>
                <w:lang w:eastAsia="en-GB"/>
              </w:rPr>
              <w:t>y, mean (std. dev.)</w:t>
            </w:r>
          </w:p>
        </w:tc>
        <w:tc>
          <w:tcPr>
            <w:tcW w:w="0" w:type="auto"/>
            <w:shd w:val="clear" w:color="auto" w:fill="FFFFFF"/>
            <w:tcMar>
              <w:top w:w="180" w:type="dxa"/>
              <w:left w:w="180" w:type="dxa"/>
              <w:bottom w:w="180" w:type="dxa"/>
              <w:right w:w="180" w:type="dxa"/>
            </w:tcMar>
            <w:hideMark/>
          </w:tcPr>
          <w:p w14:paraId="13229DD1"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1.8 (18.9)</w:t>
            </w:r>
          </w:p>
        </w:tc>
        <w:tc>
          <w:tcPr>
            <w:tcW w:w="0" w:type="auto"/>
            <w:shd w:val="clear" w:color="auto" w:fill="FFFFFF"/>
            <w:tcMar>
              <w:top w:w="180" w:type="dxa"/>
              <w:left w:w="180" w:type="dxa"/>
              <w:bottom w:w="180" w:type="dxa"/>
              <w:right w:w="180" w:type="dxa"/>
            </w:tcMar>
            <w:hideMark/>
          </w:tcPr>
          <w:p w14:paraId="320D19DE"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2.0 (19.6)</w:t>
            </w:r>
          </w:p>
        </w:tc>
        <w:tc>
          <w:tcPr>
            <w:tcW w:w="0" w:type="auto"/>
            <w:shd w:val="clear" w:color="auto" w:fill="FFFFFF"/>
            <w:tcMar>
              <w:top w:w="180" w:type="dxa"/>
              <w:left w:w="180" w:type="dxa"/>
              <w:bottom w:w="180" w:type="dxa"/>
              <w:right w:w="180" w:type="dxa"/>
            </w:tcMar>
            <w:hideMark/>
          </w:tcPr>
          <w:p w14:paraId="3BA6234E"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0.0 (0.0)</w:t>
            </w:r>
          </w:p>
        </w:tc>
        <w:tc>
          <w:tcPr>
            <w:tcW w:w="0" w:type="auto"/>
            <w:shd w:val="clear" w:color="auto" w:fill="FFFFFF"/>
            <w:tcMar>
              <w:top w:w="180" w:type="dxa"/>
              <w:left w:w="180" w:type="dxa"/>
              <w:bottom w:w="180" w:type="dxa"/>
              <w:right w:w="180" w:type="dxa"/>
            </w:tcMar>
            <w:hideMark/>
          </w:tcPr>
          <w:p w14:paraId="6FA53004" w14:textId="77777777" w:rsidR="00EE1503" w:rsidRPr="00EE1503" w:rsidRDefault="00EE1503" w:rsidP="00EE1503">
            <w:pPr>
              <w:spacing w:after="0" w:line="240" w:lineRule="auto"/>
              <w:rPr>
                <w:rFonts w:ascii="Arial" w:eastAsia="Times New Roman" w:hAnsi="Arial" w:cs="Arial"/>
                <w:color w:val="000000"/>
                <w:sz w:val="18"/>
                <w:szCs w:val="18"/>
                <w:lang w:eastAsia="en-GB"/>
              </w:rPr>
            </w:pPr>
            <w:r w:rsidRPr="00EE1503">
              <w:rPr>
                <w:rFonts w:ascii="Arial" w:eastAsia="Times New Roman" w:hAnsi="Arial" w:cs="Arial"/>
                <w:color w:val="000000"/>
                <w:sz w:val="18"/>
                <w:szCs w:val="18"/>
                <w:lang w:eastAsia="en-GB"/>
              </w:rPr>
              <w:t>.081</w:t>
            </w:r>
            <w:hyperlink r:id="rId52" w:anchor="ajh25900-note-0004_21" w:tooltip="Link to note" w:history="1">
              <w:r w:rsidRPr="00EE1503">
                <w:rPr>
                  <w:rFonts w:ascii="Arial" w:eastAsia="Times New Roman" w:hAnsi="Arial" w:cs="Arial"/>
                  <w:color w:val="005274"/>
                  <w:sz w:val="18"/>
                  <w:szCs w:val="18"/>
                  <w:u w:val="single"/>
                  <w:lang w:eastAsia="en-GB"/>
                </w:rPr>
                <w:t> </w:t>
              </w:r>
              <w:r w:rsidRPr="00EE1503">
                <w:rPr>
                  <w:rFonts w:ascii="Arial" w:eastAsia="Times New Roman" w:hAnsi="Arial" w:cs="Arial"/>
                  <w:i/>
                  <w:iCs/>
                  <w:color w:val="005274"/>
                  <w:sz w:val="18"/>
                  <w:szCs w:val="18"/>
                  <w:u w:val="single"/>
                  <w:vertAlign w:val="superscript"/>
                  <w:lang w:eastAsia="en-GB"/>
                </w:rPr>
                <w:t>d</w:t>
              </w:r>
            </w:hyperlink>
          </w:p>
        </w:tc>
      </w:tr>
    </w:tbl>
    <w:p w14:paraId="517BCDBB" w14:textId="56B857D8" w:rsidR="00EE1503" w:rsidRDefault="00EE1503" w:rsidP="00EE1503">
      <w:pPr>
        <w:pBdr>
          <w:top w:val="single" w:sz="6" w:space="11" w:color="D4D1C8"/>
        </w:pBdr>
        <w:shd w:val="clear" w:color="auto" w:fill="FFFFFF"/>
        <w:spacing w:before="225" w:after="100" w:afterAutospacing="1" w:line="240" w:lineRule="auto"/>
        <w:ind w:left="720"/>
        <w:rPr>
          <w:rFonts w:ascii="Arial" w:hAnsi="Arial" w:cs="Arial"/>
          <w:color w:val="1C1D1E"/>
          <w:shd w:val="clear" w:color="auto" w:fill="FFFFFF"/>
        </w:rPr>
      </w:pPr>
      <w:r>
        <w:rPr>
          <w:rStyle w:val="table-captionlabel"/>
          <w:rFonts w:ascii="Arial" w:hAnsi="Arial" w:cs="Arial"/>
          <w:b/>
          <w:bCs/>
          <w:color w:val="1C1D1E"/>
          <w:shd w:val="clear" w:color="auto" w:fill="FFFFFF"/>
        </w:rPr>
        <w:t>TABLE 1. </w:t>
      </w:r>
      <w:r>
        <w:rPr>
          <w:rFonts w:ascii="Arial" w:hAnsi="Arial" w:cs="Arial"/>
          <w:color w:val="1C1D1E"/>
          <w:shd w:val="clear" w:color="auto" w:fill="FFFFFF"/>
        </w:rPr>
        <w:t>Clinical and laboratory features of participants. Baseline characteristics and clinical outcomes in children with SCA and abnormal transcranial Doppler (TCD) measurement (non</w:t>
      </w:r>
      <w:r>
        <w:rPr>
          <w:rFonts w:ascii="Cambria Math" w:hAnsi="Cambria Math" w:cs="Cambria Math"/>
          <w:color w:val="1C1D1E"/>
          <w:shd w:val="clear" w:color="auto" w:fill="FFFFFF"/>
        </w:rPr>
        <w:t>‐</w:t>
      </w:r>
      <w:r>
        <w:rPr>
          <w:rFonts w:ascii="Arial" w:hAnsi="Arial" w:cs="Arial"/>
          <w:color w:val="1C1D1E"/>
          <w:shd w:val="clear" w:color="auto" w:fill="FFFFFF"/>
        </w:rPr>
        <w:t>imaging ≥200 cm/s) and comparison group (non</w:t>
      </w:r>
      <w:r>
        <w:rPr>
          <w:rFonts w:ascii="Cambria Math" w:hAnsi="Cambria Math" w:cs="Cambria Math"/>
          <w:color w:val="1C1D1E"/>
          <w:shd w:val="clear" w:color="auto" w:fill="FFFFFF"/>
        </w:rPr>
        <w:t>‐</w:t>
      </w:r>
      <w:r>
        <w:rPr>
          <w:rFonts w:ascii="Arial" w:hAnsi="Arial" w:cs="Arial"/>
          <w:color w:val="1C1D1E"/>
          <w:shd w:val="clear" w:color="auto" w:fill="FFFFFF"/>
        </w:rPr>
        <w:t>imaging &lt;200 cm/s) followed prospectively for 4.8 and 4.9 years, respectively.</w:t>
      </w:r>
    </w:p>
    <w:p w14:paraId="470DE4B3" w14:textId="3EE5AF38" w:rsidR="007E4709" w:rsidRDefault="00EE1503" w:rsidP="00EE1503">
      <w:pPr>
        <w:pBdr>
          <w:top w:val="single" w:sz="6" w:space="11" w:color="D4D1C8"/>
        </w:pBdr>
        <w:shd w:val="clear" w:color="auto" w:fill="FFFFFF"/>
        <w:spacing w:before="225" w:after="100" w:afterAutospacing="1" w:line="240" w:lineRule="auto"/>
        <w:ind w:left="720"/>
      </w:pPr>
      <w:r w:rsidRPr="00EE1503">
        <w:rPr>
          <w:rFonts w:ascii="Arial" w:eastAsia="Times New Roman" w:hAnsi="Arial" w:cs="Arial"/>
          <w:color w:val="1C1D1E"/>
          <w:sz w:val="21"/>
          <w:szCs w:val="21"/>
          <w:lang w:eastAsia="en-GB"/>
        </w:rPr>
        <w:t>a Chi</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squared test for categorical variables or Mann</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Whitney U</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test for continuous variables, unless otherwise noted.</w:t>
      </w:r>
      <w:r>
        <w:rPr>
          <w:rFonts w:ascii="Arial" w:eastAsia="Times New Roman" w:hAnsi="Arial" w:cs="Arial"/>
          <w:color w:val="1C1D1E"/>
          <w:sz w:val="21"/>
          <w:szCs w:val="21"/>
          <w:lang w:eastAsia="en-GB"/>
        </w:rPr>
        <w:t xml:space="preserve"> </w:t>
      </w:r>
      <w:r w:rsidRPr="00EE1503">
        <w:rPr>
          <w:rFonts w:ascii="Arial" w:eastAsia="Times New Roman" w:hAnsi="Arial" w:cs="Arial"/>
          <w:color w:val="1C1D1E"/>
          <w:sz w:val="21"/>
          <w:szCs w:val="21"/>
          <w:lang w:eastAsia="en-GB"/>
        </w:rPr>
        <w:t xml:space="preserve">b </w:t>
      </w:r>
      <w:proofErr w:type="spellStart"/>
      <w:r w:rsidRPr="00EE1503">
        <w:rPr>
          <w:rFonts w:ascii="Arial" w:eastAsia="Times New Roman" w:hAnsi="Arial" w:cs="Arial"/>
          <w:color w:val="1C1D1E"/>
          <w:sz w:val="21"/>
          <w:szCs w:val="21"/>
          <w:lang w:eastAsia="en-GB"/>
        </w:rPr>
        <w:t>Fisherʼs</w:t>
      </w:r>
      <w:proofErr w:type="spellEnd"/>
      <w:r w:rsidRPr="00EE1503">
        <w:rPr>
          <w:rFonts w:ascii="Arial" w:eastAsia="Times New Roman" w:hAnsi="Arial" w:cs="Arial"/>
          <w:color w:val="1C1D1E"/>
          <w:sz w:val="21"/>
          <w:szCs w:val="21"/>
          <w:lang w:eastAsia="en-GB"/>
        </w:rPr>
        <w:t xml:space="preserve"> exact test.</w:t>
      </w:r>
      <w:r>
        <w:rPr>
          <w:rFonts w:ascii="Arial" w:eastAsia="Times New Roman" w:hAnsi="Arial" w:cs="Arial"/>
          <w:color w:val="1C1D1E"/>
          <w:sz w:val="21"/>
          <w:szCs w:val="21"/>
          <w:lang w:eastAsia="en-GB"/>
        </w:rPr>
        <w:t xml:space="preserve"> </w:t>
      </w:r>
      <w:r w:rsidRPr="00EE1503">
        <w:rPr>
          <w:rFonts w:ascii="Arial" w:eastAsia="Times New Roman" w:hAnsi="Arial" w:cs="Arial"/>
          <w:color w:val="1C1D1E"/>
          <w:sz w:val="21"/>
          <w:szCs w:val="21"/>
          <w:lang w:eastAsia="en-GB"/>
        </w:rPr>
        <w:t>c T</w:t>
      </w:r>
      <w:r w:rsidRPr="00EE1503">
        <w:rPr>
          <w:rFonts w:ascii="Cambria Math" w:eastAsia="Times New Roman" w:hAnsi="Cambria Math" w:cs="Cambria Math"/>
          <w:color w:val="1C1D1E"/>
          <w:sz w:val="21"/>
          <w:szCs w:val="21"/>
          <w:lang w:eastAsia="en-GB"/>
        </w:rPr>
        <w:t>‐</w:t>
      </w:r>
      <w:proofErr w:type="spellStart"/>
      <w:proofErr w:type="gramStart"/>
      <w:r w:rsidRPr="00EE1503">
        <w:rPr>
          <w:rFonts w:ascii="Arial" w:eastAsia="Times New Roman" w:hAnsi="Arial" w:cs="Arial"/>
          <w:color w:val="1C1D1E"/>
          <w:sz w:val="21"/>
          <w:szCs w:val="21"/>
          <w:lang w:eastAsia="en-GB"/>
        </w:rPr>
        <w:t>test.d</w:t>
      </w:r>
      <w:proofErr w:type="spellEnd"/>
      <w:proofErr w:type="gramEnd"/>
      <w:r w:rsidRPr="00EE1503">
        <w:rPr>
          <w:rFonts w:ascii="Arial" w:eastAsia="Times New Roman" w:hAnsi="Arial" w:cs="Arial"/>
          <w:color w:val="1C1D1E"/>
          <w:sz w:val="21"/>
          <w:szCs w:val="21"/>
          <w:lang w:eastAsia="en-GB"/>
        </w:rPr>
        <w:t xml:space="preserve"> Mid</w:t>
      </w:r>
      <w:r w:rsidRPr="00EE1503">
        <w:rPr>
          <w:rFonts w:ascii="Cambria Math" w:eastAsia="Times New Roman" w:hAnsi="Cambria Math" w:cs="Cambria Math"/>
          <w:color w:val="1C1D1E"/>
          <w:sz w:val="21"/>
          <w:szCs w:val="21"/>
          <w:lang w:eastAsia="en-GB"/>
        </w:rPr>
        <w:t>‐</w:t>
      </w:r>
      <w:r w:rsidRPr="00EE1503">
        <w:rPr>
          <w:rFonts w:ascii="Arial" w:eastAsia="Times New Roman" w:hAnsi="Arial" w:cs="Arial"/>
          <w:color w:val="1C1D1E"/>
          <w:sz w:val="21"/>
          <w:szCs w:val="21"/>
          <w:lang w:eastAsia="en-GB"/>
        </w:rPr>
        <w:t>p exact test.</w:t>
      </w:r>
    </w:p>
    <w:sectPr w:rsidR="007E47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827AAB"/>
    <w:multiLevelType w:val="multilevel"/>
    <w:tmpl w:val="9A16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03"/>
    <w:rsid w:val="007E4709"/>
    <w:rsid w:val="008A5B50"/>
    <w:rsid w:val="00EE1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0425A"/>
  <w15:chartTrackingRefBased/>
  <w15:docId w15:val="{B9744260-0236-4346-9E6E-7168B78D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E15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EE15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503"/>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EE1503"/>
    <w:rPr>
      <w:color w:val="0000FF"/>
      <w:u w:val="single"/>
    </w:rPr>
  </w:style>
  <w:style w:type="character" w:customStyle="1" w:styleId="epub-state">
    <w:name w:val="epub-state"/>
    <w:basedOn w:val="DefaultParagraphFont"/>
    <w:rsid w:val="00EE1503"/>
  </w:style>
  <w:style w:type="character" w:customStyle="1" w:styleId="epub-date">
    <w:name w:val="epub-date"/>
    <w:basedOn w:val="DefaultParagraphFont"/>
    <w:rsid w:val="00EE1503"/>
  </w:style>
  <w:style w:type="character" w:customStyle="1" w:styleId="openurl">
    <w:name w:val="openurl"/>
    <w:basedOn w:val="DefaultParagraphFont"/>
    <w:rsid w:val="00EE1503"/>
  </w:style>
  <w:style w:type="paragraph" w:styleId="NormalWeb">
    <w:name w:val="Normal (Web)"/>
    <w:basedOn w:val="Normal"/>
    <w:uiPriority w:val="99"/>
    <w:semiHidden/>
    <w:unhideWhenUsed/>
    <w:rsid w:val="00EE15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EE1503"/>
    <w:rPr>
      <w:rFonts w:asciiTheme="majorHAnsi" w:eastAsiaTheme="majorEastAsia" w:hAnsiTheme="majorHAnsi" w:cstheme="majorBidi"/>
      <w:color w:val="2F5496" w:themeColor="accent1" w:themeShade="BF"/>
      <w:sz w:val="26"/>
      <w:szCs w:val="26"/>
    </w:rPr>
  </w:style>
  <w:style w:type="character" w:customStyle="1" w:styleId="bullet">
    <w:name w:val="bullet"/>
    <w:basedOn w:val="DefaultParagraphFont"/>
    <w:rsid w:val="00EE1503"/>
  </w:style>
  <w:style w:type="character" w:customStyle="1" w:styleId="author">
    <w:name w:val="author"/>
    <w:basedOn w:val="DefaultParagraphFont"/>
    <w:rsid w:val="00EE1503"/>
  </w:style>
  <w:style w:type="character" w:customStyle="1" w:styleId="articletitle">
    <w:name w:val="articletitle"/>
    <w:basedOn w:val="DefaultParagraphFont"/>
    <w:rsid w:val="00EE1503"/>
  </w:style>
  <w:style w:type="character" w:customStyle="1" w:styleId="pubyear">
    <w:name w:val="pubyear"/>
    <w:basedOn w:val="DefaultParagraphFont"/>
    <w:rsid w:val="00EE1503"/>
  </w:style>
  <w:style w:type="character" w:customStyle="1" w:styleId="vol">
    <w:name w:val="vol"/>
    <w:basedOn w:val="DefaultParagraphFont"/>
    <w:rsid w:val="00EE1503"/>
  </w:style>
  <w:style w:type="character" w:customStyle="1" w:styleId="pagefirst">
    <w:name w:val="pagefirst"/>
    <w:basedOn w:val="DefaultParagraphFont"/>
    <w:rsid w:val="00EE1503"/>
  </w:style>
  <w:style w:type="character" w:customStyle="1" w:styleId="pagelast">
    <w:name w:val="pagelast"/>
    <w:basedOn w:val="DefaultParagraphFont"/>
    <w:rsid w:val="00EE1503"/>
  </w:style>
  <w:style w:type="character" w:customStyle="1" w:styleId="table-captionlabel">
    <w:name w:val="table-caption__label"/>
    <w:basedOn w:val="DefaultParagraphFont"/>
    <w:rsid w:val="00EE1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149142">
      <w:bodyDiv w:val="1"/>
      <w:marLeft w:val="0"/>
      <w:marRight w:val="0"/>
      <w:marTop w:val="0"/>
      <w:marBottom w:val="0"/>
      <w:divBdr>
        <w:top w:val="none" w:sz="0" w:space="0" w:color="auto"/>
        <w:left w:val="none" w:sz="0" w:space="0" w:color="auto"/>
        <w:bottom w:val="none" w:sz="0" w:space="0" w:color="auto"/>
        <w:right w:val="none" w:sz="0" w:space="0" w:color="auto"/>
      </w:divBdr>
    </w:div>
    <w:div w:id="907349328">
      <w:bodyDiv w:val="1"/>
      <w:marLeft w:val="0"/>
      <w:marRight w:val="0"/>
      <w:marTop w:val="0"/>
      <w:marBottom w:val="0"/>
      <w:divBdr>
        <w:top w:val="none" w:sz="0" w:space="0" w:color="auto"/>
        <w:left w:val="none" w:sz="0" w:space="0" w:color="auto"/>
        <w:bottom w:val="none" w:sz="0" w:space="0" w:color="auto"/>
        <w:right w:val="none" w:sz="0" w:space="0" w:color="auto"/>
      </w:divBdr>
      <w:divsChild>
        <w:div w:id="1933316017">
          <w:marLeft w:val="0"/>
          <w:marRight w:val="0"/>
          <w:marTop w:val="0"/>
          <w:marBottom w:val="0"/>
          <w:divBdr>
            <w:top w:val="none" w:sz="0" w:space="0" w:color="auto"/>
            <w:left w:val="none" w:sz="0" w:space="0" w:color="auto"/>
            <w:bottom w:val="none" w:sz="0" w:space="0" w:color="auto"/>
            <w:right w:val="none" w:sz="0" w:space="0" w:color="auto"/>
          </w:divBdr>
        </w:div>
        <w:div w:id="165052173">
          <w:marLeft w:val="0"/>
          <w:marRight w:val="0"/>
          <w:marTop w:val="0"/>
          <w:marBottom w:val="0"/>
          <w:divBdr>
            <w:top w:val="none" w:sz="0" w:space="0" w:color="auto"/>
            <w:left w:val="none" w:sz="0" w:space="0" w:color="auto"/>
            <w:bottom w:val="none" w:sz="0" w:space="0" w:color="auto"/>
            <w:right w:val="none" w:sz="0" w:space="0" w:color="auto"/>
          </w:divBdr>
        </w:div>
        <w:div w:id="912081921">
          <w:marLeft w:val="0"/>
          <w:marRight w:val="0"/>
          <w:marTop w:val="0"/>
          <w:marBottom w:val="0"/>
          <w:divBdr>
            <w:top w:val="none" w:sz="0" w:space="0" w:color="auto"/>
            <w:left w:val="none" w:sz="0" w:space="0" w:color="auto"/>
            <w:bottom w:val="none" w:sz="0" w:space="0" w:color="auto"/>
            <w:right w:val="none" w:sz="0" w:space="0" w:color="auto"/>
          </w:divBdr>
        </w:div>
        <w:div w:id="1964382993">
          <w:marLeft w:val="0"/>
          <w:marRight w:val="0"/>
          <w:marTop w:val="0"/>
          <w:marBottom w:val="0"/>
          <w:divBdr>
            <w:top w:val="none" w:sz="0" w:space="0" w:color="auto"/>
            <w:left w:val="none" w:sz="0" w:space="0" w:color="auto"/>
            <w:bottom w:val="none" w:sz="0" w:space="0" w:color="auto"/>
            <w:right w:val="none" w:sz="0" w:space="0" w:color="auto"/>
          </w:divBdr>
        </w:div>
        <w:div w:id="1935746657">
          <w:marLeft w:val="0"/>
          <w:marRight w:val="0"/>
          <w:marTop w:val="0"/>
          <w:marBottom w:val="0"/>
          <w:divBdr>
            <w:top w:val="none" w:sz="0" w:space="0" w:color="auto"/>
            <w:left w:val="none" w:sz="0" w:space="0" w:color="auto"/>
            <w:bottom w:val="none" w:sz="0" w:space="0" w:color="auto"/>
            <w:right w:val="none" w:sz="0" w:space="0" w:color="auto"/>
          </w:divBdr>
        </w:div>
        <w:div w:id="1566646031">
          <w:marLeft w:val="0"/>
          <w:marRight w:val="0"/>
          <w:marTop w:val="0"/>
          <w:marBottom w:val="0"/>
          <w:divBdr>
            <w:top w:val="none" w:sz="0" w:space="0" w:color="auto"/>
            <w:left w:val="none" w:sz="0" w:space="0" w:color="auto"/>
            <w:bottom w:val="none" w:sz="0" w:space="0" w:color="auto"/>
            <w:right w:val="none" w:sz="0" w:space="0" w:color="auto"/>
          </w:divBdr>
        </w:div>
        <w:div w:id="254636502">
          <w:marLeft w:val="0"/>
          <w:marRight w:val="0"/>
          <w:marTop w:val="0"/>
          <w:marBottom w:val="0"/>
          <w:divBdr>
            <w:top w:val="none" w:sz="0" w:space="0" w:color="auto"/>
            <w:left w:val="none" w:sz="0" w:space="0" w:color="auto"/>
            <w:bottom w:val="none" w:sz="0" w:space="0" w:color="auto"/>
            <w:right w:val="none" w:sz="0" w:space="0" w:color="auto"/>
          </w:divBdr>
        </w:div>
      </w:divsChild>
    </w:div>
    <w:div w:id="1096710867">
      <w:bodyDiv w:val="1"/>
      <w:marLeft w:val="0"/>
      <w:marRight w:val="0"/>
      <w:marTop w:val="0"/>
      <w:marBottom w:val="0"/>
      <w:divBdr>
        <w:top w:val="none" w:sz="0" w:space="0" w:color="auto"/>
        <w:left w:val="none" w:sz="0" w:space="0" w:color="auto"/>
        <w:bottom w:val="none" w:sz="0" w:space="0" w:color="auto"/>
        <w:right w:val="none" w:sz="0" w:space="0" w:color="auto"/>
      </w:divBdr>
      <w:divsChild>
        <w:div w:id="426662053">
          <w:marLeft w:val="0"/>
          <w:marRight w:val="0"/>
          <w:marTop w:val="0"/>
          <w:marBottom w:val="0"/>
          <w:divBdr>
            <w:top w:val="none" w:sz="0" w:space="0" w:color="auto"/>
            <w:left w:val="none" w:sz="0" w:space="0" w:color="auto"/>
            <w:bottom w:val="none" w:sz="0" w:space="0" w:color="auto"/>
            <w:right w:val="none" w:sz="0" w:space="0" w:color="auto"/>
          </w:divBdr>
        </w:div>
      </w:divsChild>
    </w:div>
    <w:div w:id="1316299397">
      <w:bodyDiv w:val="1"/>
      <w:marLeft w:val="0"/>
      <w:marRight w:val="0"/>
      <w:marTop w:val="0"/>
      <w:marBottom w:val="0"/>
      <w:divBdr>
        <w:top w:val="none" w:sz="0" w:space="0" w:color="auto"/>
        <w:left w:val="none" w:sz="0" w:space="0" w:color="auto"/>
        <w:bottom w:val="none" w:sz="0" w:space="0" w:color="auto"/>
        <w:right w:val="none" w:sz="0" w:space="0" w:color="auto"/>
      </w:divBdr>
      <w:divsChild>
        <w:div w:id="99878447">
          <w:marLeft w:val="0"/>
          <w:marRight w:val="0"/>
          <w:marTop w:val="0"/>
          <w:marBottom w:val="270"/>
          <w:divBdr>
            <w:top w:val="none" w:sz="0" w:space="0" w:color="auto"/>
            <w:left w:val="none" w:sz="0" w:space="0" w:color="auto"/>
            <w:bottom w:val="none" w:sz="0" w:space="0" w:color="auto"/>
            <w:right w:val="none" w:sz="0" w:space="0" w:color="auto"/>
          </w:divBdr>
          <w:divsChild>
            <w:div w:id="1833832512">
              <w:marLeft w:val="0"/>
              <w:marRight w:val="0"/>
              <w:marTop w:val="0"/>
              <w:marBottom w:val="0"/>
              <w:divBdr>
                <w:top w:val="none" w:sz="0" w:space="0" w:color="auto"/>
                <w:left w:val="none" w:sz="0" w:space="0" w:color="auto"/>
                <w:bottom w:val="none" w:sz="0" w:space="0" w:color="auto"/>
                <w:right w:val="none" w:sz="0" w:space="0" w:color="auto"/>
              </w:divBdr>
              <w:divsChild>
                <w:div w:id="1772435463">
                  <w:marLeft w:val="0"/>
                  <w:marRight w:val="0"/>
                  <w:marTop w:val="225"/>
                  <w:marBottom w:val="225"/>
                  <w:divBdr>
                    <w:top w:val="none" w:sz="0" w:space="0" w:color="auto"/>
                    <w:left w:val="none" w:sz="0" w:space="0" w:color="auto"/>
                    <w:bottom w:val="none" w:sz="0" w:space="0" w:color="auto"/>
                    <w:right w:val="none" w:sz="0" w:space="0" w:color="auto"/>
                  </w:divBdr>
                  <w:divsChild>
                    <w:div w:id="1118910310">
                      <w:marLeft w:val="0"/>
                      <w:marRight w:val="0"/>
                      <w:marTop w:val="0"/>
                      <w:marBottom w:val="0"/>
                      <w:divBdr>
                        <w:top w:val="none" w:sz="0" w:space="0" w:color="auto"/>
                        <w:left w:val="none" w:sz="0" w:space="0" w:color="auto"/>
                        <w:bottom w:val="none" w:sz="0" w:space="0" w:color="auto"/>
                        <w:right w:val="none" w:sz="0" w:space="0" w:color="auto"/>
                      </w:divBdr>
                      <w:divsChild>
                        <w:div w:id="2140954125">
                          <w:marLeft w:val="0"/>
                          <w:marRight w:val="0"/>
                          <w:marTop w:val="0"/>
                          <w:marBottom w:val="0"/>
                          <w:divBdr>
                            <w:top w:val="none" w:sz="0" w:space="0" w:color="auto"/>
                            <w:left w:val="none" w:sz="0" w:space="0" w:color="auto"/>
                            <w:bottom w:val="none" w:sz="0" w:space="0" w:color="auto"/>
                            <w:right w:val="none" w:sz="0" w:space="0" w:color="auto"/>
                          </w:divBdr>
                          <w:divsChild>
                            <w:div w:id="371812385">
                              <w:marLeft w:val="0"/>
                              <w:marRight w:val="0"/>
                              <w:marTop w:val="0"/>
                              <w:marBottom w:val="0"/>
                              <w:divBdr>
                                <w:top w:val="none" w:sz="0" w:space="0" w:color="auto"/>
                                <w:left w:val="none" w:sz="0" w:space="0" w:color="auto"/>
                                <w:bottom w:val="none" w:sz="0" w:space="0" w:color="auto"/>
                                <w:right w:val="none" w:sz="0" w:space="0" w:color="auto"/>
                              </w:divBdr>
                            </w:div>
                            <w:div w:id="1921283038">
                              <w:marLeft w:val="0"/>
                              <w:marRight w:val="0"/>
                              <w:marTop w:val="0"/>
                              <w:marBottom w:val="0"/>
                              <w:divBdr>
                                <w:top w:val="none" w:sz="0" w:space="0" w:color="auto"/>
                                <w:left w:val="none" w:sz="0" w:space="0" w:color="auto"/>
                                <w:bottom w:val="none" w:sz="0" w:space="0" w:color="auto"/>
                                <w:right w:val="none" w:sz="0" w:space="0" w:color="auto"/>
                              </w:divBdr>
                            </w:div>
                            <w:div w:id="1214729253">
                              <w:marLeft w:val="0"/>
                              <w:marRight w:val="0"/>
                              <w:marTop w:val="0"/>
                              <w:marBottom w:val="0"/>
                              <w:divBdr>
                                <w:top w:val="none" w:sz="0" w:space="0" w:color="auto"/>
                                <w:left w:val="none" w:sz="0" w:space="0" w:color="auto"/>
                                <w:bottom w:val="none" w:sz="0" w:space="0" w:color="auto"/>
                                <w:right w:val="none" w:sz="0" w:space="0" w:color="auto"/>
                              </w:divBdr>
                            </w:div>
                            <w:div w:id="1482577344">
                              <w:marLeft w:val="0"/>
                              <w:marRight w:val="0"/>
                              <w:marTop w:val="0"/>
                              <w:marBottom w:val="0"/>
                              <w:divBdr>
                                <w:top w:val="none" w:sz="0" w:space="0" w:color="auto"/>
                                <w:left w:val="none" w:sz="0" w:space="0" w:color="auto"/>
                                <w:bottom w:val="none" w:sz="0" w:space="0" w:color="auto"/>
                                <w:right w:val="none" w:sz="0" w:space="0" w:color="auto"/>
                              </w:divBdr>
                            </w:div>
                            <w:div w:id="1206714772">
                              <w:marLeft w:val="0"/>
                              <w:marRight w:val="0"/>
                              <w:marTop w:val="0"/>
                              <w:marBottom w:val="0"/>
                              <w:divBdr>
                                <w:top w:val="none" w:sz="0" w:space="0" w:color="auto"/>
                                <w:left w:val="none" w:sz="0" w:space="0" w:color="auto"/>
                                <w:bottom w:val="none" w:sz="0" w:space="0" w:color="auto"/>
                                <w:right w:val="none" w:sz="0" w:space="0" w:color="auto"/>
                              </w:divBdr>
                            </w:div>
                            <w:div w:id="37976565">
                              <w:marLeft w:val="0"/>
                              <w:marRight w:val="0"/>
                              <w:marTop w:val="0"/>
                              <w:marBottom w:val="0"/>
                              <w:divBdr>
                                <w:top w:val="none" w:sz="0" w:space="0" w:color="auto"/>
                                <w:left w:val="none" w:sz="0" w:space="0" w:color="auto"/>
                                <w:bottom w:val="none" w:sz="0" w:space="0" w:color="auto"/>
                                <w:right w:val="none" w:sz="0" w:space="0" w:color="auto"/>
                              </w:divBdr>
                            </w:div>
                            <w:div w:id="1225526277">
                              <w:marLeft w:val="0"/>
                              <w:marRight w:val="0"/>
                              <w:marTop w:val="0"/>
                              <w:marBottom w:val="0"/>
                              <w:divBdr>
                                <w:top w:val="none" w:sz="0" w:space="0" w:color="auto"/>
                                <w:left w:val="none" w:sz="0" w:space="0" w:color="auto"/>
                                <w:bottom w:val="none" w:sz="0" w:space="0" w:color="auto"/>
                                <w:right w:val="none" w:sz="0" w:space="0" w:color="auto"/>
                              </w:divBdr>
                            </w:div>
                            <w:div w:id="618803293">
                              <w:marLeft w:val="0"/>
                              <w:marRight w:val="0"/>
                              <w:marTop w:val="0"/>
                              <w:marBottom w:val="0"/>
                              <w:divBdr>
                                <w:top w:val="none" w:sz="0" w:space="0" w:color="auto"/>
                                <w:left w:val="none" w:sz="0" w:space="0" w:color="auto"/>
                                <w:bottom w:val="none" w:sz="0" w:space="0" w:color="auto"/>
                                <w:right w:val="none" w:sz="0" w:space="0" w:color="auto"/>
                              </w:divBdr>
                            </w:div>
                            <w:div w:id="1665744397">
                              <w:marLeft w:val="0"/>
                              <w:marRight w:val="0"/>
                              <w:marTop w:val="0"/>
                              <w:marBottom w:val="0"/>
                              <w:divBdr>
                                <w:top w:val="none" w:sz="0" w:space="0" w:color="auto"/>
                                <w:left w:val="none" w:sz="0" w:space="0" w:color="auto"/>
                                <w:bottom w:val="none" w:sz="0" w:space="0" w:color="auto"/>
                                <w:right w:val="none" w:sz="0" w:space="0" w:color="auto"/>
                              </w:divBdr>
                            </w:div>
                            <w:div w:id="66342883">
                              <w:marLeft w:val="0"/>
                              <w:marRight w:val="0"/>
                              <w:marTop w:val="0"/>
                              <w:marBottom w:val="0"/>
                              <w:divBdr>
                                <w:top w:val="none" w:sz="0" w:space="0" w:color="auto"/>
                                <w:left w:val="none" w:sz="0" w:space="0" w:color="auto"/>
                                <w:bottom w:val="none" w:sz="0" w:space="0" w:color="auto"/>
                                <w:right w:val="none" w:sz="0" w:space="0" w:color="auto"/>
                              </w:divBdr>
                            </w:div>
                            <w:div w:id="1175343748">
                              <w:marLeft w:val="0"/>
                              <w:marRight w:val="0"/>
                              <w:marTop w:val="0"/>
                              <w:marBottom w:val="0"/>
                              <w:divBdr>
                                <w:top w:val="none" w:sz="0" w:space="0" w:color="auto"/>
                                <w:left w:val="none" w:sz="0" w:space="0" w:color="auto"/>
                                <w:bottom w:val="none" w:sz="0" w:space="0" w:color="auto"/>
                                <w:right w:val="none" w:sz="0" w:space="0" w:color="auto"/>
                              </w:divBdr>
                            </w:div>
                            <w:div w:id="1067991299">
                              <w:marLeft w:val="0"/>
                              <w:marRight w:val="0"/>
                              <w:marTop w:val="0"/>
                              <w:marBottom w:val="0"/>
                              <w:divBdr>
                                <w:top w:val="none" w:sz="0" w:space="0" w:color="auto"/>
                                <w:left w:val="none" w:sz="0" w:space="0" w:color="auto"/>
                                <w:bottom w:val="none" w:sz="0" w:space="0" w:color="auto"/>
                                <w:right w:val="none" w:sz="0" w:space="0" w:color="auto"/>
                              </w:divBdr>
                            </w:div>
                            <w:div w:id="642394592">
                              <w:marLeft w:val="0"/>
                              <w:marRight w:val="0"/>
                              <w:marTop w:val="0"/>
                              <w:marBottom w:val="0"/>
                              <w:divBdr>
                                <w:top w:val="none" w:sz="0" w:space="0" w:color="auto"/>
                                <w:left w:val="none" w:sz="0" w:space="0" w:color="auto"/>
                                <w:bottom w:val="none" w:sz="0" w:space="0" w:color="auto"/>
                                <w:right w:val="none" w:sz="0" w:space="0" w:color="auto"/>
                              </w:divBdr>
                            </w:div>
                            <w:div w:id="316224742">
                              <w:marLeft w:val="0"/>
                              <w:marRight w:val="0"/>
                              <w:marTop w:val="0"/>
                              <w:marBottom w:val="0"/>
                              <w:divBdr>
                                <w:top w:val="none" w:sz="0" w:space="0" w:color="auto"/>
                                <w:left w:val="none" w:sz="0" w:space="0" w:color="auto"/>
                                <w:bottom w:val="none" w:sz="0" w:space="0" w:color="auto"/>
                                <w:right w:val="none" w:sz="0" w:space="0" w:color="auto"/>
                              </w:divBdr>
                            </w:div>
                            <w:div w:id="2137793369">
                              <w:marLeft w:val="0"/>
                              <w:marRight w:val="0"/>
                              <w:marTop w:val="0"/>
                              <w:marBottom w:val="0"/>
                              <w:divBdr>
                                <w:top w:val="none" w:sz="0" w:space="0" w:color="auto"/>
                                <w:left w:val="none" w:sz="0" w:space="0" w:color="auto"/>
                                <w:bottom w:val="none" w:sz="0" w:space="0" w:color="auto"/>
                                <w:right w:val="none" w:sz="0" w:space="0" w:color="auto"/>
                              </w:divBdr>
                            </w:div>
                            <w:div w:id="506405146">
                              <w:marLeft w:val="0"/>
                              <w:marRight w:val="0"/>
                              <w:marTop w:val="0"/>
                              <w:marBottom w:val="0"/>
                              <w:divBdr>
                                <w:top w:val="none" w:sz="0" w:space="0" w:color="auto"/>
                                <w:left w:val="none" w:sz="0" w:space="0" w:color="auto"/>
                                <w:bottom w:val="none" w:sz="0" w:space="0" w:color="auto"/>
                                <w:right w:val="none" w:sz="0" w:space="0" w:color="auto"/>
                              </w:divBdr>
                            </w:div>
                            <w:div w:id="2100829774">
                              <w:marLeft w:val="0"/>
                              <w:marRight w:val="0"/>
                              <w:marTop w:val="0"/>
                              <w:marBottom w:val="0"/>
                              <w:divBdr>
                                <w:top w:val="none" w:sz="0" w:space="0" w:color="auto"/>
                                <w:left w:val="none" w:sz="0" w:space="0" w:color="auto"/>
                                <w:bottom w:val="none" w:sz="0" w:space="0" w:color="auto"/>
                                <w:right w:val="none" w:sz="0" w:space="0" w:color="auto"/>
                              </w:divBdr>
                            </w:div>
                            <w:div w:id="978534084">
                              <w:marLeft w:val="0"/>
                              <w:marRight w:val="0"/>
                              <w:marTop w:val="0"/>
                              <w:marBottom w:val="0"/>
                              <w:divBdr>
                                <w:top w:val="none" w:sz="0" w:space="0" w:color="auto"/>
                                <w:left w:val="none" w:sz="0" w:space="0" w:color="auto"/>
                                <w:bottom w:val="none" w:sz="0" w:space="0" w:color="auto"/>
                                <w:right w:val="none" w:sz="0" w:space="0" w:color="auto"/>
                              </w:divBdr>
                            </w:div>
                            <w:div w:id="20711118">
                              <w:marLeft w:val="0"/>
                              <w:marRight w:val="0"/>
                              <w:marTop w:val="0"/>
                              <w:marBottom w:val="0"/>
                              <w:divBdr>
                                <w:top w:val="none" w:sz="0" w:space="0" w:color="auto"/>
                                <w:left w:val="none" w:sz="0" w:space="0" w:color="auto"/>
                                <w:bottom w:val="none" w:sz="0" w:space="0" w:color="auto"/>
                                <w:right w:val="none" w:sz="0" w:space="0" w:color="auto"/>
                              </w:divBdr>
                            </w:div>
                            <w:div w:id="267082084">
                              <w:marLeft w:val="0"/>
                              <w:marRight w:val="0"/>
                              <w:marTop w:val="0"/>
                              <w:marBottom w:val="0"/>
                              <w:divBdr>
                                <w:top w:val="none" w:sz="0" w:space="0" w:color="auto"/>
                                <w:left w:val="none" w:sz="0" w:space="0" w:color="auto"/>
                                <w:bottom w:val="none" w:sz="0" w:space="0" w:color="auto"/>
                                <w:right w:val="none" w:sz="0" w:space="0" w:color="auto"/>
                              </w:divBdr>
                            </w:div>
                            <w:div w:id="179675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739746">
                  <w:marLeft w:val="0"/>
                  <w:marRight w:val="0"/>
                  <w:marTop w:val="225"/>
                  <w:marBottom w:val="225"/>
                  <w:divBdr>
                    <w:top w:val="none" w:sz="0" w:space="0" w:color="auto"/>
                    <w:left w:val="none" w:sz="0" w:space="0" w:color="auto"/>
                    <w:bottom w:val="none" w:sz="0" w:space="0" w:color="auto"/>
                    <w:right w:val="none" w:sz="0" w:space="0" w:color="auto"/>
                  </w:divBdr>
                  <w:divsChild>
                    <w:div w:id="209728501">
                      <w:marLeft w:val="0"/>
                      <w:marRight w:val="0"/>
                      <w:marTop w:val="0"/>
                      <w:marBottom w:val="0"/>
                      <w:divBdr>
                        <w:top w:val="none" w:sz="0" w:space="0" w:color="auto"/>
                        <w:left w:val="none" w:sz="0" w:space="0" w:color="auto"/>
                        <w:bottom w:val="none" w:sz="0" w:space="0" w:color="auto"/>
                        <w:right w:val="none" w:sz="0" w:space="0" w:color="auto"/>
                      </w:divBdr>
                    </w:div>
                    <w:div w:id="1671789951">
                      <w:marLeft w:val="0"/>
                      <w:marRight w:val="0"/>
                      <w:marTop w:val="0"/>
                      <w:marBottom w:val="0"/>
                      <w:divBdr>
                        <w:top w:val="none" w:sz="0" w:space="0" w:color="auto"/>
                        <w:left w:val="none" w:sz="0" w:space="0" w:color="auto"/>
                        <w:bottom w:val="none" w:sz="0" w:space="0" w:color="auto"/>
                        <w:right w:val="none" w:sz="0" w:space="0" w:color="auto"/>
                      </w:divBdr>
                    </w:div>
                  </w:divsChild>
                </w:div>
                <w:div w:id="399670180">
                  <w:marLeft w:val="0"/>
                  <w:marRight w:val="0"/>
                  <w:marTop w:val="225"/>
                  <w:marBottom w:val="225"/>
                  <w:divBdr>
                    <w:top w:val="none" w:sz="0" w:space="0" w:color="auto"/>
                    <w:left w:val="none" w:sz="0" w:space="0" w:color="auto"/>
                    <w:bottom w:val="none" w:sz="0" w:space="0" w:color="auto"/>
                    <w:right w:val="none" w:sz="0" w:space="0" w:color="auto"/>
                  </w:divBdr>
                  <w:divsChild>
                    <w:div w:id="249966926">
                      <w:marLeft w:val="0"/>
                      <w:marRight w:val="0"/>
                      <w:marTop w:val="0"/>
                      <w:marBottom w:val="0"/>
                      <w:divBdr>
                        <w:top w:val="none" w:sz="0" w:space="0" w:color="auto"/>
                        <w:left w:val="none" w:sz="0" w:space="0" w:color="auto"/>
                        <w:bottom w:val="none" w:sz="0" w:space="0" w:color="auto"/>
                        <w:right w:val="none" w:sz="0" w:space="0" w:color="auto"/>
                      </w:divBdr>
                      <w:divsChild>
                        <w:div w:id="14234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067152">
          <w:marLeft w:val="0"/>
          <w:marRight w:val="0"/>
          <w:marTop w:val="0"/>
          <w:marBottom w:val="0"/>
          <w:divBdr>
            <w:top w:val="none" w:sz="0" w:space="0" w:color="auto"/>
            <w:left w:val="none" w:sz="0" w:space="0" w:color="auto"/>
            <w:bottom w:val="none" w:sz="0" w:space="0" w:color="auto"/>
            <w:right w:val="none" w:sz="0" w:space="0" w:color="auto"/>
          </w:divBdr>
          <w:divsChild>
            <w:div w:id="411899124">
              <w:marLeft w:val="0"/>
              <w:marRight w:val="0"/>
              <w:marTop w:val="0"/>
              <w:marBottom w:val="0"/>
              <w:divBdr>
                <w:top w:val="none" w:sz="0" w:space="0" w:color="auto"/>
                <w:left w:val="none" w:sz="0" w:space="0" w:color="auto"/>
                <w:bottom w:val="single" w:sz="12" w:space="0" w:color="D8D9DA"/>
                <w:right w:val="none" w:sz="0" w:space="0" w:color="auto"/>
              </w:divBdr>
              <w:divsChild>
                <w:div w:id="135921963">
                  <w:marLeft w:val="0"/>
                  <w:marRight w:val="0"/>
                  <w:marTop w:val="0"/>
                  <w:marBottom w:val="0"/>
                  <w:divBdr>
                    <w:top w:val="none" w:sz="0" w:space="0" w:color="auto"/>
                    <w:left w:val="none" w:sz="0" w:space="0" w:color="auto"/>
                    <w:bottom w:val="none" w:sz="0" w:space="0" w:color="auto"/>
                    <w:right w:val="none" w:sz="0" w:space="0" w:color="auto"/>
                  </w:divBdr>
                  <w:divsChild>
                    <w:div w:id="1334257373">
                      <w:marLeft w:val="0"/>
                      <w:marRight w:val="0"/>
                      <w:marTop w:val="0"/>
                      <w:marBottom w:val="0"/>
                      <w:divBdr>
                        <w:top w:val="none" w:sz="0" w:space="0" w:color="auto"/>
                        <w:left w:val="none" w:sz="0" w:space="0" w:color="auto"/>
                        <w:bottom w:val="none" w:sz="0" w:space="0" w:color="auto"/>
                        <w:right w:val="none" w:sz="0" w:space="0" w:color="auto"/>
                      </w:divBdr>
                    </w:div>
                  </w:divsChild>
                </w:div>
                <w:div w:id="145512128">
                  <w:marLeft w:val="0"/>
                  <w:marRight w:val="0"/>
                  <w:marTop w:val="0"/>
                  <w:marBottom w:val="0"/>
                  <w:divBdr>
                    <w:top w:val="none" w:sz="0" w:space="0" w:color="auto"/>
                    <w:left w:val="none" w:sz="0" w:space="0" w:color="auto"/>
                    <w:bottom w:val="none" w:sz="0" w:space="0" w:color="auto"/>
                    <w:right w:val="none" w:sz="0" w:space="0" w:color="auto"/>
                  </w:divBdr>
                  <w:divsChild>
                    <w:div w:id="1263031028">
                      <w:marLeft w:val="0"/>
                      <w:marRight w:val="0"/>
                      <w:marTop w:val="0"/>
                      <w:marBottom w:val="0"/>
                      <w:divBdr>
                        <w:top w:val="none" w:sz="0" w:space="0" w:color="auto"/>
                        <w:left w:val="none" w:sz="0" w:space="0" w:color="auto"/>
                        <w:bottom w:val="none" w:sz="0" w:space="0" w:color="auto"/>
                        <w:right w:val="none" w:sz="0" w:space="0" w:color="auto"/>
                      </w:divBdr>
                    </w:div>
                    <w:div w:id="150945926">
                      <w:marLeft w:val="270"/>
                      <w:marRight w:val="0"/>
                      <w:marTop w:val="0"/>
                      <w:marBottom w:val="0"/>
                      <w:divBdr>
                        <w:top w:val="none" w:sz="0" w:space="0" w:color="auto"/>
                        <w:left w:val="none" w:sz="0" w:space="0" w:color="auto"/>
                        <w:bottom w:val="none" w:sz="0" w:space="0" w:color="auto"/>
                        <w:right w:val="none" w:sz="0" w:space="0" w:color="auto"/>
                      </w:divBdr>
                    </w:div>
                    <w:div w:id="1753157503">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18845">
          <w:marLeft w:val="0"/>
          <w:marRight w:val="0"/>
          <w:marTop w:val="300"/>
          <w:marBottom w:val="0"/>
          <w:divBdr>
            <w:top w:val="none" w:sz="0" w:space="0" w:color="auto"/>
            <w:left w:val="none" w:sz="0" w:space="0" w:color="auto"/>
            <w:bottom w:val="none" w:sz="0" w:space="0" w:color="auto"/>
            <w:right w:val="none" w:sz="0" w:space="0" w:color="auto"/>
          </w:divBdr>
        </w:div>
      </w:divsChild>
    </w:div>
    <w:div w:id="1326515627">
      <w:bodyDiv w:val="1"/>
      <w:marLeft w:val="0"/>
      <w:marRight w:val="0"/>
      <w:marTop w:val="0"/>
      <w:marBottom w:val="0"/>
      <w:divBdr>
        <w:top w:val="none" w:sz="0" w:space="0" w:color="auto"/>
        <w:left w:val="none" w:sz="0" w:space="0" w:color="auto"/>
        <w:bottom w:val="none" w:sz="0" w:space="0" w:color="auto"/>
        <w:right w:val="none" w:sz="0" w:space="0" w:color="auto"/>
      </w:divBdr>
    </w:div>
    <w:div w:id="161448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library-wiley-com.libproxy.ucl.ac.uk/action/doSearch?ContribAuthorStored=Galadanci%2C+Aisha" TargetMode="External"/><Relationship Id="rId18" Type="http://schemas.openxmlformats.org/officeDocument/2006/relationships/hyperlink" Target="https://onlinelibrary-wiley-com.libproxy.ucl.ac.uk/action/doSearch?ContribAuthorStored=Ghafuri%2C+Djamila+L" TargetMode="External"/><Relationship Id="rId26" Type="http://schemas.openxmlformats.org/officeDocument/2006/relationships/hyperlink" Target="https://onlinelibrary-wiley-com.libproxy.ucl.ac.uk/doi/full/10.1002/ajh.25900" TargetMode="External"/><Relationship Id="rId39" Type="http://schemas.openxmlformats.org/officeDocument/2006/relationships/hyperlink" Target="https://onlinelibrary-wiley-com.libproxy.ucl.ac.uk/doi/full/10.1002/ajh.25900" TargetMode="External"/><Relationship Id="rId21" Type="http://schemas.openxmlformats.org/officeDocument/2006/relationships/hyperlink" Target="https://onlinelibrary-wiley-com.libproxy.ucl.ac.uk/action/doSearch?ContribAuthorStored=Kassim%2C+Adetola+A" TargetMode="External"/><Relationship Id="rId34" Type="http://schemas.openxmlformats.org/officeDocument/2006/relationships/hyperlink" Target="https://onlinelibrary-wiley-com.libproxy.ucl.ac.uk/doi/full/10.1002/ajh.25900" TargetMode="External"/><Relationship Id="rId42" Type="http://schemas.openxmlformats.org/officeDocument/2006/relationships/hyperlink" Target="https://onlinelibrary-wiley-com.libproxy.ucl.ac.uk/doi/full/10.1002/ajh.25900" TargetMode="External"/><Relationship Id="rId47" Type="http://schemas.openxmlformats.org/officeDocument/2006/relationships/hyperlink" Target="https://onlinelibrary-wiley-com.libproxy.ucl.ac.uk/doi/full/10.1002/ajh.25900" TargetMode="External"/><Relationship Id="rId50" Type="http://schemas.openxmlformats.org/officeDocument/2006/relationships/hyperlink" Target="https://onlinelibrary-wiley-com.libproxy.ucl.ac.uk/doi/full/10.1002/ajh.25900" TargetMode="External"/><Relationship Id="rId7" Type="http://schemas.openxmlformats.org/officeDocument/2006/relationships/hyperlink" Target="https://onlinelibrary-wiley-com.libproxy.ucl.ac.uk/action/doSearch?ContribAuthorStored=Ali+Abubakar%2C+Shehi" TargetMode="External"/><Relationship Id="rId2" Type="http://schemas.openxmlformats.org/officeDocument/2006/relationships/styles" Target="styles.xml"/><Relationship Id="rId16" Type="http://schemas.openxmlformats.org/officeDocument/2006/relationships/hyperlink" Target="https://onlinelibrary-wiley-com.libproxy.ucl.ac.uk/action/doSearch?ContribAuthorStored=Salihu%2C+Auwal+S" TargetMode="External"/><Relationship Id="rId29" Type="http://schemas.openxmlformats.org/officeDocument/2006/relationships/hyperlink" Target="https://onlinelibrary-wiley-com.libproxy.ucl.ac.uk/doi/full/10.1002/ajh.25900" TargetMode="External"/><Relationship Id="rId11" Type="http://schemas.openxmlformats.org/officeDocument/2006/relationships/hyperlink" Target="https://onlinelibrary-wiley-com.libproxy.ucl.ac.uk/action/doSearch?ContribAuthorStored=Abba%2C+Muhammad+S" TargetMode="External"/><Relationship Id="rId24" Type="http://schemas.openxmlformats.org/officeDocument/2006/relationships/hyperlink" Target="https://onlinelibrary-wiley-com.libproxy.ucl.ac.uk/action/doSearch?ContribAuthorStored=Aliyu%2C+Muktar+H" TargetMode="External"/><Relationship Id="rId32" Type="http://schemas.openxmlformats.org/officeDocument/2006/relationships/hyperlink" Target="https://onlinelibrary-wiley-com.libproxy.ucl.ac.uk/doi/full/10.1002/ajh.25900" TargetMode="External"/><Relationship Id="rId37" Type="http://schemas.openxmlformats.org/officeDocument/2006/relationships/hyperlink" Target="https://onlinelibrary-wiley-com.libproxy.ucl.ac.uk/doi/full/10.1002/ajh.25900" TargetMode="External"/><Relationship Id="rId40" Type="http://schemas.openxmlformats.org/officeDocument/2006/relationships/hyperlink" Target="https://onlinelibrary-wiley-com.libproxy.ucl.ac.uk/doi/full/10.1002/ajh.25900" TargetMode="External"/><Relationship Id="rId45" Type="http://schemas.openxmlformats.org/officeDocument/2006/relationships/hyperlink" Target="https://onlinelibrary-wiley-com.libproxy.ucl.ac.uk/doi/full/10.1002/ajh.25900" TargetMode="External"/><Relationship Id="rId53" Type="http://schemas.openxmlformats.org/officeDocument/2006/relationships/fontTable" Target="fontTable.xml"/><Relationship Id="rId5" Type="http://schemas.openxmlformats.org/officeDocument/2006/relationships/hyperlink" Target="https://onlinelibrary-wiley-com.libproxy.ucl.ac.uk/action/doSearch?ContribAuthorStored=Galadanci%2C+Najibah+A" TargetMode="External"/><Relationship Id="rId10" Type="http://schemas.openxmlformats.org/officeDocument/2006/relationships/hyperlink" Target="https://onlinelibrary-wiley-com.libproxy.ucl.ac.uk/action/doSearch?ContribAuthorStored=Tijjani%2C+Aliyu" TargetMode="External"/><Relationship Id="rId19" Type="http://schemas.openxmlformats.org/officeDocument/2006/relationships/hyperlink" Target="https://onlinelibrary-wiley-com.libproxy.ucl.ac.uk/action/doSearch?ContribAuthorStored=Covert+C+Greene%2C+Brittany+V" TargetMode="External"/><Relationship Id="rId31" Type="http://schemas.openxmlformats.org/officeDocument/2006/relationships/hyperlink" Target="https://onlinelibrary-wiley-com.libproxy.ucl.ac.uk/doi/full/10.1002/ajh.25900" TargetMode="External"/><Relationship Id="rId44" Type="http://schemas.openxmlformats.org/officeDocument/2006/relationships/hyperlink" Target="https://onlinelibrary-wiley-com.libproxy.ucl.ac.uk/doi/full/10.1002/ajh.25900" TargetMode="External"/><Relationship Id="rId52" Type="http://schemas.openxmlformats.org/officeDocument/2006/relationships/hyperlink" Target="https://onlinelibrary-wiley-com.libproxy.ucl.ac.uk/doi/full/10.1002/ajh.25900" TargetMode="External"/><Relationship Id="rId4" Type="http://schemas.openxmlformats.org/officeDocument/2006/relationships/webSettings" Target="webSettings.xml"/><Relationship Id="rId9" Type="http://schemas.openxmlformats.org/officeDocument/2006/relationships/hyperlink" Target="https://onlinelibrary-wiley-com.libproxy.ucl.ac.uk/action/doSearch?ContribAuthorStored=Aminu%2C+Hauwa" TargetMode="External"/><Relationship Id="rId14" Type="http://schemas.openxmlformats.org/officeDocument/2006/relationships/hyperlink" Target="https://onlinelibrary-wiley-com.libproxy.ucl.ac.uk/action/doSearch?ContribAuthorStored=Borodo%2C+Awwal+Musa" TargetMode="External"/><Relationship Id="rId22" Type="http://schemas.openxmlformats.org/officeDocument/2006/relationships/hyperlink" Target="https://onlinelibrary-wiley-com.libproxy.ucl.ac.uk/action/doSearch?ContribAuthorStored=Kirkham%2C+Fenella+J" TargetMode="External"/><Relationship Id="rId27" Type="http://schemas.openxmlformats.org/officeDocument/2006/relationships/hyperlink" Target="https://onlinelibrary-wiley-com.libproxy.ucl.ac.uk/doi/full/10.1002/ajh.25900" TargetMode="External"/><Relationship Id="rId30" Type="http://schemas.openxmlformats.org/officeDocument/2006/relationships/hyperlink" Target="https://onlinelibrary-wiley-com.libproxy.ucl.ac.uk/doi/full/10.1002/ajh.25900" TargetMode="External"/><Relationship Id="rId35" Type="http://schemas.openxmlformats.org/officeDocument/2006/relationships/hyperlink" Target="https://onlinelibrary-wiley-com.libproxy.ucl.ac.uk/doi/full/10.1002/ajh.25900" TargetMode="External"/><Relationship Id="rId43" Type="http://schemas.openxmlformats.org/officeDocument/2006/relationships/hyperlink" Target="https://onlinelibrary-wiley-com.libproxy.ucl.ac.uk/doi/full/10.1002/ajh.25900" TargetMode="External"/><Relationship Id="rId48" Type="http://schemas.openxmlformats.org/officeDocument/2006/relationships/hyperlink" Target="https://onlinelibrary-wiley-com.libproxy.ucl.ac.uk/doi/full/10.1002/ajh.25900" TargetMode="External"/><Relationship Id="rId8" Type="http://schemas.openxmlformats.org/officeDocument/2006/relationships/hyperlink" Target="https://onlinelibrary-wiley-com.libproxy.ucl.ac.uk/action/doSearch?ContribAuthorStored=Wudil+Jibir%2C+Binta" TargetMode="External"/><Relationship Id="rId51" Type="http://schemas.openxmlformats.org/officeDocument/2006/relationships/hyperlink" Target="https://onlinelibrary-wiley-com.libproxy.ucl.ac.uk/doi/full/10.1002/ajh.25900" TargetMode="External"/><Relationship Id="rId3" Type="http://schemas.openxmlformats.org/officeDocument/2006/relationships/settings" Target="settings.xml"/><Relationship Id="rId12" Type="http://schemas.openxmlformats.org/officeDocument/2006/relationships/hyperlink" Target="https://onlinelibrary-wiley-com.libproxy.ucl.ac.uk/action/doSearch?ContribAuthorStored=Tabari%2C+Musa+A" TargetMode="External"/><Relationship Id="rId17" Type="http://schemas.openxmlformats.org/officeDocument/2006/relationships/hyperlink" Target="https://onlinelibrary-wiley-com.libproxy.ucl.ac.uk/action/doSearch?ContribAuthorStored=Rodeghier%2C+Mark" TargetMode="External"/><Relationship Id="rId25" Type="http://schemas.openxmlformats.org/officeDocument/2006/relationships/hyperlink" Target="https://onlinelibrary-wiley-com.libproxy.ucl.ac.uk/action/doSearch?ContribAuthorStored=DeBaun%2C+Michael+R" TargetMode="External"/><Relationship Id="rId33" Type="http://schemas.openxmlformats.org/officeDocument/2006/relationships/hyperlink" Target="https://onlinelibrary-wiley-com.libproxy.ucl.ac.uk/doi/full/10.1002/ajh.25900" TargetMode="External"/><Relationship Id="rId38" Type="http://schemas.openxmlformats.org/officeDocument/2006/relationships/hyperlink" Target="https://onlinelibrary-wiley-com.libproxy.ucl.ac.uk/doi/full/10.1002/ajh.25900" TargetMode="External"/><Relationship Id="rId46" Type="http://schemas.openxmlformats.org/officeDocument/2006/relationships/hyperlink" Target="https://onlinelibrary-wiley-com.libproxy.ucl.ac.uk/doi/full/10.1002/ajh.25900" TargetMode="External"/><Relationship Id="rId20" Type="http://schemas.openxmlformats.org/officeDocument/2006/relationships/hyperlink" Target="https://onlinelibrary-wiley-com.libproxy.ucl.ac.uk/action/doSearch?ContribAuthorStored=Neville%2C+Kathleen" TargetMode="External"/><Relationship Id="rId41" Type="http://schemas.openxmlformats.org/officeDocument/2006/relationships/hyperlink" Target="https://onlinelibrary-wiley-com.libproxy.ucl.ac.uk/doi/full/10.1002/ajh.25900"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nlinelibrary-wiley-com.libproxy.ucl.ac.uk/action/doSearch?ContribAuthorStored=Abdullahi%2C+Shehu+U" TargetMode="External"/><Relationship Id="rId15" Type="http://schemas.openxmlformats.org/officeDocument/2006/relationships/hyperlink" Target="https://onlinelibrary-wiley-com.libproxy.ucl.ac.uk/action/doSearch?ContribAuthorStored=Belonwu%2C+Raymond" TargetMode="External"/><Relationship Id="rId23" Type="http://schemas.openxmlformats.org/officeDocument/2006/relationships/hyperlink" Target="https://onlinelibrary-wiley-com.libproxy.ucl.ac.uk/action/doSearch?ContribAuthorStored=Jordan%2C+Lori+C" TargetMode="External"/><Relationship Id="rId28" Type="http://schemas.openxmlformats.org/officeDocument/2006/relationships/hyperlink" Target="https://onlinelibrary-wiley-com.libproxy.ucl.ac.uk/doi/full/10.1002/ajh.25900" TargetMode="External"/><Relationship Id="rId36" Type="http://schemas.openxmlformats.org/officeDocument/2006/relationships/hyperlink" Target="https://onlinelibrary-wiley-com.libproxy.ucl.ac.uk/doi/full/10.1002/ajh.25900" TargetMode="External"/><Relationship Id="rId49" Type="http://schemas.openxmlformats.org/officeDocument/2006/relationships/hyperlink" Target="https://onlinelibrary-wiley-com.libproxy.ucl.ac.uk/doi/full/10.1002/ajh.25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3028</Words>
  <Characters>17263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Fenella Kirkham</dc:creator>
  <cp:keywords/>
  <dc:description/>
  <cp:lastModifiedBy>Thomas Whalley</cp:lastModifiedBy>
  <cp:revision>2</cp:revision>
  <dcterms:created xsi:type="dcterms:W3CDTF">2021-01-13T12:58:00Z</dcterms:created>
  <dcterms:modified xsi:type="dcterms:W3CDTF">2021-01-13T12:58:00Z</dcterms:modified>
</cp:coreProperties>
</file>